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tblLook w:val="0000" w:firstRow="0" w:lastRow="0" w:firstColumn="0" w:lastColumn="0" w:noHBand="0" w:noVBand="0"/>
      </w:tblPr>
      <w:tblGrid>
        <w:gridCol w:w="3182"/>
        <w:gridCol w:w="1623"/>
        <w:gridCol w:w="2309"/>
        <w:gridCol w:w="1413"/>
      </w:tblGrid>
      <w:tr w:rsidR="00D565C2" w:rsidRPr="00D565C2" w14:paraId="2A49A22C" w14:textId="77777777" w:rsidTr="00BD15DC">
        <w:trPr>
          <w:trHeight w:val="890"/>
        </w:trPr>
        <w:tc>
          <w:tcPr>
            <w:tcW w:w="3182" w:type="dxa"/>
          </w:tcPr>
          <w:p w14:paraId="2F1BE4E8" w14:textId="61735E10" w:rsidR="00D565C2" w:rsidRPr="00D565C2" w:rsidRDefault="00D565C2" w:rsidP="004C7494">
            <w:pPr>
              <w:spacing w:after="0" w:line="240" w:lineRule="auto"/>
              <w:rPr>
                <w:rFonts w:asciiTheme="majorHAnsi" w:eastAsia="Calibri" w:hAnsiTheme="majorHAnsi" w:cstheme="majorHAnsi"/>
                <w:kern w:val="0"/>
                <w:sz w:val="24"/>
                <w:szCs w:val="24"/>
                <w14:ligatures w14:val="none"/>
              </w:rPr>
            </w:pPr>
          </w:p>
          <w:p w14:paraId="5C29738B" w14:textId="77777777" w:rsidR="00D565C2" w:rsidRPr="00D565C2" w:rsidRDefault="00D565C2" w:rsidP="004C7494">
            <w:pPr>
              <w:spacing w:after="0" w:line="240" w:lineRule="auto"/>
              <w:rPr>
                <w:rFonts w:asciiTheme="majorHAnsi" w:eastAsia="Calibri" w:hAnsiTheme="majorHAnsi" w:cstheme="majorHAnsi"/>
                <w:kern w:val="0"/>
                <w:sz w:val="24"/>
                <w:szCs w:val="24"/>
                <w14:ligatures w14:val="none"/>
              </w:rPr>
            </w:pPr>
          </w:p>
          <w:p w14:paraId="3D4289FA" w14:textId="051388EB" w:rsidR="00D565C2" w:rsidRPr="00D565C2" w:rsidRDefault="00D565C2" w:rsidP="004C7494">
            <w:pPr>
              <w:spacing w:after="0" w:line="240" w:lineRule="auto"/>
              <w:rPr>
                <w:rFonts w:asciiTheme="majorHAnsi" w:eastAsia="Calibri" w:hAnsiTheme="majorHAnsi" w:cstheme="majorHAnsi"/>
                <w:kern w:val="0"/>
                <w:sz w:val="24"/>
                <w:szCs w:val="24"/>
                <w14:ligatures w14:val="none"/>
              </w:rPr>
            </w:pPr>
          </w:p>
        </w:tc>
        <w:tc>
          <w:tcPr>
            <w:tcW w:w="1623" w:type="dxa"/>
          </w:tcPr>
          <w:p w14:paraId="3CB42253" w14:textId="77777777" w:rsidR="00D565C2" w:rsidRPr="00D565C2" w:rsidRDefault="00D565C2" w:rsidP="004C7494">
            <w:pPr>
              <w:spacing w:after="0" w:line="240" w:lineRule="auto"/>
              <w:rPr>
                <w:rFonts w:asciiTheme="majorHAnsi" w:eastAsia="Calibri" w:hAnsiTheme="majorHAnsi" w:cstheme="majorHAnsi"/>
                <w:kern w:val="0"/>
                <w:sz w:val="24"/>
                <w:szCs w:val="24"/>
                <w14:ligatures w14:val="none"/>
              </w:rPr>
            </w:pPr>
          </w:p>
        </w:tc>
        <w:tc>
          <w:tcPr>
            <w:tcW w:w="2309" w:type="dxa"/>
            <w:tcBorders>
              <w:right w:val="single" w:sz="4" w:space="0" w:color="auto"/>
            </w:tcBorders>
          </w:tcPr>
          <w:p w14:paraId="65959035" w14:textId="77777777" w:rsidR="00D565C2" w:rsidRPr="00D565C2" w:rsidRDefault="00D565C2" w:rsidP="004C7494">
            <w:pPr>
              <w:spacing w:after="0" w:line="240" w:lineRule="auto"/>
              <w:rPr>
                <w:rFonts w:asciiTheme="majorHAnsi" w:eastAsia="Calibri" w:hAnsiTheme="majorHAnsi" w:cstheme="majorHAnsi"/>
                <w:kern w:val="0"/>
                <w:sz w:val="24"/>
                <w:szCs w:val="24"/>
                <w:highlight w:val="yellow"/>
                <w14:ligatures w14:val="none"/>
              </w:rPr>
            </w:pPr>
          </w:p>
        </w:tc>
        <w:tc>
          <w:tcPr>
            <w:tcW w:w="1413" w:type="dxa"/>
            <w:tcBorders>
              <w:top w:val="single" w:sz="4" w:space="0" w:color="auto"/>
              <w:left w:val="single" w:sz="4" w:space="0" w:color="auto"/>
              <w:bottom w:val="single" w:sz="4" w:space="0" w:color="auto"/>
              <w:right w:val="single" w:sz="4" w:space="0" w:color="auto"/>
            </w:tcBorders>
            <w:vAlign w:val="center"/>
          </w:tcPr>
          <w:p w14:paraId="35CA3B17" w14:textId="6FB367BA" w:rsidR="00D565C2" w:rsidRPr="00223769" w:rsidRDefault="00BD15DC" w:rsidP="00223769">
            <w:pPr>
              <w:spacing w:after="0" w:line="240" w:lineRule="auto"/>
              <w:ind w:left="18"/>
              <w:jc w:val="center"/>
              <w:rPr>
                <w:rFonts w:asciiTheme="majorHAnsi" w:eastAsia="Calibri" w:hAnsiTheme="majorHAnsi" w:cstheme="majorHAnsi"/>
                <w:b/>
                <w:kern w:val="0"/>
                <w:sz w:val="56"/>
                <w:szCs w:val="56"/>
                <w14:ligatures w14:val="none"/>
              </w:rPr>
            </w:pPr>
            <w:r>
              <w:rPr>
                <w:rFonts w:asciiTheme="majorHAnsi" w:eastAsia="Calibri" w:hAnsiTheme="majorHAnsi" w:cstheme="majorHAnsi"/>
                <w:b/>
                <w:kern w:val="0"/>
                <w:sz w:val="56"/>
                <w:szCs w:val="56"/>
                <w14:ligatures w14:val="none"/>
              </w:rPr>
              <w:t>S1</w:t>
            </w:r>
          </w:p>
        </w:tc>
      </w:tr>
      <w:tr w:rsidR="00D565C2" w:rsidRPr="00D565C2" w14:paraId="21A7AF8B" w14:textId="77777777" w:rsidTr="00BD15DC">
        <w:tc>
          <w:tcPr>
            <w:tcW w:w="3182" w:type="dxa"/>
            <w:vMerge w:val="restart"/>
          </w:tcPr>
          <w:p w14:paraId="5DC346C9" w14:textId="6F241DED" w:rsidR="00186C6F" w:rsidRDefault="00F10EE8" w:rsidP="004C7494">
            <w:pPr>
              <w:spacing w:after="0" w:line="240" w:lineRule="auto"/>
              <w:rPr>
                <w:rFonts w:asciiTheme="majorHAnsi" w:eastAsia="Calibri" w:hAnsiTheme="majorHAnsi" w:cstheme="majorHAnsi"/>
                <w:kern w:val="0"/>
                <w:sz w:val="24"/>
                <w:szCs w:val="24"/>
                <w14:ligatures w14:val="none"/>
              </w:rPr>
            </w:pPr>
            <w:r>
              <w:rPr>
                <w:rFonts w:asciiTheme="majorHAnsi" w:eastAsia="Calibri" w:hAnsiTheme="majorHAnsi" w:cstheme="majorHAnsi"/>
                <w:kern w:val="0"/>
                <w:sz w:val="24"/>
                <w:szCs w:val="24"/>
                <w14:ligatures w14:val="none"/>
              </w:rPr>
              <w:t>6-</w:t>
            </w:r>
            <w:r w:rsidR="00C24DC4">
              <w:rPr>
                <w:rFonts w:asciiTheme="majorHAnsi" w:eastAsia="Calibri" w:hAnsiTheme="majorHAnsi" w:cstheme="majorHAnsi"/>
                <w:kern w:val="0"/>
                <w:sz w:val="24"/>
                <w:szCs w:val="24"/>
                <w14:ligatures w14:val="none"/>
              </w:rPr>
              <w:t>9</w:t>
            </w:r>
            <w:r w:rsidR="00A53AFC">
              <w:rPr>
                <w:rFonts w:asciiTheme="majorHAnsi" w:eastAsia="Calibri" w:hAnsiTheme="majorHAnsi" w:cstheme="majorHAnsi"/>
                <w:kern w:val="0"/>
                <w:sz w:val="24"/>
                <w:szCs w:val="24"/>
                <w14:ligatures w14:val="none"/>
              </w:rPr>
              <w:t>-2</w:t>
            </w:r>
            <w:r w:rsidR="00260D95">
              <w:rPr>
                <w:rFonts w:asciiTheme="majorHAnsi" w:eastAsia="Calibri" w:hAnsiTheme="majorHAnsi" w:cstheme="majorHAnsi"/>
                <w:kern w:val="0"/>
                <w:sz w:val="24"/>
                <w:szCs w:val="24"/>
                <w14:ligatures w14:val="none"/>
              </w:rPr>
              <w:t>6</w:t>
            </w:r>
          </w:p>
          <w:p w14:paraId="65DF2A07" w14:textId="1DB9DF20" w:rsidR="00D565C2" w:rsidRPr="00D565C2" w:rsidRDefault="00562B55" w:rsidP="004C7494">
            <w:pPr>
              <w:spacing w:after="0" w:line="240" w:lineRule="auto"/>
              <w:rPr>
                <w:rFonts w:asciiTheme="majorHAnsi" w:eastAsia="Calibri" w:hAnsiTheme="majorHAnsi" w:cstheme="majorHAnsi"/>
                <w:kern w:val="0"/>
                <w:sz w:val="24"/>
                <w:szCs w:val="24"/>
                <w14:ligatures w14:val="none"/>
              </w:rPr>
            </w:pPr>
            <w:r>
              <w:rPr>
                <w:rFonts w:asciiTheme="majorHAnsi" w:eastAsia="Calibri" w:hAnsiTheme="majorHAnsi" w:cstheme="majorHAnsi"/>
                <w:kern w:val="0"/>
                <w:sz w:val="24"/>
                <w:szCs w:val="24"/>
                <w14:ligatures w14:val="none"/>
              </w:rPr>
              <w:t xml:space="preserve">Chair's </w:t>
            </w:r>
            <w:r w:rsidR="00260D95">
              <w:rPr>
                <w:rFonts w:asciiTheme="majorHAnsi" w:eastAsia="Calibri" w:hAnsiTheme="majorHAnsi" w:cstheme="majorHAnsi"/>
                <w:kern w:val="0"/>
                <w:sz w:val="24"/>
                <w:szCs w:val="24"/>
                <w14:ligatures w14:val="none"/>
              </w:rPr>
              <w:t>Striker</w:t>
            </w:r>
          </w:p>
        </w:tc>
        <w:tc>
          <w:tcPr>
            <w:tcW w:w="1623" w:type="dxa"/>
          </w:tcPr>
          <w:p w14:paraId="3D5C49A7" w14:textId="77777777" w:rsidR="00D565C2" w:rsidRPr="00D565C2" w:rsidRDefault="00D565C2" w:rsidP="004C7494">
            <w:pPr>
              <w:spacing w:after="0" w:line="240" w:lineRule="auto"/>
              <w:rPr>
                <w:rFonts w:asciiTheme="majorHAnsi" w:eastAsia="Calibri" w:hAnsiTheme="majorHAnsi" w:cstheme="majorHAnsi"/>
                <w:kern w:val="0"/>
                <w:sz w:val="24"/>
                <w:szCs w:val="24"/>
                <w14:ligatures w14:val="none"/>
              </w:rPr>
            </w:pPr>
          </w:p>
        </w:tc>
        <w:tc>
          <w:tcPr>
            <w:tcW w:w="2309" w:type="dxa"/>
          </w:tcPr>
          <w:p w14:paraId="18824FDB" w14:textId="77777777" w:rsidR="00D565C2" w:rsidRPr="00D565C2" w:rsidRDefault="00D565C2" w:rsidP="004C7494">
            <w:pPr>
              <w:spacing w:after="0" w:line="240" w:lineRule="auto"/>
              <w:rPr>
                <w:rFonts w:asciiTheme="majorHAnsi" w:eastAsia="Calibri" w:hAnsiTheme="majorHAnsi" w:cstheme="majorHAnsi"/>
                <w:kern w:val="0"/>
                <w:sz w:val="24"/>
                <w:szCs w:val="24"/>
                <w14:ligatures w14:val="none"/>
              </w:rPr>
            </w:pPr>
          </w:p>
        </w:tc>
        <w:tc>
          <w:tcPr>
            <w:tcW w:w="1413" w:type="dxa"/>
            <w:tcBorders>
              <w:top w:val="single" w:sz="4" w:space="0" w:color="auto"/>
            </w:tcBorders>
          </w:tcPr>
          <w:p w14:paraId="5A3E4346" w14:textId="77777777" w:rsidR="00D565C2" w:rsidRPr="00D565C2" w:rsidRDefault="00D565C2" w:rsidP="004C7494">
            <w:pPr>
              <w:spacing w:after="0" w:line="240" w:lineRule="auto"/>
              <w:rPr>
                <w:rFonts w:asciiTheme="majorHAnsi" w:eastAsia="Calibri" w:hAnsiTheme="majorHAnsi" w:cstheme="majorHAnsi"/>
                <w:kern w:val="0"/>
                <w:sz w:val="24"/>
                <w:szCs w:val="24"/>
                <w14:ligatures w14:val="none"/>
              </w:rPr>
            </w:pPr>
          </w:p>
        </w:tc>
      </w:tr>
      <w:tr w:rsidR="00D565C2" w:rsidRPr="00D565C2" w14:paraId="7043684A" w14:textId="77777777" w:rsidTr="00BD15DC">
        <w:trPr>
          <w:trHeight w:val="522"/>
        </w:trPr>
        <w:tc>
          <w:tcPr>
            <w:tcW w:w="3182" w:type="dxa"/>
            <w:vMerge/>
          </w:tcPr>
          <w:p w14:paraId="39063C8A" w14:textId="77777777" w:rsidR="00D565C2" w:rsidRPr="00D565C2" w:rsidRDefault="00D565C2" w:rsidP="004C7494">
            <w:pPr>
              <w:spacing w:after="0" w:line="240" w:lineRule="auto"/>
              <w:rPr>
                <w:rFonts w:asciiTheme="majorHAnsi" w:eastAsia="Calibri" w:hAnsiTheme="majorHAnsi" w:cstheme="majorHAnsi"/>
                <w:kern w:val="0"/>
                <w:sz w:val="24"/>
                <w:szCs w:val="24"/>
                <w14:ligatures w14:val="none"/>
              </w:rPr>
            </w:pPr>
          </w:p>
        </w:tc>
        <w:tc>
          <w:tcPr>
            <w:tcW w:w="1623" w:type="dxa"/>
          </w:tcPr>
          <w:p w14:paraId="3F4D5A31" w14:textId="77777777" w:rsidR="00D565C2" w:rsidRPr="00D565C2" w:rsidRDefault="00D565C2" w:rsidP="004C7494">
            <w:pPr>
              <w:spacing w:after="0" w:line="240" w:lineRule="auto"/>
              <w:rPr>
                <w:rFonts w:asciiTheme="majorHAnsi" w:eastAsia="Calibri" w:hAnsiTheme="majorHAnsi" w:cstheme="majorHAnsi"/>
                <w:kern w:val="0"/>
                <w:sz w:val="24"/>
                <w:szCs w:val="24"/>
                <w14:ligatures w14:val="none"/>
              </w:rPr>
            </w:pPr>
          </w:p>
        </w:tc>
        <w:tc>
          <w:tcPr>
            <w:tcW w:w="2309" w:type="dxa"/>
          </w:tcPr>
          <w:p w14:paraId="1589DE66" w14:textId="77777777" w:rsidR="00D565C2" w:rsidRPr="00D565C2" w:rsidRDefault="00D565C2" w:rsidP="004C7494">
            <w:pPr>
              <w:spacing w:after="0" w:line="240" w:lineRule="auto"/>
              <w:rPr>
                <w:rFonts w:asciiTheme="majorHAnsi" w:eastAsia="Calibri" w:hAnsiTheme="majorHAnsi" w:cstheme="majorHAnsi"/>
                <w:kern w:val="0"/>
                <w:sz w:val="24"/>
                <w:szCs w:val="24"/>
                <w14:ligatures w14:val="none"/>
              </w:rPr>
            </w:pPr>
          </w:p>
        </w:tc>
        <w:tc>
          <w:tcPr>
            <w:tcW w:w="1413" w:type="dxa"/>
          </w:tcPr>
          <w:p w14:paraId="6525A54D" w14:textId="77777777" w:rsidR="00D565C2" w:rsidRPr="00D565C2" w:rsidRDefault="00D565C2" w:rsidP="004C7494">
            <w:pPr>
              <w:spacing w:after="0" w:line="240" w:lineRule="auto"/>
              <w:rPr>
                <w:rFonts w:asciiTheme="majorHAnsi" w:eastAsia="Calibri" w:hAnsiTheme="majorHAnsi" w:cstheme="majorHAnsi"/>
                <w:kern w:val="0"/>
                <w:sz w:val="24"/>
                <w:szCs w:val="24"/>
                <w14:ligatures w14:val="none"/>
              </w:rPr>
            </w:pPr>
          </w:p>
        </w:tc>
      </w:tr>
      <w:tr w:rsidR="00D565C2" w:rsidRPr="00D565C2" w14:paraId="7853CC3A" w14:textId="77777777" w:rsidTr="00BD15DC">
        <w:tc>
          <w:tcPr>
            <w:tcW w:w="3182" w:type="dxa"/>
          </w:tcPr>
          <w:p w14:paraId="6504DF9C" w14:textId="77777777" w:rsidR="00D565C2" w:rsidRPr="00D565C2" w:rsidRDefault="00D565C2" w:rsidP="004C7494">
            <w:pPr>
              <w:spacing w:after="0" w:line="240" w:lineRule="auto"/>
              <w:rPr>
                <w:rFonts w:asciiTheme="majorHAnsi" w:eastAsia="Calibri" w:hAnsiTheme="majorHAnsi" w:cstheme="majorHAnsi"/>
                <w:kern w:val="0"/>
                <w:sz w:val="24"/>
                <w:szCs w:val="24"/>
                <w14:ligatures w14:val="none"/>
              </w:rPr>
            </w:pPr>
          </w:p>
        </w:tc>
        <w:tc>
          <w:tcPr>
            <w:tcW w:w="1623" w:type="dxa"/>
          </w:tcPr>
          <w:p w14:paraId="07033FEA" w14:textId="77777777" w:rsidR="00D565C2" w:rsidRPr="00D565C2" w:rsidRDefault="00D565C2" w:rsidP="004C7494">
            <w:pPr>
              <w:spacing w:after="0" w:line="240" w:lineRule="auto"/>
              <w:rPr>
                <w:rFonts w:asciiTheme="majorHAnsi" w:eastAsia="Calibri" w:hAnsiTheme="majorHAnsi" w:cstheme="majorHAnsi"/>
                <w:kern w:val="0"/>
                <w:sz w:val="24"/>
                <w:szCs w:val="24"/>
                <w14:ligatures w14:val="none"/>
              </w:rPr>
            </w:pPr>
            <w:r w:rsidRPr="00D565C2">
              <w:rPr>
                <w:rFonts w:asciiTheme="majorHAnsi" w:eastAsia="Calibri" w:hAnsiTheme="majorHAnsi" w:cstheme="majorHAnsi"/>
                <w:kern w:val="0"/>
                <w:sz w:val="24"/>
                <w:szCs w:val="24"/>
                <w14:ligatures w14:val="none"/>
              </w:rPr>
              <w:t>Sponsor:</w:t>
            </w:r>
          </w:p>
        </w:tc>
        <w:tc>
          <w:tcPr>
            <w:tcW w:w="3722" w:type="dxa"/>
            <w:gridSpan w:val="2"/>
            <w:tcBorders>
              <w:bottom w:val="single" w:sz="4" w:space="0" w:color="auto"/>
            </w:tcBorders>
          </w:tcPr>
          <w:p w14:paraId="22B79820" w14:textId="08DAE33F" w:rsidR="00D565C2" w:rsidRPr="00D565C2" w:rsidRDefault="00F10EE8" w:rsidP="004C7494">
            <w:pPr>
              <w:spacing w:after="0" w:line="240" w:lineRule="auto"/>
              <w:rPr>
                <w:rFonts w:asciiTheme="majorHAnsi" w:eastAsia="Calibri" w:hAnsiTheme="majorHAnsi" w:cstheme="majorHAnsi"/>
                <w:kern w:val="0"/>
                <w:sz w:val="24"/>
                <w:szCs w:val="24"/>
                <w14:ligatures w14:val="none"/>
              </w:rPr>
            </w:pPr>
            <w:r>
              <w:rPr>
                <w:rFonts w:asciiTheme="majorHAnsi" w:eastAsia="Calibri" w:hAnsiTheme="majorHAnsi" w:cstheme="majorHAnsi"/>
                <w:kern w:val="0"/>
                <w:sz w:val="24"/>
                <w:szCs w:val="24"/>
                <w14:ligatures w14:val="none"/>
              </w:rPr>
              <w:t>Perry</w:t>
            </w:r>
          </w:p>
        </w:tc>
      </w:tr>
      <w:tr w:rsidR="00D565C2" w:rsidRPr="00D565C2" w14:paraId="0BA543B2" w14:textId="77777777" w:rsidTr="00BD15DC">
        <w:tc>
          <w:tcPr>
            <w:tcW w:w="3182" w:type="dxa"/>
          </w:tcPr>
          <w:p w14:paraId="41CECDA6" w14:textId="3DD8CEB0" w:rsidR="00D565C2" w:rsidRPr="00D565C2" w:rsidRDefault="007611A5" w:rsidP="004C7494">
            <w:pPr>
              <w:spacing w:after="0" w:line="240" w:lineRule="auto"/>
              <w:rPr>
                <w:rFonts w:asciiTheme="majorHAnsi" w:eastAsia="Calibri" w:hAnsiTheme="majorHAnsi" w:cstheme="majorHAnsi"/>
                <w:kern w:val="0"/>
                <w:sz w:val="24"/>
                <w:szCs w:val="24"/>
                <w14:ligatures w14:val="none"/>
              </w:rPr>
            </w:pPr>
            <w:r>
              <w:rPr>
                <w:rFonts w:asciiTheme="majorHAnsi" w:eastAsia="Calibri" w:hAnsiTheme="majorHAnsi" w:cstheme="majorHAnsi"/>
                <w:kern w:val="0"/>
                <w:sz w:val="24"/>
                <w:szCs w:val="24"/>
                <w14:ligatures w14:val="none"/>
              </w:rPr>
              <w:t>[J. Ngo</w:t>
            </w:r>
            <w:r w:rsidR="00260D95">
              <w:rPr>
                <w:rFonts w:asciiTheme="majorHAnsi" w:eastAsia="Calibri" w:hAnsiTheme="majorHAnsi" w:cstheme="majorHAnsi"/>
                <w:kern w:val="0"/>
                <w:sz w:val="24"/>
                <w:szCs w:val="24"/>
                <w14:ligatures w14:val="none"/>
              </w:rPr>
              <w:t>/J. Tracy</w:t>
            </w:r>
            <w:r>
              <w:rPr>
                <w:rFonts w:asciiTheme="majorHAnsi" w:eastAsia="Calibri" w:hAnsiTheme="majorHAnsi" w:cstheme="majorHAnsi"/>
                <w:kern w:val="0"/>
                <w:sz w:val="24"/>
                <w:szCs w:val="24"/>
                <w14:ligatures w14:val="none"/>
              </w:rPr>
              <w:t>]</w:t>
            </w:r>
          </w:p>
        </w:tc>
        <w:tc>
          <w:tcPr>
            <w:tcW w:w="1623" w:type="dxa"/>
          </w:tcPr>
          <w:p w14:paraId="35B42775" w14:textId="77777777" w:rsidR="00D565C2" w:rsidRPr="00D565C2" w:rsidRDefault="00D565C2" w:rsidP="004C7494">
            <w:pPr>
              <w:spacing w:after="0" w:line="240" w:lineRule="auto"/>
              <w:rPr>
                <w:rFonts w:asciiTheme="majorHAnsi" w:eastAsia="Calibri" w:hAnsiTheme="majorHAnsi" w:cstheme="majorHAnsi"/>
                <w:kern w:val="0"/>
                <w:sz w:val="24"/>
                <w:szCs w:val="24"/>
                <w14:ligatures w14:val="none"/>
              </w:rPr>
            </w:pPr>
          </w:p>
        </w:tc>
        <w:tc>
          <w:tcPr>
            <w:tcW w:w="2309" w:type="dxa"/>
            <w:tcBorders>
              <w:top w:val="single" w:sz="4" w:space="0" w:color="auto"/>
            </w:tcBorders>
          </w:tcPr>
          <w:p w14:paraId="5B5A7849" w14:textId="77777777" w:rsidR="00D565C2" w:rsidRPr="00D565C2" w:rsidRDefault="00D565C2" w:rsidP="004C7494">
            <w:pPr>
              <w:spacing w:after="0" w:line="240" w:lineRule="auto"/>
              <w:rPr>
                <w:rFonts w:asciiTheme="majorHAnsi" w:eastAsia="Calibri" w:hAnsiTheme="majorHAnsi" w:cstheme="majorHAnsi"/>
                <w:kern w:val="0"/>
                <w:sz w:val="24"/>
                <w:szCs w:val="24"/>
                <w14:ligatures w14:val="none"/>
              </w:rPr>
            </w:pPr>
          </w:p>
        </w:tc>
        <w:tc>
          <w:tcPr>
            <w:tcW w:w="1413" w:type="dxa"/>
            <w:tcBorders>
              <w:top w:val="single" w:sz="4" w:space="0" w:color="auto"/>
            </w:tcBorders>
          </w:tcPr>
          <w:p w14:paraId="38C57EFB" w14:textId="77777777" w:rsidR="00D565C2" w:rsidRPr="00D565C2" w:rsidRDefault="00D565C2" w:rsidP="004C7494">
            <w:pPr>
              <w:spacing w:after="0" w:line="240" w:lineRule="auto"/>
              <w:rPr>
                <w:rFonts w:asciiTheme="majorHAnsi" w:eastAsia="Calibri" w:hAnsiTheme="majorHAnsi" w:cstheme="majorHAnsi"/>
                <w:kern w:val="0"/>
                <w:sz w:val="24"/>
                <w:szCs w:val="24"/>
                <w14:ligatures w14:val="none"/>
              </w:rPr>
            </w:pPr>
          </w:p>
        </w:tc>
      </w:tr>
      <w:tr w:rsidR="00D565C2" w:rsidRPr="00D565C2" w14:paraId="1F736A84" w14:textId="77777777" w:rsidTr="00BD15DC">
        <w:tc>
          <w:tcPr>
            <w:tcW w:w="3182" w:type="dxa"/>
          </w:tcPr>
          <w:p w14:paraId="5E22B557" w14:textId="295F8416" w:rsidR="00D565C2" w:rsidRPr="00D565C2" w:rsidRDefault="00D565C2" w:rsidP="004C7494">
            <w:pPr>
              <w:spacing w:after="0" w:line="240" w:lineRule="auto"/>
              <w:rPr>
                <w:rFonts w:asciiTheme="majorHAnsi" w:eastAsia="Calibri" w:hAnsiTheme="majorHAnsi" w:cstheme="majorHAnsi"/>
                <w:kern w:val="0"/>
                <w:sz w:val="24"/>
                <w:szCs w:val="24"/>
                <w14:ligatures w14:val="none"/>
              </w:rPr>
            </w:pPr>
          </w:p>
        </w:tc>
        <w:tc>
          <w:tcPr>
            <w:tcW w:w="1623" w:type="dxa"/>
          </w:tcPr>
          <w:p w14:paraId="7493B4DA" w14:textId="77777777" w:rsidR="00D565C2" w:rsidRPr="00D565C2" w:rsidRDefault="00D565C2" w:rsidP="004C7494">
            <w:pPr>
              <w:spacing w:after="0" w:line="240" w:lineRule="auto"/>
              <w:rPr>
                <w:rFonts w:asciiTheme="majorHAnsi" w:eastAsia="Calibri" w:hAnsiTheme="majorHAnsi" w:cstheme="majorHAnsi"/>
                <w:kern w:val="0"/>
                <w:sz w:val="24"/>
                <w:szCs w:val="24"/>
                <w14:ligatures w14:val="none"/>
              </w:rPr>
            </w:pPr>
            <w:r w:rsidRPr="00D565C2">
              <w:rPr>
                <w:rFonts w:asciiTheme="majorHAnsi" w:eastAsia="Calibri" w:hAnsiTheme="majorHAnsi" w:cstheme="majorHAnsi"/>
                <w:kern w:val="0"/>
                <w:sz w:val="24"/>
                <w:szCs w:val="24"/>
                <w14:ligatures w14:val="none"/>
              </w:rPr>
              <w:t>Proposed No.:</w:t>
            </w:r>
          </w:p>
        </w:tc>
        <w:tc>
          <w:tcPr>
            <w:tcW w:w="3722" w:type="dxa"/>
            <w:gridSpan w:val="2"/>
            <w:tcBorders>
              <w:bottom w:val="single" w:sz="4" w:space="0" w:color="auto"/>
            </w:tcBorders>
          </w:tcPr>
          <w:p w14:paraId="618DFEC3" w14:textId="24EA408B" w:rsidR="00D565C2" w:rsidRPr="00D565C2" w:rsidRDefault="00D565C2" w:rsidP="004C7494">
            <w:pPr>
              <w:spacing w:after="0" w:line="240" w:lineRule="auto"/>
              <w:rPr>
                <w:rFonts w:asciiTheme="majorHAnsi" w:eastAsia="Calibri" w:hAnsiTheme="majorHAnsi" w:cstheme="majorHAnsi"/>
                <w:kern w:val="0"/>
                <w:sz w:val="24"/>
                <w:szCs w:val="24"/>
                <w14:ligatures w14:val="none"/>
              </w:rPr>
            </w:pPr>
            <w:r w:rsidRPr="00D565C2">
              <w:rPr>
                <w:rFonts w:asciiTheme="majorHAnsi" w:eastAsia="Calibri" w:hAnsiTheme="majorHAnsi" w:cstheme="majorHAnsi"/>
                <w:kern w:val="0"/>
                <w:sz w:val="24"/>
                <w:szCs w:val="24"/>
                <w14:ligatures w14:val="none"/>
              </w:rPr>
              <w:t>202</w:t>
            </w:r>
            <w:r w:rsidR="00260D95">
              <w:rPr>
                <w:rFonts w:asciiTheme="majorHAnsi" w:eastAsia="Calibri" w:hAnsiTheme="majorHAnsi" w:cstheme="majorHAnsi"/>
                <w:kern w:val="0"/>
                <w:sz w:val="24"/>
                <w:szCs w:val="24"/>
                <w14:ligatures w14:val="none"/>
              </w:rPr>
              <w:t>5-0321</w:t>
            </w:r>
          </w:p>
        </w:tc>
      </w:tr>
      <w:tr w:rsidR="00D565C2" w:rsidRPr="00D565C2" w14:paraId="739B09D2" w14:textId="77777777" w:rsidTr="00BD15DC">
        <w:trPr>
          <w:trHeight w:val="305"/>
        </w:trPr>
        <w:tc>
          <w:tcPr>
            <w:tcW w:w="3182" w:type="dxa"/>
          </w:tcPr>
          <w:p w14:paraId="29C9FE1B" w14:textId="77777777" w:rsidR="00D565C2" w:rsidRPr="00D565C2" w:rsidRDefault="00D565C2" w:rsidP="004C7494">
            <w:pPr>
              <w:spacing w:after="0" w:line="240" w:lineRule="auto"/>
              <w:rPr>
                <w:rFonts w:asciiTheme="majorHAnsi" w:eastAsia="Calibri" w:hAnsiTheme="majorHAnsi" w:cstheme="majorHAnsi"/>
                <w:kern w:val="0"/>
                <w:sz w:val="24"/>
                <w:szCs w:val="24"/>
                <w14:ligatures w14:val="none"/>
              </w:rPr>
            </w:pPr>
          </w:p>
        </w:tc>
        <w:tc>
          <w:tcPr>
            <w:tcW w:w="1623" w:type="dxa"/>
          </w:tcPr>
          <w:p w14:paraId="45261578" w14:textId="77777777" w:rsidR="00D565C2" w:rsidRPr="00D565C2" w:rsidRDefault="00D565C2" w:rsidP="004C7494">
            <w:pPr>
              <w:spacing w:after="0" w:line="240" w:lineRule="auto"/>
              <w:rPr>
                <w:rFonts w:asciiTheme="majorHAnsi" w:eastAsia="Calibri" w:hAnsiTheme="majorHAnsi" w:cstheme="majorHAnsi"/>
                <w:kern w:val="0"/>
                <w:sz w:val="24"/>
                <w:szCs w:val="24"/>
                <w14:ligatures w14:val="none"/>
              </w:rPr>
            </w:pPr>
          </w:p>
        </w:tc>
        <w:tc>
          <w:tcPr>
            <w:tcW w:w="2309" w:type="dxa"/>
            <w:tcBorders>
              <w:top w:val="single" w:sz="4" w:space="0" w:color="auto"/>
            </w:tcBorders>
          </w:tcPr>
          <w:p w14:paraId="61127741" w14:textId="77777777" w:rsidR="00D565C2" w:rsidRPr="00D565C2" w:rsidRDefault="00D565C2" w:rsidP="004C7494">
            <w:pPr>
              <w:spacing w:after="0" w:line="240" w:lineRule="auto"/>
              <w:rPr>
                <w:rFonts w:asciiTheme="majorHAnsi" w:eastAsia="Calibri" w:hAnsiTheme="majorHAnsi" w:cstheme="majorHAnsi"/>
                <w:kern w:val="0"/>
                <w:sz w:val="24"/>
                <w:szCs w:val="24"/>
                <w14:ligatures w14:val="none"/>
              </w:rPr>
            </w:pPr>
          </w:p>
        </w:tc>
        <w:tc>
          <w:tcPr>
            <w:tcW w:w="1413" w:type="dxa"/>
            <w:tcBorders>
              <w:top w:val="single" w:sz="4" w:space="0" w:color="auto"/>
            </w:tcBorders>
          </w:tcPr>
          <w:p w14:paraId="1C75F093" w14:textId="77777777" w:rsidR="00D565C2" w:rsidRPr="00D565C2" w:rsidRDefault="00D565C2" w:rsidP="004C7494">
            <w:pPr>
              <w:spacing w:after="0" w:line="240" w:lineRule="auto"/>
              <w:rPr>
                <w:rFonts w:asciiTheme="majorHAnsi" w:eastAsia="Calibri" w:hAnsiTheme="majorHAnsi" w:cstheme="majorHAnsi"/>
                <w:kern w:val="0"/>
                <w:sz w:val="24"/>
                <w:szCs w:val="24"/>
                <w14:ligatures w14:val="none"/>
              </w:rPr>
            </w:pPr>
          </w:p>
        </w:tc>
      </w:tr>
    </w:tbl>
    <w:p w14:paraId="1DD4B600" w14:textId="0804AC96" w:rsidR="00D565C2" w:rsidRPr="00D565C2" w:rsidRDefault="00D565C2" w:rsidP="00A93DA4">
      <w:pPr>
        <w:spacing w:after="0" w:line="480" w:lineRule="auto"/>
        <w:rPr>
          <w:rFonts w:asciiTheme="majorHAnsi" w:eastAsia="Calibri" w:hAnsiTheme="majorHAnsi" w:cstheme="majorHAnsi"/>
          <w:b/>
          <w:kern w:val="0"/>
          <w:sz w:val="24"/>
          <w:szCs w:val="24"/>
          <w:u w:val="single"/>
          <w14:ligatures w14:val="none"/>
        </w:rPr>
      </w:pPr>
      <w:r w:rsidRPr="00D565C2">
        <w:rPr>
          <w:rFonts w:asciiTheme="majorHAnsi" w:eastAsia="Calibri" w:hAnsiTheme="majorHAnsi" w:cstheme="majorHAnsi"/>
          <w:b/>
          <w:kern w:val="0"/>
          <w:sz w:val="24"/>
          <w:szCs w:val="24"/>
          <w:u w:val="single"/>
          <w14:ligatures w14:val="none"/>
        </w:rPr>
        <w:t>STRIKING AMENDMENT TO PROPOSED ORDINANCE 202</w:t>
      </w:r>
      <w:r w:rsidR="00260D95">
        <w:rPr>
          <w:rFonts w:asciiTheme="majorHAnsi" w:eastAsia="Calibri" w:hAnsiTheme="majorHAnsi" w:cstheme="majorHAnsi"/>
          <w:b/>
          <w:kern w:val="0"/>
          <w:sz w:val="24"/>
          <w:szCs w:val="24"/>
          <w:u w:val="single"/>
          <w14:ligatures w14:val="none"/>
        </w:rPr>
        <w:t>5</w:t>
      </w:r>
      <w:r w:rsidRPr="00D565C2">
        <w:rPr>
          <w:rFonts w:asciiTheme="majorHAnsi" w:eastAsia="Calibri" w:hAnsiTheme="majorHAnsi" w:cstheme="majorHAnsi"/>
          <w:b/>
          <w:kern w:val="0"/>
          <w:sz w:val="24"/>
          <w:szCs w:val="24"/>
          <w:u w:val="single"/>
          <w14:ligatures w14:val="none"/>
        </w:rPr>
        <w:t>-0</w:t>
      </w:r>
      <w:r w:rsidR="00260D95">
        <w:rPr>
          <w:rFonts w:asciiTheme="majorHAnsi" w:eastAsia="Calibri" w:hAnsiTheme="majorHAnsi" w:cstheme="majorHAnsi"/>
          <w:b/>
          <w:kern w:val="0"/>
          <w:sz w:val="24"/>
          <w:szCs w:val="24"/>
          <w:u w:val="single"/>
          <w14:ligatures w14:val="none"/>
        </w:rPr>
        <w:t>321</w:t>
      </w:r>
      <w:r w:rsidRPr="00D565C2">
        <w:rPr>
          <w:rFonts w:asciiTheme="majorHAnsi" w:eastAsia="Calibri" w:hAnsiTheme="majorHAnsi" w:cstheme="majorHAnsi"/>
          <w:b/>
          <w:kern w:val="0"/>
          <w:sz w:val="24"/>
          <w:szCs w:val="24"/>
          <w:u w:val="single"/>
          <w14:ligatures w14:val="none"/>
        </w:rPr>
        <w:t>, VERSION 1</w:t>
      </w:r>
    </w:p>
    <w:p w14:paraId="0456E975" w14:textId="41235A2B" w:rsidR="00D565C2" w:rsidRPr="00D565C2" w:rsidRDefault="00D565C2" w:rsidP="0073496A">
      <w:pPr>
        <w:spacing w:after="0" w:line="480" w:lineRule="auto"/>
        <w:rPr>
          <w:rFonts w:asciiTheme="majorHAnsi" w:eastAsia="Calibri" w:hAnsiTheme="majorHAnsi" w:cstheme="majorHAnsi"/>
          <w:kern w:val="0"/>
          <w:sz w:val="24"/>
          <w:szCs w:val="24"/>
          <w14:ligatures w14:val="none"/>
        </w:rPr>
      </w:pPr>
      <w:r w:rsidRPr="007C7648">
        <w:rPr>
          <w:rFonts w:asciiTheme="majorHAnsi" w:eastAsia="Calibri" w:hAnsiTheme="majorHAnsi" w:cstheme="majorHAnsi"/>
          <w:kern w:val="0"/>
          <w:sz w:val="24"/>
          <w:szCs w:val="24"/>
          <w14:ligatures w14:val="none"/>
        </w:rPr>
        <w:t xml:space="preserve">On page </w:t>
      </w:r>
      <w:r w:rsidR="00E17F48">
        <w:rPr>
          <w:rFonts w:asciiTheme="majorHAnsi" w:eastAsia="Calibri" w:hAnsiTheme="majorHAnsi" w:cstheme="majorHAnsi"/>
          <w:kern w:val="0"/>
          <w:sz w:val="24"/>
          <w:szCs w:val="24"/>
          <w14:ligatures w14:val="none"/>
        </w:rPr>
        <w:t>12</w:t>
      </w:r>
      <w:r w:rsidRPr="007C7648">
        <w:rPr>
          <w:rFonts w:asciiTheme="majorHAnsi" w:eastAsia="Calibri" w:hAnsiTheme="majorHAnsi" w:cstheme="majorHAnsi"/>
          <w:kern w:val="0"/>
          <w:sz w:val="24"/>
          <w:szCs w:val="24"/>
          <w14:ligatures w14:val="none"/>
        </w:rPr>
        <w:t xml:space="preserve">, beginning on line </w:t>
      </w:r>
      <w:r w:rsidR="00E17F48">
        <w:rPr>
          <w:rFonts w:asciiTheme="majorHAnsi" w:eastAsia="Calibri" w:hAnsiTheme="majorHAnsi" w:cstheme="majorHAnsi"/>
          <w:kern w:val="0"/>
          <w:sz w:val="24"/>
          <w:szCs w:val="24"/>
          <w14:ligatures w14:val="none"/>
        </w:rPr>
        <w:t>261</w:t>
      </w:r>
      <w:r w:rsidRPr="007C7648">
        <w:rPr>
          <w:rFonts w:asciiTheme="majorHAnsi" w:eastAsia="Calibri" w:hAnsiTheme="majorHAnsi" w:cstheme="majorHAnsi"/>
          <w:kern w:val="0"/>
          <w:sz w:val="24"/>
          <w:szCs w:val="24"/>
          <w14:ligatures w14:val="none"/>
        </w:rPr>
        <w:t xml:space="preserve">, strike everything through </w:t>
      </w:r>
      <w:r w:rsidRPr="00D85B51">
        <w:rPr>
          <w:rFonts w:asciiTheme="majorHAnsi" w:eastAsia="Calibri" w:hAnsiTheme="majorHAnsi" w:cstheme="majorHAnsi"/>
          <w:kern w:val="0"/>
          <w:sz w:val="24"/>
          <w:szCs w:val="24"/>
          <w14:ligatures w14:val="none"/>
        </w:rPr>
        <w:t xml:space="preserve">page </w:t>
      </w:r>
      <w:r w:rsidR="00065D2A">
        <w:rPr>
          <w:rFonts w:asciiTheme="majorHAnsi" w:eastAsia="Calibri" w:hAnsiTheme="majorHAnsi" w:cstheme="majorHAnsi"/>
          <w:kern w:val="0"/>
          <w:sz w:val="24"/>
          <w:szCs w:val="24"/>
          <w14:ligatures w14:val="none"/>
        </w:rPr>
        <w:t>350</w:t>
      </w:r>
      <w:r w:rsidRPr="00D85B51">
        <w:rPr>
          <w:rFonts w:asciiTheme="majorHAnsi" w:eastAsia="Calibri" w:hAnsiTheme="majorHAnsi" w:cstheme="majorHAnsi"/>
          <w:kern w:val="0"/>
          <w:sz w:val="24"/>
          <w:szCs w:val="24"/>
          <w14:ligatures w14:val="none"/>
        </w:rPr>
        <w:t xml:space="preserve">, line </w:t>
      </w:r>
      <w:r w:rsidR="00065D2A">
        <w:rPr>
          <w:rFonts w:asciiTheme="majorHAnsi" w:eastAsia="Calibri" w:hAnsiTheme="majorHAnsi" w:cstheme="majorHAnsi"/>
          <w:kern w:val="0"/>
          <w:sz w:val="24"/>
          <w:szCs w:val="24"/>
          <w14:ligatures w14:val="none"/>
        </w:rPr>
        <w:t>6421</w:t>
      </w:r>
      <w:r w:rsidRPr="00D85B51">
        <w:rPr>
          <w:rFonts w:asciiTheme="majorHAnsi" w:eastAsia="Calibri" w:hAnsiTheme="majorHAnsi" w:cstheme="majorHAnsi"/>
          <w:kern w:val="0"/>
          <w:sz w:val="24"/>
          <w:szCs w:val="24"/>
          <w14:ligatures w14:val="none"/>
        </w:rPr>
        <w:t>, and insert:</w:t>
      </w:r>
    </w:p>
    <w:p w14:paraId="0DAAE381" w14:textId="12DF1613" w:rsidR="00715AE3" w:rsidRDefault="00D565C2" w:rsidP="00BD15DC">
      <w:pPr>
        <w:tabs>
          <w:tab w:val="left" w:pos="720"/>
        </w:tabs>
        <w:spacing w:after="0" w:line="480" w:lineRule="auto"/>
        <w:ind w:left="720" w:right="720"/>
        <w:rPr>
          <w:rFonts w:asciiTheme="majorHAnsi" w:eastAsia="Calibri" w:hAnsiTheme="majorHAnsi" w:cstheme="majorHAnsi"/>
          <w:kern w:val="0"/>
          <w:sz w:val="24"/>
          <w:szCs w:val="24"/>
          <w14:ligatures w14:val="none"/>
        </w:rPr>
      </w:pPr>
      <w:r w:rsidRPr="00D565C2">
        <w:rPr>
          <w:rFonts w:asciiTheme="majorHAnsi" w:eastAsia="Calibri" w:hAnsiTheme="majorHAnsi" w:cstheme="majorHAnsi"/>
          <w:kern w:val="0"/>
          <w:sz w:val="24"/>
          <w:szCs w:val="24"/>
          <w14:ligatures w14:val="none"/>
        </w:rPr>
        <w:t>"</w:t>
      </w:r>
      <w:r w:rsidR="00715AE3">
        <w:rPr>
          <w:rFonts w:asciiTheme="majorHAnsi" w:eastAsia="Calibri" w:hAnsiTheme="majorHAnsi" w:cstheme="majorHAnsi"/>
          <w:kern w:val="0"/>
          <w:sz w:val="24"/>
          <w:szCs w:val="24"/>
          <w14:ligatures w14:val="none"/>
        </w:rPr>
        <w:t>STATEMENT OF FACTS:</w:t>
      </w:r>
    </w:p>
    <w:p w14:paraId="7B4143A5" w14:textId="135E7F71" w:rsidR="00715AE3" w:rsidRDefault="00715AE3" w:rsidP="00BD15DC">
      <w:pPr>
        <w:tabs>
          <w:tab w:val="left" w:pos="720"/>
        </w:tabs>
        <w:spacing w:after="0" w:line="480" w:lineRule="auto"/>
        <w:ind w:left="720" w:right="720"/>
        <w:rPr>
          <w:rFonts w:asciiTheme="majorHAnsi" w:eastAsia="Calibri" w:hAnsiTheme="majorHAnsi" w:cstheme="majorHAnsi"/>
          <w:kern w:val="0"/>
          <w:sz w:val="24"/>
          <w:szCs w:val="24"/>
          <w14:ligatures w14:val="none"/>
        </w:rPr>
      </w:pPr>
      <w:r>
        <w:rPr>
          <w:rFonts w:asciiTheme="majorHAnsi" w:eastAsia="Calibri" w:hAnsiTheme="majorHAnsi" w:cstheme="majorHAnsi"/>
          <w:kern w:val="0"/>
          <w:sz w:val="24"/>
          <w:szCs w:val="24"/>
          <w14:ligatures w14:val="none"/>
        </w:rPr>
        <w:t xml:space="preserve">1.  </w:t>
      </w:r>
      <w:r w:rsidR="0082262C" w:rsidRPr="0082262C">
        <w:rPr>
          <w:rFonts w:asciiTheme="majorHAnsi" w:eastAsia="Calibri" w:hAnsiTheme="majorHAnsi" w:cstheme="majorHAnsi"/>
          <w:kern w:val="0"/>
          <w:sz w:val="24"/>
          <w:szCs w:val="24"/>
          <w14:ligatures w14:val="none"/>
        </w:rPr>
        <w:t>There is a growing gap between energy demand and energy generation capacity</w:t>
      </w:r>
      <w:r w:rsidR="00DC51C7" w:rsidRPr="0082262C">
        <w:rPr>
          <w:rFonts w:asciiTheme="majorHAnsi" w:eastAsia="Calibri" w:hAnsiTheme="majorHAnsi" w:cstheme="majorHAnsi"/>
          <w:kern w:val="0"/>
          <w:sz w:val="24"/>
          <w:szCs w:val="24"/>
          <w14:ligatures w14:val="none"/>
        </w:rPr>
        <w:t xml:space="preserve"> in W</w:t>
      </w:r>
      <w:r w:rsidR="00DC51C7">
        <w:rPr>
          <w:rFonts w:asciiTheme="majorHAnsi" w:eastAsia="Calibri" w:hAnsiTheme="majorHAnsi" w:cstheme="majorHAnsi"/>
          <w:kern w:val="0"/>
          <w:sz w:val="24"/>
          <w:szCs w:val="24"/>
          <w14:ligatures w14:val="none"/>
        </w:rPr>
        <w:t>ashington s</w:t>
      </w:r>
      <w:r w:rsidR="00DC51C7" w:rsidRPr="0082262C">
        <w:rPr>
          <w:rFonts w:asciiTheme="majorHAnsi" w:eastAsia="Calibri" w:hAnsiTheme="majorHAnsi" w:cstheme="majorHAnsi"/>
          <w:kern w:val="0"/>
          <w:sz w:val="24"/>
          <w:szCs w:val="24"/>
          <w14:ligatures w14:val="none"/>
        </w:rPr>
        <w:t>tate</w:t>
      </w:r>
      <w:r w:rsidR="0082262C" w:rsidRPr="0082262C">
        <w:rPr>
          <w:rFonts w:asciiTheme="majorHAnsi" w:eastAsia="Calibri" w:hAnsiTheme="majorHAnsi" w:cstheme="majorHAnsi"/>
          <w:kern w:val="0"/>
          <w:sz w:val="24"/>
          <w:szCs w:val="24"/>
          <w14:ligatures w14:val="none"/>
        </w:rPr>
        <w:t>, with the resource gap projected to grow to</w:t>
      </w:r>
      <w:r w:rsidR="00DC51C7">
        <w:rPr>
          <w:rFonts w:asciiTheme="majorHAnsi" w:eastAsia="Calibri" w:hAnsiTheme="majorHAnsi" w:cstheme="majorHAnsi"/>
          <w:kern w:val="0"/>
          <w:sz w:val="24"/>
          <w:szCs w:val="24"/>
          <w14:ligatures w14:val="none"/>
        </w:rPr>
        <w:t xml:space="preserve"> nine</w:t>
      </w:r>
      <w:r w:rsidR="0082262C" w:rsidRPr="0082262C">
        <w:rPr>
          <w:rFonts w:asciiTheme="majorHAnsi" w:eastAsia="Calibri" w:hAnsiTheme="majorHAnsi" w:cstheme="majorHAnsi"/>
          <w:kern w:val="0"/>
          <w:sz w:val="24"/>
          <w:szCs w:val="24"/>
          <w14:ligatures w14:val="none"/>
        </w:rPr>
        <w:t xml:space="preserve"> gigawatts by 2030. </w:t>
      </w:r>
      <w:r w:rsidR="00DC51C7">
        <w:rPr>
          <w:rFonts w:asciiTheme="majorHAnsi" w:eastAsia="Calibri" w:hAnsiTheme="majorHAnsi" w:cstheme="majorHAnsi"/>
          <w:kern w:val="0"/>
          <w:sz w:val="24"/>
          <w:szCs w:val="24"/>
          <w14:ligatures w14:val="none"/>
        </w:rPr>
        <w:t xml:space="preserve"> </w:t>
      </w:r>
      <w:r w:rsidR="00CB56AC">
        <w:rPr>
          <w:rFonts w:asciiTheme="majorHAnsi" w:eastAsia="Calibri" w:hAnsiTheme="majorHAnsi" w:cstheme="majorHAnsi"/>
          <w:kern w:val="0"/>
          <w:sz w:val="24"/>
          <w:szCs w:val="24"/>
          <w14:ligatures w14:val="none"/>
        </w:rPr>
        <w:t>Electricity demand has in</w:t>
      </w:r>
      <w:r w:rsidR="0082262C" w:rsidRPr="0082262C">
        <w:rPr>
          <w:rFonts w:asciiTheme="majorHAnsi" w:eastAsia="Calibri" w:hAnsiTheme="majorHAnsi" w:cstheme="majorHAnsi"/>
          <w:kern w:val="0"/>
          <w:sz w:val="24"/>
          <w:szCs w:val="24"/>
          <w14:ligatures w14:val="none"/>
        </w:rPr>
        <w:t>creased as a result of population growth and new building constructio</w:t>
      </w:r>
      <w:r w:rsidR="000D4AF9">
        <w:rPr>
          <w:rFonts w:asciiTheme="majorHAnsi" w:eastAsia="Calibri" w:hAnsiTheme="majorHAnsi" w:cstheme="majorHAnsi"/>
          <w:kern w:val="0"/>
          <w:sz w:val="24"/>
          <w:szCs w:val="24"/>
          <w14:ligatures w14:val="none"/>
        </w:rPr>
        <w:t>n</w:t>
      </w:r>
      <w:r w:rsidR="00CB56AC">
        <w:rPr>
          <w:rFonts w:asciiTheme="majorHAnsi" w:eastAsia="Calibri" w:hAnsiTheme="majorHAnsi" w:cstheme="majorHAnsi"/>
          <w:kern w:val="0"/>
          <w:sz w:val="24"/>
          <w:szCs w:val="24"/>
          <w14:ligatures w14:val="none"/>
        </w:rPr>
        <w:t>, and t</w:t>
      </w:r>
      <w:r w:rsidR="009B3A8A">
        <w:rPr>
          <w:rFonts w:asciiTheme="majorHAnsi" w:eastAsia="Calibri" w:hAnsiTheme="majorHAnsi" w:cstheme="majorHAnsi"/>
          <w:kern w:val="0"/>
          <w:sz w:val="24"/>
          <w:szCs w:val="24"/>
          <w14:ligatures w14:val="none"/>
        </w:rPr>
        <w:t xml:space="preserve">he continued shift from fossil fuels to electricity, as well as the increased </w:t>
      </w:r>
      <w:r w:rsidR="00CB56AC">
        <w:rPr>
          <w:rFonts w:asciiTheme="majorHAnsi" w:eastAsia="Calibri" w:hAnsiTheme="majorHAnsi" w:cstheme="majorHAnsi"/>
          <w:kern w:val="0"/>
          <w:sz w:val="24"/>
          <w:szCs w:val="24"/>
          <w14:ligatures w14:val="none"/>
        </w:rPr>
        <w:t>frequency and severity of extreme weather events, are expected to further strain electricity resources.</w:t>
      </w:r>
    </w:p>
    <w:p w14:paraId="2B1D1F79" w14:textId="2B4BCFCB" w:rsidR="005F6C0A" w:rsidRDefault="0004366C" w:rsidP="00BD15DC">
      <w:pPr>
        <w:tabs>
          <w:tab w:val="left" w:pos="720"/>
        </w:tabs>
        <w:spacing w:after="0" w:line="480" w:lineRule="auto"/>
        <w:ind w:left="720" w:right="720"/>
        <w:rPr>
          <w:rFonts w:asciiTheme="majorHAnsi" w:eastAsia="Calibri" w:hAnsiTheme="majorHAnsi" w:cstheme="majorHAnsi"/>
          <w:kern w:val="0"/>
          <w:sz w:val="24"/>
          <w:szCs w:val="24"/>
          <w14:ligatures w14:val="none"/>
        </w:rPr>
      </w:pPr>
      <w:r>
        <w:rPr>
          <w:rFonts w:asciiTheme="majorHAnsi" w:eastAsia="Calibri" w:hAnsiTheme="majorHAnsi" w:cstheme="majorHAnsi"/>
          <w:kern w:val="0"/>
          <w:sz w:val="24"/>
          <w:szCs w:val="24"/>
          <w14:ligatures w14:val="none"/>
        </w:rPr>
        <w:t xml:space="preserve">2.  </w:t>
      </w:r>
      <w:r w:rsidRPr="0082262C">
        <w:rPr>
          <w:rFonts w:asciiTheme="majorHAnsi" w:eastAsia="Calibri" w:hAnsiTheme="majorHAnsi" w:cstheme="majorHAnsi"/>
          <w:kern w:val="0"/>
          <w:sz w:val="24"/>
          <w:szCs w:val="24"/>
          <w14:ligatures w14:val="none"/>
        </w:rPr>
        <w:t>Increasing energy efficiency</w:t>
      </w:r>
      <w:r>
        <w:rPr>
          <w:rFonts w:asciiTheme="majorHAnsi" w:eastAsia="Calibri" w:hAnsiTheme="majorHAnsi" w:cstheme="majorHAnsi"/>
          <w:kern w:val="0"/>
          <w:sz w:val="24"/>
          <w:szCs w:val="24"/>
          <w14:ligatures w14:val="none"/>
        </w:rPr>
        <w:t xml:space="preserve"> and on-site renewable energy</w:t>
      </w:r>
      <w:r w:rsidRPr="0082262C">
        <w:rPr>
          <w:rFonts w:asciiTheme="majorHAnsi" w:eastAsia="Calibri" w:hAnsiTheme="majorHAnsi" w:cstheme="majorHAnsi"/>
          <w:kern w:val="0"/>
          <w:sz w:val="24"/>
          <w:szCs w:val="24"/>
          <w14:ligatures w14:val="none"/>
        </w:rPr>
        <w:t xml:space="preserve"> in multi</w:t>
      </w:r>
      <w:r>
        <w:rPr>
          <w:rFonts w:asciiTheme="majorHAnsi" w:eastAsia="Calibri" w:hAnsiTheme="majorHAnsi" w:cstheme="majorHAnsi"/>
          <w:kern w:val="0"/>
          <w:sz w:val="24"/>
          <w:szCs w:val="24"/>
          <w14:ligatures w14:val="none"/>
        </w:rPr>
        <w:t>f</w:t>
      </w:r>
      <w:r w:rsidRPr="0082262C">
        <w:rPr>
          <w:rFonts w:asciiTheme="majorHAnsi" w:eastAsia="Calibri" w:hAnsiTheme="majorHAnsi" w:cstheme="majorHAnsi"/>
          <w:kern w:val="0"/>
          <w:sz w:val="24"/>
          <w:szCs w:val="24"/>
          <w14:ligatures w14:val="none"/>
        </w:rPr>
        <w:t>amily and commercial buildings plays an important role in reducing the load on the region's power grid</w:t>
      </w:r>
      <w:r w:rsidR="00130734">
        <w:rPr>
          <w:rFonts w:asciiTheme="majorHAnsi" w:eastAsia="Calibri" w:hAnsiTheme="majorHAnsi" w:cstheme="majorHAnsi"/>
          <w:kern w:val="0"/>
          <w:sz w:val="24"/>
          <w:szCs w:val="24"/>
          <w14:ligatures w14:val="none"/>
        </w:rPr>
        <w:t xml:space="preserve">.  </w:t>
      </w:r>
      <w:r w:rsidR="00630806">
        <w:rPr>
          <w:rFonts w:asciiTheme="majorHAnsi" w:eastAsia="Calibri" w:hAnsiTheme="majorHAnsi" w:cstheme="majorHAnsi"/>
          <w:kern w:val="0"/>
          <w:sz w:val="24"/>
          <w:szCs w:val="24"/>
          <w14:ligatures w14:val="none"/>
        </w:rPr>
        <w:t xml:space="preserve">It also reduces greenhouse gas emissions from buildings, which </w:t>
      </w:r>
      <w:r w:rsidR="00BB448F">
        <w:rPr>
          <w:rFonts w:asciiTheme="majorHAnsi" w:eastAsia="Calibri" w:hAnsiTheme="majorHAnsi" w:cstheme="majorHAnsi"/>
          <w:kern w:val="0"/>
          <w:sz w:val="24"/>
          <w:szCs w:val="24"/>
          <w14:ligatures w14:val="none"/>
        </w:rPr>
        <w:t>accounted for forty-one percent of countywide emissions in 2023.</w:t>
      </w:r>
    </w:p>
    <w:p w14:paraId="28213AF9" w14:textId="1E1D2478" w:rsidR="00C87155" w:rsidRDefault="00020ABA" w:rsidP="00BD15DC">
      <w:pPr>
        <w:tabs>
          <w:tab w:val="left" w:pos="720"/>
        </w:tabs>
        <w:spacing w:after="0" w:line="480" w:lineRule="auto"/>
        <w:ind w:left="720" w:right="720"/>
        <w:rPr>
          <w:rFonts w:asciiTheme="majorHAnsi" w:eastAsia="Calibri" w:hAnsiTheme="majorHAnsi" w:cstheme="majorHAnsi"/>
          <w:kern w:val="0"/>
          <w:sz w:val="24"/>
          <w:szCs w:val="24"/>
          <w14:ligatures w14:val="none"/>
        </w:rPr>
      </w:pPr>
      <w:r w:rsidRPr="00020ABA">
        <w:rPr>
          <w:rFonts w:asciiTheme="majorHAnsi" w:eastAsia="Calibri" w:hAnsiTheme="majorHAnsi" w:cstheme="majorHAnsi"/>
          <w:kern w:val="0"/>
          <w:sz w:val="24"/>
          <w:szCs w:val="24"/>
          <w14:ligatures w14:val="none"/>
        </w:rPr>
        <w:lastRenderedPageBreak/>
        <w:t xml:space="preserve">3.  This update to the </w:t>
      </w:r>
      <w:r w:rsidR="000710A9">
        <w:rPr>
          <w:rFonts w:asciiTheme="majorHAnsi" w:eastAsia="Calibri" w:hAnsiTheme="majorHAnsi" w:cstheme="majorHAnsi"/>
          <w:kern w:val="0"/>
          <w:sz w:val="24"/>
          <w:szCs w:val="24"/>
          <w14:ligatures w14:val="none"/>
        </w:rPr>
        <w:t>c</w:t>
      </w:r>
      <w:r w:rsidRPr="00020ABA">
        <w:rPr>
          <w:rFonts w:asciiTheme="majorHAnsi" w:eastAsia="Calibri" w:hAnsiTheme="majorHAnsi" w:cstheme="majorHAnsi"/>
          <w:kern w:val="0"/>
          <w:sz w:val="24"/>
          <w:szCs w:val="24"/>
          <w14:ligatures w14:val="none"/>
        </w:rPr>
        <w:t xml:space="preserve">ounty's building and energy codes is an important part of the </w:t>
      </w:r>
      <w:r w:rsidR="00F42AEF">
        <w:rPr>
          <w:rFonts w:asciiTheme="majorHAnsi" w:eastAsia="Calibri" w:hAnsiTheme="majorHAnsi" w:cstheme="majorHAnsi"/>
          <w:kern w:val="0"/>
          <w:sz w:val="24"/>
          <w:szCs w:val="24"/>
          <w14:ligatures w14:val="none"/>
        </w:rPr>
        <w:t>c</w:t>
      </w:r>
      <w:r w:rsidRPr="00020ABA">
        <w:rPr>
          <w:rFonts w:asciiTheme="majorHAnsi" w:eastAsia="Calibri" w:hAnsiTheme="majorHAnsi" w:cstheme="majorHAnsi"/>
          <w:kern w:val="0"/>
          <w:sz w:val="24"/>
          <w:szCs w:val="24"/>
          <w14:ligatures w14:val="none"/>
        </w:rPr>
        <w:t>ounty's efforts to transition to clean energy and make progress on the county's planned actions in the 202</w:t>
      </w:r>
      <w:r w:rsidR="005173C4">
        <w:rPr>
          <w:rFonts w:asciiTheme="majorHAnsi" w:eastAsia="Calibri" w:hAnsiTheme="majorHAnsi" w:cstheme="majorHAnsi"/>
          <w:kern w:val="0"/>
          <w:sz w:val="24"/>
          <w:szCs w:val="24"/>
          <w14:ligatures w14:val="none"/>
        </w:rPr>
        <w:t>5</w:t>
      </w:r>
      <w:r w:rsidRPr="00020ABA">
        <w:rPr>
          <w:rFonts w:asciiTheme="majorHAnsi" w:eastAsia="Calibri" w:hAnsiTheme="majorHAnsi" w:cstheme="majorHAnsi"/>
          <w:kern w:val="0"/>
          <w:sz w:val="24"/>
          <w:szCs w:val="24"/>
          <w14:ligatures w14:val="none"/>
        </w:rPr>
        <w:t xml:space="preserve"> Strategic Climate Action Plan</w:t>
      </w:r>
      <w:r w:rsidR="00F42AEF">
        <w:rPr>
          <w:rFonts w:asciiTheme="majorHAnsi" w:eastAsia="Calibri" w:hAnsiTheme="majorHAnsi" w:cstheme="majorHAnsi"/>
          <w:kern w:val="0"/>
          <w:sz w:val="24"/>
          <w:szCs w:val="24"/>
          <w14:ligatures w14:val="none"/>
        </w:rPr>
        <w:t>'</w:t>
      </w:r>
      <w:r w:rsidRPr="00020ABA">
        <w:rPr>
          <w:rFonts w:asciiTheme="majorHAnsi" w:eastAsia="Calibri" w:hAnsiTheme="majorHAnsi" w:cstheme="majorHAnsi"/>
          <w:kern w:val="0"/>
          <w:sz w:val="24"/>
          <w:szCs w:val="24"/>
          <w14:ligatures w14:val="none"/>
        </w:rPr>
        <w:t>s Building Energy and Green Building chapter.</w:t>
      </w:r>
      <w:r w:rsidR="00715AE3">
        <w:rPr>
          <w:rFonts w:asciiTheme="majorHAnsi" w:eastAsia="Calibri" w:hAnsiTheme="majorHAnsi" w:cstheme="majorHAnsi"/>
          <w:kern w:val="0"/>
          <w:sz w:val="24"/>
          <w:szCs w:val="24"/>
          <w14:ligatures w14:val="none"/>
        </w:rPr>
        <w:tab/>
      </w:r>
    </w:p>
    <w:p w14:paraId="04102286" w14:textId="2FF16E27" w:rsidR="006B4A66" w:rsidRPr="006B4A66" w:rsidRDefault="00C87155" w:rsidP="0073496A">
      <w:pPr>
        <w:tabs>
          <w:tab w:val="left" w:pos="720"/>
        </w:tabs>
        <w:spacing w:after="0" w:line="480" w:lineRule="auto"/>
        <w:rPr>
          <w:rFonts w:ascii="Times New Roman" w:eastAsia="Calibri" w:hAnsi="Times New Roman" w:cs="Times New Roman"/>
          <w:color w:val="000000"/>
          <w:kern w:val="0"/>
          <w:sz w:val="24"/>
          <w14:ligatures w14:val="none"/>
        </w:rPr>
      </w:pPr>
      <w:r>
        <w:rPr>
          <w:rFonts w:asciiTheme="majorHAnsi" w:eastAsia="Calibri" w:hAnsiTheme="majorHAnsi" w:cstheme="majorHAnsi"/>
          <w:kern w:val="0"/>
          <w:sz w:val="24"/>
          <w:szCs w:val="24"/>
          <w14:ligatures w14:val="none"/>
        </w:rPr>
        <w:tab/>
      </w:r>
      <w:r w:rsidR="006B4A66" w:rsidRPr="006B4A66">
        <w:rPr>
          <w:rFonts w:ascii="Times New Roman" w:eastAsia="Calibri" w:hAnsi="Times New Roman" w:cs="Times New Roman"/>
          <w:color w:val="000000"/>
          <w:kern w:val="0"/>
          <w:sz w:val="24"/>
          <w14:ligatures w14:val="none"/>
        </w:rPr>
        <w:t>BE IT ORDAINED BY THE COUNCIL OF KING COUNTY:</w:t>
      </w:r>
    </w:p>
    <w:p w14:paraId="7A092C7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1.</w:t>
      </w:r>
      <w:r w:rsidRPr="006B4A66">
        <w:rPr>
          <w:rFonts w:ascii="Times New Roman" w:eastAsia="Calibri" w:hAnsi="Times New Roman" w:cs="Times New Roman"/>
          <w:color w:val="000000"/>
          <w:kern w:val="0"/>
          <w:sz w:val="24"/>
          <w14:ligatures w14:val="none"/>
        </w:rPr>
        <w:t xml:space="preserve">  Ordinance 14111, Section 4, as amended, and K.C.C. 16.02.110 are hereby amended to read as follows:</w:t>
      </w:r>
    </w:p>
    <w:p w14:paraId="4CFCD85B" w14:textId="28C0227C"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A.  The following codes </w:t>
      </w:r>
      <w:r w:rsidR="0030332F">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published by or jointly with the International Code Council, Inc., together with amendments, additions, exceptions</w:t>
      </w:r>
      <w:r w:rsidRPr="001216D4">
        <w:rPr>
          <w:rFonts w:ascii="Times New Roman" w:eastAsia="Calibri" w:hAnsi="Times New Roman" w:cs="Times New Roman"/>
          <w:strike/>
          <w:color w:val="000000"/>
          <w:kern w:val="0"/>
          <w:sz w:val="24"/>
          <w:u w:val="single"/>
          <w14:ligatures w14:val="none"/>
        </w:rPr>
        <w:t>,</w:t>
      </w:r>
      <w:r w:rsidRPr="001216D4">
        <w:rPr>
          <w:rFonts w:ascii="Times New Roman" w:eastAsia="Calibri" w:hAnsi="Times New Roman" w:cs="Times New Roman"/>
          <w:strike/>
          <w:color w:val="000000"/>
          <w:kern w:val="0"/>
          <w:sz w:val="24"/>
          <w14:ligatures w14:val="none"/>
        </w:rPr>
        <w:t xml:space="preserve"> and deletions adopted in this title by reference, together with the State Building Code Act,</w:t>
      </w:r>
      <w:r w:rsidR="003D1A5E">
        <w:rPr>
          <w:rFonts w:ascii="Times New Roman" w:eastAsia="Calibri" w:hAnsi="Times New Roman" w:cs="Times New Roman"/>
          <w:color w:val="000000"/>
          <w:kern w:val="0"/>
          <w:sz w:val="24"/>
          <w14:ligatures w14:val="none"/>
        </w:rPr>
        <w:t>))</w:t>
      </w:r>
      <w:r w:rsidRPr="003D1A5E">
        <w:rPr>
          <w:rFonts w:ascii="Times New Roman" w:eastAsia="Calibri" w:hAnsi="Times New Roman" w:cs="Times New Roman"/>
          <w:color w:val="000000"/>
          <w:kern w:val="0"/>
          <w:sz w:val="24"/>
          <w14:ligatures w14:val="none"/>
        </w:rPr>
        <w:t xml:space="preserve"> </w:t>
      </w:r>
      <w:r w:rsidR="003D1A5E">
        <w:rPr>
          <w:rFonts w:ascii="Times New Roman" w:eastAsia="Calibri" w:hAnsi="Times New Roman" w:cs="Times New Roman"/>
          <w:color w:val="000000"/>
          <w:kern w:val="0"/>
          <w:sz w:val="24"/>
          <w:u w:val="single"/>
          <w14:ligatures w14:val="none"/>
        </w:rPr>
        <w:t xml:space="preserve">as adopted and amended by the state building code council in accordance with </w:t>
      </w:r>
      <w:r w:rsidRPr="003D1A5E">
        <w:rPr>
          <w:rFonts w:ascii="Times New Roman" w:eastAsia="Calibri" w:hAnsi="Times New Roman" w:cs="Times New Roman"/>
          <w:color w:val="000000"/>
          <w:kern w:val="0"/>
          <w:sz w:val="24"/>
          <w14:ligatures w14:val="none"/>
        </w:rPr>
        <w:t>chapter 19.27 RCW,</w:t>
      </w:r>
      <w:r w:rsidRPr="00BD2B09">
        <w:rPr>
          <w:rFonts w:ascii="Times New Roman" w:eastAsia="Calibri" w:hAnsi="Times New Roman" w:cs="Times New Roman"/>
          <w:color w:val="000000"/>
          <w:kern w:val="0"/>
          <w:sz w:val="24"/>
          <w14:ligatures w14:val="none"/>
        </w:rPr>
        <w:t xml:space="preserve"> </w:t>
      </w:r>
      <w:r w:rsidR="002D715E">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which are referred to in this title as "the International codes"</w:t>
      </w:r>
      <w:r w:rsidR="00536751">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and </w:t>
      </w:r>
      <w:r w:rsidR="00AF0BA6">
        <w:rPr>
          <w:rFonts w:ascii="Times New Roman" w:eastAsia="Calibri" w:hAnsi="Times New Roman" w:cs="Times New Roman"/>
          <w:color w:val="000000"/>
          <w:kern w:val="0"/>
          <w:sz w:val="24"/>
          <w:u w:val="single"/>
          <w14:ligatures w14:val="none"/>
        </w:rPr>
        <w:t>together</w:t>
      </w:r>
      <w:r w:rsidR="00AF0BA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14:ligatures w14:val="none"/>
        </w:rPr>
        <w:t>with King County</w:t>
      </w:r>
      <w:r w:rsidR="005276E6">
        <w:rPr>
          <w:rFonts w:ascii="Times New Roman" w:eastAsia="Calibri" w:hAnsi="Times New Roman" w:cs="Times New Roman"/>
          <w:color w:val="000000"/>
          <w:kern w:val="0"/>
          <w:sz w:val="24"/>
          <w14:ligatures w14:val="none"/>
        </w:rPr>
        <w:t xml:space="preserve"> </w:t>
      </w:r>
      <w:r w:rsidR="005276E6">
        <w:rPr>
          <w:rFonts w:ascii="Times New Roman" w:eastAsia="Calibri" w:hAnsi="Times New Roman" w:cs="Times New Roman"/>
          <w:color w:val="000000"/>
          <w:kern w:val="0"/>
          <w:sz w:val="24"/>
          <w:u w:val="single"/>
          <w14:ligatures w14:val="none"/>
        </w:rPr>
        <w:t>additions, exceptions, deletions, and</w:t>
      </w:r>
      <w:r w:rsidRPr="006B4A66">
        <w:rPr>
          <w:rFonts w:ascii="Times New Roman" w:eastAsia="Calibri" w:hAnsi="Times New Roman" w:cs="Times New Roman"/>
          <w:color w:val="000000"/>
          <w:kern w:val="0"/>
          <w:sz w:val="24"/>
          <w14:ligatures w14:val="none"/>
        </w:rPr>
        <w:t xml:space="preserve"> modifications </w:t>
      </w:r>
      <w:r w:rsidR="00AF0BA6">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that are adopted and codified</w:t>
      </w:r>
      <w:r w:rsidR="00597C51">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in this </w:t>
      </w:r>
      <w:r w:rsidR="005B56BB">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chapter</w:t>
      </w:r>
      <w:r w:rsidR="005B56BB">
        <w:rPr>
          <w:rFonts w:ascii="Times New Roman" w:eastAsia="Calibri" w:hAnsi="Times New Roman" w:cs="Times New Roman"/>
          <w:color w:val="000000"/>
          <w:kern w:val="0"/>
          <w:sz w:val="24"/>
          <w14:ligatures w14:val="none"/>
        </w:rPr>
        <w:t xml:space="preserve">)) </w:t>
      </w:r>
      <w:r w:rsidR="005B56BB">
        <w:rPr>
          <w:rFonts w:ascii="Times New Roman" w:eastAsia="Calibri" w:hAnsi="Times New Roman" w:cs="Times New Roman"/>
          <w:color w:val="000000"/>
          <w:kern w:val="0"/>
          <w:sz w:val="24"/>
          <w:u w:val="single"/>
          <w14:ligatures w14:val="none"/>
        </w:rPr>
        <w:t>title</w:t>
      </w:r>
      <w:r w:rsidRPr="006B4A66">
        <w:rPr>
          <w:rFonts w:ascii="Times New Roman" w:eastAsia="Calibri" w:hAnsi="Times New Roman" w:cs="Times New Roman"/>
          <w:color w:val="000000"/>
          <w:kern w:val="0"/>
          <w:sz w:val="24"/>
          <w14:ligatures w14:val="none"/>
        </w:rPr>
        <w:t xml:space="preserve">, are adopted as the King County </w:t>
      </w:r>
      <w:r w:rsidR="006436A4">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b</w:t>
      </w:r>
      <w:r w:rsidR="006436A4">
        <w:rPr>
          <w:rFonts w:ascii="Times New Roman" w:eastAsia="Calibri" w:hAnsi="Times New Roman" w:cs="Times New Roman"/>
          <w:color w:val="000000"/>
          <w:kern w:val="0"/>
          <w:sz w:val="24"/>
          <w14:ligatures w14:val="none"/>
        </w:rPr>
        <w:t>))</w:t>
      </w:r>
      <w:r w:rsidR="006436A4">
        <w:rPr>
          <w:rFonts w:ascii="Times New Roman" w:eastAsia="Calibri" w:hAnsi="Times New Roman" w:cs="Times New Roman"/>
          <w:color w:val="000000"/>
          <w:kern w:val="0"/>
          <w:sz w:val="24"/>
          <w:u w:val="single"/>
          <w14:ligatures w14:val="none"/>
        </w:rPr>
        <w:t>B</w:t>
      </w:r>
      <w:r w:rsidRPr="006B4A66">
        <w:rPr>
          <w:rFonts w:ascii="Times New Roman" w:eastAsia="Calibri" w:hAnsi="Times New Roman" w:cs="Times New Roman"/>
          <w:color w:val="000000"/>
          <w:kern w:val="0"/>
          <w:sz w:val="24"/>
          <w14:ligatures w14:val="none"/>
        </w:rPr>
        <w:t xml:space="preserve">uilding </w:t>
      </w:r>
      <w:r w:rsidR="006436A4">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c</w:t>
      </w:r>
      <w:r w:rsidR="006436A4">
        <w:rPr>
          <w:rFonts w:ascii="Times New Roman" w:eastAsia="Calibri" w:hAnsi="Times New Roman" w:cs="Times New Roman"/>
          <w:color w:val="000000"/>
          <w:kern w:val="0"/>
          <w:sz w:val="24"/>
          <w14:ligatures w14:val="none"/>
        </w:rPr>
        <w:t>))</w:t>
      </w:r>
      <w:r w:rsidR="006436A4">
        <w:rPr>
          <w:rFonts w:ascii="Times New Roman" w:eastAsia="Calibri" w:hAnsi="Times New Roman" w:cs="Times New Roman"/>
          <w:color w:val="000000"/>
          <w:kern w:val="0"/>
          <w:sz w:val="24"/>
          <w:u w:val="single"/>
          <w14:ligatures w14:val="none"/>
        </w:rPr>
        <w:t>C</w:t>
      </w:r>
      <w:r w:rsidRPr="006B4A66">
        <w:rPr>
          <w:rFonts w:ascii="Times New Roman" w:eastAsia="Calibri" w:hAnsi="Times New Roman" w:cs="Times New Roman"/>
          <w:color w:val="000000"/>
          <w:kern w:val="0"/>
          <w:sz w:val="24"/>
          <w14:ligatures w14:val="none"/>
        </w:rPr>
        <w:t xml:space="preserve">odes and may be cited as such and are referred to in this </w:t>
      </w:r>
      <w:r w:rsidRPr="00BD2B09">
        <w:rPr>
          <w:rFonts w:ascii="Times New Roman" w:eastAsia="Calibri" w:hAnsi="Times New Roman" w:cs="Times New Roman"/>
          <w:color w:val="000000"/>
          <w:kern w:val="0"/>
          <w:sz w:val="24"/>
          <w14:ligatures w14:val="none"/>
        </w:rPr>
        <w:t>chapter</w:t>
      </w:r>
      <w:r w:rsidRPr="006B4A66">
        <w:rPr>
          <w:rFonts w:ascii="Times New Roman" w:eastAsia="Calibri" w:hAnsi="Times New Roman" w:cs="Times New Roman"/>
          <w:color w:val="000000"/>
          <w:kern w:val="0"/>
          <w:sz w:val="24"/>
          <w14:ligatures w14:val="none"/>
        </w:rPr>
        <w:t xml:space="preserve"> as "this code":</w:t>
      </w:r>
    </w:p>
    <w:p w14:paraId="1B04FB32" w14:textId="6B0906F3"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  The International Building Code</w:t>
      </w:r>
      <w:r w:rsidR="00035634">
        <w:rPr>
          <w:rFonts w:ascii="Times New Roman" w:eastAsia="Calibri" w:hAnsi="Times New Roman" w:cs="Times New Roman"/>
          <w:color w:val="000000"/>
          <w:kern w:val="0"/>
          <w:sz w:val="24"/>
          <w14:ligatures w14:val="none"/>
        </w:rPr>
        <w:t xml:space="preserve"> </w:t>
      </w:r>
      <w:r w:rsidR="00035634" w:rsidRPr="00035634">
        <w:rPr>
          <w:rFonts w:ascii="Times New Roman" w:eastAsia="Calibri" w:hAnsi="Times New Roman" w:cs="Times New Roman"/>
          <w:color w:val="000000"/>
          <w:kern w:val="0"/>
          <w:sz w:val="24"/>
          <w:u w:val="single"/>
          <w14:ligatures w14:val="none"/>
        </w:rPr>
        <w:t>("IBC")</w:t>
      </w:r>
      <w:r w:rsidRPr="006B4A66">
        <w:rPr>
          <w:rFonts w:ascii="Times New Roman" w:eastAsia="Calibri" w:hAnsi="Times New Roman" w:cs="Times New Roman"/>
          <w:color w:val="000000"/>
          <w:kern w:val="0"/>
          <w:sz w:val="24"/>
          <w14:ligatures w14:val="none"/>
        </w:rPr>
        <w:t>, ((</w:t>
      </w:r>
      <w:r w:rsidRPr="006B4A66">
        <w:rPr>
          <w:rFonts w:ascii="Times New Roman" w:eastAsia="Calibri" w:hAnsi="Times New Roman" w:cs="Times New Roman"/>
          <w:strike/>
          <w:color w:val="000000"/>
          <w:kern w:val="0"/>
          <w:sz w:val="24"/>
          <w14:ligatures w14:val="none"/>
        </w:rPr>
        <w:t>2018 Edition</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2021 edition</w:t>
      </w:r>
      <w:r w:rsidRPr="006B4A66">
        <w:rPr>
          <w:rFonts w:ascii="Times New Roman" w:eastAsia="Calibri" w:hAnsi="Times New Roman" w:cs="Times New Roman"/>
          <w:color w:val="000000"/>
          <w:kern w:val="0"/>
          <w:sz w:val="24"/>
          <w14:ligatures w14:val="none"/>
        </w:rPr>
        <w:t xml:space="preserve">, </w:t>
      </w:r>
      <w:r w:rsidR="00E0502D">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 xml:space="preserve">effective </w:t>
      </w:r>
      <w:r w:rsidRPr="00E0502D">
        <w:rPr>
          <w:rFonts w:ascii="Times New Roman" w:eastAsia="Calibri" w:hAnsi="Times New Roman" w:cs="Times New Roman"/>
          <w:strike/>
          <w:color w:val="000000"/>
          <w:kern w:val="0"/>
          <w:sz w:val="24"/>
          <w14:ligatures w14:val="none"/>
        </w:rPr>
        <w:t>February 1, 2021</w:t>
      </w:r>
      <w:r w:rsidRPr="001216D4">
        <w:rPr>
          <w:rFonts w:ascii="Times New Roman" w:eastAsia="Calibri" w:hAnsi="Times New Roman" w:cs="Times New Roman"/>
          <w:strike/>
          <w:color w:val="000000"/>
          <w:kern w:val="0"/>
          <w:sz w:val="24"/>
          <w14:ligatures w14:val="none"/>
        </w:rPr>
        <w:t>,</w:t>
      </w:r>
      <w:r w:rsidR="00E0502D">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together with ((</w:t>
      </w:r>
      <w:r w:rsidRPr="006B4A66">
        <w:rPr>
          <w:rFonts w:ascii="Times New Roman" w:eastAsia="Calibri" w:hAnsi="Times New Roman" w:cs="Times New Roman"/>
          <w:strike/>
          <w:color w:val="000000"/>
          <w:kern w:val="0"/>
          <w:sz w:val="24"/>
          <w14:ligatures w14:val="none"/>
        </w:rPr>
        <w:t>Appendix</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Appendices</w:t>
      </w:r>
      <w:r w:rsidRPr="006B4A66">
        <w:rPr>
          <w:rFonts w:ascii="Times New Roman" w:eastAsia="Calibri" w:hAnsi="Times New Roman" w:cs="Times New Roman"/>
          <w:color w:val="000000"/>
          <w:kern w:val="0"/>
          <w:sz w:val="24"/>
          <w14:ligatures w14:val="none"/>
        </w:rPr>
        <w:t xml:space="preserve"> C (Group U – Agricultural buildings), </w:t>
      </w:r>
      <w:r w:rsidRPr="006B4A66">
        <w:rPr>
          <w:rFonts w:ascii="Times New Roman" w:eastAsia="Calibri" w:hAnsi="Times New Roman" w:cs="Times New Roman"/>
          <w:color w:val="000000"/>
          <w:kern w:val="0"/>
          <w:sz w:val="24"/>
          <w:u w:val="single"/>
          <w14:ligatures w14:val="none"/>
        </w:rPr>
        <w:t xml:space="preserve">D (Fire Districts), </w:t>
      </w:r>
      <w:r w:rsidR="00B44296">
        <w:rPr>
          <w:rFonts w:ascii="Times New Roman" w:eastAsia="Calibri" w:hAnsi="Times New Roman" w:cs="Times New Roman"/>
          <w:color w:val="000000"/>
          <w:kern w:val="0"/>
          <w:sz w:val="24"/>
          <w:u w:val="single"/>
          <w14:ligatures w14:val="none"/>
        </w:rPr>
        <w:t xml:space="preserve">and </w:t>
      </w:r>
      <w:r w:rsidRPr="006B4A66">
        <w:rPr>
          <w:rFonts w:ascii="Times New Roman" w:eastAsia="Calibri" w:hAnsi="Times New Roman" w:cs="Times New Roman"/>
          <w:color w:val="000000"/>
          <w:kern w:val="0"/>
          <w:sz w:val="24"/>
          <w:u w:val="single"/>
          <w14:ligatures w14:val="none"/>
        </w:rPr>
        <w:t>E (Supplementary Accessibility Requirements),</w:t>
      </w:r>
      <w:r w:rsidRPr="006B4A66">
        <w:rPr>
          <w:rFonts w:ascii="Times New Roman" w:eastAsia="Calibri" w:hAnsi="Times New Roman" w:cs="Times New Roman"/>
          <w:color w:val="000000"/>
          <w:kern w:val="0"/>
          <w:sz w:val="24"/>
          <w14:ligatures w14:val="none"/>
        </w:rPr>
        <w:t xml:space="preserve"> </w:t>
      </w:r>
      <w:r w:rsidRPr="008B014F">
        <w:rPr>
          <w:rFonts w:ascii="Times New Roman" w:eastAsia="Calibri" w:hAnsi="Times New Roman" w:cs="Times New Roman"/>
          <w:color w:val="000000"/>
          <w:kern w:val="0"/>
          <w:sz w:val="24"/>
          <w14:ligatures w14:val="none"/>
        </w:rPr>
        <w:t xml:space="preserve">as </w:t>
      </w:r>
      <w:r w:rsidR="0088419E">
        <w:rPr>
          <w:rFonts w:ascii="Times New Roman" w:eastAsia="Calibri" w:hAnsi="Times New Roman" w:cs="Times New Roman"/>
          <w:color w:val="000000"/>
          <w:kern w:val="0"/>
          <w:sz w:val="24"/>
          <w:u w:val="single"/>
          <w14:ligatures w14:val="none"/>
        </w:rPr>
        <w:t>adopted and</w:t>
      </w:r>
      <w:r w:rsidR="0088419E">
        <w:rPr>
          <w:rFonts w:ascii="Times New Roman" w:eastAsia="Calibri" w:hAnsi="Times New Roman" w:cs="Times New Roman"/>
          <w:color w:val="000000"/>
          <w:kern w:val="0"/>
          <w:sz w:val="24"/>
          <w14:ligatures w14:val="none"/>
        </w:rPr>
        <w:t xml:space="preserve"> </w:t>
      </w:r>
      <w:r w:rsidRPr="008B014F">
        <w:rPr>
          <w:rFonts w:ascii="Times New Roman" w:eastAsia="Calibri" w:hAnsi="Times New Roman" w:cs="Times New Roman"/>
          <w:color w:val="000000"/>
          <w:kern w:val="0"/>
          <w:sz w:val="24"/>
          <w14:ligatures w14:val="none"/>
        </w:rPr>
        <w:t>amended in chapter 51-50 WAC,</w:t>
      </w:r>
      <w:r w:rsidRPr="006B4A66">
        <w:rPr>
          <w:rFonts w:ascii="Times New Roman" w:eastAsia="Calibri" w:hAnsi="Times New Roman" w:cs="Times New Roman"/>
          <w:color w:val="000000"/>
          <w:kern w:val="0"/>
          <w:sz w:val="24"/>
          <w14:ligatures w14:val="none"/>
        </w:rPr>
        <w:t xml:space="preserve"> and Appendix Z (Seattle-Tacoma sound reduction standards)</w:t>
      </w:r>
      <w:r w:rsidR="00E42FA8">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 as adopted by this title, and referred to in this title as "the International Building Code" or, when used in a citation, "IBC"</w:t>
      </w:r>
      <w:r w:rsidR="00035634">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14:ligatures w14:val="none"/>
        </w:rPr>
        <w:t>;</w:t>
      </w:r>
    </w:p>
    <w:p w14:paraId="2925625D" w14:textId="4E9BEB64"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2.  The International Residential Code</w:t>
      </w:r>
      <w:r w:rsidR="00CF42A2">
        <w:rPr>
          <w:rFonts w:ascii="Times New Roman" w:eastAsia="Calibri" w:hAnsi="Times New Roman" w:cs="Times New Roman"/>
          <w:color w:val="000000"/>
          <w:kern w:val="0"/>
          <w:sz w:val="24"/>
          <w14:ligatures w14:val="none"/>
        </w:rPr>
        <w:t xml:space="preserve"> </w:t>
      </w:r>
      <w:r w:rsidR="00CF42A2">
        <w:rPr>
          <w:rFonts w:ascii="Times New Roman" w:eastAsia="Calibri" w:hAnsi="Times New Roman" w:cs="Times New Roman"/>
          <w:color w:val="000000"/>
          <w:kern w:val="0"/>
          <w:sz w:val="24"/>
          <w:u w:val="single"/>
          <w14:ligatures w14:val="none"/>
        </w:rPr>
        <w:t>(</w:t>
      </w:r>
      <w:r w:rsidR="00CF42A2" w:rsidRPr="00CF42A2">
        <w:rPr>
          <w:rFonts w:ascii="Times New Roman" w:eastAsia="Calibri" w:hAnsi="Times New Roman" w:cs="Times New Roman"/>
          <w:color w:val="000000"/>
          <w:kern w:val="0"/>
          <w:sz w:val="24"/>
          <w:u w:val="single"/>
          <w14:ligatures w14:val="none"/>
        </w:rPr>
        <w:t>"IRC"</w:t>
      </w:r>
      <w:r w:rsidR="00CF42A2">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w:t>
      </w:r>
      <w:r w:rsidRPr="006B4A66">
        <w:rPr>
          <w:rFonts w:ascii="Times New Roman" w:eastAsia="Calibri" w:hAnsi="Times New Roman" w:cs="Times New Roman"/>
          <w:strike/>
          <w:color w:val="000000"/>
          <w:kern w:val="0"/>
          <w:sz w:val="24"/>
          <w14:ligatures w14:val="none"/>
        </w:rPr>
        <w:t>(2018</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2021</w:t>
      </w:r>
      <w:r w:rsidRPr="006B4A66">
        <w:rPr>
          <w:rFonts w:ascii="Times New Roman" w:eastAsia="Calibri" w:hAnsi="Times New Roman" w:cs="Times New Roman"/>
          <w:color w:val="000000"/>
          <w:kern w:val="0"/>
          <w:sz w:val="24"/>
          <w14:ligatures w14:val="none"/>
        </w:rPr>
        <w:t xml:space="preserve"> edition, </w:t>
      </w:r>
      <w:r w:rsidR="00EF0091">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 xml:space="preserve">effective </w:t>
      </w:r>
      <w:r w:rsidRPr="006B4A66">
        <w:rPr>
          <w:rFonts w:ascii="Times New Roman" w:eastAsia="Calibri" w:hAnsi="Times New Roman" w:cs="Times New Roman"/>
          <w:strike/>
          <w:color w:val="000000"/>
          <w:kern w:val="0"/>
          <w:sz w:val="24"/>
          <w14:ligatures w14:val="none"/>
        </w:rPr>
        <w:t>February 1, 2021</w:t>
      </w:r>
      <w:r w:rsidRPr="001216D4">
        <w:rPr>
          <w:rFonts w:ascii="Times New Roman" w:eastAsia="Calibri" w:hAnsi="Times New Roman" w:cs="Times New Roman"/>
          <w:strike/>
          <w:color w:val="000000"/>
          <w:kern w:val="0"/>
          <w:sz w:val="24"/>
          <w14:ligatures w14:val="none"/>
        </w:rPr>
        <w:t>,</w:t>
      </w:r>
      <w:r w:rsidR="00EF0091">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except for Chapter 11 and Chapters 25 through 43, together with </w:t>
      </w:r>
      <w:r w:rsidRPr="006B4A66">
        <w:rPr>
          <w:rFonts w:ascii="Times New Roman" w:eastAsia="Calibri" w:hAnsi="Times New Roman" w:cs="Times New Roman"/>
          <w:color w:val="000000"/>
          <w:kern w:val="0"/>
          <w:sz w:val="24"/>
          <w14:ligatures w14:val="none"/>
        </w:rPr>
        <w:lastRenderedPageBreak/>
        <w:t xml:space="preserve">Appendices </w:t>
      </w:r>
      <w:r w:rsidRPr="006B4A66">
        <w:rPr>
          <w:rFonts w:ascii="Times New Roman" w:eastAsia="Calibri" w:hAnsi="Times New Roman" w:cs="Times New Roman"/>
          <w:color w:val="000000"/>
          <w:kern w:val="0"/>
          <w:sz w:val="24"/>
          <w:u w:val="single"/>
          <w14:ligatures w14:val="none"/>
        </w:rPr>
        <w:t>A</w:t>
      </w:r>
      <w:r w:rsidRPr="006B4A66">
        <w:rPr>
          <w:rFonts w:ascii="Times New Roman" w:eastAsia="Calibri" w:hAnsi="Times New Roman" w:cs="Times New Roman"/>
          <w:color w:val="000000"/>
          <w:kern w:val="0"/>
          <w:sz w:val="24"/>
          <w14:ligatures w14:val="none"/>
        </w:rPr>
        <w:t xml:space="preserve">F (Radon control methods), </w:t>
      </w:r>
      <w:r w:rsidRPr="006B4A66">
        <w:rPr>
          <w:rFonts w:ascii="Times New Roman" w:eastAsia="Calibri" w:hAnsi="Times New Roman" w:cs="Times New Roman"/>
          <w:color w:val="000000"/>
          <w:kern w:val="0"/>
          <w:sz w:val="24"/>
          <w:u w:val="single"/>
          <w14:ligatures w14:val="none"/>
        </w:rPr>
        <w:t>A</w:t>
      </w:r>
      <w:r w:rsidRPr="006B4A66">
        <w:rPr>
          <w:rFonts w:ascii="Times New Roman" w:eastAsia="Calibri" w:hAnsi="Times New Roman" w:cs="Times New Roman"/>
          <w:color w:val="000000"/>
          <w:kern w:val="0"/>
          <w:sz w:val="24"/>
          <w14:ligatures w14:val="none"/>
        </w:rPr>
        <w:t xml:space="preserve">H (Patio covers), </w:t>
      </w:r>
      <w:r w:rsidRPr="006B4A66">
        <w:rPr>
          <w:rFonts w:ascii="Times New Roman" w:eastAsia="Calibri" w:hAnsi="Times New Roman" w:cs="Times New Roman"/>
          <w:color w:val="000000"/>
          <w:kern w:val="0"/>
          <w:sz w:val="24"/>
          <w:u w:val="single"/>
          <w14:ligatures w14:val="none"/>
        </w:rPr>
        <w:t>A</w:t>
      </w:r>
      <w:r w:rsidRPr="006B4A66">
        <w:rPr>
          <w:rFonts w:ascii="Times New Roman" w:eastAsia="Calibri" w:hAnsi="Times New Roman" w:cs="Times New Roman"/>
          <w:color w:val="000000"/>
          <w:kern w:val="0"/>
          <w:sz w:val="24"/>
          <w14:ligatures w14:val="none"/>
        </w:rPr>
        <w:t>K (Sound transmission)</w:t>
      </w:r>
      <w:r w:rsidRPr="006B4A66">
        <w:rPr>
          <w:rFonts w:ascii="Times New Roman" w:eastAsia="Calibri" w:hAnsi="Times New Roman" w:cs="Times New Roman"/>
          <w:color w:val="000000"/>
          <w:kern w:val="0"/>
          <w:sz w:val="24"/>
          <w:u w:val="single"/>
          <w14:ligatures w14:val="none"/>
        </w:rPr>
        <w:t>,</w:t>
      </w:r>
      <w:r w:rsidRPr="001216D4">
        <w:rPr>
          <w:rFonts w:ascii="Times New Roman" w:eastAsia="Calibri" w:hAnsi="Times New Roman" w:cs="Times New Roman"/>
          <w:color w:val="000000"/>
          <w:kern w:val="0"/>
          <w:sz w:val="24"/>
          <w:u w:val="single"/>
          <w14:ligatures w14:val="none"/>
        </w:rPr>
        <w:t xml:space="preserve"> </w:t>
      </w:r>
      <w:r w:rsidRPr="006B4A66">
        <w:rPr>
          <w:rFonts w:ascii="Times New Roman" w:eastAsia="Calibri" w:hAnsi="Times New Roman" w:cs="Times New Roman"/>
          <w:color w:val="000000"/>
          <w:kern w:val="0"/>
          <w:sz w:val="24"/>
          <w:u w:val="single"/>
          <w14:ligatures w14:val="none"/>
        </w:rPr>
        <w:t xml:space="preserve">AQ (Tiny </w:t>
      </w:r>
      <w:r w:rsidR="00410E2B">
        <w:rPr>
          <w:rFonts w:ascii="Times New Roman" w:eastAsia="Calibri" w:hAnsi="Times New Roman" w:cs="Times New Roman"/>
          <w:color w:val="000000"/>
          <w:kern w:val="0"/>
          <w:sz w:val="24"/>
          <w:u w:val="single"/>
          <w14:ligatures w14:val="none"/>
        </w:rPr>
        <w:t>houses</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strike/>
          <w:color w:val="000000"/>
          <w:kern w:val="0"/>
          <w:sz w:val="24"/>
          <w14:ligatures w14:val="none"/>
        </w:rPr>
        <w:t>and</w:t>
      </w:r>
      <w:r w:rsidRPr="006B4A66">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A</w:t>
      </w:r>
      <w:r w:rsidRPr="006B4A66">
        <w:rPr>
          <w:rFonts w:ascii="Times New Roman" w:eastAsia="Calibri" w:hAnsi="Times New Roman" w:cs="Times New Roman"/>
          <w:color w:val="000000"/>
          <w:kern w:val="0"/>
          <w:sz w:val="24"/>
          <w14:ligatures w14:val="none"/>
        </w:rPr>
        <w:t>T ((</w:t>
      </w:r>
      <w:r w:rsidRPr="006B4A66">
        <w:rPr>
          <w:rFonts w:ascii="Times New Roman" w:eastAsia="Calibri" w:hAnsi="Times New Roman" w:cs="Times New Roman"/>
          <w:strike/>
          <w:color w:val="000000"/>
          <w:kern w:val="0"/>
          <w:sz w:val="24"/>
          <w14:ligatures w14:val="none"/>
        </w:rPr>
        <w:t>[RE]</w:t>
      </w:r>
      <w:r w:rsidRPr="006B4A66">
        <w:rPr>
          <w:rFonts w:ascii="Times New Roman" w:eastAsia="Calibri" w:hAnsi="Times New Roman" w:cs="Times New Roman"/>
          <w:color w:val="000000"/>
          <w:kern w:val="0"/>
          <w:sz w:val="24"/>
          <w14:ligatures w14:val="none"/>
        </w:rPr>
        <w:t>)) (Solar-ready provisions-detached one- and two-family dwellings and townhouses),</w:t>
      </w:r>
      <w:r w:rsidR="008F279C">
        <w:rPr>
          <w:rFonts w:ascii="Times New Roman" w:eastAsia="Calibri" w:hAnsi="Times New Roman" w:cs="Times New Roman"/>
          <w:color w:val="000000"/>
          <w:kern w:val="0"/>
          <w:sz w:val="24"/>
          <w14:ligatures w14:val="none"/>
        </w:rPr>
        <w:t xml:space="preserve"> </w:t>
      </w:r>
      <w:r w:rsidR="00FD2ACC">
        <w:rPr>
          <w:rFonts w:ascii="Times New Roman" w:eastAsia="Calibri" w:hAnsi="Times New Roman" w:cs="Times New Roman"/>
          <w:color w:val="000000"/>
          <w:kern w:val="0"/>
          <w:sz w:val="24"/>
          <w:u w:val="single"/>
          <w14:ligatures w14:val="none"/>
        </w:rPr>
        <w:t>and</w:t>
      </w:r>
      <w:r w:rsidRPr="00D87A0D">
        <w:rPr>
          <w:rFonts w:ascii="Times New Roman" w:hAnsi="Times New Roman"/>
          <w:color w:val="000000"/>
          <w:kern w:val="0"/>
          <w:sz w:val="24"/>
          <w:u w:val="single"/>
          <w14:ligatures w14:val="none"/>
        </w:rPr>
        <w:t xml:space="preserve"> </w:t>
      </w:r>
      <w:r w:rsidR="00B83023" w:rsidRPr="00B83023">
        <w:rPr>
          <w:rFonts w:ascii="Times New Roman" w:eastAsia="Calibri" w:hAnsi="Times New Roman" w:cs="Times New Roman"/>
          <w:color w:val="000000"/>
          <w:kern w:val="0"/>
          <w:sz w:val="24"/>
          <w:u w:val="single"/>
          <w14:ligatures w14:val="none"/>
        </w:rPr>
        <w:t>AW</w:t>
      </w:r>
      <w:r w:rsidRPr="006B4A66">
        <w:rPr>
          <w:rFonts w:ascii="Times New Roman" w:eastAsia="Calibri" w:hAnsi="Times New Roman" w:cs="Times New Roman"/>
          <w:color w:val="000000"/>
          <w:kern w:val="0"/>
          <w:sz w:val="24"/>
          <w:u w:val="single"/>
          <w14:ligatures w14:val="none"/>
        </w:rPr>
        <w:t xml:space="preserve">U (Dwelling unit fire sprinkler systems), </w:t>
      </w:r>
      <w:r w:rsidRPr="006B4A66">
        <w:rPr>
          <w:rFonts w:ascii="Times New Roman" w:eastAsia="Calibri" w:hAnsi="Times New Roman" w:cs="Times New Roman"/>
          <w:color w:val="000000"/>
          <w:kern w:val="0"/>
          <w:sz w:val="24"/>
          <w14:ligatures w14:val="none"/>
        </w:rPr>
        <w:t>as</w:t>
      </w:r>
      <w:r w:rsidR="0088419E" w:rsidRPr="008B014F">
        <w:rPr>
          <w:rFonts w:ascii="Times New Roman" w:eastAsia="Calibri" w:hAnsi="Times New Roman" w:cs="Times New Roman"/>
          <w:color w:val="000000"/>
          <w:kern w:val="0"/>
          <w:sz w:val="24"/>
          <w14:ligatures w14:val="none"/>
        </w:rPr>
        <w:t xml:space="preserve"> </w:t>
      </w:r>
      <w:r w:rsidR="0088419E">
        <w:rPr>
          <w:rFonts w:ascii="Times New Roman" w:eastAsia="Calibri" w:hAnsi="Times New Roman" w:cs="Times New Roman"/>
          <w:color w:val="000000"/>
          <w:kern w:val="0"/>
          <w:sz w:val="24"/>
          <w:u w:val="single"/>
          <w14:ligatures w14:val="none"/>
        </w:rPr>
        <w:t>adopted and</w:t>
      </w:r>
      <w:r w:rsidRPr="006B4A66">
        <w:rPr>
          <w:rFonts w:ascii="Times New Roman" w:eastAsia="Calibri" w:hAnsi="Times New Roman" w:cs="Times New Roman"/>
          <w:color w:val="000000"/>
          <w:kern w:val="0"/>
          <w:sz w:val="24"/>
          <w14:ligatures w14:val="none"/>
        </w:rPr>
        <w:t xml:space="preserve"> amended in chapter 51-51 WAC</w:t>
      </w:r>
      <w:r w:rsidR="006779DB">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 and referred to in this title as the "International Residential Code" or, when used in a citation, "IRC"</w:t>
      </w:r>
      <w:r w:rsidR="006779DB">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14:ligatures w14:val="none"/>
        </w:rPr>
        <w:t>;</w:t>
      </w:r>
    </w:p>
    <w:p w14:paraId="1A3B6247" w14:textId="5DFFE33C"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highlight w:val="yellow"/>
          <w14:ligatures w14:val="none"/>
        </w:rPr>
      </w:pPr>
      <w:r w:rsidRPr="006B4A66">
        <w:rPr>
          <w:rFonts w:ascii="Times New Roman" w:eastAsia="Calibri" w:hAnsi="Times New Roman" w:cs="Times New Roman"/>
          <w:color w:val="000000"/>
          <w:kern w:val="0"/>
          <w:sz w:val="24"/>
          <w14:ligatures w14:val="none"/>
        </w:rPr>
        <w:tab/>
        <w:t xml:space="preserve">  3.  The ((</w:t>
      </w:r>
      <w:r w:rsidRPr="006B4A66">
        <w:rPr>
          <w:rFonts w:ascii="Times New Roman" w:eastAsia="Calibri" w:hAnsi="Times New Roman" w:cs="Times New Roman"/>
          <w:strike/>
          <w:color w:val="000000"/>
          <w:kern w:val="0"/>
          <w:sz w:val="24"/>
          <w14:ligatures w14:val="none"/>
        </w:rPr>
        <w:t>International Energy Conservation Code, Commercial,</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 xml:space="preserve">Washington State Energy Code </w:t>
      </w:r>
      <w:r w:rsidR="00DC0D1F">
        <w:rPr>
          <w:rFonts w:ascii="Times New Roman" w:eastAsia="Calibri" w:hAnsi="Times New Roman" w:cs="Times New Roman"/>
          <w:color w:val="000000"/>
          <w:kern w:val="0"/>
          <w:sz w:val="24"/>
          <w:u w:val="single"/>
          <w14:ligatures w14:val="none"/>
        </w:rPr>
        <w:t>(</w:t>
      </w:r>
      <w:r w:rsidR="00DC0D1F" w:rsidRPr="00DC0D1F">
        <w:rPr>
          <w:rFonts w:ascii="Times New Roman" w:eastAsia="Calibri" w:hAnsi="Times New Roman" w:cs="Times New Roman"/>
          <w:color w:val="000000"/>
          <w:kern w:val="0"/>
          <w:sz w:val="24"/>
          <w:u w:val="single"/>
          <w14:ligatures w14:val="none"/>
        </w:rPr>
        <w:t>"WSEC"</w:t>
      </w:r>
      <w:r w:rsidR="00DC0D1F">
        <w:rPr>
          <w:rFonts w:ascii="Times New Roman" w:eastAsia="Calibri" w:hAnsi="Times New Roman" w:cs="Times New Roman"/>
          <w:color w:val="000000"/>
          <w:kern w:val="0"/>
          <w:sz w:val="24"/>
          <w:u w:val="single"/>
          <w14:ligatures w14:val="none"/>
        </w:rPr>
        <w:t xml:space="preserve">) </w:t>
      </w:r>
      <w:r w:rsidRPr="006B4A66">
        <w:rPr>
          <w:rFonts w:ascii="Times New Roman" w:eastAsia="Calibri" w:hAnsi="Times New Roman" w:cs="Times New Roman"/>
          <w:color w:val="000000"/>
          <w:kern w:val="0"/>
          <w:sz w:val="24"/>
          <w:u w:val="single"/>
          <w14:ligatures w14:val="none"/>
        </w:rPr>
        <w:t>- Commercial Provisions</w:t>
      </w:r>
      <w:r w:rsidRPr="006B4A66">
        <w:rPr>
          <w:rFonts w:ascii="Times New Roman" w:eastAsia="Calibri" w:hAnsi="Times New Roman" w:cs="Times New Roman"/>
          <w:color w:val="000000"/>
          <w:kern w:val="0"/>
          <w:sz w:val="24"/>
          <w14:ligatures w14:val="none"/>
        </w:rPr>
        <w:t>, ((</w:t>
      </w:r>
      <w:r w:rsidRPr="006B4A66">
        <w:rPr>
          <w:rFonts w:ascii="Times New Roman" w:eastAsia="Calibri" w:hAnsi="Times New Roman" w:cs="Times New Roman"/>
          <w:strike/>
          <w:color w:val="000000"/>
          <w:kern w:val="0"/>
          <w:sz w:val="24"/>
          <w14:ligatures w14:val="none"/>
        </w:rPr>
        <w:t>2018</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2021</w:t>
      </w:r>
      <w:r w:rsidRPr="006B4A66">
        <w:rPr>
          <w:rFonts w:ascii="Times New Roman" w:eastAsia="Calibri" w:hAnsi="Times New Roman" w:cs="Times New Roman"/>
          <w:color w:val="000000"/>
          <w:kern w:val="0"/>
          <w:sz w:val="24"/>
          <w14:ligatures w14:val="none"/>
        </w:rPr>
        <w:t xml:space="preserve"> edition, </w:t>
      </w:r>
      <w:r w:rsidR="00AF4B99">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 xml:space="preserve">effective </w:t>
      </w:r>
      <w:r w:rsidRPr="00AF4B99">
        <w:rPr>
          <w:rFonts w:ascii="Times New Roman" w:eastAsia="Calibri" w:hAnsi="Times New Roman" w:cs="Times New Roman"/>
          <w:strike/>
          <w:color w:val="000000"/>
          <w:kern w:val="0"/>
          <w:sz w:val="24"/>
          <w14:ligatures w14:val="none"/>
        </w:rPr>
        <w:t>February 1, 2021</w:t>
      </w:r>
      <w:r w:rsidRPr="001216D4">
        <w:rPr>
          <w:rFonts w:ascii="Times New Roman" w:eastAsia="Calibri" w:hAnsi="Times New Roman" w:cs="Times New Roman"/>
          <w:strike/>
          <w:color w:val="000000"/>
          <w:kern w:val="0"/>
          <w:sz w:val="24"/>
          <w14:ligatures w14:val="none"/>
        </w:rPr>
        <w:t>,</w:t>
      </w:r>
      <w:r w:rsidR="00AF4B99">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together with Appendices A (Default heat loss coefficients), B (Default internal load values and schedules), C (Exterior design conditions)</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and D (Calculation of HVAC total system performance ratio), as</w:t>
      </w:r>
      <w:r w:rsidR="0088419E" w:rsidRPr="008B014F">
        <w:rPr>
          <w:rFonts w:ascii="Times New Roman" w:eastAsia="Calibri" w:hAnsi="Times New Roman" w:cs="Times New Roman"/>
          <w:color w:val="000000"/>
          <w:kern w:val="0"/>
          <w:sz w:val="24"/>
          <w14:ligatures w14:val="none"/>
        </w:rPr>
        <w:t xml:space="preserve"> </w:t>
      </w:r>
      <w:r w:rsidR="0088419E">
        <w:rPr>
          <w:rFonts w:ascii="Times New Roman" w:eastAsia="Calibri" w:hAnsi="Times New Roman" w:cs="Times New Roman"/>
          <w:color w:val="000000"/>
          <w:kern w:val="0"/>
          <w:sz w:val="24"/>
          <w:u w:val="single"/>
          <w14:ligatures w14:val="none"/>
        </w:rPr>
        <w:t>adopted and</w:t>
      </w:r>
      <w:r w:rsidRPr="006B4A66">
        <w:rPr>
          <w:rFonts w:ascii="Times New Roman" w:eastAsia="Calibri" w:hAnsi="Times New Roman" w:cs="Times New Roman"/>
          <w:color w:val="000000"/>
          <w:kern w:val="0"/>
          <w:sz w:val="24"/>
          <w14:ligatures w14:val="none"/>
        </w:rPr>
        <w:t xml:space="preserve"> amended in chapter 51-11C WAC; and the ((</w:t>
      </w:r>
      <w:r w:rsidRPr="006B4A66">
        <w:rPr>
          <w:rFonts w:ascii="Times New Roman" w:eastAsia="Calibri" w:hAnsi="Times New Roman" w:cs="Times New Roman"/>
          <w:strike/>
          <w:color w:val="000000"/>
          <w:kern w:val="0"/>
          <w:sz w:val="24"/>
          <w14:ligatures w14:val="none"/>
        </w:rPr>
        <w:t>International Energy Conservation Code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 xml:space="preserve">Washington State Energy Code </w:t>
      </w:r>
      <w:r w:rsidR="00D21330">
        <w:rPr>
          <w:rFonts w:ascii="Times New Roman" w:eastAsia="Calibri" w:hAnsi="Times New Roman" w:cs="Times New Roman"/>
          <w:color w:val="000000"/>
          <w:kern w:val="0"/>
          <w:sz w:val="24"/>
          <w:u w:val="single"/>
          <w14:ligatures w14:val="none"/>
        </w:rPr>
        <w:t>(</w:t>
      </w:r>
      <w:r w:rsidR="00D21330" w:rsidRPr="00DC0D1F">
        <w:rPr>
          <w:rFonts w:ascii="Times New Roman" w:eastAsia="Calibri" w:hAnsi="Times New Roman" w:cs="Times New Roman"/>
          <w:color w:val="000000"/>
          <w:kern w:val="0"/>
          <w:sz w:val="24"/>
          <w:u w:val="single"/>
          <w14:ligatures w14:val="none"/>
        </w:rPr>
        <w:t>"WSEC"</w:t>
      </w:r>
      <w:r w:rsidR="00D21330">
        <w:rPr>
          <w:rFonts w:ascii="Times New Roman" w:eastAsia="Calibri" w:hAnsi="Times New Roman" w:cs="Times New Roman"/>
          <w:color w:val="000000"/>
          <w:kern w:val="0"/>
          <w:sz w:val="24"/>
          <w:u w:val="single"/>
          <w14:ligatures w14:val="none"/>
        </w:rPr>
        <w:t xml:space="preserve">) </w:t>
      </w:r>
      <w:r w:rsidRPr="006B4A66">
        <w:rPr>
          <w:rFonts w:ascii="Times New Roman" w:eastAsia="Calibri" w:hAnsi="Times New Roman" w:cs="Times New Roman"/>
          <w:color w:val="000000"/>
          <w:kern w:val="0"/>
          <w:sz w:val="24"/>
          <w:u w:val="single"/>
          <w14:ligatures w14:val="none"/>
        </w:rPr>
        <w:t>– Residential Provisions</w:t>
      </w:r>
      <w:r w:rsidRPr="006B4A66">
        <w:rPr>
          <w:rFonts w:ascii="Times New Roman" w:eastAsia="Calibri" w:hAnsi="Times New Roman" w:cs="Times New Roman"/>
          <w:color w:val="000000"/>
          <w:kern w:val="0"/>
          <w:sz w:val="24"/>
          <w14:ligatures w14:val="none"/>
        </w:rPr>
        <w:t>, ((</w:t>
      </w:r>
      <w:r w:rsidRPr="006B4A66">
        <w:rPr>
          <w:rFonts w:ascii="Times New Roman" w:eastAsia="Calibri" w:hAnsi="Times New Roman" w:cs="Times New Roman"/>
          <w:strike/>
          <w:color w:val="000000"/>
          <w:kern w:val="0"/>
          <w:sz w:val="24"/>
          <w14:ligatures w14:val="none"/>
        </w:rPr>
        <w:t>Residential, 2018</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2021</w:t>
      </w:r>
      <w:r w:rsidRPr="006B4A66">
        <w:rPr>
          <w:rFonts w:ascii="Times New Roman" w:eastAsia="Calibri" w:hAnsi="Times New Roman" w:cs="Times New Roman"/>
          <w:color w:val="000000"/>
          <w:kern w:val="0"/>
          <w:sz w:val="24"/>
          <w14:ligatures w14:val="none"/>
        </w:rPr>
        <w:t xml:space="preserve"> edition, </w:t>
      </w:r>
      <w:r w:rsidR="006036F3">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 xml:space="preserve">effective </w:t>
      </w:r>
      <w:r w:rsidRPr="0080644A">
        <w:rPr>
          <w:rFonts w:ascii="Times New Roman" w:eastAsia="Calibri" w:hAnsi="Times New Roman" w:cs="Times New Roman"/>
          <w:strike/>
          <w:color w:val="000000"/>
          <w:kern w:val="0"/>
          <w:sz w:val="24"/>
          <w14:ligatures w14:val="none"/>
        </w:rPr>
        <w:t>February 1, 2021</w:t>
      </w:r>
      <w:r w:rsidRPr="001216D4">
        <w:rPr>
          <w:rFonts w:ascii="Times New Roman" w:eastAsia="Calibri" w:hAnsi="Times New Roman" w:cs="Times New Roman"/>
          <w:strike/>
          <w:color w:val="000000"/>
          <w:kern w:val="0"/>
          <w:sz w:val="24"/>
          <w14:ligatures w14:val="none"/>
        </w:rPr>
        <w:t>,</w:t>
      </w:r>
      <w:r w:rsidR="006036F3">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together with Appendices ((</w:t>
      </w:r>
      <w:r w:rsidRPr="006B4A66">
        <w:rPr>
          <w:rFonts w:ascii="Times New Roman" w:eastAsia="Calibri" w:hAnsi="Times New Roman" w:cs="Times New Roman"/>
          <w:strike/>
          <w:color w:val="000000"/>
          <w:kern w:val="0"/>
          <w:sz w:val="24"/>
          <w14:ligatures w14:val="none"/>
        </w:rPr>
        <w:t>A (Default heat loss coefficients),</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RA/R</w:t>
      </w:r>
      <w:r w:rsidRPr="006B4A66">
        <w:rPr>
          <w:rFonts w:ascii="Times New Roman" w:eastAsia="Calibri" w:hAnsi="Times New Roman" w:cs="Times New Roman"/>
          <w:color w:val="000000"/>
          <w:kern w:val="0"/>
          <w:sz w:val="24"/>
          <w14:ligatures w14:val="none"/>
        </w:rPr>
        <w:t>B (Optional energy efficiency measures)</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and </w:t>
      </w:r>
      <w:r w:rsidRPr="006B4A66">
        <w:rPr>
          <w:rFonts w:ascii="Times New Roman" w:eastAsia="Calibri" w:hAnsi="Times New Roman" w:cs="Times New Roman"/>
          <w:color w:val="000000"/>
          <w:kern w:val="0"/>
          <w:sz w:val="24"/>
          <w:u w:val="single"/>
          <w14:ligatures w14:val="none"/>
        </w:rPr>
        <w:t>R</w:t>
      </w:r>
      <w:r w:rsidRPr="006B4A66">
        <w:rPr>
          <w:rFonts w:ascii="Times New Roman" w:eastAsia="Calibri" w:hAnsi="Times New Roman" w:cs="Times New Roman"/>
          <w:color w:val="000000"/>
          <w:kern w:val="0"/>
          <w:sz w:val="24"/>
          <w14:ligatures w14:val="none"/>
        </w:rPr>
        <w:t>C (Exterior design conditions), as amended in chapter 51-11R WAC</w:t>
      </w:r>
      <w:r w:rsidR="00FF6885">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 and referred to in this title as the "</w:t>
      </w:r>
      <w:r w:rsidRPr="00DC0D1F">
        <w:rPr>
          <w:rFonts w:ascii="Times New Roman" w:eastAsia="Calibri" w:hAnsi="Times New Roman" w:cs="Times New Roman"/>
          <w:strike/>
          <w:color w:val="000000"/>
          <w:kern w:val="0"/>
          <w:sz w:val="24"/>
          <w14:ligatures w14:val="none"/>
        </w:rPr>
        <w:t>International Energy Conservation Code</w:t>
      </w:r>
      <w:r w:rsidRPr="001216D4">
        <w:rPr>
          <w:rFonts w:ascii="Times New Roman" w:eastAsia="Calibri" w:hAnsi="Times New Roman" w:cs="Times New Roman"/>
          <w:strike/>
          <w:color w:val="000000"/>
          <w:kern w:val="0"/>
          <w:sz w:val="24"/>
          <w14:ligatures w14:val="none"/>
        </w:rPr>
        <w:t>" or, when used in a citation, "</w:t>
      </w:r>
      <w:r w:rsidRPr="00DC0D1F">
        <w:rPr>
          <w:rFonts w:ascii="Times New Roman" w:eastAsia="Calibri" w:hAnsi="Times New Roman" w:cs="Times New Roman"/>
          <w:strike/>
          <w:color w:val="000000"/>
          <w:kern w:val="0"/>
          <w:sz w:val="24"/>
          <w14:ligatures w14:val="none"/>
        </w:rPr>
        <w:t>IECC</w:t>
      </w:r>
      <w:r w:rsidRPr="001216D4">
        <w:rPr>
          <w:rFonts w:ascii="Times New Roman" w:eastAsia="Calibri" w:hAnsi="Times New Roman" w:cs="Times New Roman"/>
          <w:strike/>
          <w:color w:val="000000"/>
          <w:kern w:val="0"/>
          <w:sz w:val="24"/>
          <w14:ligatures w14:val="none"/>
        </w:rPr>
        <w:t>"</w:t>
      </w:r>
      <w:r w:rsidR="00FF6885">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14:ligatures w14:val="none"/>
        </w:rPr>
        <w:t>;</w:t>
      </w:r>
    </w:p>
    <w:p w14:paraId="7336051F" w14:textId="0219E54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4.  The International Mechanical Code</w:t>
      </w:r>
      <w:r w:rsidR="00D21330">
        <w:rPr>
          <w:rFonts w:ascii="Times New Roman" w:eastAsia="Calibri" w:hAnsi="Times New Roman" w:cs="Times New Roman"/>
          <w:color w:val="000000"/>
          <w:kern w:val="0"/>
          <w:sz w:val="24"/>
          <w14:ligatures w14:val="none"/>
        </w:rPr>
        <w:t xml:space="preserve"> </w:t>
      </w:r>
      <w:r w:rsidR="00D21330" w:rsidRPr="00D21330">
        <w:rPr>
          <w:rFonts w:ascii="Times New Roman" w:eastAsia="Calibri" w:hAnsi="Times New Roman" w:cs="Times New Roman"/>
          <w:color w:val="000000"/>
          <w:kern w:val="0"/>
          <w:sz w:val="24"/>
          <w:u w:val="single"/>
          <w14:ligatures w14:val="none"/>
        </w:rPr>
        <w:t>("IMC")</w:t>
      </w:r>
      <w:r w:rsidRPr="006B4A66">
        <w:rPr>
          <w:rFonts w:ascii="Times New Roman" w:eastAsia="Calibri" w:hAnsi="Times New Roman" w:cs="Times New Roman"/>
          <w:color w:val="000000"/>
          <w:kern w:val="0"/>
          <w:sz w:val="24"/>
          <w14:ligatures w14:val="none"/>
        </w:rPr>
        <w:t>, ((</w:t>
      </w:r>
      <w:r w:rsidRPr="006B4A66">
        <w:rPr>
          <w:rFonts w:ascii="Times New Roman" w:eastAsia="Calibri" w:hAnsi="Times New Roman" w:cs="Times New Roman"/>
          <w:strike/>
          <w:color w:val="000000"/>
          <w:kern w:val="0"/>
          <w:sz w:val="24"/>
          <w14:ligatures w14:val="none"/>
        </w:rPr>
        <w:t>2018 Edition</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2021 edition</w:t>
      </w:r>
      <w:r w:rsidRPr="006B4A66">
        <w:rPr>
          <w:rFonts w:ascii="Times New Roman" w:eastAsia="Calibri" w:hAnsi="Times New Roman" w:cs="Times New Roman"/>
          <w:color w:val="000000"/>
          <w:kern w:val="0"/>
          <w:sz w:val="24"/>
          <w14:ligatures w14:val="none"/>
        </w:rPr>
        <w:t xml:space="preserve">, </w:t>
      </w:r>
      <w:r w:rsidR="0080644A">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 xml:space="preserve">effective </w:t>
      </w:r>
      <w:r w:rsidRPr="0080644A">
        <w:rPr>
          <w:rFonts w:ascii="Times New Roman" w:eastAsia="Calibri" w:hAnsi="Times New Roman" w:cs="Times New Roman"/>
          <w:strike/>
          <w:color w:val="000000"/>
          <w:kern w:val="0"/>
          <w:sz w:val="24"/>
          <w14:ligatures w14:val="none"/>
        </w:rPr>
        <w:t>February 1, 2021</w:t>
      </w:r>
      <w:r w:rsidRPr="001216D4">
        <w:rPr>
          <w:rFonts w:ascii="Times New Roman" w:eastAsia="Calibri" w:hAnsi="Times New Roman" w:cs="Times New Roman"/>
          <w:strike/>
          <w:color w:val="000000"/>
          <w:kern w:val="0"/>
          <w:sz w:val="24"/>
          <w14:ligatures w14:val="none"/>
        </w:rPr>
        <w:t>,</w:t>
      </w:r>
      <w:r w:rsidR="0080644A">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together with Appendix A (Chimney connector pass-through</w:t>
      </w:r>
      <w:r w:rsidRPr="006B4A66">
        <w:rPr>
          <w:rFonts w:ascii="Times New Roman" w:eastAsia="Calibri" w:hAnsi="Times New Roman" w:cs="Times New Roman"/>
          <w:color w:val="000000"/>
          <w:kern w:val="0"/>
          <w:sz w:val="24"/>
          <w:u w:val="single"/>
          <w14:ligatures w14:val="none"/>
        </w:rPr>
        <w:t>s</w:t>
      </w:r>
      <w:r w:rsidRPr="006B4A66">
        <w:rPr>
          <w:rFonts w:ascii="Times New Roman" w:eastAsia="Calibri" w:hAnsi="Times New Roman" w:cs="Times New Roman"/>
          <w:color w:val="000000"/>
          <w:kern w:val="0"/>
          <w:sz w:val="24"/>
          <w14:ligatures w14:val="none"/>
        </w:rPr>
        <w:t>), as</w:t>
      </w:r>
      <w:r w:rsidR="0088419E" w:rsidRPr="008B014F">
        <w:rPr>
          <w:rFonts w:ascii="Times New Roman" w:eastAsia="Calibri" w:hAnsi="Times New Roman" w:cs="Times New Roman"/>
          <w:color w:val="000000"/>
          <w:kern w:val="0"/>
          <w:sz w:val="24"/>
          <w14:ligatures w14:val="none"/>
        </w:rPr>
        <w:t xml:space="preserve"> </w:t>
      </w:r>
      <w:r w:rsidR="0088419E">
        <w:rPr>
          <w:rFonts w:ascii="Times New Roman" w:eastAsia="Calibri" w:hAnsi="Times New Roman" w:cs="Times New Roman"/>
          <w:color w:val="000000"/>
          <w:kern w:val="0"/>
          <w:sz w:val="24"/>
          <w:u w:val="single"/>
          <w14:ligatures w14:val="none"/>
        </w:rPr>
        <w:t>adopted and</w:t>
      </w:r>
      <w:r w:rsidRPr="006B4A66">
        <w:rPr>
          <w:rFonts w:ascii="Times New Roman" w:eastAsia="Calibri" w:hAnsi="Times New Roman" w:cs="Times New Roman"/>
          <w:color w:val="000000"/>
          <w:kern w:val="0"/>
          <w:sz w:val="24"/>
          <w14:ligatures w14:val="none"/>
        </w:rPr>
        <w:t xml:space="preserve"> amended in chapter 51-52 WAC</w:t>
      </w:r>
      <w:r w:rsidR="0085480D">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 and hereinafter referred to as the "International Mechanical Code" or, when used in a citation, "IMC"</w:t>
      </w:r>
      <w:r w:rsidR="0085480D">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14:ligatures w14:val="none"/>
        </w:rPr>
        <w:t>;</w:t>
      </w:r>
    </w:p>
    <w:p w14:paraId="7A6F7377" w14:textId="30822F46"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5.  The International Existing Building Code</w:t>
      </w:r>
      <w:r w:rsidR="00D21330">
        <w:rPr>
          <w:rFonts w:ascii="Times New Roman" w:eastAsia="Calibri" w:hAnsi="Times New Roman" w:cs="Times New Roman"/>
          <w:color w:val="000000"/>
          <w:kern w:val="0"/>
          <w:sz w:val="24"/>
          <w14:ligatures w14:val="none"/>
        </w:rPr>
        <w:t xml:space="preserve"> </w:t>
      </w:r>
      <w:r w:rsidR="00D21330" w:rsidRPr="00D21330">
        <w:rPr>
          <w:rFonts w:ascii="Times New Roman" w:eastAsia="Calibri" w:hAnsi="Times New Roman" w:cs="Times New Roman"/>
          <w:color w:val="000000"/>
          <w:kern w:val="0"/>
          <w:sz w:val="24"/>
          <w:u w:val="single"/>
          <w14:ligatures w14:val="none"/>
        </w:rPr>
        <w:t>("I</w:t>
      </w:r>
      <w:r w:rsidR="00D21330">
        <w:rPr>
          <w:rFonts w:ascii="Times New Roman" w:eastAsia="Calibri" w:hAnsi="Times New Roman" w:cs="Times New Roman"/>
          <w:color w:val="000000"/>
          <w:kern w:val="0"/>
          <w:sz w:val="24"/>
          <w:u w:val="single"/>
          <w14:ligatures w14:val="none"/>
        </w:rPr>
        <w:t>EB</w:t>
      </w:r>
      <w:r w:rsidR="00D21330" w:rsidRPr="00D21330">
        <w:rPr>
          <w:rFonts w:ascii="Times New Roman" w:eastAsia="Calibri" w:hAnsi="Times New Roman" w:cs="Times New Roman"/>
          <w:color w:val="000000"/>
          <w:kern w:val="0"/>
          <w:sz w:val="24"/>
          <w:u w:val="single"/>
          <w14:ligatures w14:val="none"/>
        </w:rPr>
        <w:t>C")</w:t>
      </w:r>
      <w:r w:rsidRPr="006B4A66">
        <w:rPr>
          <w:rFonts w:ascii="Times New Roman" w:eastAsia="Calibri" w:hAnsi="Times New Roman" w:cs="Times New Roman"/>
          <w:color w:val="000000"/>
          <w:kern w:val="0"/>
          <w:sz w:val="24"/>
          <w14:ligatures w14:val="none"/>
        </w:rPr>
        <w:t>, ((</w:t>
      </w:r>
      <w:r w:rsidRPr="006B4A66">
        <w:rPr>
          <w:rFonts w:ascii="Times New Roman" w:eastAsia="Calibri" w:hAnsi="Times New Roman" w:cs="Times New Roman"/>
          <w:strike/>
          <w:color w:val="000000"/>
          <w:kern w:val="0"/>
          <w:sz w:val="24"/>
          <w14:ligatures w14:val="none"/>
        </w:rPr>
        <w:t>2018 Edition</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2021 edition</w:t>
      </w:r>
      <w:r w:rsidRPr="006B4A66">
        <w:rPr>
          <w:rFonts w:ascii="Times New Roman" w:eastAsia="Calibri" w:hAnsi="Times New Roman" w:cs="Times New Roman"/>
          <w:color w:val="000000"/>
          <w:kern w:val="0"/>
          <w:sz w:val="24"/>
          <w14:ligatures w14:val="none"/>
        </w:rPr>
        <w:t xml:space="preserve">, </w:t>
      </w:r>
      <w:r w:rsidR="00A86856">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 xml:space="preserve">effective </w:t>
      </w:r>
      <w:r w:rsidRPr="00A65F98">
        <w:rPr>
          <w:rFonts w:ascii="Times New Roman" w:eastAsia="Calibri" w:hAnsi="Times New Roman" w:cs="Times New Roman"/>
          <w:strike/>
          <w:color w:val="000000"/>
          <w:kern w:val="0"/>
          <w:sz w:val="24"/>
          <w14:ligatures w14:val="none"/>
        </w:rPr>
        <w:t>February 1, 2021</w:t>
      </w:r>
      <w:r w:rsidRPr="001216D4">
        <w:rPr>
          <w:rFonts w:ascii="Times New Roman" w:eastAsia="Calibri" w:hAnsi="Times New Roman" w:cs="Times New Roman"/>
          <w:strike/>
          <w:color w:val="000000"/>
          <w:kern w:val="0"/>
          <w:sz w:val="24"/>
          <w14:ligatures w14:val="none"/>
        </w:rPr>
        <w:t>,</w:t>
      </w:r>
      <w:r w:rsidR="00A8685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with Appendix A (Guidelines for the ((</w:t>
      </w:r>
      <w:r w:rsidRPr="006B4A66">
        <w:rPr>
          <w:rFonts w:ascii="Times New Roman" w:eastAsia="Calibri" w:hAnsi="Times New Roman" w:cs="Times New Roman"/>
          <w:strike/>
          <w:color w:val="000000"/>
          <w:kern w:val="0"/>
          <w:sz w:val="24"/>
          <w14:ligatures w14:val="none"/>
        </w:rPr>
        <w:t>Seismic Retrofit of Existing Buildings</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seismic retrofit of existing buildings</w:t>
      </w:r>
      <w:r w:rsidRPr="006B4A66">
        <w:rPr>
          <w:rFonts w:ascii="Times New Roman" w:eastAsia="Calibri" w:hAnsi="Times New Roman" w:cs="Times New Roman"/>
          <w:color w:val="000000"/>
          <w:kern w:val="0"/>
          <w:sz w:val="24"/>
          <w14:ligatures w14:val="none"/>
        </w:rPr>
        <w:t xml:space="preserve">), as </w:t>
      </w:r>
      <w:r w:rsidR="00827BCE" w:rsidRPr="008B014F">
        <w:rPr>
          <w:rFonts w:ascii="Times New Roman" w:eastAsia="Calibri" w:hAnsi="Times New Roman" w:cs="Times New Roman"/>
          <w:color w:val="000000"/>
          <w:kern w:val="0"/>
          <w:sz w:val="24"/>
          <w14:ligatures w14:val="none"/>
        </w:rPr>
        <w:t xml:space="preserve"> </w:t>
      </w:r>
      <w:r w:rsidR="00827BCE">
        <w:rPr>
          <w:rFonts w:ascii="Times New Roman" w:eastAsia="Calibri" w:hAnsi="Times New Roman" w:cs="Times New Roman"/>
          <w:color w:val="000000"/>
          <w:kern w:val="0"/>
          <w:sz w:val="24"/>
          <w:u w:val="single"/>
          <w14:ligatures w14:val="none"/>
        </w:rPr>
        <w:t>adopted and</w:t>
      </w:r>
      <w:r w:rsidR="00827BCE">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14:ligatures w14:val="none"/>
        </w:rPr>
        <w:lastRenderedPageBreak/>
        <w:t xml:space="preserve">amended in chapter </w:t>
      </w:r>
      <w:r w:rsidRPr="00D87A0D">
        <w:rPr>
          <w:rFonts w:ascii="Times New Roman" w:hAnsi="Times New Roman"/>
          <w:color w:val="000000"/>
          <w:kern w:val="0"/>
          <w:sz w:val="24"/>
          <w:u w:val="single"/>
          <w14:ligatures w14:val="none"/>
        </w:rPr>
        <w:t>51-50</w:t>
      </w:r>
      <w:r w:rsidR="00D25CFB" w:rsidRPr="00D25CFB">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14:ligatures w14:val="none"/>
        </w:rPr>
        <w:t xml:space="preserve">WAC </w:t>
      </w:r>
      <w:r w:rsidR="00B627E9">
        <w:rPr>
          <w:rFonts w:ascii="Times New Roman" w:eastAsia="Calibri" w:hAnsi="Times New Roman" w:cs="Times New Roman"/>
          <w:color w:val="000000"/>
          <w:kern w:val="0"/>
          <w:sz w:val="24"/>
          <w14:ligatures w14:val="none"/>
        </w:rPr>
        <w:t>((</w:t>
      </w:r>
      <w:r w:rsidRPr="00B627E9">
        <w:rPr>
          <w:rFonts w:ascii="Times New Roman" w:eastAsia="Calibri" w:hAnsi="Times New Roman" w:cs="Times New Roman"/>
          <w:strike/>
          <w:color w:val="000000"/>
          <w:kern w:val="0"/>
          <w:sz w:val="24"/>
          <w14:ligatures w14:val="none"/>
        </w:rPr>
        <w:t>51-50</w:t>
      </w:r>
      <w:r w:rsidRPr="001216D4">
        <w:rPr>
          <w:rFonts w:ascii="Times New Roman" w:eastAsia="Calibri" w:hAnsi="Times New Roman" w:cs="Times New Roman"/>
          <w:strike/>
          <w:color w:val="000000"/>
          <w:kern w:val="0"/>
          <w:sz w:val="24"/>
          <w14:ligatures w14:val="none"/>
        </w:rPr>
        <w:t>, and referred to in this title as the "International Existing Building Code" or, when used in a citation, "IEBC"</w:t>
      </w:r>
      <w:r w:rsidR="00473F6B">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14:ligatures w14:val="none"/>
        </w:rPr>
        <w:t>; ((</w:t>
      </w:r>
      <w:r w:rsidRPr="006B4A66">
        <w:rPr>
          <w:rFonts w:ascii="Times New Roman" w:eastAsia="Calibri" w:hAnsi="Times New Roman" w:cs="Times New Roman"/>
          <w:strike/>
          <w:color w:val="000000"/>
          <w:kern w:val="0"/>
          <w:sz w:val="24"/>
          <w14:ligatures w14:val="none"/>
        </w:rPr>
        <w:t>and</w:t>
      </w:r>
      <w:r w:rsidRPr="006B4A66">
        <w:rPr>
          <w:rFonts w:ascii="Times New Roman" w:eastAsia="Calibri" w:hAnsi="Times New Roman" w:cs="Times New Roman"/>
          <w:color w:val="000000"/>
          <w:kern w:val="0"/>
          <w:sz w:val="24"/>
          <w14:ligatures w14:val="none"/>
        </w:rPr>
        <w:t>))</w:t>
      </w:r>
    </w:p>
    <w:p w14:paraId="20AD8A27" w14:textId="388E7965"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6.  The International Property Maintenance Code, ((</w:t>
      </w:r>
      <w:r w:rsidRPr="006B4A66">
        <w:rPr>
          <w:rFonts w:ascii="Times New Roman" w:eastAsia="Calibri" w:hAnsi="Times New Roman" w:cs="Times New Roman"/>
          <w:strike/>
          <w:color w:val="000000"/>
          <w:kern w:val="0"/>
          <w:sz w:val="24"/>
          <w14:ligatures w14:val="none"/>
        </w:rPr>
        <w:t>2018</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2021</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strike/>
          <w:color w:val="000000"/>
          <w:kern w:val="0"/>
          <w:sz w:val="24"/>
          <w14:ligatures w14:val="none"/>
        </w:rPr>
        <w:t>E</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u w:val="single"/>
          <w14:ligatures w14:val="none"/>
        </w:rPr>
        <w:t>e</w:t>
      </w:r>
      <w:r w:rsidRPr="006B4A66">
        <w:rPr>
          <w:rFonts w:ascii="Times New Roman" w:eastAsia="Calibri" w:hAnsi="Times New Roman" w:cs="Times New Roman"/>
          <w:color w:val="000000"/>
          <w:kern w:val="0"/>
          <w:sz w:val="24"/>
          <w14:ligatures w14:val="none"/>
        </w:rPr>
        <w:t xml:space="preserve">dition, </w:t>
      </w:r>
      <w:r w:rsidR="00A65F98">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 xml:space="preserve">effective </w:t>
      </w:r>
      <w:r w:rsidRPr="00A65F98">
        <w:rPr>
          <w:rFonts w:ascii="Times New Roman" w:eastAsia="Calibri" w:hAnsi="Times New Roman" w:cs="Times New Roman"/>
          <w:strike/>
          <w:color w:val="000000"/>
          <w:kern w:val="0"/>
          <w:sz w:val="24"/>
          <w14:ligatures w14:val="none"/>
        </w:rPr>
        <w:t>February 1, 2021</w:t>
      </w:r>
      <w:r w:rsidRPr="001216D4">
        <w:rPr>
          <w:rFonts w:ascii="Times New Roman" w:eastAsia="Calibri" w:hAnsi="Times New Roman" w:cs="Times New Roman"/>
          <w:strike/>
          <w:color w:val="000000"/>
          <w:kern w:val="0"/>
          <w:sz w:val="24"/>
          <w14:ligatures w14:val="none"/>
        </w:rPr>
        <w:t>, and referred to in this title as the "International Property Maintenance Code" or, when used in a citation, "IPMC</w:t>
      </w:r>
      <w:r w:rsidRPr="005B01D4">
        <w:rPr>
          <w:rFonts w:ascii="Times New Roman" w:eastAsia="Calibri" w:hAnsi="Times New Roman" w:cs="Times New Roman"/>
          <w:strike/>
          <w:color w:val="000000"/>
          <w:kern w:val="0"/>
          <w:sz w:val="24"/>
          <w14:ligatures w14:val="none"/>
        </w:rPr>
        <w:t>.</w:t>
      </w:r>
      <w:r w:rsidRPr="001216D4">
        <w:rPr>
          <w:rFonts w:ascii="Times New Roman" w:eastAsia="Calibri" w:hAnsi="Times New Roman" w:cs="Times New Roman"/>
          <w:strike/>
          <w:color w:val="000000"/>
          <w:kern w:val="0"/>
          <w:sz w:val="24"/>
          <w14:ligatures w14:val="none"/>
        </w:rPr>
        <w:t>"</w:t>
      </w:r>
      <w:r w:rsidR="005B01D4">
        <w:rPr>
          <w:rFonts w:ascii="Times New Roman" w:eastAsia="Calibri" w:hAnsi="Times New Roman" w:cs="Times New Roman"/>
          <w:color w:val="000000"/>
          <w:kern w:val="0"/>
          <w:sz w:val="24"/>
          <w14:ligatures w14:val="none"/>
        </w:rPr>
        <w:t>))</w:t>
      </w:r>
      <w:r w:rsidR="005B01D4">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w:t>
      </w:r>
    </w:p>
    <w:p w14:paraId="3C99BFA1" w14:textId="39A1B1BD" w:rsid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color w:val="000000"/>
          <w:kern w:val="0"/>
          <w:sz w:val="24"/>
          <w:u w:val="single"/>
          <w14:ligatures w14:val="none"/>
        </w:rPr>
        <w:t>7.  The Uniform Plumbing Code</w:t>
      </w:r>
      <w:r w:rsidR="00951483">
        <w:rPr>
          <w:rFonts w:ascii="Times New Roman" w:eastAsia="Calibri" w:hAnsi="Times New Roman" w:cs="Times New Roman"/>
          <w:color w:val="000000"/>
          <w:kern w:val="0"/>
          <w:sz w:val="24"/>
          <w:u w:val="single"/>
          <w14:ligatures w14:val="none"/>
        </w:rPr>
        <w:t xml:space="preserve"> (</w:t>
      </w:r>
      <w:r w:rsidR="00951483" w:rsidRPr="006B4A66">
        <w:rPr>
          <w:rFonts w:ascii="Times New Roman" w:eastAsia="Calibri" w:hAnsi="Times New Roman" w:cs="Times New Roman"/>
          <w:color w:val="000000"/>
          <w:kern w:val="0"/>
          <w:sz w:val="24"/>
          <w:u w:val="single"/>
          <w14:ligatures w14:val="none"/>
        </w:rPr>
        <w:t>"UPC"</w:t>
      </w:r>
      <w:r w:rsidR="00951483">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u w:val="single"/>
          <w14:ligatures w14:val="none"/>
        </w:rPr>
        <w:t xml:space="preserve">, </w:t>
      </w:r>
      <w:r w:rsidR="006D7FFD">
        <w:rPr>
          <w:rFonts w:ascii="Times New Roman" w:eastAsia="Calibri" w:hAnsi="Times New Roman" w:cs="Times New Roman"/>
          <w:color w:val="000000"/>
          <w:kern w:val="0"/>
          <w:sz w:val="24"/>
          <w:u w:val="single"/>
          <w14:ligatures w14:val="none"/>
        </w:rPr>
        <w:t>as adopted by K.C.C. 16.32.030</w:t>
      </w:r>
      <w:r w:rsidR="00B932C2">
        <w:rPr>
          <w:rFonts w:ascii="Times New Roman" w:eastAsia="Calibri" w:hAnsi="Times New Roman" w:cs="Times New Roman"/>
          <w:color w:val="000000"/>
          <w:kern w:val="0"/>
          <w:sz w:val="24"/>
          <w:u w:val="single"/>
          <w14:ligatures w14:val="none"/>
        </w:rPr>
        <w:t>;</w:t>
      </w:r>
      <w:r w:rsidR="00B6462A">
        <w:rPr>
          <w:rFonts w:ascii="Times New Roman" w:eastAsia="Calibri" w:hAnsi="Times New Roman" w:cs="Times New Roman"/>
          <w:color w:val="000000"/>
          <w:kern w:val="0"/>
          <w:sz w:val="24"/>
          <w:u w:val="single"/>
          <w14:ligatures w14:val="none"/>
        </w:rPr>
        <w:t xml:space="preserve"> and</w:t>
      </w:r>
    </w:p>
    <w:p w14:paraId="4E61095F" w14:textId="19981D9F" w:rsidR="00B932C2" w:rsidRPr="006B4A66" w:rsidRDefault="00B932C2"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 xml:space="preserve">  </w:t>
      </w:r>
      <w:r>
        <w:rPr>
          <w:rFonts w:ascii="Times New Roman" w:eastAsia="Calibri" w:hAnsi="Times New Roman" w:cs="Times New Roman"/>
          <w:color w:val="000000"/>
          <w:kern w:val="0"/>
          <w:sz w:val="24"/>
          <w:u w:val="single"/>
          <w14:ligatures w14:val="none"/>
        </w:rPr>
        <w:t>8</w:t>
      </w:r>
      <w:r w:rsidRPr="006B4A66">
        <w:rPr>
          <w:rFonts w:ascii="Times New Roman" w:eastAsia="Calibri" w:hAnsi="Times New Roman" w:cs="Times New Roman"/>
          <w:color w:val="000000"/>
          <w:kern w:val="0"/>
          <w:sz w:val="24"/>
          <w:u w:val="single"/>
          <w14:ligatures w14:val="none"/>
        </w:rPr>
        <w:t>.</w:t>
      </w:r>
      <w:r>
        <w:rPr>
          <w:rFonts w:ascii="Times New Roman" w:eastAsia="Calibri" w:hAnsi="Times New Roman" w:cs="Times New Roman"/>
          <w:color w:val="000000"/>
          <w:kern w:val="0"/>
          <w:sz w:val="24"/>
          <w:u w:val="single"/>
          <w14:ligatures w14:val="none"/>
        </w:rPr>
        <w:t xml:space="preserve">  The International Fire Code (</w:t>
      </w:r>
      <w:r w:rsidRPr="006B4A66">
        <w:rPr>
          <w:rFonts w:ascii="Times New Roman" w:eastAsia="Calibri" w:hAnsi="Times New Roman" w:cs="Times New Roman"/>
          <w:color w:val="000000"/>
          <w:kern w:val="0"/>
          <w:sz w:val="24"/>
          <w:u w:val="single"/>
          <w14:ligatures w14:val="none"/>
        </w:rPr>
        <w:t>"</w:t>
      </w:r>
      <w:r>
        <w:rPr>
          <w:rFonts w:ascii="Times New Roman" w:eastAsia="Calibri" w:hAnsi="Times New Roman" w:cs="Times New Roman"/>
          <w:color w:val="000000"/>
          <w:kern w:val="0"/>
          <w:sz w:val="24"/>
          <w:u w:val="single"/>
          <w14:ligatures w14:val="none"/>
        </w:rPr>
        <w:t>IF</w:t>
      </w:r>
      <w:r w:rsidRPr="006B4A66">
        <w:rPr>
          <w:rFonts w:ascii="Times New Roman" w:eastAsia="Calibri" w:hAnsi="Times New Roman" w:cs="Times New Roman"/>
          <w:color w:val="000000"/>
          <w:kern w:val="0"/>
          <w:sz w:val="24"/>
          <w:u w:val="single"/>
          <w14:ligatures w14:val="none"/>
        </w:rPr>
        <w:t>C"</w:t>
      </w:r>
      <w:r>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u w:val="single"/>
          <w14:ligatures w14:val="none"/>
        </w:rPr>
        <w:t xml:space="preserve">, </w:t>
      </w:r>
      <w:r>
        <w:rPr>
          <w:rFonts w:ascii="Times New Roman" w:eastAsia="Calibri" w:hAnsi="Times New Roman" w:cs="Times New Roman"/>
          <w:color w:val="000000"/>
          <w:kern w:val="0"/>
          <w:sz w:val="24"/>
          <w:u w:val="single"/>
          <w14:ligatures w14:val="none"/>
        </w:rPr>
        <w:t>as adopted by K.C.C. 1</w:t>
      </w:r>
      <w:r w:rsidR="00EE2C24">
        <w:rPr>
          <w:rFonts w:ascii="Times New Roman" w:eastAsia="Calibri" w:hAnsi="Times New Roman" w:cs="Times New Roman"/>
          <w:color w:val="000000"/>
          <w:kern w:val="0"/>
          <w:sz w:val="24"/>
          <w:u w:val="single"/>
          <w14:ligatures w14:val="none"/>
        </w:rPr>
        <w:t>7.04.010.</w:t>
      </w:r>
    </w:p>
    <w:p w14:paraId="7159459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B.  This code also may be further clarified and implemented with administrative rules adopted in accordance with K.C.C. chapter 2.98.</w:t>
      </w:r>
    </w:p>
    <w:p w14:paraId="2D221B81" w14:textId="5F0CC52A" w:rsidR="0035484E" w:rsidRDefault="0035484E"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2.</w:t>
      </w:r>
      <w:r w:rsidRPr="006B4A66">
        <w:rPr>
          <w:rFonts w:ascii="Times New Roman" w:eastAsia="Calibri" w:hAnsi="Times New Roman" w:cs="Times New Roman"/>
          <w:color w:val="000000"/>
          <w:kern w:val="0"/>
          <w:sz w:val="24"/>
          <w14:ligatures w14:val="none"/>
        </w:rPr>
        <w:t xml:space="preserve">  Ordinance </w:t>
      </w:r>
      <w:r w:rsidR="0093598A">
        <w:rPr>
          <w:rFonts w:ascii="Times New Roman" w:eastAsia="Calibri" w:hAnsi="Times New Roman" w:cs="Times New Roman"/>
          <w:color w:val="000000"/>
          <w:kern w:val="0"/>
          <w:sz w:val="24"/>
          <w14:ligatures w14:val="none"/>
        </w:rPr>
        <w:t>19485</w:t>
      </w:r>
      <w:r w:rsidRPr="006B4A66">
        <w:rPr>
          <w:rFonts w:ascii="Times New Roman" w:eastAsia="Calibri" w:hAnsi="Times New Roman" w:cs="Times New Roman"/>
          <w:color w:val="000000"/>
          <w:kern w:val="0"/>
          <w:sz w:val="24"/>
          <w14:ligatures w14:val="none"/>
        </w:rPr>
        <w:t xml:space="preserve">, Section </w:t>
      </w:r>
      <w:r w:rsidR="00F1333B">
        <w:rPr>
          <w:rFonts w:ascii="Times New Roman" w:eastAsia="Calibri" w:hAnsi="Times New Roman" w:cs="Times New Roman"/>
          <w:color w:val="000000"/>
          <w:kern w:val="0"/>
          <w:sz w:val="24"/>
          <w14:ligatures w14:val="none"/>
        </w:rPr>
        <w:t>4</w:t>
      </w:r>
      <w:r w:rsidRPr="006B4A66">
        <w:rPr>
          <w:rFonts w:ascii="Times New Roman" w:eastAsia="Calibri" w:hAnsi="Times New Roman" w:cs="Times New Roman"/>
          <w:color w:val="000000"/>
          <w:kern w:val="0"/>
          <w:sz w:val="24"/>
          <w14:ligatures w14:val="none"/>
        </w:rPr>
        <w:t>, and K.C.C. 16.02.1</w:t>
      </w:r>
      <w:r w:rsidR="00926284">
        <w:rPr>
          <w:rFonts w:ascii="Times New Roman" w:eastAsia="Calibri" w:hAnsi="Times New Roman" w:cs="Times New Roman"/>
          <w:color w:val="000000"/>
          <w:kern w:val="0"/>
          <w:sz w:val="24"/>
          <w14:ligatures w14:val="none"/>
        </w:rPr>
        <w:t>45</w:t>
      </w:r>
      <w:r w:rsidRPr="006B4A66">
        <w:rPr>
          <w:rFonts w:ascii="Times New Roman" w:eastAsia="Calibri" w:hAnsi="Times New Roman" w:cs="Times New Roman"/>
          <w:color w:val="000000"/>
          <w:kern w:val="0"/>
          <w:sz w:val="24"/>
          <w14:ligatures w14:val="none"/>
        </w:rPr>
        <w:t xml:space="preserve"> are hereby amended to read as follows:</w:t>
      </w:r>
    </w:p>
    <w:p w14:paraId="07F013D0" w14:textId="32414618" w:rsidR="0035484E" w:rsidRPr="0035484E" w:rsidRDefault="0035484E" w:rsidP="0073496A">
      <w:pPr>
        <w:tabs>
          <w:tab w:val="left" w:pos="720"/>
        </w:tabs>
        <w:spacing w:after="0" w:line="480" w:lineRule="auto"/>
        <w:rPr>
          <w:rFonts w:ascii="Times New Roman" w:eastAsia="Calibri" w:hAnsi="Times New Roman" w:cs="Times New Roman"/>
          <w:color w:val="000000"/>
          <w:kern w:val="0"/>
          <w:sz w:val="24"/>
          <w14:ligatures w14:val="none"/>
        </w:rPr>
      </w:pPr>
      <w:r w:rsidRPr="0035484E">
        <w:rPr>
          <w:rFonts w:ascii="Times New Roman" w:eastAsia="Calibri" w:hAnsi="Times New Roman" w:cs="Times New Roman"/>
          <w:color w:val="000000"/>
          <w:kern w:val="0"/>
          <w:sz w:val="24"/>
          <w14:ligatures w14:val="none"/>
        </w:rPr>
        <w:tab/>
        <w:t xml:space="preserve">Chapter 1 of the </w:t>
      </w:r>
      <w:r w:rsidR="00926284">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International</w:t>
      </w:r>
      <w:r w:rsidR="00926284">
        <w:rPr>
          <w:rFonts w:ascii="Times New Roman" w:eastAsia="Calibri" w:hAnsi="Times New Roman" w:cs="Times New Roman"/>
          <w:color w:val="000000"/>
          <w:kern w:val="0"/>
          <w:sz w:val="24"/>
          <w14:ligatures w14:val="none"/>
        </w:rPr>
        <w:t xml:space="preserve">)) </w:t>
      </w:r>
      <w:r w:rsidR="00926284">
        <w:rPr>
          <w:rFonts w:ascii="Times New Roman" w:eastAsia="Calibri" w:hAnsi="Times New Roman" w:cs="Times New Roman"/>
          <w:color w:val="000000"/>
          <w:kern w:val="0"/>
          <w:sz w:val="24"/>
          <w:u w:val="single"/>
          <w14:ligatures w14:val="none"/>
        </w:rPr>
        <w:t>Washington State</w:t>
      </w:r>
      <w:r w:rsidRPr="0035484E">
        <w:rPr>
          <w:rFonts w:ascii="Times New Roman" w:eastAsia="Calibri" w:hAnsi="Times New Roman" w:cs="Times New Roman"/>
          <w:color w:val="000000"/>
          <w:kern w:val="0"/>
          <w:sz w:val="24"/>
          <w14:ligatures w14:val="none"/>
        </w:rPr>
        <w:t xml:space="preserve"> Energy </w:t>
      </w:r>
      <w:r w:rsidR="00926284">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Conservation</w:t>
      </w:r>
      <w:r w:rsidR="00926284">
        <w:rPr>
          <w:rFonts w:ascii="Times New Roman" w:eastAsia="Calibri" w:hAnsi="Times New Roman" w:cs="Times New Roman"/>
          <w:color w:val="000000"/>
          <w:kern w:val="0"/>
          <w:sz w:val="24"/>
          <w14:ligatures w14:val="none"/>
        </w:rPr>
        <w:t>))</w:t>
      </w:r>
      <w:r w:rsidRPr="0035484E">
        <w:rPr>
          <w:rFonts w:ascii="Times New Roman" w:eastAsia="Calibri" w:hAnsi="Times New Roman" w:cs="Times New Roman"/>
          <w:color w:val="000000"/>
          <w:kern w:val="0"/>
          <w:sz w:val="24"/>
          <w14:ligatures w14:val="none"/>
        </w:rPr>
        <w:t xml:space="preserve"> Code is not adopted and Chapter 1 of the International Building Code as amended and supplemented in this chapter is substituted.</w:t>
      </w:r>
    </w:p>
    <w:p w14:paraId="2034B8A1" w14:textId="77777777" w:rsidR="0035484E" w:rsidRPr="0035484E" w:rsidRDefault="0035484E" w:rsidP="0073496A">
      <w:pPr>
        <w:tabs>
          <w:tab w:val="left" w:pos="720"/>
        </w:tabs>
        <w:spacing w:after="0" w:line="480" w:lineRule="auto"/>
        <w:rPr>
          <w:rFonts w:ascii="Times New Roman" w:eastAsia="Calibri" w:hAnsi="Times New Roman" w:cs="Times New Roman"/>
          <w:color w:val="000000"/>
          <w:kern w:val="0"/>
          <w:sz w:val="24"/>
          <w14:ligatures w14:val="none"/>
        </w:rPr>
      </w:pPr>
      <w:r w:rsidRPr="0035484E">
        <w:rPr>
          <w:rFonts w:ascii="Times New Roman" w:eastAsia="Calibri" w:hAnsi="Times New Roman" w:cs="Times New Roman"/>
          <w:color w:val="000000"/>
          <w:kern w:val="0"/>
          <w:sz w:val="24"/>
          <w14:ligatures w14:val="none"/>
        </w:rPr>
        <w:tab/>
        <w:t>EXCEPTIONS:</w:t>
      </w:r>
    </w:p>
    <w:p w14:paraId="219BB675" w14:textId="77777777" w:rsidR="0035484E" w:rsidRPr="0035484E" w:rsidRDefault="0035484E" w:rsidP="0073496A">
      <w:pPr>
        <w:tabs>
          <w:tab w:val="left" w:pos="720"/>
        </w:tabs>
        <w:spacing w:after="0" w:line="480" w:lineRule="auto"/>
        <w:rPr>
          <w:rFonts w:ascii="Times New Roman" w:eastAsia="Calibri" w:hAnsi="Times New Roman" w:cs="Times New Roman"/>
          <w:color w:val="000000"/>
          <w:kern w:val="0"/>
          <w:sz w:val="24"/>
          <w14:ligatures w14:val="none"/>
        </w:rPr>
      </w:pPr>
      <w:r w:rsidRPr="0035484E">
        <w:rPr>
          <w:rFonts w:ascii="Times New Roman" w:eastAsia="Calibri" w:hAnsi="Times New Roman" w:cs="Times New Roman"/>
          <w:color w:val="000000"/>
          <w:kern w:val="0"/>
          <w:sz w:val="24"/>
          <w14:ligatures w14:val="none"/>
        </w:rPr>
        <w:tab/>
        <w:t>A.  Mixed residential and commercial buildings (IECC C101.4.1);</w:t>
      </w:r>
    </w:p>
    <w:p w14:paraId="6DB3624B" w14:textId="77777777" w:rsidR="0035484E" w:rsidRPr="0035484E" w:rsidRDefault="0035484E" w:rsidP="0073496A">
      <w:pPr>
        <w:tabs>
          <w:tab w:val="left" w:pos="720"/>
        </w:tabs>
        <w:spacing w:after="0" w:line="480" w:lineRule="auto"/>
        <w:rPr>
          <w:rFonts w:ascii="Times New Roman" w:eastAsia="Calibri" w:hAnsi="Times New Roman" w:cs="Times New Roman"/>
          <w:color w:val="000000"/>
          <w:kern w:val="0"/>
          <w:sz w:val="24"/>
          <w14:ligatures w14:val="none"/>
        </w:rPr>
      </w:pPr>
      <w:r w:rsidRPr="0035484E">
        <w:rPr>
          <w:rFonts w:ascii="Times New Roman" w:eastAsia="Calibri" w:hAnsi="Times New Roman" w:cs="Times New Roman"/>
          <w:color w:val="000000"/>
          <w:kern w:val="0"/>
          <w:sz w:val="24"/>
          <w14:ligatures w14:val="none"/>
        </w:rPr>
        <w:tab/>
        <w:t>B.  Compliance (IECC C101.5);</w:t>
      </w:r>
    </w:p>
    <w:p w14:paraId="15CED581" w14:textId="77777777" w:rsidR="0035484E" w:rsidRPr="0035484E" w:rsidRDefault="0035484E" w:rsidP="0073496A">
      <w:pPr>
        <w:tabs>
          <w:tab w:val="left" w:pos="720"/>
        </w:tabs>
        <w:spacing w:after="0" w:line="480" w:lineRule="auto"/>
        <w:rPr>
          <w:rFonts w:ascii="Times New Roman" w:eastAsia="Calibri" w:hAnsi="Times New Roman" w:cs="Times New Roman"/>
          <w:color w:val="000000"/>
          <w:kern w:val="0"/>
          <w:sz w:val="24"/>
          <w14:ligatures w14:val="none"/>
        </w:rPr>
      </w:pPr>
      <w:r w:rsidRPr="0035484E">
        <w:rPr>
          <w:rFonts w:ascii="Times New Roman" w:eastAsia="Calibri" w:hAnsi="Times New Roman" w:cs="Times New Roman"/>
          <w:color w:val="000000"/>
          <w:kern w:val="0"/>
          <w:sz w:val="24"/>
          <w14:ligatures w14:val="none"/>
        </w:rPr>
        <w:tab/>
        <w:t>C.  Building documentation and close-out submittal requirements (IECC C103.6);</w:t>
      </w:r>
    </w:p>
    <w:p w14:paraId="3AE16BE3" w14:textId="77777777" w:rsidR="0035484E" w:rsidRPr="0035484E" w:rsidRDefault="0035484E" w:rsidP="0073496A">
      <w:pPr>
        <w:tabs>
          <w:tab w:val="left" w:pos="720"/>
        </w:tabs>
        <w:spacing w:after="0" w:line="480" w:lineRule="auto"/>
        <w:rPr>
          <w:rFonts w:ascii="Times New Roman" w:eastAsia="Calibri" w:hAnsi="Times New Roman" w:cs="Times New Roman"/>
          <w:color w:val="000000"/>
          <w:kern w:val="0"/>
          <w:sz w:val="24"/>
          <w14:ligatures w14:val="none"/>
        </w:rPr>
      </w:pPr>
      <w:r w:rsidRPr="0035484E">
        <w:rPr>
          <w:rFonts w:ascii="Times New Roman" w:eastAsia="Calibri" w:hAnsi="Times New Roman" w:cs="Times New Roman"/>
          <w:color w:val="000000"/>
          <w:kern w:val="0"/>
          <w:sz w:val="24"/>
          <w14:ligatures w14:val="none"/>
        </w:rPr>
        <w:tab/>
        <w:t>D.  Record documents (IECC C103.6.1);</w:t>
      </w:r>
    </w:p>
    <w:p w14:paraId="74F4BBE1" w14:textId="77777777" w:rsidR="0035484E" w:rsidRPr="0035484E" w:rsidRDefault="0035484E" w:rsidP="0073496A">
      <w:pPr>
        <w:tabs>
          <w:tab w:val="left" w:pos="720"/>
        </w:tabs>
        <w:spacing w:after="0" w:line="480" w:lineRule="auto"/>
        <w:rPr>
          <w:rFonts w:ascii="Times New Roman" w:eastAsia="Calibri" w:hAnsi="Times New Roman" w:cs="Times New Roman"/>
          <w:color w:val="000000"/>
          <w:kern w:val="0"/>
          <w:sz w:val="24"/>
          <w14:ligatures w14:val="none"/>
        </w:rPr>
      </w:pPr>
      <w:r w:rsidRPr="0035484E">
        <w:rPr>
          <w:rFonts w:ascii="Times New Roman" w:eastAsia="Calibri" w:hAnsi="Times New Roman" w:cs="Times New Roman"/>
          <w:color w:val="000000"/>
          <w:kern w:val="0"/>
          <w:sz w:val="24"/>
          <w14:ligatures w14:val="none"/>
        </w:rPr>
        <w:tab/>
        <w:t>E.  Building operations and maintenance information (IECC C103.6.2);</w:t>
      </w:r>
    </w:p>
    <w:p w14:paraId="6BD88D76" w14:textId="77777777" w:rsidR="0035484E" w:rsidRPr="0035484E" w:rsidRDefault="0035484E" w:rsidP="0073496A">
      <w:pPr>
        <w:tabs>
          <w:tab w:val="left" w:pos="720"/>
        </w:tabs>
        <w:spacing w:after="0" w:line="480" w:lineRule="auto"/>
        <w:rPr>
          <w:rFonts w:ascii="Times New Roman" w:eastAsia="Calibri" w:hAnsi="Times New Roman" w:cs="Times New Roman"/>
          <w:color w:val="000000"/>
          <w:kern w:val="0"/>
          <w:sz w:val="24"/>
          <w14:ligatures w14:val="none"/>
        </w:rPr>
      </w:pPr>
      <w:r w:rsidRPr="0035484E">
        <w:rPr>
          <w:rFonts w:ascii="Times New Roman" w:eastAsia="Calibri" w:hAnsi="Times New Roman" w:cs="Times New Roman"/>
          <w:color w:val="000000"/>
          <w:kern w:val="0"/>
          <w:sz w:val="24"/>
          <w14:ligatures w14:val="none"/>
        </w:rPr>
        <w:tab/>
        <w:t>F.  Manuals (IECC C103.6.2.1);</w:t>
      </w:r>
    </w:p>
    <w:p w14:paraId="6DB7E944" w14:textId="77777777" w:rsidR="0035484E" w:rsidRPr="0035484E" w:rsidRDefault="0035484E" w:rsidP="0073496A">
      <w:pPr>
        <w:tabs>
          <w:tab w:val="left" w:pos="720"/>
        </w:tabs>
        <w:spacing w:after="0" w:line="480" w:lineRule="auto"/>
        <w:rPr>
          <w:rFonts w:ascii="Times New Roman" w:eastAsia="Calibri" w:hAnsi="Times New Roman" w:cs="Times New Roman"/>
          <w:color w:val="000000"/>
          <w:kern w:val="0"/>
          <w:sz w:val="24"/>
          <w14:ligatures w14:val="none"/>
        </w:rPr>
      </w:pPr>
      <w:r w:rsidRPr="0035484E">
        <w:rPr>
          <w:rFonts w:ascii="Times New Roman" w:eastAsia="Calibri" w:hAnsi="Times New Roman" w:cs="Times New Roman"/>
          <w:color w:val="000000"/>
          <w:kern w:val="0"/>
          <w:sz w:val="24"/>
          <w14:ligatures w14:val="none"/>
        </w:rPr>
        <w:tab/>
        <w:t>G.  Compliance documentation (IECC C103.6.3);</w:t>
      </w:r>
    </w:p>
    <w:p w14:paraId="437CCA37" w14:textId="77777777" w:rsidR="0035484E" w:rsidRPr="0035484E" w:rsidRDefault="0035484E" w:rsidP="0073496A">
      <w:pPr>
        <w:tabs>
          <w:tab w:val="left" w:pos="720"/>
        </w:tabs>
        <w:spacing w:after="0" w:line="480" w:lineRule="auto"/>
        <w:rPr>
          <w:rFonts w:ascii="Times New Roman" w:eastAsia="Calibri" w:hAnsi="Times New Roman" w:cs="Times New Roman"/>
          <w:color w:val="000000"/>
          <w:kern w:val="0"/>
          <w:sz w:val="24"/>
          <w14:ligatures w14:val="none"/>
        </w:rPr>
      </w:pPr>
      <w:r w:rsidRPr="0035484E">
        <w:rPr>
          <w:rFonts w:ascii="Times New Roman" w:eastAsia="Calibri" w:hAnsi="Times New Roman" w:cs="Times New Roman"/>
          <w:color w:val="000000"/>
          <w:kern w:val="0"/>
          <w:sz w:val="24"/>
          <w14:ligatures w14:val="none"/>
        </w:rPr>
        <w:tab/>
        <w:t>H.  Systems operation training (IECC C103.6.4); and</w:t>
      </w:r>
    </w:p>
    <w:p w14:paraId="0B2A16C6" w14:textId="6945412F" w:rsidR="0035484E" w:rsidRDefault="0035484E" w:rsidP="0073496A">
      <w:pPr>
        <w:tabs>
          <w:tab w:val="left" w:pos="720"/>
        </w:tabs>
        <w:spacing w:after="0" w:line="480" w:lineRule="auto"/>
        <w:rPr>
          <w:rFonts w:ascii="Times New Roman" w:eastAsia="Calibri" w:hAnsi="Times New Roman" w:cs="Times New Roman"/>
          <w:color w:val="000000"/>
          <w:kern w:val="0"/>
          <w:sz w:val="24"/>
          <w14:ligatures w14:val="none"/>
        </w:rPr>
      </w:pPr>
      <w:r w:rsidRPr="0035484E">
        <w:rPr>
          <w:rFonts w:ascii="Times New Roman" w:eastAsia="Calibri" w:hAnsi="Times New Roman" w:cs="Times New Roman"/>
          <w:color w:val="000000"/>
          <w:kern w:val="0"/>
          <w:sz w:val="24"/>
          <w14:ligatures w14:val="none"/>
        </w:rPr>
        <w:lastRenderedPageBreak/>
        <w:tab/>
        <w:t xml:space="preserve">I.  </w:t>
      </w:r>
      <w:r w:rsidR="00BA1321">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International</w:t>
      </w:r>
      <w:r w:rsidR="00BA1321">
        <w:rPr>
          <w:rFonts w:ascii="Times New Roman" w:eastAsia="Calibri" w:hAnsi="Times New Roman" w:cs="Times New Roman"/>
          <w:color w:val="000000"/>
          <w:kern w:val="0"/>
          <w:sz w:val="24"/>
          <w14:ligatures w14:val="none"/>
        </w:rPr>
        <w:t xml:space="preserve">)) </w:t>
      </w:r>
      <w:r w:rsidR="00BA1321">
        <w:rPr>
          <w:rFonts w:ascii="Times New Roman" w:eastAsia="Calibri" w:hAnsi="Times New Roman" w:cs="Times New Roman"/>
          <w:color w:val="000000"/>
          <w:kern w:val="0"/>
          <w:sz w:val="24"/>
          <w:u w:val="single"/>
          <w14:ligatures w14:val="none"/>
        </w:rPr>
        <w:t>Washington State</w:t>
      </w:r>
      <w:r w:rsidRPr="0035484E">
        <w:rPr>
          <w:rFonts w:ascii="Times New Roman" w:eastAsia="Calibri" w:hAnsi="Times New Roman" w:cs="Times New Roman"/>
          <w:color w:val="000000"/>
          <w:kern w:val="0"/>
          <w:sz w:val="24"/>
          <w14:ligatures w14:val="none"/>
        </w:rPr>
        <w:t xml:space="preserve"> Energy </w:t>
      </w:r>
      <w:r w:rsidR="00BA1321">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Conservation</w:t>
      </w:r>
      <w:r w:rsidR="00BA1321">
        <w:rPr>
          <w:rFonts w:ascii="Times New Roman" w:eastAsia="Calibri" w:hAnsi="Times New Roman" w:cs="Times New Roman"/>
          <w:color w:val="000000"/>
          <w:kern w:val="0"/>
          <w:sz w:val="24"/>
          <w14:ligatures w14:val="none"/>
        </w:rPr>
        <w:t>))</w:t>
      </w:r>
      <w:r w:rsidRPr="0035484E">
        <w:rPr>
          <w:rFonts w:ascii="Times New Roman" w:eastAsia="Calibri" w:hAnsi="Times New Roman" w:cs="Times New Roman"/>
          <w:color w:val="000000"/>
          <w:kern w:val="0"/>
          <w:sz w:val="24"/>
          <w14:ligatures w14:val="none"/>
        </w:rPr>
        <w:t xml:space="preserve"> Code Sections as amended and supplemented in this title.</w:t>
      </w:r>
    </w:p>
    <w:p w14:paraId="08CEFA30" w14:textId="0B2C839E"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3.</w:t>
      </w:r>
      <w:r w:rsidRPr="006B4A66">
        <w:rPr>
          <w:rFonts w:ascii="Times New Roman" w:eastAsia="Calibri" w:hAnsi="Times New Roman" w:cs="Times New Roman"/>
          <w:color w:val="000000"/>
          <w:kern w:val="0"/>
          <w:sz w:val="24"/>
          <w14:ligatures w14:val="none"/>
        </w:rPr>
        <w:t xml:space="preserve">  Ordinance 14914, Section 9, as amended, and K.C.C. 16.02.150 are hereby amended to read as follows:</w:t>
      </w:r>
    </w:p>
    <w:p w14:paraId="0760B89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101.1 of the International Building Code is not adopted and the following is substituted:</w:t>
      </w:r>
    </w:p>
    <w:p w14:paraId="24953DD6" w14:textId="07F4D798"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tab/>
        <w:t xml:space="preserve">Title (IBC 101.1). </w:t>
      </w:r>
      <w:r w:rsidRPr="006B4A66">
        <w:rPr>
          <w:rFonts w:ascii="Times New Roman" w:eastAsia="Calibri" w:hAnsi="Times New Roman" w:cs="Times New Roman"/>
          <w:color w:val="000000"/>
          <w:kern w:val="0"/>
          <w:sz w:val="24"/>
          <w14:ligatures w14:val="none"/>
        </w:rPr>
        <w:t xml:space="preserve"> These regulations shall be known as the </w:t>
      </w:r>
      <w:r w:rsidR="006436A4">
        <w:rPr>
          <w:rFonts w:ascii="Times New Roman" w:eastAsia="Calibri" w:hAnsi="Times New Roman" w:cs="Times New Roman"/>
          <w:color w:val="000000"/>
          <w:kern w:val="0"/>
          <w:sz w:val="24"/>
          <w14:ligatures w14:val="none"/>
        </w:rPr>
        <w:t>King County</w:t>
      </w:r>
      <w:r w:rsidR="006436A4">
        <w:rPr>
          <w:rFonts w:ascii="Times New Roman" w:eastAsia="Calibri" w:hAnsi="Times New Roman" w:cs="Times New Roman"/>
          <w:color w:val="000000"/>
          <w:kern w:val="0"/>
          <w:sz w:val="24"/>
          <w:u w:val="single"/>
          <w14:ligatures w14:val="none"/>
        </w:rPr>
        <w:t xml:space="preserve"> </w:t>
      </w:r>
      <w:r w:rsidRPr="006B4A66">
        <w:rPr>
          <w:rFonts w:ascii="Times New Roman" w:eastAsia="Calibri" w:hAnsi="Times New Roman" w:cs="Times New Roman"/>
          <w:color w:val="000000"/>
          <w:kern w:val="0"/>
          <w:sz w:val="24"/>
          <w14:ligatures w14:val="none"/>
        </w:rPr>
        <w:t xml:space="preserve">Building Codes </w:t>
      </w:r>
      <w:r w:rsidR="006436A4">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of King County</w:t>
      </w:r>
      <w:r w:rsidR="006436A4">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14:ligatures w14:val="none"/>
        </w:rPr>
        <w:t>.  These codes ((</w:t>
      </w:r>
      <w:r w:rsidRPr="006B4A66">
        <w:rPr>
          <w:rFonts w:ascii="Times New Roman" w:eastAsia="Calibri" w:hAnsi="Times New Roman" w:cs="Times New Roman"/>
          <w:strike/>
          <w:color w:val="000000"/>
          <w:kern w:val="0"/>
          <w:sz w:val="24"/>
          <w14:ligatures w14:val="none"/>
        </w:rPr>
        <w:t>are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include</w:t>
      </w:r>
      <w:r w:rsidRPr="006B4A66">
        <w:rPr>
          <w:rFonts w:ascii="Times New Roman" w:eastAsia="Calibri" w:hAnsi="Times New Roman" w:cs="Times New Roman"/>
          <w:color w:val="000000"/>
          <w:kern w:val="0"/>
          <w:sz w:val="24"/>
          <w14:ligatures w14:val="none"/>
        </w:rPr>
        <w:t xml:space="preserve"> the International Building Code (IBC), the International Residential Code (IRC), the ((</w:t>
      </w:r>
      <w:r w:rsidRPr="006B4A66">
        <w:rPr>
          <w:rFonts w:ascii="Times New Roman" w:eastAsia="Calibri" w:hAnsi="Times New Roman" w:cs="Times New Roman"/>
          <w:strike/>
          <w:color w:val="000000"/>
          <w:kern w:val="0"/>
          <w:sz w:val="24"/>
          <w14:ligatures w14:val="none"/>
        </w:rPr>
        <w:t>International Energy Conservation Code (IECC)</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Washington State Energy Code (WSEC)</w:t>
      </w:r>
      <w:r w:rsidRPr="006B4A66">
        <w:rPr>
          <w:rFonts w:ascii="Times New Roman" w:eastAsia="Calibri" w:hAnsi="Times New Roman" w:cs="Times New Roman"/>
          <w:color w:val="000000"/>
          <w:kern w:val="0"/>
          <w:sz w:val="24"/>
          <w14:ligatures w14:val="none"/>
        </w:rPr>
        <w:t>, the International Mechanical Code (IMC), the International Existing Building Code (IEBC), the International Property Maintenance Code (IPMC), the Uniform Plumbing Code ((</w:t>
      </w:r>
      <w:r w:rsidRPr="006B4A66">
        <w:rPr>
          <w:rFonts w:ascii="Times New Roman" w:eastAsia="Calibri" w:hAnsi="Times New Roman" w:cs="Times New Roman"/>
          <w:strike/>
          <w:color w:val="000000"/>
          <w:kern w:val="0"/>
          <w:sz w:val="24"/>
          <w14:ligatures w14:val="none"/>
        </w:rPr>
        <w:t xml:space="preserve"> the King County Building Security Code (K.C.C. chapter 16.10)</w:t>
      </w:r>
      <w:r w:rsidRPr="006B4A66">
        <w:rPr>
          <w:rFonts w:ascii="Times New Roman" w:eastAsia="Calibri" w:hAnsi="Times New Roman" w:cs="Times New Roman"/>
          <w:color w:val="000000"/>
          <w:kern w:val="0"/>
          <w:sz w:val="24"/>
          <w14:ligatures w14:val="none"/>
        </w:rPr>
        <w:t>)),</w:t>
      </w:r>
      <w:r w:rsidR="00935F1F" w:rsidRPr="00BD15DC">
        <w:rPr>
          <w:rFonts w:ascii="Times New Roman" w:eastAsia="Calibri" w:hAnsi="Times New Roman" w:cs="Times New Roman"/>
          <w:color w:val="000000"/>
          <w:kern w:val="0"/>
          <w:sz w:val="24"/>
          <w14:ligatures w14:val="none"/>
        </w:rPr>
        <w:t xml:space="preserve"> </w:t>
      </w:r>
      <w:r w:rsidR="00935F1F" w:rsidRPr="006B4A66">
        <w:rPr>
          <w:rFonts w:ascii="Times New Roman" w:eastAsia="Calibri" w:hAnsi="Times New Roman" w:cs="Times New Roman"/>
          <w:color w:val="000000"/>
          <w:kern w:val="0"/>
          <w:sz w:val="24"/>
          <w:u w:val="single"/>
          <w14:ligatures w14:val="none"/>
        </w:rPr>
        <w:t>all as adopted in K.C.C. Title 16</w:t>
      </w:r>
      <w:r w:rsidR="00947B3E">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and the International Fire Code (IFC)((</w:t>
      </w:r>
      <w:r w:rsidRPr="006B4A66">
        <w:rPr>
          <w:rFonts w:ascii="Times New Roman" w:eastAsia="Calibri" w:hAnsi="Times New Roman" w:cs="Times New Roman"/>
          <w:strike/>
          <w:color w:val="000000"/>
          <w:kern w:val="0"/>
          <w:sz w:val="24"/>
          <w14:ligatures w14:val="none"/>
        </w:rPr>
        <w:t>,</w:t>
      </w:r>
      <w:r w:rsidRPr="006B4A66">
        <w:rPr>
          <w:rFonts w:ascii="Times New Roman" w:eastAsia="Calibri" w:hAnsi="Times New Roman" w:cs="Times New Roman"/>
          <w:color w:val="000000"/>
          <w:kern w:val="0"/>
          <w:sz w:val="24"/>
          <w14:ligatures w14:val="none"/>
        </w:rPr>
        <w:t>)) as adopted in K.C.C. Title 17.</w:t>
      </w:r>
    </w:p>
    <w:p w14:paraId="0C720633" w14:textId="45C203B6"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4.</w:t>
      </w:r>
      <w:r w:rsidRPr="006B4A66">
        <w:rPr>
          <w:rFonts w:ascii="Times New Roman" w:eastAsia="Calibri" w:hAnsi="Times New Roman" w:cs="Times New Roman"/>
          <w:color w:val="000000"/>
          <w:kern w:val="0"/>
          <w:sz w:val="24"/>
          <w14:ligatures w14:val="none"/>
        </w:rPr>
        <w:t xml:space="preserve">  Ordinance 15802, Section 5, as amended, and K.C.C. 16.02.152 are hereby amended to read as follows:</w:t>
      </w:r>
    </w:p>
    <w:p w14:paraId="0D6482A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101.2 of the International Building Code is not adopted and the following is substituted:</w:t>
      </w:r>
    </w:p>
    <w:p w14:paraId="63F44BD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 xml:space="preserve">Scope </w:t>
      </w:r>
      <w:r w:rsidRPr="006B4A66">
        <w:rPr>
          <w:rFonts w:ascii="Times New Roman" w:eastAsia="Calibri" w:hAnsi="Times New Roman" w:cs="Times New Roman"/>
          <w:b/>
          <w:color w:val="000000"/>
          <w:kern w:val="0"/>
          <w:sz w:val="24"/>
          <w14:ligatures w14:val="none"/>
        </w:rPr>
        <w:t>(IBC 101.2).</w:t>
      </w:r>
      <w:r w:rsidRPr="006B4A66">
        <w:rPr>
          <w:rFonts w:ascii="Times New Roman" w:eastAsia="Calibri" w:hAnsi="Times New Roman" w:cs="Times New Roman"/>
          <w:color w:val="000000"/>
          <w:kern w:val="0"/>
          <w:sz w:val="24"/>
          <w14:ligatures w14:val="none"/>
        </w:rPr>
        <w:t xml:space="preserve">  The provisions of this code shall apply to the construction, alteration, movement, enlargement, replacement, repair, equipment, use and occupancy, location, maintenance, removal</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and demolition of every building or structure or any appurtenances connected or attached to such buildings or structures.</w:t>
      </w:r>
    </w:p>
    <w:p w14:paraId="2E0EE395" w14:textId="77777777" w:rsidR="006B4A66" w:rsidRPr="006B4A66" w:rsidRDefault="006B4A66" w:rsidP="0073496A">
      <w:pPr>
        <w:tabs>
          <w:tab w:val="left" w:pos="720"/>
        </w:tabs>
        <w:spacing w:after="0" w:line="480" w:lineRule="auto"/>
        <w:rPr>
          <w:rFonts w:ascii="Times New Roman" w:eastAsia="Calibri" w:hAnsi="Times New Roman" w:cs="Times New Roman"/>
          <w:b/>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color w:val="000000"/>
          <w:kern w:val="0"/>
          <w:sz w:val="24"/>
          <w14:ligatures w14:val="none"/>
        </w:rPr>
        <w:t>EXCEPTIONS:</w:t>
      </w:r>
    </w:p>
    <w:p w14:paraId="0C3D888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lastRenderedPageBreak/>
        <w:tab/>
      </w:r>
      <w:r w:rsidRPr="006B4A66">
        <w:rPr>
          <w:rFonts w:ascii="Times New Roman" w:eastAsia="Calibri" w:hAnsi="Times New Roman" w:cs="Times New Roman"/>
          <w:color w:val="000000"/>
          <w:kern w:val="0"/>
          <w:sz w:val="24"/>
          <w14:ligatures w14:val="none"/>
        </w:rPr>
        <w:t xml:space="preserve">1.  </w:t>
      </w:r>
      <w:bookmarkStart w:id="0" w:name="51-51-0101"/>
      <w:r w:rsidRPr="006B4A66">
        <w:rPr>
          <w:rFonts w:ascii="Times New Roman" w:eastAsia="Calibri" w:hAnsi="Times New Roman" w:cs="Times New Roman"/>
          <w:color w:val="000000"/>
          <w:kern w:val="0"/>
          <w:sz w:val="24"/>
          <w14:ligatures w14:val="none"/>
        </w:rPr>
        <w:t>The provisions of the International Residential Code apply to the following:</w:t>
      </w:r>
    </w:p>
    <w:p w14:paraId="2FAA40E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 xml:space="preserve">  1.1.  The construction, alteration, movement, enlargement, replacement, repair, equipment, use and occupancy, location, removal</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and demolition of detached one- and two-family dwellings and townhouses</w:t>
      </w:r>
      <w:r w:rsidRPr="006B4A66">
        <w:rPr>
          <w:rFonts w:ascii="Times New Roman" w:eastAsia="Calibri" w:hAnsi="Times New Roman" w:cs="Times New Roman"/>
          <w:strike/>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not more than three stories in height above grade plane with a separate means of egress</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and their accessory structures ((</w:t>
      </w:r>
      <w:r w:rsidRPr="006B4A66">
        <w:rPr>
          <w:rFonts w:ascii="Times New Roman" w:eastAsia="Calibri" w:hAnsi="Times New Roman" w:cs="Times New Roman"/>
          <w:strike/>
          <w:color w:val="000000"/>
          <w:kern w:val="0"/>
          <w:sz w:val="24"/>
          <w14:ligatures w14:val="none"/>
        </w:rPr>
        <w:t>, including adult family homes, foster family care homes, and family day care homes licensed by the Washington state Department of Social and Health Services</w:t>
      </w:r>
      <w:bookmarkEnd w:id="0"/>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not more than three stories in height above grade plane</w:t>
      </w:r>
      <w:r w:rsidRPr="006B4A66">
        <w:rPr>
          <w:rFonts w:ascii="Times New Roman" w:eastAsia="Calibri" w:hAnsi="Times New Roman" w:cs="Times New Roman"/>
          <w:color w:val="000000"/>
          <w:kern w:val="0"/>
          <w:sz w:val="24"/>
          <w14:ligatures w14:val="none"/>
        </w:rPr>
        <w:t>.</w:t>
      </w:r>
    </w:p>
    <w:p w14:paraId="3188FD24" w14:textId="13D50983"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1.2.  Detached residential accessory structures that are used for home occupations or home industries that include offices, mercantile, food preparation for off-site consumption, personal care salons</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and similar uses, if the home occupation or home industry is subordinate to the primary residential use ((</w:t>
      </w:r>
      <w:r w:rsidRPr="006B4A66">
        <w:rPr>
          <w:rFonts w:ascii="Times New Roman" w:eastAsia="Calibri" w:hAnsi="Times New Roman" w:cs="Times New Roman"/>
          <w:strike/>
          <w:color w:val="000000"/>
          <w:kern w:val="0"/>
          <w:sz w:val="24"/>
          <w14:ligatures w14:val="none"/>
        </w:rPr>
        <w:t>of the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on</w:t>
      </w:r>
      <w:r w:rsidRPr="006B4A66">
        <w:rPr>
          <w:rFonts w:ascii="Times New Roman" w:eastAsia="Calibri" w:hAnsi="Times New Roman" w:cs="Times New Roman"/>
          <w:color w:val="000000"/>
          <w:kern w:val="0"/>
          <w:sz w:val="24"/>
          <w14:ligatures w14:val="none"/>
        </w:rPr>
        <w:t xml:space="preserve"> site and the </w:t>
      </w:r>
      <w:r w:rsidR="00F714FF">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total</w:t>
      </w:r>
      <w:r w:rsidR="00F714FF">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cumulative floor area devoted to the home occupation or home industry in each detached accessory structure </w:t>
      </w:r>
      <w:r w:rsidR="008F574A">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on-site</w:t>
      </w:r>
      <w:r w:rsidR="008F574A">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is less than or equal to 500 square feet (46.5 (</w:t>
      </w:r>
      <w:r w:rsidRPr="006B4A66">
        <w:rPr>
          <w:rFonts w:ascii="Times New Roman" w:eastAsia="Calibri" w:hAnsi="Times New Roman" w:cs="Times New Roman"/>
          <w:strike/>
          <w:color w:val="000000"/>
          <w:kern w:val="0"/>
          <w:sz w:val="24"/>
          <w14:ligatures w14:val="none"/>
        </w:rPr>
        <w:t>(m2</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square meters</w:t>
      </w:r>
      <w:r w:rsidRPr="006B4A66">
        <w:rPr>
          <w:rFonts w:ascii="Times New Roman" w:eastAsia="Calibri" w:hAnsi="Times New Roman" w:cs="Times New Roman"/>
          <w:color w:val="000000"/>
          <w:kern w:val="0"/>
          <w:sz w:val="24"/>
          <w14:ligatures w14:val="none"/>
        </w:rPr>
        <w:t>).</w:t>
      </w:r>
    </w:p>
    <w:p w14:paraId="6F642764" w14:textId="3F15499D"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1.3.  Live/work units located in townhouses and complying with the requirements of ((</w:t>
      </w:r>
      <w:r w:rsidRPr="006B4A66">
        <w:rPr>
          <w:rFonts w:ascii="Times New Roman" w:eastAsia="Calibri" w:hAnsi="Times New Roman" w:cs="Times New Roman"/>
          <w:strike/>
          <w:color w:val="000000"/>
          <w:kern w:val="0"/>
          <w:sz w:val="24"/>
          <w14:ligatures w14:val="none"/>
        </w:rPr>
        <w:t xml:space="preserve">IBC 419.  Fire suppression </w:t>
      </w:r>
      <w:r w:rsidRPr="006B4A66">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508.5 of the IBC.</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An automatic sprinkler system</w:t>
      </w:r>
      <w:r w:rsidRPr="006B4A66">
        <w:rPr>
          <w:rFonts w:ascii="Times New Roman" w:eastAsia="Calibri" w:hAnsi="Times New Roman" w:cs="Times New Roman"/>
          <w:color w:val="000000"/>
          <w:kern w:val="0"/>
          <w:sz w:val="24"/>
          <w14:ligatures w14:val="none"/>
        </w:rPr>
        <w:t xml:space="preserve"> required by ((</w:t>
      </w:r>
      <w:r w:rsidRPr="006B4A66">
        <w:rPr>
          <w:rFonts w:ascii="Times New Roman" w:eastAsia="Calibri" w:hAnsi="Times New Roman" w:cs="Times New Roman"/>
          <w:strike/>
          <w:color w:val="000000"/>
          <w:kern w:val="0"/>
          <w:sz w:val="24"/>
          <w14:ligatures w14:val="none"/>
        </w:rPr>
        <w:t>IBC 419.5 when</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508.5.7 of the IBC where</w:t>
      </w:r>
      <w:r w:rsidRPr="006B4A66">
        <w:rPr>
          <w:rFonts w:ascii="Times New Roman" w:eastAsia="Calibri" w:hAnsi="Times New Roman" w:cs="Times New Roman"/>
          <w:color w:val="000000"/>
          <w:kern w:val="0"/>
          <w:sz w:val="24"/>
          <w14:ligatures w14:val="none"/>
        </w:rPr>
        <w:t xml:space="preserve"> constructed under the ((</w:t>
      </w:r>
      <w:r w:rsidRPr="006B4A66">
        <w:rPr>
          <w:rFonts w:ascii="Times New Roman" w:eastAsia="Calibri" w:hAnsi="Times New Roman" w:cs="Times New Roman"/>
          <w:strike/>
          <w:color w:val="000000"/>
          <w:kern w:val="0"/>
          <w:sz w:val="24"/>
          <w14:ligatures w14:val="none"/>
        </w:rPr>
        <w:t>International Residential Code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IRC</w:t>
      </w:r>
      <w:r w:rsidRPr="006B4A66">
        <w:rPr>
          <w:rFonts w:ascii="Times New Roman" w:eastAsia="Calibri" w:hAnsi="Times New Roman" w:cs="Times New Roman"/>
          <w:color w:val="000000"/>
          <w:kern w:val="0"/>
          <w:sz w:val="24"/>
          <w14:ligatures w14:val="none"/>
        </w:rPr>
        <w:t xml:space="preserve"> shall conform to Appendix </w:t>
      </w:r>
      <w:r w:rsidR="00313D67">
        <w:rPr>
          <w:rFonts w:ascii="Times New Roman" w:eastAsia="Calibri" w:hAnsi="Times New Roman" w:cs="Times New Roman"/>
          <w:color w:val="000000"/>
          <w:kern w:val="0"/>
          <w:sz w:val="24"/>
          <w:u w:val="single"/>
          <w14:ligatures w14:val="none"/>
        </w:rPr>
        <w:t>AW</w:t>
      </w:r>
      <w:r w:rsidRPr="006B4A66">
        <w:rPr>
          <w:rFonts w:ascii="Times New Roman" w:eastAsia="Calibri" w:hAnsi="Times New Roman" w:cs="Times New Roman"/>
          <w:color w:val="000000"/>
          <w:kern w:val="0"/>
          <w:sz w:val="24"/>
          <w14:ligatures w14:val="none"/>
        </w:rPr>
        <w:t>U ((</w:t>
      </w:r>
      <w:r w:rsidRPr="006B4A66">
        <w:rPr>
          <w:rFonts w:ascii="Times New Roman" w:eastAsia="Calibri" w:hAnsi="Times New Roman" w:cs="Times New Roman"/>
          <w:strike/>
          <w:color w:val="000000"/>
          <w:kern w:val="0"/>
          <w:sz w:val="24"/>
          <w14:ligatures w14:val="none"/>
        </w:rPr>
        <w:t>- Dwelling unit fire sprinkler systems, as adopted in chapter 51-51 WAC</w:t>
      </w:r>
      <w:r w:rsidRPr="006B4A66">
        <w:rPr>
          <w:rFonts w:ascii="Times New Roman" w:eastAsia="Calibri" w:hAnsi="Times New Roman" w:cs="Times New Roman"/>
          <w:color w:val="000000"/>
          <w:kern w:val="0"/>
          <w:sz w:val="24"/>
          <w14:ligatures w14:val="none"/>
        </w:rPr>
        <w:t>)).</w:t>
      </w:r>
    </w:p>
    <w:p w14:paraId="704814F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1.4.  Owner-occupied lodging houses with one or two guestrooms.</w:t>
      </w:r>
    </w:p>
    <w:p w14:paraId="18587E3B" w14:textId="6D240668"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 xml:space="preserve">  1.5.  Owner-occupied lodging houses with three to five guestrooms ((</w:t>
      </w:r>
      <w:r w:rsidRPr="006B4A66">
        <w:rPr>
          <w:rFonts w:ascii="Times New Roman" w:eastAsia="Calibri" w:hAnsi="Times New Roman" w:cs="Times New Roman"/>
          <w:strike/>
          <w:color w:val="000000"/>
          <w:kern w:val="0"/>
          <w:sz w:val="24"/>
          <w14:ligatures w14:val="none"/>
        </w:rPr>
        <w:t>where</w:t>
      </w:r>
      <w:r w:rsidRPr="006B4A66">
        <w:rPr>
          <w:rFonts w:ascii="Times New Roman" w:eastAsia="Calibri" w:hAnsi="Times New Roman" w:cs="Times New Roman"/>
          <w:color w:val="000000"/>
          <w:kern w:val="0"/>
          <w:sz w:val="24"/>
          <w14:ligatures w14:val="none"/>
        </w:rPr>
        <w:t>)) equipped with a</w:t>
      </w:r>
      <w:r w:rsidRPr="006B4A66">
        <w:rPr>
          <w:rFonts w:ascii="Times New Roman" w:eastAsia="Calibri" w:hAnsi="Times New Roman" w:cs="Times New Roman"/>
          <w:color w:val="000000"/>
          <w:kern w:val="0"/>
          <w:sz w:val="24"/>
          <w:u w:val="single"/>
          <w14:ligatures w14:val="none"/>
        </w:rPr>
        <w:t>n automatic</w:t>
      </w:r>
      <w:r w:rsidRPr="006B4A66">
        <w:rPr>
          <w:rFonts w:ascii="Times New Roman" w:eastAsia="Calibri" w:hAnsi="Times New Roman" w:cs="Times New Roman"/>
          <w:color w:val="000000"/>
          <w:kern w:val="0"/>
          <w:sz w:val="24"/>
          <w14:ligatures w14:val="none"/>
        </w:rPr>
        <w:t xml:space="preserve"> fire sprinkler system in accordance with Appendix </w:t>
      </w:r>
      <w:r w:rsidR="00995AC9">
        <w:rPr>
          <w:rFonts w:ascii="Times New Roman" w:eastAsia="Calibri" w:hAnsi="Times New Roman" w:cs="Times New Roman"/>
          <w:color w:val="000000"/>
          <w:kern w:val="0"/>
          <w:sz w:val="24"/>
          <w:u w:val="single"/>
          <w14:ligatures w14:val="none"/>
        </w:rPr>
        <w:t>AW</w:t>
      </w:r>
      <w:r w:rsidRPr="006B4A66">
        <w:rPr>
          <w:rFonts w:ascii="Times New Roman" w:eastAsia="Calibri" w:hAnsi="Times New Roman" w:cs="Times New Roman"/>
          <w:color w:val="000000"/>
          <w:kern w:val="0"/>
          <w:sz w:val="24"/>
          <w14:ligatures w14:val="none"/>
        </w:rPr>
        <w:t>U ((</w:t>
      </w:r>
      <w:r w:rsidRPr="006B4A66">
        <w:rPr>
          <w:rFonts w:ascii="Times New Roman" w:eastAsia="Calibri" w:hAnsi="Times New Roman" w:cs="Times New Roman"/>
          <w:strike/>
          <w:color w:val="000000"/>
          <w:kern w:val="0"/>
          <w:sz w:val="24"/>
          <w14:ligatures w14:val="none"/>
        </w:rPr>
        <w:t>- Dwelling unit fire sprinkler systems, as adopted in chapter 51-51 WAC</w:t>
      </w:r>
      <w:r w:rsidRPr="006B4A66">
        <w:rPr>
          <w:rFonts w:ascii="Times New Roman" w:eastAsia="Calibri" w:hAnsi="Times New Roman" w:cs="Times New Roman"/>
          <w:color w:val="000000"/>
          <w:kern w:val="0"/>
          <w:sz w:val="24"/>
          <w14:ligatures w14:val="none"/>
        </w:rPr>
        <w:t>)).</w:t>
      </w:r>
    </w:p>
    <w:p w14:paraId="70746726" w14:textId="77777777" w:rsidR="00C95283"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color w:val="000000"/>
          <w:kern w:val="0"/>
          <w:sz w:val="24"/>
          <w:u w:val="single"/>
          <w14:ligatures w14:val="none"/>
        </w:rPr>
        <w:t xml:space="preserve">1.6.  A care facility with five or fewer persons receiving custodial care within a dwelling unit equipped with a fire sprinkler system in accordance with Appendix </w:t>
      </w:r>
      <w:r w:rsidR="00995AC9">
        <w:rPr>
          <w:rFonts w:ascii="Times New Roman" w:eastAsia="Calibri" w:hAnsi="Times New Roman" w:cs="Times New Roman"/>
          <w:color w:val="000000"/>
          <w:kern w:val="0"/>
          <w:sz w:val="24"/>
          <w:u w:val="single"/>
          <w14:ligatures w14:val="none"/>
        </w:rPr>
        <w:t>AW</w:t>
      </w:r>
      <w:r w:rsidRPr="006B4A66">
        <w:rPr>
          <w:rFonts w:ascii="Times New Roman" w:eastAsia="Calibri" w:hAnsi="Times New Roman" w:cs="Times New Roman"/>
          <w:color w:val="000000"/>
          <w:kern w:val="0"/>
          <w:sz w:val="24"/>
          <w:u w:val="single"/>
          <w14:ligatures w14:val="none"/>
        </w:rPr>
        <w:t>U.</w:t>
      </w:r>
    </w:p>
    <w:p w14:paraId="15EF49B8" w14:textId="56FF94F2" w:rsidR="006B4A66" w:rsidRPr="006B4A66" w:rsidRDefault="00627523"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 xml:space="preserve">  </w:t>
      </w:r>
      <w:r w:rsidR="006B4A66" w:rsidRPr="006B4A66">
        <w:rPr>
          <w:rFonts w:ascii="Times New Roman" w:eastAsia="Calibri" w:hAnsi="Times New Roman" w:cs="Times New Roman"/>
          <w:color w:val="000000"/>
          <w:kern w:val="0"/>
          <w:sz w:val="24"/>
          <w:u w:val="single"/>
          <w14:ligatures w14:val="none"/>
        </w:rPr>
        <w:t xml:space="preserve">1.7.  A care facility with five or fewer persons receiving </w:t>
      </w:r>
      <w:bookmarkStart w:id="1" w:name="_Hlk184310313"/>
      <w:r w:rsidR="006B4A66" w:rsidRPr="006B4A66">
        <w:rPr>
          <w:rFonts w:ascii="Times New Roman" w:eastAsia="Calibri" w:hAnsi="Times New Roman" w:cs="Times New Roman"/>
          <w:color w:val="000000"/>
          <w:kern w:val="0"/>
          <w:sz w:val="24"/>
          <w:u w:val="single"/>
          <w14:ligatures w14:val="none"/>
        </w:rPr>
        <w:t xml:space="preserve">medical care within a dwelling unit equipped with a fire sprinkler system in accordance with Appendix </w:t>
      </w:r>
      <w:r w:rsidR="00995AC9">
        <w:rPr>
          <w:rFonts w:ascii="Times New Roman" w:eastAsia="Calibri" w:hAnsi="Times New Roman" w:cs="Times New Roman"/>
          <w:color w:val="000000"/>
          <w:kern w:val="0"/>
          <w:sz w:val="24"/>
          <w:u w:val="single"/>
          <w14:ligatures w14:val="none"/>
        </w:rPr>
        <w:t>AW</w:t>
      </w:r>
      <w:r w:rsidR="006B4A66" w:rsidRPr="006B4A66">
        <w:rPr>
          <w:rFonts w:ascii="Times New Roman" w:eastAsia="Calibri" w:hAnsi="Times New Roman" w:cs="Times New Roman"/>
          <w:color w:val="000000"/>
          <w:kern w:val="0"/>
          <w:sz w:val="24"/>
          <w:u w:val="single"/>
          <w14:ligatures w14:val="none"/>
        </w:rPr>
        <w:t>U.</w:t>
      </w:r>
      <w:bookmarkEnd w:id="1"/>
    </w:p>
    <w:p w14:paraId="17EBD8BC" w14:textId="7A013BE5"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color w:val="000000"/>
          <w:kern w:val="0"/>
          <w:sz w:val="24"/>
          <w:u w:val="single"/>
          <w14:ligatures w14:val="none"/>
        </w:rPr>
        <w:t xml:space="preserve">1.8.  A care facility with five or fewer persons receiving care within a single-family dwelling equipped with a fire sprinkler system in accordance with Appendix </w:t>
      </w:r>
      <w:r w:rsidR="00995AC9">
        <w:rPr>
          <w:rFonts w:ascii="Times New Roman" w:eastAsia="Calibri" w:hAnsi="Times New Roman" w:cs="Times New Roman"/>
          <w:color w:val="000000"/>
          <w:kern w:val="0"/>
          <w:sz w:val="24"/>
          <w:u w:val="single"/>
          <w14:ligatures w14:val="none"/>
        </w:rPr>
        <w:t>AW</w:t>
      </w:r>
      <w:r w:rsidRPr="006B4A66">
        <w:rPr>
          <w:rFonts w:ascii="Times New Roman" w:eastAsia="Calibri" w:hAnsi="Times New Roman" w:cs="Times New Roman"/>
          <w:color w:val="000000"/>
          <w:kern w:val="0"/>
          <w:sz w:val="24"/>
          <w:u w:val="single"/>
          <w14:ligatures w14:val="none"/>
        </w:rPr>
        <w:t>U.</w:t>
      </w:r>
    </w:p>
    <w:p w14:paraId="4DE66350" w14:textId="6D543A98"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2.  The provisions of the ((</w:t>
      </w:r>
      <w:r w:rsidRPr="006B4A66">
        <w:rPr>
          <w:rFonts w:ascii="Times New Roman" w:eastAsia="Calibri" w:hAnsi="Times New Roman" w:cs="Times New Roman"/>
          <w:strike/>
          <w:color w:val="000000"/>
          <w:kern w:val="0"/>
          <w:sz w:val="24"/>
          <w14:ligatures w14:val="none"/>
        </w:rPr>
        <w:t>International Mechanical Code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IMC</w:t>
      </w:r>
      <w:r w:rsidRPr="006B4A66">
        <w:rPr>
          <w:rFonts w:ascii="Times New Roman" w:eastAsia="Calibri" w:hAnsi="Times New Roman" w:cs="Times New Roman"/>
          <w:color w:val="000000"/>
          <w:kern w:val="0"/>
          <w:sz w:val="24"/>
          <w14:ligatures w14:val="none"/>
        </w:rPr>
        <w:t xml:space="preserve"> shall regulate the design, installation, maintenance, alteration</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and inspection of mechanical systems that are permanently installed and ((</w:t>
      </w:r>
      <w:r w:rsidRPr="006B4A66">
        <w:rPr>
          <w:rFonts w:ascii="Times New Roman" w:eastAsia="Calibri" w:hAnsi="Times New Roman" w:cs="Times New Roman"/>
          <w:strike/>
          <w:color w:val="000000"/>
          <w:kern w:val="0"/>
          <w:sz w:val="24"/>
          <w14:ligatures w14:val="none"/>
        </w:rPr>
        <w:t>used</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utilized</w:t>
      </w:r>
      <w:r w:rsidRPr="006B4A66">
        <w:rPr>
          <w:rFonts w:ascii="Times New Roman" w:eastAsia="Calibri" w:hAnsi="Times New Roman" w:cs="Times New Roman"/>
          <w:color w:val="000000"/>
          <w:kern w:val="0"/>
          <w:sz w:val="24"/>
          <w14:ligatures w14:val="none"/>
        </w:rPr>
        <w:t xml:space="preserve"> to provide control of the environmental conditions and related processes within buildings.  This code shall also regulate those mechanical systems, system components, equipment</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and appliances specifically addressed in ((</w:t>
      </w:r>
      <w:r w:rsidRPr="006B4A66">
        <w:rPr>
          <w:rFonts w:ascii="Times New Roman" w:eastAsia="Calibri" w:hAnsi="Times New Roman" w:cs="Times New Roman"/>
          <w:strike/>
          <w:color w:val="000000"/>
          <w:kern w:val="0"/>
          <w:sz w:val="24"/>
          <w14:ligatures w14:val="none"/>
        </w:rPr>
        <w:t>this section</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the IMC</w:t>
      </w:r>
      <w:r w:rsidRPr="006B4A66">
        <w:rPr>
          <w:rFonts w:ascii="Times New Roman" w:eastAsia="Calibri" w:hAnsi="Times New Roman" w:cs="Times New Roman"/>
          <w:color w:val="000000"/>
          <w:kern w:val="0"/>
          <w:sz w:val="24"/>
          <w14:ligatures w14:val="none"/>
        </w:rPr>
        <w:t>.  The installation of fuel gas ((</w:t>
      </w:r>
      <w:r w:rsidRPr="006B4A66">
        <w:rPr>
          <w:rFonts w:ascii="Times New Roman" w:eastAsia="Calibri" w:hAnsi="Times New Roman" w:cs="Times New Roman"/>
          <w:strike/>
          <w:color w:val="000000"/>
          <w:kern w:val="0"/>
          <w:sz w:val="24"/>
          <w14:ligatures w14:val="none"/>
        </w:rPr>
        <w:t>distribution</w:t>
      </w:r>
      <w:r w:rsidRPr="006B4A66">
        <w:rPr>
          <w:rFonts w:ascii="Times New Roman" w:eastAsia="Calibri" w:hAnsi="Times New Roman" w:cs="Times New Roman"/>
          <w:color w:val="000000"/>
          <w:kern w:val="0"/>
          <w:sz w:val="24"/>
          <w14:ligatures w14:val="none"/>
        </w:rPr>
        <w:t>)) piping ((</w:t>
      </w:r>
      <w:r w:rsidRPr="006B4A66">
        <w:rPr>
          <w:rFonts w:ascii="Times New Roman" w:eastAsia="Calibri" w:hAnsi="Times New Roman" w:cs="Times New Roman"/>
          <w:strike/>
          <w:color w:val="000000"/>
          <w:kern w:val="0"/>
          <w:sz w:val="24"/>
          <w14:ligatures w14:val="none"/>
        </w:rPr>
        <w:t>and equipment, fuel gas-fired appliances, and fuel gas-fired appliance venting systems</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systems, fuel gas utilization equipment, gaseous hydrogen systems, and regulated accessories</w:t>
      </w:r>
      <w:r w:rsidRPr="006B4A66">
        <w:rPr>
          <w:rFonts w:ascii="Times New Roman" w:eastAsia="Calibri" w:hAnsi="Times New Roman" w:cs="Times New Roman"/>
          <w:color w:val="000000"/>
          <w:kern w:val="0"/>
          <w:sz w:val="24"/>
          <w14:ligatures w14:val="none"/>
        </w:rPr>
        <w:t xml:space="preserve"> shall be regulated by the International Fuel Gas Code and WAC 51-52 ((</w:t>
      </w:r>
      <w:r w:rsidRPr="006B4A66">
        <w:rPr>
          <w:rFonts w:ascii="Times New Roman" w:eastAsia="Calibri" w:hAnsi="Times New Roman" w:cs="Times New Roman"/>
          <w:strike/>
          <w:color w:val="000000"/>
          <w:kern w:val="0"/>
          <w:sz w:val="24"/>
          <w14:ligatures w14:val="none"/>
        </w:rPr>
        <w:t>-0101</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 xml:space="preserve">References in this code to Group R shall include Group I-1, Condition 2 assisted living facilities licensed by </w:t>
      </w:r>
      <w:r w:rsidR="006D1E92">
        <w:rPr>
          <w:rFonts w:ascii="Times New Roman" w:eastAsia="Calibri" w:hAnsi="Times New Roman" w:cs="Times New Roman"/>
          <w:color w:val="000000"/>
          <w:kern w:val="0"/>
          <w:sz w:val="24"/>
          <w:u w:val="single"/>
          <w14:ligatures w14:val="none"/>
        </w:rPr>
        <w:t xml:space="preserve">the state of </w:t>
      </w:r>
      <w:r w:rsidRPr="006B4A66">
        <w:rPr>
          <w:rFonts w:ascii="Times New Roman" w:eastAsia="Calibri" w:hAnsi="Times New Roman" w:cs="Times New Roman"/>
          <w:color w:val="000000"/>
          <w:kern w:val="0"/>
          <w:sz w:val="24"/>
          <w:u w:val="single"/>
          <w14:ligatures w14:val="none"/>
        </w:rPr>
        <w:t xml:space="preserve">Washington under chapter 388-78A WAC and Group I-1, Condition 2 residential treatment facilities licensed by </w:t>
      </w:r>
      <w:r w:rsidR="006D1E92">
        <w:rPr>
          <w:rFonts w:ascii="Times New Roman" w:eastAsia="Calibri" w:hAnsi="Times New Roman" w:cs="Times New Roman"/>
          <w:color w:val="000000"/>
          <w:kern w:val="0"/>
          <w:sz w:val="24"/>
          <w:u w:val="single"/>
          <w14:ligatures w14:val="none"/>
        </w:rPr>
        <w:t xml:space="preserve">the state of </w:t>
      </w:r>
      <w:r w:rsidRPr="006B4A66">
        <w:rPr>
          <w:rFonts w:ascii="Times New Roman" w:eastAsia="Calibri" w:hAnsi="Times New Roman" w:cs="Times New Roman"/>
          <w:color w:val="000000"/>
          <w:kern w:val="0"/>
          <w:sz w:val="24"/>
          <w:u w:val="single"/>
          <w14:ligatures w14:val="none"/>
        </w:rPr>
        <w:t>Washington under chapter 246-337 WAC.</w:t>
      </w:r>
    </w:p>
    <w:p w14:paraId="1A7CC4B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lastRenderedPageBreak/>
        <w:tab/>
        <w:t xml:space="preserve">  </w:t>
      </w:r>
      <w:r w:rsidRPr="006B4A66">
        <w:rPr>
          <w:rFonts w:ascii="Times New Roman" w:eastAsia="Calibri" w:hAnsi="Times New Roman" w:cs="Times New Roman"/>
          <w:color w:val="000000"/>
          <w:kern w:val="0"/>
          <w:sz w:val="24"/>
          <w:u w:val="single"/>
          <w14:ligatures w14:val="none"/>
        </w:rPr>
        <w:t>2.1.  Detached one- and two-family dwellings and multiple single-family dwellings (townhouses) not more than three stories high with separate means of egress and their accessory structures shall comply with the IRC.</w:t>
      </w:r>
    </w:p>
    <w:p w14:paraId="3F92587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color w:val="000000"/>
          <w:kern w:val="0"/>
          <w:sz w:val="24"/>
          <w:u w:val="single"/>
          <w14:ligatures w14:val="none"/>
        </w:rPr>
        <w:t>2.2.  The standards for liquefied petroleum gas installations shall be the 2020 edition of NFPA 58 (Liquefied Petroleum Gas Code) and the 2021 edition of ANSI Z223.1/NFPA 54 (National Fuel Gas Code).</w:t>
      </w:r>
    </w:p>
    <w:p w14:paraId="6C59E1B1" w14:textId="5358D586"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5.</w:t>
      </w:r>
      <w:r w:rsidRPr="006B4A66">
        <w:rPr>
          <w:rFonts w:ascii="Times New Roman" w:eastAsia="Times New Roman" w:hAnsi="Times New Roman" w:cs="Times New Roman"/>
          <w:color w:val="000000"/>
          <w:kern w:val="0"/>
          <w:sz w:val="24"/>
          <w:szCs w:val="24"/>
          <w14:ligatures w14:val="none"/>
        </w:rPr>
        <w:t xml:space="preserve">  Ordinance 12560, Section 6, as amended, and K.C.C. 16.02.190 are hereby amended to read as follows:</w:t>
      </w:r>
    </w:p>
    <w:p w14:paraId="4F34302C"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0"/>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0"/>
          <w14:ligatures w14:val="none"/>
        </w:rPr>
        <w:t>Section 104.1 of the International Building Code is not adopted and the following is substituted:</w:t>
      </w:r>
    </w:p>
    <w:p w14:paraId="2028DEFA" w14:textId="77777777" w:rsidR="006B4A66" w:rsidRPr="006B4A66" w:rsidRDefault="006B4A66" w:rsidP="0073496A">
      <w:pPr>
        <w:tabs>
          <w:tab w:val="left" w:pos="720"/>
        </w:tabs>
        <w:spacing w:after="0" w:line="480" w:lineRule="auto"/>
        <w:rPr>
          <w:rFonts w:ascii="Times New Roman" w:eastAsia="Times New Roman" w:hAnsi="Times New Roman" w:cs="Times New Roman"/>
          <w:b/>
          <w:bCs/>
          <w:color w:val="000000"/>
          <w:kern w:val="0"/>
          <w:sz w:val="24"/>
          <w:szCs w:val="20"/>
          <w14:ligatures w14:val="none"/>
        </w:rPr>
      </w:pPr>
      <w:r w:rsidRPr="006B4A66">
        <w:rPr>
          <w:rFonts w:ascii="Times New Roman" w:eastAsia="Times New Roman" w:hAnsi="Times New Roman" w:cs="Times New Roman"/>
          <w:color w:val="000000"/>
          <w:kern w:val="0"/>
          <w:sz w:val="24"/>
          <w:szCs w:val="20"/>
          <w14:ligatures w14:val="none"/>
        </w:rPr>
        <w:tab/>
      </w:r>
      <w:r w:rsidRPr="006B4A66">
        <w:rPr>
          <w:rFonts w:ascii="Times New Roman" w:eastAsia="Times New Roman" w:hAnsi="Times New Roman" w:cs="Times New Roman"/>
          <w:b/>
          <w:bCs/>
          <w:color w:val="000000"/>
          <w:kern w:val="0"/>
          <w:sz w:val="24"/>
          <w:szCs w:val="20"/>
          <w14:ligatures w14:val="none"/>
        </w:rPr>
        <w:t>General (IBC 104.1).</w:t>
      </w:r>
    </w:p>
    <w:p w14:paraId="5AFEF23D"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0"/>
          <w14:ligatures w14:val="none"/>
        </w:rPr>
      </w:pPr>
      <w:r w:rsidRPr="006B4A66">
        <w:rPr>
          <w:rFonts w:ascii="Times New Roman" w:eastAsia="Times New Roman" w:hAnsi="Times New Roman" w:cs="Times New Roman"/>
          <w:b/>
          <w:bCs/>
          <w:color w:val="000000"/>
          <w:kern w:val="0"/>
          <w:sz w:val="24"/>
          <w:szCs w:val="20"/>
          <w14:ligatures w14:val="none"/>
        </w:rPr>
        <w:tab/>
      </w:r>
      <w:r w:rsidRPr="006B4A66">
        <w:rPr>
          <w:rFonts w:ascii="Times New Roman" w:eastAsia="Times New Roman" w:hAnsi="Times New Roman" w:cs="Times New Roman"/>
          <w:color w:val="000000"/>
          <w:kern w:val="0"/>
          <w:sz w:val="24"/>
          <w:szCs w:val="20"/>
          <w:u w:val="single"/>
          <w14:ligatures w14:val="none"/>
        </w:rPr>
        <w:t>A.</w:t>
      </w:r>
      <w:r w:rsidRPr="006B4A66">
        <w:rPr>
          <w:rFonts w:ascii="Times New Roman" w:eastAsia="Times New Roman" w:hAnsi="Times New Roman" w:cs="Times New Roman"/>
          <w:color w:val="000000"/>
          <w:kern w:val="0"/>
          <w:sz w:val="24"/>
          <w:szCs w:val="20"/>
          <w14:ligatures w14:val="none"/>
        </w:rPr>
        <w:t xml:space="preserve">  The building official is hereby authorized and directed to enforce all the provisions of this code, with the exception of ((</w:t>
      </w:r>
      <w:r w:rsidRPr="006B4A66">
        <w:rPr>
          <w:rFonts w:ascii="Times New Roman" w:eastAsia="Times New Roman" w:hAnsi="Times New Roman" w:cs="Times New Roman"/>
          <w:strike/>
          <w:color w:val="000000"/>
          <w:kern w:val="0"/>
          <w:sz w:val="24"/>
          <w:szCs w:val="20"/>
          <w14:ligatures w14:val="none"/>
        </w:rPr>
        <w:t>International Building Code Chapter 29,</w:t>
      </w:r>
      <w:r w:rsidRPr="006B4A66">
        <w:rPr>
          <w:rFonts w:ascii="Times New Roman" w:eastAsia="Times New Roman" w:hAnsi="Times New Roman" w:cs="Times New Roman"/>
          <w:color w:val="000000"/>
          <w:kern w:val="0"/>
          <w:sz w:val="24"/>
          <w:szCs w:val="20"/>
          <w14:ligatures w14:val="none"/>
        </w:rPr>
        <w:t>)) the fuel gas piping requirements contained in the International Fuel Gas Code and Chapter 24 of the International Residential Code.</w:t>
      </w:r>
    </w:p>
    <w:p w14:paraId="019FEAB3"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0"/>
          <w14:ligatures w14:val="none"/>
        </w:rPr>
        <w:tab/>
      </w:r>
      <w:r w:rsidRPr="006B4A66">
        <w:rPr>
          <w:rFonts w:ascii="Times New Roman" w:eastAsia="Times New Roman" w:hAnsi="Times New Roman" w:cs="Times New Roman"/>
          <w:color w:val="000000"/>
          <w:kern w:val="0"/>
          <w:sz w:val="24"/>
          <w:szCs w:val="24"/>
          <w:u w:val="single"/>
          <w14:ligatures w14:val="none"/>
        </w:rPr>
        <w:t>B.</w:t>
      </w:r>
      <w:r w:rsidRPr="006B4A66">
        <w:rPr>
          <w:rFonts w:ascii="Times New Roman" w:eastAsia="Times New Roman" w:hAnsi="Times New Roman" w:cs="Times New Roman"/>
          <w:color w:val="000000"/>
          <w:kern w:val="0"/>
          <w:sz w:val="24"/>
          <w:szCs w:val="24"/>
          <w14:ligatures w14:val="none"/>
        </w:rPr>
        <w:t xml:space="preserve">  The director of public health is authorized to enforce ((</w:t>
      </w:r>
      <w:r w:rsidRPr="006B4A66">
        <w:rPr>
          <w:rFonts w:ascii="Times New Roman" w:eastAsia="Times New Roman" w:hAnsi="Times New Roman" w:cs="Times New Roman"/>
          <w:strike/>
          <w:color w:val="000000"/>
          <w:kern w:val="0"/>
          <w:sz w:val="24"/>
          <w:szCs w:val="24"/>
          <w14:ligatures w14:val="none"/>
        </w:rPr>
        <w:t>the provisions of Chapter 29 of the International Building Code,</w:t>
      </w:r>
      <w:r w:rsidRPr="006B4A66">
        <w:rPr>
          <w:rFonts w:ascii="Times New Roman" w:eastAsia="Times New Roman" w:hAnsi="Times New Roman" w:cs="Times New Roman"/>
          <w:color w:val="000000"/>
          <w:kern w:val="0"/>
          <w:sz w:val="24"/>
          <w:szCs w:val="24"/>
          <w14:ligatures w14:val="none"/>
        </w:rPr>
        <w:t>)) the fuel gas piping requirements contained in the International Fuel Gas Code and Chapter 24 of the International Residential Code.  For such purposes, the building official and the director of public health shall have the powers of a law enforcement officer.</w:t>
      </w:r>
    </w:p>
    <w:p w14:paraId="6EFB9503"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C.</w:t>
      </w:r>
      <w:r w:rsidRPr="006B4A66">
        <w:rPr>
          <w:rFonts w:ascii="Times New Roman" w:eastAsia="Times New Roman" w:hAnsi="Times New Roman" w:cs="Times New Roman"/>
          <w:color w:val="000000"/>
          <w:kern w:val="0"/>
          <w:sz w:val="24"/>
          <w:szCs w:val="24"/>
          <w14:ligatures w14:val="none"/>
        </w:rPr>
        <w:t xml:space="preserve">  The building official shall have the ((</w:t>
      </w:r>
      <w:r w:rsidRPr="006B4A66">
        <w:rPr>
          <w:rFonts w:ascii="Times New Roman" w:eastAsia="Times New Roman" w:hAnsi="Times New Roman" w:cs="Times New Roman"/>
          <w:strike/>
          <w:color w:val="000000"/>
          <w:kern w:val="0"/>
          <w:sz w:val="24"/>
          <w:szCs w:val="24"/>
          <w14:ligatures w14:val="none"/>
        </w:rPr>
        <w:t>power</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authority</w:t>
      </w:r>
      <w:r w:rsidRPr="006B4A66">
        <w:rPr>
          <w:rFonts w:ascii="Times New Roman" w:eastAsia="Times New Roman" w:hAnsi="Times New Roman" w:cs="Times New Roman"/>
          <w:color w:val="000000"/>
          <w:kern w:val="0"/>
          <w:sz w:val="24"/>
          <w:szCs w:val="24"/>
          <w14:ligatures w14:val="none"/>
        </w:rPr>
        <w:t xml:space="preserve"> to render interpretations of this code and to adopt ((</w:t>
      </w:r>
      <w:r w:rsidRPr="006B4A66">
        <w:rPr>
          <w:rFonts w:ascii="Times New Roman" w:eastAsia="Times New Roman" w:hAnsi="Times New Roman" w:cs="Times New Roman"/>
          <w:strike/>
          <w:color w:val="000000"/>
          <w:kern w:val="0"/>
          <w:sz w:val="24"/>
          <w:szCs w:val="24"/>
          <w14:ligatures w14:val="none"/>
        </w:rPr>
        <w:t>and enforce rules and supplemental regulations in order</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policies and procedures</w:t>
      </w:r>
      <w:r w:rsidRPr="006B4A66">
        <w:rPr>
          <w:rFonts w:ascii="Times New Roman" w:eastAsia="Times New Roman" w:hAnsi="Times New Roman" w:cs="Times New Roman"/>
          <w:color w:val="000000"/>
          <w:kern w:val="0"/>
          <w:sz w:val="24"/>
          <w:szCs w:val="24"/>
          <w14:ligatures w14:val="none"/>
        </w:rPr>
        <w:t xml:space="preserve"> to clarify the application of its provisions.  Such </w:t>
      </w:r>
      <w:r w:rsidRPr="006B4A66">
        <w:rPr>
          <w:rFonts w:ascii="Times New Roman" w:eastAsia="Times New Roman" w:hAnsi="Times New Roman" w:cs="Times New Roman"/>
          <w:color w:val="000000"/>
          <w:kern w:val="0"/>
          <w:sz w:val="24"/>
          <w:szCs w:val="24"/>
          <w14:ligatures w14:val="none"/>
        </w:rPr>
        <w:lastRenderedPageBreak/>
        <w:t>interpretations, ((</w:t>
      </w:r>
      <w:r w:rsidRPr="006B4A66">
        <w:rPr>
          <w:rFonts w:ascii="Times New Roman" w:eastAsia="Times New Roman" w:hAnsi="Times New Roman" w:cs="Times New Roman"/>
          <w:strike/>
          <w:color w:val="000000"/>
          <w:kern w:val="0"/>
          <w:sz w:val="24"/>
          <w:szCs w:val="24"/>
          <w14:ligatures w14:val="none"/>
        </w:rPr>
        <w:t>rules and regulations</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policies, and procedures</w:t>
      </w:r>
      <w:r w:rsidRPr="006B4A66">
        <w:rPr>
          <w:rFonts w:ascii="Times New Roman" w:eastAsia="Times New Roman" w:hAnsi="Times New Roman" w:cs="Times New Roman"/>
          <w:color w:val="000000"/>
          <w:kern w:val="0"/>
          <w:sz w:val="24"/>
          <w:szCs w:val="24"/>
          <w14:ligatures w14:val="none"/>
        </w:rPr>
        <w:t xml:space="preserve"> shall be in ((</w:t>
      </w:r>
      <w:r w:rsidRPr="006B4A66">
        <w:rPr>
          <w:rFonts w:ascii="Times New Roman" w:eastAsia="Times New Roman" w:hAnsi="Times New Roman" w:cs="Times New Roman"/>
          <w:strike/>
          <w:color w:val="000000"/>
          <w:kern w:val="0"/>
          <w:sz w:val="24"/>
          <w:szCs w:val="24"/>
          <w14:ligatures w14:val="none"/>
        </w:rPr>
        <w:t>conformance</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compliance</w:t>
      </w:r>
      <w:r w:rsidRPr="006B4A66">
        <w:rPr>
          <w:rFonts w:ascii="Times New Roman" w:eastAsia="Times New Roman" w:hAnsi="Times New Roman" w:cs="Times New Roman"/>
          <w:color w:val="000000"/>
          <w:kern w:val="0"/>
          <w:sz w:val="24"/>
          <w:szCs w:val="24"/>
          <w14:ligatures w14:val="none"/>
        </w:rPr>
        <w:t xml:space="preserve"> with the intent and purpose of this code.  </w:t>
      </w:r>
      <w:r w:rsidRPr="006B4A66">
        <w:rPr>
          <w:rFonts w:ascii="Times New Roman" w:eastAsia="Times New Roman" w:hAnsi="Times New Roman" w:cs="Times New Roman"/>
          <w:color w:val="000000"/>
          <w:kern w:val="0"/>
          <w:sz w:val="24"/>
          <w:szCs w:val="24"/>
          <w:u w:val="single"/>
          <w14:ligatures w14:val="none"/>
        </w:rPr>
        <w:t>Such policies and procedures shall not have the effect of waiving requirements specifically provided for in this code</w:t>
      </w:r>
      <w:r w:rsidRPr="006B4A66">
        <w:rPr>
          <w:rFonts w:ascii="Times New Roman" w:eastAsia="Times New Roman" w:hAnsi="Times New Roman" w:cs="Times New Roman"/>
          <w:color w:val="000000"/>
          <w:kern w:val="0"/>
          <w:sz w:val="24"/>
          <w:szCs w:val="24"/>
          <w14:ligatures w14:val="none"/>
        </w:rPr>
        <w:t>.</w:t>
      </w:r>
    </w:p>
    <w:p w14:paraId="449098F0" w14:textId="12045CB6"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6.</w:t>
      </w:r>
      <w:r w:rsidRPr="006B4A66">
        <w:rPr>
          <w:rFonts w:ascii="Times New Roman" w:eastAsia="Times New Roman" w:hAnsi="Times New Roman" w:cs="Times New Roman"/>
          <w:color w:val="000000"/>
          <w:kern w:val="0"/>
          <w:sz w:val="24"/>
          <w:szCs w:val="24"/>
          <w14:ligatures w14:val="none"/>
        </w:rPr>
        <w:t xml:space="preserve">  Ordinance 12560, Section 10, as amended, and K.C.C. 16.02.240 are hereby amended to read as follows:</w:t>
      </w:r>
    </w:p>
    <w:p w14:paraId="7A481683"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Section 105.2 of the International Building Code is not adopted and the following is substituted:</w:t>
      </w:r>
    </w:p>
    <w:p w14:paraId="3A948BF0" w14:textId="4C655C3A"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b/>
          <w:color w:val="000000"/>
          <w:kern w:val="0"/>
          <w:sz w:val="24"/>
          <w:szCs w:val="24"/>
          <w14:ligatures w14:val="none"/>
        </w:rPr>
        <w:t>Work exempt from permit (IBC 105.2).</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 xml:space="preserve">Exemptions from the permit requirements of this code shall not be deemed to grant authorization for any work to be done in any manner in violation of the provisions of this code or any other laws or ordinances of </w:t>
      </w:r>
      <w:r w:rsidR="00E236FF">
        <w:rPr>
          <w:rFonts w:ascii="Times New Roman" w:eastAsia="Times New Roman" w:hAnsi="Times New Roman" w:cs="Times New Roman"/>
          <w:color w:val="000000"/>
          <w:kern w:val="0"/>
          <w:sz w:val="24"/>
          <w:szCs w:val="24"/>
          <w:u w:val="single"/>
          <w14:ligatures w14:val="none"/>
        </w:rPr>
        <w:t>King County</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strike/>
          <w:color w:val="000000"/>
          <w:kern w:val="0"/>
          <w:sz w:val="24"/>
          <w:szCs w:val="24"/>
          <w14:ligatures w14:val="none"/>
        </w:rPr>
        <w:t>A building p</w:t>
      </w:r>
      <w:r w:rsidRPr="006B4A66">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color w:val="000000"/>
          <w:kern w:val="0"/>
          <w:sz w:val="24"/>
          <w:szCs w:val="24"/>
          <w:u w:val="single"/>
          <w14:ligatures w14:val="none"/>
        </w:rPr>
        <w:t>P</w:t>
      </w:r>
      <w:r w:rsidRPr="006B4A66">
        <w:rPr>
          <w:rFonts w:ascii="Times New Roman" w:eastAsia="Times New Roman" w:hAnsi="Times New Roman" w:cs="Times New Roman"/>
          <w:color w:val="000000"/>
          <w:kern w:val="0"/>
          <w:sz w:val="24"/>
          <w:szCs w:val="24"/>
          <w14:ligatures w14:val="none"/>
        </w:rPr>
        <w:t>ermit</w:t>
      </w:r>
      <w:r w:rsidRPr="006B4A66">
        <w:rPr>
          <w:rFonts w:ascii="Times New Roman" w:eastAsia="Times New Roman" w:hAnsi="Times New Roman" w:cs="Times New Roman"/>
          <w:color w:val="000000"/>
          <w:kern w:val="0"/>
          <w:sz w:val="24"/>
          <w:szCs w:val="24"/>
          <w:u w:val="single"/>
          <w14:ligatures w14:val="none"/>
        </w:rPr>
        <w:t>s</w:t>
      </w:r>
      <w:r w:rsidRPr="006B4A66">
        <w:rPr>
          <w:rFonts w:ascii="Times New Roman" w:eastAsia="Times New Roman" w:hAnsi="Times New Roman" w:cs="Times New Roman"/>
          <w:color w:val="000000"/>
          <w:kern w:val="0"/>
          <w:sz w:val="24"/>
          <w:szCs w:val="24"/>
          <w14:ligatures w14:val="none"/>
        </w:rPr>
        <w:t xml:space="preserve"> shall not be required for the following:</w:t>
      </w:r>
    </w:p>
    <w:p w14:paraId="6FC942D6"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Building:</w:t>
      </w:r>
    </w:p>
    <w:p w14:paraId="171604FB" w14:textId="0E541EA5"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1.  One-story detached </w:t>
      </w:r>
      <w:r w:rsidR="00CA7427">
        <w:rPr>
          <w:rFonts w:ascii="Times New Roman" w:eastAsia="Times New Roman" w:hAnsi="Times New Roman" w:cs="Times New Roman"/>
          <w:color w:val="000000"/>
          <w:kern w:val="0"/>
          <w:sz w:val="24"/>
          <w:szCs w:val="24"/>
          <w14:ligatures w14:val="none"/>
        </w:rPr>
        <w:t>((</w:t>
      </w:r>
      <w:r w:rsidRPr="001216D4">
        <w:rPr>
          <w:rFonts w:ascii="Times New Roman" w:eastAsia="Times New Roman" w:hAnsi="Times New Roman" w:cs="Times New Roman"/>
          <w:strike/>
          <w:color w:val="000000"/>
          <w:kern w:val="0"/>
          <w:sz w:val="24"/>
          <w:szCs w:val="24"/>
          <w14:ligatures w14:val="none"/>
        </w:rPr>
        <w:t>one- and two-family residential</w:t>
      </w:r>
      <w:r w:rsidR="00CA7427">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xml:space="preserve"> accessory </w:t>
      </w:r>
      <w:r w:rsidR="00CA7427">
        <w:rPr>
          <w:rFonts w:ascii="Times New Roman" w:eastAsia="Times New Roman" w:hAnsi="Times New Roman" w:cs="Times New Roman"/>
          <w:color w:val="000000"/>
          <w:kern w:val="0"/>
          <w:sz w:val="24"/>
          <w:szCs w:val="24"/>
          <w14:ligatures w14:val="none"/>
        </w:rPr>
        <w:t>((</w:t>
      </w:r>
      <w:r w:rsidRPr="001216D4">
        <w:rPr>
          <w:rFonts w:ascii="Times New Roman" w:eastAsia="Times New Roman" w:hAnsi="Times New Roman" w:cs="Times New Roman"/>
          <w:strike/>
          <w:color w:val="000000"/>
          <w:kern w:val="0"/>
          <w:sz w:val="24"/>
          <w:szCs w:val="24"/>
          <w14:ligatures w14:val="none"/>
        </w:rPr>
        <w:t>buildings</w:t>
      </w:r>
      <w:r w:rsidR="00CA7427">
        <w:rPr>
          <w:rFonts w:ascii="Times New Roman" w:eastAsia="Times New Roman" w:hAnsi="Times New Roman" w:cs="Times New Roman"/>
          <w:color w:val="000000"/>
          <w:kern w:val="0"/>
          <w:sz w:val="24"/>
          <w:szCs w:val="24"/>
          <w14:ligatures w14:val="none"/>
        </w:rPr>
        <w:t>))</w:t>
      </w:r>
      <w:r w:rsidR="00D72CCA">
        <w:rPr>
          <w:rFonts w:ascii="Times New Roman" w:eastAsia="Times New Roman" w:hAnsi="Times New Roman" w:cs="Times New Roman"/>
          <w:color w:val="000000"/>
          <w:kern w:val="0"/>
          <w:sz w:val="24"/>
          <w:szCs w:val="24"/>
          <w14:ligatures w14:val="none"/>
        </w:rPr>
        <w:t xml:space="preserve"> </w:t>
      </w:r>
      <w:r w:rsidR="00D72CCA">
        <w:rPr>
          <w:rFonts w:ascii="Times New Roman" w:eastAsia="Times New Roman" w:hAnsi="Times New Roman" w:cs="Times New Roman"/>
          <w:color w:val="000000"/>
          <w:kern w:val="0"/>
          <w:sz w:val="24"/>
          <w:szCs w:val="24"/>
          <w:u w:val="single"/>
          <w14:ligatures w14:val="none"/>
        </w:rPr>
        <w:t>structures</w:t>
      </w:r>
      <w:r w:rsidRPr="006B4A66">
        <w:rPr>
          <w:rFonts w:ascii="Times New Roman" w:eastAsia="Times New Roman" w:hAnsi="Times New Roman" w:cs="Times New Roman"/>
          <w:color w:val="000000"/>
          <w:kern w:val="0"/>
          <w:sz w:val="24"/>
          <w:szCs w:val="24"/>
          <w14:ligatures w14:val="none"/>
        </w:rPr>
        <w:t xml:space="preserve"> used as tool and storage sheds, playhouses, tree-supported structures used for play</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 xml:space="preserve"> and similar uses, not including garages or other buildings used for vehicular storage, if:</w:t>
      </w:r>
    </w:p>
    <w:p w14:paraId="42C9C0C3"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  1.1</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 xml:space="preserve">  The floor area does not exceed 200 square feet (18.6 ((</w:t>
      </w:r>
      <w:r w:rsidRPr="006B4A66">
        <w:rPr>
          <w:rFonts w:ascii="Times New Roman" w:eastAsia="Times New Roman" w:hAnsi="Times New Roman" w:cs="Times New Roman"/>
          <w:strike/>
          <w:color w:val="000000"/>
          <w:kern w:val="0"/>
          <w:sz w:val="24"/>
          <w:szCs w:val="24"/>
          <w14:ligatures w14:val="none"/>
        </w:rPr>
        <w:t>m2</w:t>
      </w:r>
      <w:r w:rsidRPr="001216D4">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square meters</w:t>
      </w:r>
      <w:r w:rsidRPr="006B4A66">
        <w:rPr>
          <w:rFonts w:ascii="Times New Roman" w:eastAsia="Times New Roman" w:hAnsi="Times New Roman" w:cs="Times New Roman"/>
          <w:color w:val="000000"/>
          <w:kern w:val="0"/>
          <w:sz w:val="24"/>
          <w:szCs w:val="24"/>
          <w14:ligatures w14:val="none"/>
        </w:rPr>
        <w:t>);</w:t>
      </w:r>
    </w:p>
    <w:p w14:paraId="50F4DFCA" w14:textId="678FFA0E"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  1.2</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 xml:space="preserve">  The roof eave does not project closer than ((</w:t>
      </w:r>
      <w:r w:rsidRPr="006B4A66">
        <w:rPr>
          <w:rFonts w:ascii="Times New Roman" w:eastAsia="Times New Roman" w:hAnsi="Times New Roman" w:cs="Times New Roman"/>
          <w:strike/>
          <w:color w:val="000000"/>
          <w:kern w:val="0"/>
          <w:sz w:val="24"/>
          <w:szCs w:val="24"/>
          <w14:ligatures w14:val="none"/>
        </w:rPr>
        <w:t>three</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3</w:t>
      </w:r>
      <w:r w:rsidRPr="006B4A66">
        <w:rPr>
          <w:rFonts w:ascii="Times New Roman" w:eastAsia="Times New Roman" w:hAnsi="Times New Roman" w:cs="Times New Roman"/>
          <w:color w:val="000000"/>
          <w:kern w:val="0"/>
          <w:sz w:val="24"/>
          <w:szCs w:val="24"/>
          <w14:ligatures w14:val="none"/>
        </w:rPr>
        <w:t xml:space="preserve"> feet (</w:t>
      </w:r>
      <w:r w:rsidRPr="006B4A66">
        <w:rPr>
          <w:rFonts w:ascii="Times New Roman" w:eastAsia="Times New Roman" w:hAnsi="Times New Roman" w:cs="Times New Roman"/>
          <w:color w:val="000000"/>
          <w:kern w:val="0"/>
          <w:sz w:val="24"/>
          <w:szCs w:val="24"/>
          <w:u w:val="single"/>
          <w14:ligatures w14:val="none"/>
        </w:rPr>
        <w:t>914 millimeters)</w:t>
      </w:r>
      <w:r w:rsidRPr="006B4A66">
        <w:rPr>
          <w:rFonts w:ascii="Times New Roman" w:eastAsia="Times New Roman" w:hAnsi="Times New Roman" w:cs="Times New Roman"/>
          <w:color w:val="000000"/>
          <w:kern w:val="0"/>
          <w:sz w:val="24"/>
          <w:szCs w:val="24"/>
          <w14:ligatures w14:val="none"/>
        </w:rPr>
        <w:t xml:space="preserve"> to any portion of an adjacent building and does not exceed ((</w:t>
      </w:r>
      <w:r w:rsidRPr="006B4A66">
        <w:rPr>
          <w:rFonts w:ascii="Times New Roman" w:eastAsia="Times New Roman" w:hAnsi="Times New Roman" w:cs="Times New Roman"/>
          <w:strike/>
          <w:color w:val="000000"/>
          <w:kern w:val="0"/>
          <w:sz w:val="24"/>
          <w:szCs w:val="24"/>
          <w14:ligatures w14:val="none"/>
        </w:rPr>
        <w:t>twenty-four</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24</w:t>
      </w:r>
      <w:r w:rsidRPr="006B4A66">
        <w:rPr>
          <w:rFonts w:ascii="Times New Roman" w:eastAsia="Times New Roman" w:hAnsi="Times New Roman" w:cs="Times New Roman"/>
          <w:color w:val="000000"/>
          <w:kern w:val="0"/>
          <w:sz w:val="24"/>
          <w:szCs w:val="24"/>
          <w14:ligatures w14:val="none"/>
        </w:rPr>
        <w:t xml:space="preserve"> inches (</w:t>
      </w:r>
      <w:r w:rsidR="00846C44">
        <w:rPr>
          <w:rFonts w:ascii="Times New Roman" w:eastAsia="Times New Roman" w:hAnsi="Times New Roman" w:cs="Times New Roman"/>
          <w:color w:val="000000"/>
          <w:kern w:val="0"/>
          <w:sz w:val="24"/>
          <w:szCs w:val="24"/>
          <w:u w:val="single"/>
          <w14:ligatures w14:val="none"/>
        </w:rPr>
        <w:t>610</w:t>
      </w:r>
      <w:r w:rsidRPr="006B4A66">
        <w:rPr>
          <w:rFonts w:ascii="Times New Roman" w:eastAsia="Times New Roman" w:hAnsi="Times New Roman" w:cs="Times New Roman"/>
          <w:color w:val="000000"/>
          <w:kern w:val="0"/>
          <w:sz w:val="24"/>
          <w:szCs w:val="24"/>
          <w:u w:val="single"/>
          <w14:ligatures w14:val="none"/>
        </w:rPr>
        <w:t xml:space="preserve"> millimeters)</w:t>
      </w:r>
      <w:r w:rsidRPr="006B4A66">
        <w:rPr>
          <w:rFonts w:ascii="Times New Roman" w:eastAsia="Times New Roman" w:hAnsi="Times New Roman" w:cs="Times New Roman"/>
          <w:color w:val="000000"/>
          <w:kern w:val="0"/>
          <w:sz w:val="24"/>
          <w:szCs w:val="24"/>
          <w14:ligatures w14:val="none"/>
        </w:rPr>
        <w:t xml:space="preserve"> measured horizontally from the exterior wall; ((</w:t>
      </w:r>
      <w:r w:rsidRPr="006B4A66">
        <w:rPr>
          <w:rFonts w:ascii="Times New Roman" w:eastAsia="Times New Roman" w:hAnsi="Times New Roman" w:cs="Times New Roman"/>
          <w:strike/>
          <w:color w:val="000000"/>
          <w:kern w:val="0"/>
          <w:sz w:val="24"/>
          <w:szCs w:val="24"/>
          <w14:ligatures w14:val="none"/>
        </w:rPr>
        <w:t>and</w:t>
      </w:r>
      <w:r w:rsidRPr="006B4A66">
        <w:rPr>
          <w:rFonts w:ascii="Times New Roman" w:eastAsia="Times New Roman" w:hAnsi="Times New Roman" w:cs="Times New Roman"/>
          <w:color w:val="000000"/>
          <w:kern w:val="0"/>
          <w:sz w:val="24"/>
          <w:szCs w:val="24"/>
          <w14:ligatures w14:val="none"/>
        </w:rPr>
        <w:t>))</w:t>
      </w:r>
    </w:p>
    <w:p w14:paraId="5D3A3840"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u w:val="single"/>
          <w14:ligatures w14:val="none"/>
        </w:rPr>
      </w:pPr>
      <w:r w:rsidRPr="006B4A66">
        <w:rPr>
          <w:rFonts w:ascii="Times New Roman" w:eastAsia="Times New Roman" w:hAnsi="Times New Roman" w:cs="Times New Roman"/>
          <w:color w:val="000000"/>
          <w:kern w:val="0"/>
          <w:sz w:val="24"/>
          <w:szCs w:val="24"/>
          <w14:ligatures w14:val="none"/>
        </w:rPr>
        <w:lastRenderedPageBreak/>
        <w:tab/>
        <w:t xml:space="preserve">  1.3</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 xml:space="preserve">  The building is separated a minimum of ((</w:t>
      </w:r>
      <w:r w:rsidRPr="006B4A66">
        <w:rPr>
          <w:rFonts w:ascii="Times New Roman" w:eastAsia="Times New Roman" w:hAnsi="Times New Roman" w:cs="Times New Roman"/>
          <w:strike/>
          <w:color w:val="000000"/>
          <w:kern w:val="0"/>
          <w:sz w:val="24"/>
          <w:szCs w:val="24"/>
          <w14:ligatures w14:val="none"/>
        </w:rPr>
        <w:t>five</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5</w:t>
      </w:r>
      <w:r w:rsidRPr="006B4A66">
        <w:rPr>
          <w:rFonts w:ascii="Times New Roman" w:eastAsia="Times New Roman" w:hAnsi="Times New Roman" w:cs="Times New Roman"/>
          <w:color w:val="000000"/>
          <w:kern w:val="0"/>
          <w:sz w:val="24"/>
          <w:szCs w:val="24"/>
          <w14:ligatures w14:val="none"/>
        </w:rPr>
        <w:t xml:space="preserve"> feet </w:t>
      </w:r>
      <w:r w:rsidRPr="006B4A66">
        <w:rPr>
          <w:rFonts w:ascii="Times New Roman" w:eastAsia="Times New Roman" w:hAnsi="Times New Roman" w:cs="Times New Roman"/>
          <w:color w:val="000000"/>
          <w:kern w:val="0"/>
          <w:sz w:val="24"/>
          <w:szCs w:val="24"/>
          <w:u w:val="single"/>
          <w14:ligatures w14:val="none"/>
        </w:rPr>
        <w:t xml:space="preserve">(1,524 millimeters) </w:t>
      </w:r>
      <w:r w:rsidRPr="006B4A66">
        <w:rPr>
          <w:rFonts w:ascii="Times New Roman" w:eastAsia="Times New Roman" w:hAnsi="Times New Roman" w:cs="Times New Roman"/>
          <w:color w:val="000000"/>
          <w:kern w:val="0"/>
          <w:sz w:val="24"/>
          <w:szCs w:val="24"/>
          <w14:ligatures w14:val="none"/>
        </w:rPr>
        <w:t>from all other buildings</w:t>
      </w:r>
      <w:r w:rsidRPr="006B4A66">
        <w:rPr>
          <w:rFonts w:ascii="Times New Roman" w:eastAsia="Times New Roman" w:hAnsi="Times New Roman" w:cs="Times New Roman"/>
          <w:color w:val="000000"/>
          <w:kern w:val="0"/>
          <w:sz w:val="24"/>
          <w:szCs w:val="24"/>
          <w:u w:val="single"/>
          <w14:ligatures w14:val="none"/>
        </w:rPr>
        <w:t>; and</w:t>
      </w:r>
    </w:p>
    <w:p w14:paraId="1D8CD05C" w14:textId="74981D9B"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  </w:t>
      </w:r>
      <w:r w:rsidRPr="006B4A66">
        <w:rPr>
          <w:rFonts w:ascii="Times New Roman" w:eastAsia="Times New Roman" w:hAnsi="Times New Roman" w:cs="Times New Roman"/>
          <w:color w:val="000000"/>
          <w:kern w:val="0"/>
          <w:sz w:val="24"/>
          <w:szCs w:val="24"/>
          <w:u w:val="single"/>
          <w14:ligatures w14:val="none"/>
        </w:rPr>
        <w:t>1.4.  The building is unconditioned</w:t>
      </w:r>
      <w:r w:rsidR="00DD4A9D">
        <w:rPr>
          <w:rFonts w:ascii="Times New Roman" w:eastAsia="Times New Roman" w:hAnsi="Times New Roman" w:cs="Times New Roman"/>
          <w:color w:val="000000"/>
          <w:kern w:val="0"/>
          <w:sz w:val="24"/>
          <w:szCs w:val="24"/>
          <w:u w:val="single"/>
          <w14:ligatures w14:val="none"/>
        </w:rPr>
        <w:t xml:space="preserve"> and is not connected to water, sanitary sewer, or septic</w:t>
      </w:r>
      <w:r w:rsidR="00C44F58">
        <w:rPr>
          <w:rFonts w:ascii="Times New Roman" w:eastAsia="Times New Roman" w:hAnsi="Times New Roman" w:cs="Times New Roman"/>
          <w:color w:val="000000"/>
          <w:kern w:val="0"/>
          <w:sz w:val="24"/>
          <w:szCs w:val="24"/>
          <w:u w:val="single"/>
          <w14:ligatures w14:val="none"/>
        </w:rPr>
        <w:t xml:space="preserve"> service</w:t>
      </w:r>
      <w:r w:rsidRPr="006B4A66">
        <w:rPr>
          <w:rFonts w:ascii="Times New Roman" w:eastAsia="Times New Roman" w:hAnsi="Times New Roman" w:cs="Times New Roman"/>
          <w:color w:val="000000"/>
          <w:kern w:val="0"/>
          <w:sz w:val="24"/>
          <w:szCs w:val="24"/>
          <w14:ligatures w14:val="none"/>
        </w:rPr>
        <w:t>.</w:t>
      </w:r>
    </w:p>
    <w:p w14:paraId="3E221C7C"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2.  One-story detached commercial agricultural and forestry accessory buildings used as animal shelters or for the storage of tools, animal feed, animal bedding, seeds, seedlings</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 xml:space="preserve"> or similar materials or products, not including office, sleeping or resting quarters for human occupation</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 xml:space="preserve"> or garages, if:</w:t>
      </w:r>
    </w:p>
    <w:p w14:paraId="3DAB8A54"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  2.1.  The floor area does not exceed 400 square feet (37.2 ((</w:t>
      </w:r>
      <w:r w:rsidRPr="006B4A66">
        <w:rPr>
          <w:rFonts w:ascii="Times New Roman" w:eastAsia="Times New Roman" w:hAnsi="Times New Roman" w:cs="Times New Roman"/>
          <w:strike/>
          <w:color w:val="000000"/>
          <w:kern w:val="0"/>
          <w:sz w:val="24"/>
          <w:szCs w:val="24"/>
          <w14:ligatures w14:val="none"/>
        </w:rPr>
        <w:t>m2</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square meters</w:t>
      </w:r>
      <w:r w:rsidRPr="006B4A66">
        <w:rPr>
          <w:rFonts w:ascii="Times New Roman" w:eastAsia="Times New Roman" w:hAnsi="Times New Roman" w:cs="Times New Roman"/>
          <w:color w:val="000000"/>
          <w:kern w:val="0"/>
          <w:sz w:val="24"/>
          <w:szCs w:val="24"/>
          <w14:ligatures w14:val="none"/>
        </w:rPr>
        <w:t>);</w:t>
      </w:r>
    </w:p>
    <w:p w14:paraId="78E684B7"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  2.2.  The roof eave does not project closer than ((</w:t>
      </w:r>
      <w:r w:rsidRPr="006B4A66">
        <w:rPr>
          <w:rFonts w:ascii="Times New Roman" w:eastAsia="Times New Roman" w:hAnsi="Times New Roman" w:cs="Times New Roman"/>
          <w:strike/>
          <w:color w:val="000000"/>
          <w:kern w:val="0"/>
          <w:sz w:val="24"/>
          <w:szCs w:val="24"/>
          <w14:ligatures w14:val="none"/>
        </w:rPr>
        <w:t>three</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3</w:t>
      </w:r>
      <w:r w:rsidRPr="006B4A66">
        <w:rPr>
          <w:rFonts w:ascii="Times New Roman" w:eastAsia="Times New Roman" w:hAnsi="Times New Roman" w:cs="Times New Roman"/>
          <w:color w:val="000000"/>
          <w:kern w:val="0"/>
          <w:sz w:val="24"/>
          <w:szCs w:val="24"/>
          <w14:ligatures w14:val="none"/>
        </w:rPr>
        <w:t xml:space="preserve"> feet </w:t>
      </w:r>
      <w:r w:rsidRPr="006B4A66">
        <w:rPr>
          <w:rFonts w:ascii="Times New Roman" w:eastAsia="Times New Roman" w:hAnsi="Times New Roman" w:cs="Times New Roman"/>
          <w:color w:val="000000"/>
          <w:kern w:val="0"/>
          <w:sz w:val="24"/>
          <w:szCs w:val="24"/>
          <w:u w:val="single"/>
          <w14:ligatures w14:val="none"/>
        </w:rPr>
        <w:t>(914 millimeters)</w:t>
      </w:r>
      <w:r w:rsidRPr="006B4A66">
        <w:rPr>
          <w:rFonts w:ascii="Times New Roman" w:eastAsia="Times New Roman" w:hAnsi="Times New Roman" w:cs="Times New Roman"/>
          <w:color w:val="000000"/>
          <w:kern w:val="0"/>
          <w:sz w:val="24"/>
          <w:szCs w:val="24"/>
          <w14:ligatures w14:val="none"/>
        </w:rPr>
        <w:t xml:space="preserve"> to any portion of an adjacent building and does not exceed ((</w:t>
      </w:r>
      <w:r w:rsidRPr="006B4A66">
        <w:rPr>
          <w:rFonts w:ascii="Times New Roman" w:eastAsia="Times New Roman" w:hAnsi="Times New Roman" w:cs="Times New Roman"/>
          <w:strike/>
          <w:color w:val="000000"/>
          <w:kern w:val="0"/>
          <w:sz w:val="24"/>
          <w:szCs w:val="24"/>
          <w14:ligatures w14:val="none"/>
        </w:rPr>
        <w:t>twenty-four</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24</w:t>
      </w:r>
      <w:r w:rsidRPr="006B4A66">
        <w:rPr>
          <w:rFonts w:ascii="Times New Roman" w:eastAsia="Times New Roman" w:hAnsi="Times New Roman" w:cs="Times New Roman"/>
          <w:color w:val="000000"/>
          <w:kern w:val="0"/>
          <w:sz w:val="24"/>
          <w:szCs w:val="24"/>
          <w14:ligatures w14:val="none"/>
        </w:rPr>
        <w:t xml:space="preserve"> inches </w:t>
      </w:r>
      <w:r w:rsidRPr="006B4A66">
        <w:rPr>
          <w:rFonts w:ascii="Times New Roman" w:eastAsia="Times New Roman" w:hAnsi="Times New Roman" w:cs="Times New Roman"/>
          <w:color w:val="000000"/>
          <w:kern w:val="0"/>
          <w:sz w:val="24"/>
          <w:szCs w:val="24"/>
          <w:u w:val="single"/>
          <w14:ligatures w14:val="none"/>
        </w:rPr>
        <w:t>(610 millimeters)</w:t>
      </w:r>
      <w:r w:rsidRPr="006B4A66">
        <w:rPr>
          <w:rFonts w:ascii="Times New Roman" w:eastAsia="Times New Roman" w:hAnsi="Times New Roman" w:cs="Times New Roman"/>
          <w:color w:val="000000"/>
          <w:kern w:val="0"/>
          <w:sz w:val="24"/>
          <w:szCs w:val="24"/>
          <w14:ligatures w14:val="none"/>
        </w:rPr>
        <w:t xml:space="preserve"> measured horizontally from the exterior wall;</w:t>
      </w:r>
    </w:p>
    <w:p w14:paraId="3E7E5645"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u w:val="single"/>
          <w14:ligatures w14:val="none"/>
        </w:rPr>
      </w:pPr>
      <w:r w:rsidRPr="006B4A66">
        <w:rPr>
          <w:rFonts w:ascii="Times New Roman" w:eastAsia="Times New Roman" w:hAnsi="Times New Roman" w:cs="Times New Roman"/>
          <w:color w:val="000000"/>
          <w:kern w:val="0"/>
          <w:sz w:val="24"/>
          <w:szCs w:val="24"/>
          <w14:ligatures w14:val="none"/>
        </w:rPr>
        <w:tab/>
        <w:t xml:space="preserve">  2.3.  The building is separated a minimum of ((</w:t>
      </w:r>
      <w:r w:rsidRPr="006B4A66">
        <w:rPr>
          <w:rFonts w:ascii="Times New Roman" w:eastAsia="Times New Roman" w:hAnsi="Times New Roman" w:cs="Times New Roman"/>
          <w:strike/>
          <w:color w:val="000000"/>
          <w:kern w:val="0"/>
          <w:sz w:val="24"/>
          <w:szCs w:val="24"/>
          <w14:ligatures w14:val="none"/>
        </w:rPr>
        <w:t>five</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5</w:t>
      </w:r>
      <w:r w:rsidRPr="006B4A66">
        <w:rPr>
          <w:rFonts w:ascii="Times New Roman" w:eastAsia="Times New Roman" w:hAnsi="Times New Roman" w:cs="Times New Roman"/>
          <w:color w:val="000000"/>
          <w:kern w:val="0"/>
          <w:sz w:val="24"/>
          <w:szCs w:val="24"/>
          <w14:ligatures w14:val="none"/>
        </w:rPr>
        <w:t xml:space="preserve"> feet </w:t>
      </w:r>
      <w:r w:rsidRPr="006B4A66">
        <w:rPr>
          <w:rFonts w:ascii="Times New Roman" w:eastAsia="Times New Roman" w:hAnsi="Times New Roman" w:cs="Times New Roman"/>
          <w:color w:val="000000"/>
          <w:kern w:val="0"/>
          <w:sz w:val="24"/>
          <w:szCs w:val="24"/>
          <w:u w:val="single"/>
          <w14:ligatures w14:val="none"/>
        </w:rPr>
        <w:t>(1,524 millimeters)</w:t>
      </w:r>
      <w:r w:rsidRPr="006B4A66">
        <w:rPr>
          <w:rFonts w:ascii="Times New Roman" w:eastAsia="Times New Roman" w:hAnsi="Times New Roman" w:cs="Times New Roman"/>
          <w:color w:val="000000"/>
          <w:kern w:val="0"/>
          <w:sz w:val="24"/>
          <w:szCs w:val="24"/>
          <w14:ligatures w14:val="none"/>
        </w:rPr>
        <w:t xml:space="preserve"> from other buildings; and</w:t>
      </w:r>
    </w:p>
    <w:p w14:paraId="0FC05D3A" w14:textId="1859AAAB"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  2.4.  The building </w:t>
      </w:r>
      <w:r w:rsidR="004B6026">
        <w:rPr>
          <w:rFonts w:ascii="Times New Roman" w:eastAsia="Times New Roman" w:hAnsi="Times New Roman" w:cs="Times New Roman"/>
          <w:color w:val="000000"/>
          <w:kern w:val="0"/>
          <w:sz w:val="24"/>
          <w:szCs w:val="24"/>
          <w14:ligatures w14:val="none"/>
        </w:rPr>
        <w:t>((</w:t>
      </w:r>
      <w:r w:rsidRPr="001216D4">
        <w:rPr>
          <w:rFonts w:ascii="Times New Roman" w:eastAsia="Times New Roman" w:hAnsi="Times New Roman" w:cs="Times New Roman"/>
          <w:strike/>
          <w:color w:val="000000"/>
          <w:kern w:val="0"/>
          <w:sz w:val="24"/>
          <w:szCs w:val="24"/>
          <w14:ligatures w14:val="none"/>
        </w:rPr>
        <w:t>does not have an installed heating system</w:t>
      </w:r>
      <w:r w:rsidR="004B6026">
        <w:rPr>
          <w:rFonts w:ascii="Times New Roman" w:eastAsia="Times New Roman" w:hAnsi="Times New Roman" w:cs="Times New Roman"/>
          <w:color w:val="000000"/>
          <w:kern w:val="0"/>
          <w:sz w:val="24"/>
          <w:szCs w:val="24"/>
          <w14:ligatures w14:val="none"/>
        </w:rPr>
        <w:t xml:space="preserve">)) </w:t>
      </w:r>
      <w:r w:rsidR="004B6026">
        <w:rPr>
          <w:rFonts w:ascii="Times New Roman" w:eastAsia="Times New Roman" w:hAnsi="Times New Roman" w:cs="Times New Roman"/>
          <w:color w:val="000000"/>
          <w:kern w:val="0"/>
          <w:sz w:val="24"/>
          <w:szCs w:val="24"/>
          <w:u w:val="single"/>
          <w14:ligatures w14:val="none"/>
        </w:rPr>
        <w:t>is unconditioned</w:t>
      </w:r>
      <w:r w:rsidRPr="006B4A66">
        <w:rPr>
          <w:rFonts w:ascii="Times New Roman" w:eastAsia="Times New Roman" w:hAnsi="Times New Roman" w:cs="Times New Roman"/>
          <w:color w:val="000000"/>
          <w:kern w:val="0"/>
          <w:sz w:val="24"/>
          <w:szCs w:val="24"/>
          <w14:ligatures w14:val="none"/>
        </w:rPr>
        <w:t xml:space="preserve"> and is not connected to water, sanitary sewer</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 xml:space="preserve"> or septic service.</w:t>
      </w:r>
    </w:p>
    <w:p w14:paraId="59C8FBBF" w14:textId="77777777" w:rsidR="000A7B59"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3.</w:t>
      </w:r>
      <w:r w:rsidR="000A7B59">
        <w:rPr>
          <w:rFonts w:ascii="Times New Roman" w:eastAsia="Times New Roman" w:hAnsi="Times New Roman" w:cs="Times New Roman"/>
          <w:color w:val="000000"/>
          <w:kern w:val="0"/>
          <w:sz w:val="24"/>
          <w:szCs w:val="24"/>
          <w:u w:val="single"/>
          <w14:ligatures w14:val="none"/>
        </w:rPr>
        <w:t>1</w:t>
      </w:r>
      <w:r w:rsidRPr="006B4A66">
        <w:rPr>
          <w:rFonts w:ascii="Times New Roman" w:eastAsia="Times New Roman" w:hAnsi="Times New Roman" w:cs="Times New Roman"/>
          <w:color w:val="000000"/>
          <w:kern w:val="0"/>
          <w:sz w:val="24"/>
          <w:szCs w:val="24"/>
          <w14:ligatures w14:val="none"/>
        </w:rPr>
        <w:t xml:space="preserve">  Fences</w:t>
      </w:r>
      <w:r w:rsidRPr="006B4A66">
        <w:rPr>
          <w:rFonts w:ascii="Times New Roman" w:eastAsia="Times New Roman" w:hAnsi="Times New Roman" w:cs="Times New Roman"/>
          <w:color w:val="000000"/>
          <w:kern w:val="0"/>
          <w:sz w:val="24"/>
          <w:szCs w:val="24"/>
          <w:u w:val="single"/>
          <w14:ligatures w14:val="none"/>
        </w:rPr>
        <w:t>, other than swimming pool barriers,</w:t>
      </w:r>
      <w:r w:rsidRPr="006B4A66">
        <w:rPr>
          <w:rFonts w:ascii="Times New Roman" w:eastAsia="Times New Roman" w:hAnsi="Times New Roman" w:cs="Times New Roman"/>
          <w:color w:val="000000"/>
          <w:kern w:val="0"/>
          <w:sz w:val="24"/>
          <w:szCs w:val="24"/>
          <w14:ligatures w14:val="none"/>
        </w:rPr>
        <w:t xml:space="preserve"> not over 6 feet ((</w:t>
      </w:r>
      <w:r w:rsidRPr="006B4A66">
        <w:rPr>
          <w:rFonts w:ascii="Times New Roman" w:eastAsia="Times New Roman" w:hAnsi="Times New Roman" w:cs="Times New Roman"/>
          <w:strike/>
          <w:color w:val="000000"/>
          <w:kern w:val="0"/>
          <w:sz w:val="24"/>
          <w:szCs w:val="24"/>
          <w14:ligatures w14:val="none"/>
        </w:rPr>
        <w:t>( 1.8 m)</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(1,829 millimeters)</w:t>
      </w:r>
      <w:r w:rsidRPr="006B4A66">
        <w:rPr>
          <w:rFonts w:ascii="Times New Roman" w:eastAsia="Times New Roman" w:hAnsi="Times New Roman" w:cs="Times New Roman"/>
          <w:color w:val="000000"/>
          <w:kern w:val="0"/>
          <w:sz w:val="24"/>
          <w:szCs w:val="24"/>
          <w14:ligatures w14:val="none"/>
        </w:rPr>
        <w:t xml:space="preserve"> high</w:t>
      </w:r>
      <w:r w:rsidRPr="000A7B59">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xml:space="preserve">  </w:t>
      </w:r>
    </w:p>
    <w:p w14:paraId="61C52A79" w14:textId="1978D4E3" w:rsidR="006B4A66" w:rsidRPr="006B4A66" w:rsidRDefault="000A7B59" w:rsidP="0073496A">
      <w:pPr>
        <w:tabs>
          <w:tab w:val="left" w:pos="720"/>
        </w:tabs>
        <w:spacing w:after="0" w:line="480" w:lineRule="auto"/>
        <w:rPr>
          <w:rFonts w:ascii="Times New Roman" w:eastAsia="Times New Roman" w:hAnsi="Times New Roman" w:cs="Times New Roman"/>
          <w:iCs/>
          <w:color w:val="000000"/>
          <w:kern w:val="0"/>
          <w:sz w:val="24"/>
          <w:szCs w:val="24"/>
          <w:u w:val="single"/>
          <w14:ligatures w14:val="none"/>
        </w:rPr>
      </w:pPr>
      <w:r w:rsidRPr="000A7B59">
        <w:rPr>
          <w:rFonts w:ascii="Times New Roman" w:eastAsia="Times New Roman" w:hAnsi="Times New Roman" w:cs="Times New Roman"/>
          <w:color w:val="000000"/>
          <w:kern w:val="0"/>
          <w:sz w:val="24"/>
          <w:szCs w:val="24"/>
          <w14:ligatures w14:val="none"/>
        </w:rPr>
        <w:tab/>
      </w:r>
      <w:r w:rsidRPr="001216D4">
        <w:rPr>
          <w:rFonts w:ascii="Times New Roman" w:eastAsia="Times New Roman" w:hAnsi="Times New Roman" w:cs="Times New Roman"/>
          <w:color w:val="000000"/>
          <w:kern w:val="0"/>
          <w:sz w:val="24"/>
          <w:szCs w:val="24"/>
          <w:u w:val="single"/>
          <w14:ligatures w14:val="none"/>
        </w:rPr>
        <w:t xml:space="preserve">3.2  </w:t>
      </w:r>
      <w:r w:rsidR="006B4A66" w:rsidRPr="006B4A66">
        <w:rPr>
          <w:rFonts w:ascii="Times New Roman" w:eastAsia="Times New Roman" w:hAnsi="Times New Roman" w:cs="Times New Roman"/>
          <w:iCs/>
          <w:color w:val="000000"/>
          <w:kern w:val="0"/>
          <w:sz w:val="24"/>
          <w:szCs w:val="24"/>
          <w:u w:val="single"/>
          <w14:ligatures w14:val="none"/>
        </w:rPr>
        <w:t>Agricultural wildlife exclusion fencing consistent with Washington Department of Fish and Wildlife criteria and located in the Agricultural (A) zone not over 8 feet (2,438 millimeters</w:t>
      </w:r>
      <w:r w:rsidR="00456FC2">
        <w:rPr>
          <w:rFonts w:ascii="Times New Roman" w:eastAsia="Times New Roman" w:hAnsi="Times New Roman" w:cs="Times New Roman"/>
          <w:iCs/>
          <w:color w:val="000000"/>
          <w:kern w:val="0"/>
          <w:sz w:val="24"/>
          <w:szCs w:val="24"/>
          <w:u w:val="single"/>
          <w14:ligatures w14:val="none"/>
        </w:rPr>
        <w:t>)</w:t>
      </w:r>
      <w:r w:rsidR="006B4A66" w:rsidRPr="006B4A66">
        <w:rPr>
          <w:rFonts w:ascii="Times New Roman" w:eastAsia="Times New Roman" w:hAnsi="Times New Roman" w:cs="Times New Roman"/>
          <w:iCs/>
          <w:color w:val="000000"/>
          <w:kern w:val="0"/>
          <w:sz w:val="24"/>
          <w:szCs w:val="24"/>
          <w:u w:val="single"/>
          <w14:ligatures w14:val="none"/>
        </w:rPr>
        <w:t xml:space="preserve"> high.</w:t>
      </w:r>
    </w:p>
    <w:p w14:paraId="63FB4AD5"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iCs/>
          <w:color w:val="000000"/>
          <w:kern w:val="0"/>
          <w:sz w:val="24"/>
          <w:szCs w:val="24"/>
          <w14:ligatures w14:val="none"/>
        </w:rPr>
        <w:lastRenderedPageBreak/>
        <w:tab/>
      </w:r>
      <w:r w:rsidRPr="006B4A66">
        <w:rPr>
          <w:rFonts w:ascii="Times New Roman" w:eastAsia="Times New Roman" w:hAnsi="Times New Roman" w:cs="Times New Roman"/>
          <w:color w:val="000000"/>
          <w:kern w:val="0"/>
          <w:sz w:val="24"/>
          <w:szCs w:val="24"/>
          <w14:ligatures w14:val="none"/>
        </w:rPr>
        <w:t>4.  Retaining walls ((</w:t>
      </w:r>
      <w:r w:rsidRPr="006B4A66">
        <w:rPr>
          <w:rFonts w:ascii="Times New Roman" w:eastAsia="Times New Roman" w:hAnsi="Times New Roman" w:cs="Times New Roman"/>
          <w:strike/>
          <w:color w:val="000000"/>
          <w:kern w:val="0"/>
          <w:sz w:val="24"/>
          <w:szCs w:val="24"/>
          <w14:ligatures w14:val="none"/>
        </w:rPr>
        <w:t>that are</w:t>
      </w:r>
      <w:r w:rsidRPr="006B4A66">
        <w:rPr>
          <w:rFonts w:ascii="Times New Roman" w:eastAsia="Times New Roman" w:hAnsi="Times New Roman" w:cs="Times New Roman"/>
          <w:color w:val="000000"/>
          <w:kern w:val="0"/>
          <w:sz w:val="24"/>
          <w:szCs w:val="24"/>
          <w14:ligatures w14:val="none"/>
        </w:rPr>
        <w:t>)) not over 4 feet ((</w:t>
      </w:r>
      <w:r w:rsidRPr="006B4A66">
        <w:rPr>
          <w:rFonts w:ascii="Times New Roman" w:eastAsia="Times New Roman" w:hAnsi="Times New Roman" w:cs="Times New Roman"/>
          <w:strike/>
          <w:color w:val="000000"/>
          <w:kern w:val="0"/>
          <w:sz w:val="24"/>
          <w:szCs w:val="24"/>
          <w14:ligatures w14:val="none"/>
        </w:rPr>
        <w:t>( 1.2 m)</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(1,219 millimeters)</w:t>
      </w:r>
      <w:r w:rsidRPr="006B4A66">
        <w:rPr>
          <w:rFonts w:ascii="Times New Roman" w:eastAsia="Times New Roman" w:hAnsi="Times New Roman" w:cs="Times New Roman"/>
          <w:color w:val="000000"/>
          <w:kern w:val="0"/>
          <w:sz w:val="24"/>
          <w:szCs w:val="24"/>
          <w14:ligatures w14:val="none"/>
        </w:rPr>
        <w:t xml:space="preserve"> in height measured from the bottom of the footing to the top of the wall, unless supporting a surcharge or impounding Class I, II</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 xml:space="preserve"> or IIIA liquids.</w:t>
      </w:r>
    </w:p>
    <w:p w14:paraId="3A72B647"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5.  Water tanks supported directly upon grade if the capacity does not exceed 5,000 gallons (18,927 l</w:t>
      </w:r>
      <w:r w:rsidRPr="006B4A66">
        <w:rPr>
          <w:rFonts w:ascii="Times New Roman" w:eastAsia="Times New Roman" w:hAnsi="Times New Roman" w:cs="Times New Roman"/>
          <w:color w:val="000000"/>
          <w:kern w:val="0"/>
          <w:sz w:val="24"/>
          <w:szCs w:val="24"/>
          <w:u w:val="single"/>
          <w14:ligatures w14:val="none"/>
        </w:rPr>
        <w:t>iters</w:t>
      </w:r>
      <w:r w:rsidRPr="006B4A66">
        <w:rPr>
          <w:rFonts w:ascii="Times New Roman" w:eastAsia="Times New Roman" w:hAnsi="Times New Roman" w:cs="Times New Roman"/>
          <w:color w:val="000000"/>
          <w:kern w:val="0"/>
          <w:sz w:val="24"/>
          <w:szCs w:val="24"/>
          <w14:ligatures w14:val="none"/>
        </w:rPr>
        <w:t>) and the ratio of height to diameter or width does not exceed 2 to 1.</w:t>
      </w:r>
    </w:p>
    <w:p w14:paraId="5DC7A705"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6.  Sidewalks, decks, and driveways not more than 30 inches (762 ((</w:t>
      </w:r>
      <w:r w:rsidRPr="006B4A66">
        <w:rPr>
          <w:rFonts w:ascii="Times New Roman" w:eastAsia="Times New Roman" w:hAnsi="Times New Roman" w:cs="Times New Roman"/>
          <w:strike/>
          <w:color w:val="000000"/>
          <w:kern w:val="0"/>
          <w:sz w:val="24"/>
          <w:szCs w:val="24"/>
          <w14:ligatures w14:val="none"/>
        </w:rPr>
        <w:t>mm</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millimeters</w:t>
      </w:r>
      <w:r w:rsidRPr="006B4A66">
        <w:rPr>
          <w:rFonts w:ascii="Times New Roman" w:eastAsia="Times New Roman" w:hAnsi="Times New Roman" w:cs="Times New Roman"/>
          <w:color w:val="000000"/>
          <w:kern w:val="0"/>
          <w:sz w:val="24"/>
          <w:szCs w:val="24"/>
          <w14:ligatures w14:val="none"/>
        </w:rPr>
        <w:t xml:space="preserve">) above </w:t>
      </w:r>
      <w:r w:rsidRPr="006B4A66">
        <w:rPr>
          <w:rFonts w:ascii="Times New Roman" w:eastAsia="Times New Roman" w:hAnsi="Times New Roman" w:cs="Times New Roman"/>
          <w:color w:val="000000"/>
          <w:kern w:val="0"/>
          <w:sz w:val="24"/>
          <w:szCs w:val="24"/>
          <w:u w:val="single"/>
          <w14:ligatures w14:val="none"/>
        </w:rPr>
        <w:t>adjacent</w:t>
      </w:r>
      <w:r w:rsidRPr="006B4A66">
        <w:rPr>
          <w:rFonts w:ascii="Times New Roman" w:eastAsia="Times New Roman" w:hAnsi="Times New Roman" w:cs="Times New Roman"/>
          <w:color w:val="000000"/>
          <w:kern w:val="0"/>
          <w:sz w:val="24"/>
          <w:szCs w:val="24"/>
          <w14:ligatures w14:val="none"/>
        </w:rPr>
        <w:t xml:space="preserve"> grade and not over any basement or story below and that are not part of an accessible route.</w:t>
      </w:r>
    </w:p>
    <w:p w14:paraId="4F5F53DE"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7.  Painting, papering, tiling, carpeting, cabinets, counter tops</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 xml:space="preserve"> and similar finish work.</w:t>
      </w:r>
    </w:p>
    <w:p w14:paraId="17213874"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u w:val="single"/>
          <w14:ligatures w14:val="none"/>
        </w:rPr>
      </w:pPr>
      <w:r w:rsidRPr="006B4A66">
        <w:rPr>
          <w:rFonts w:ascii="Times New Roman" w:eastAsia="Times New Roman" w:hAnsi="Times New Roman" w:cs="Times New Roman"/>
          <w:color w:val="000000"/>
          <w:kern w:val="0"/>
          <w:sz w:val="24"/>
          <w:szCs w:val="24"/>
          <w14:ligatures w14:val="none"/>
        </w:rPr>
        <w:tab/>
        <w:t>8.  Temporary motion picture, television</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 xml:space="preserve"> and theater stage sets and scenery.</w:t>
      </w:r>
      <w:r w:rsidRPr="006B4A66">
        <w:rPr>
          <w:rFonts w:ascii="Times New Roman" w:eastAsia="Times New Roman" w:hAnsi="Times New Roman" w:cs="Times New Roman"/>
          <w:color w:val="000000"/>
          <w:kern w:val="0"/>
          <w:sz w:val="24"/>
          <w:szCs w:val="24"/>
          <w14:ligatures w14:val="none"/>
        </w:rPr>
        <w:tab/>
        <w:t>9.  Prefabricated swimming pools accessory to a ((</w:t>
      </w:r>
      <w:r w:rsidRPr="006B4A66">
        <w:rPr>
          <w:rFonts w:ascii="Times New Roman" w:eastAsia="Times New Roman" w:hAnsi="Times New Roman" w:cs="Times New Roman"/>
          <w:strike/>
          <w:color w:val="000000"/>
          <w:kern w:val="0"/>
          <w:sz w:val="24"/>
          <w:szCs w:val="24"/>
          <w14:ligatures w14:val="none"/>
        </w:rPr>
        <w:t>detached one- or two-family dwelling as applicable in IBC 101.2,</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Group R-3 occupancy</w:t>
      </w:r>
      <w:r w:rsidRPr="006B4A66">
        <w:rPr>
          <w:rFonts w:ascii="Times New Roman" w:eastAsia="Times New Roman" w:hAnsi="Times New Roman" w:cs="Times New Roman"/>
          <w:color w:val="000000"/>
          <w:kern w:val="0"/>
          <w:sz w:val="24"/>
          <w:szCs w:val="24"/>
          <w14:ligatures w14:val="none"/>
        </w:rPr>
        <w:t xml:space="preserve"> that are installed entirely above ground and</w:t>
      </w:r>
      <w:r w:rsidRPr="006B4A66">
        <w:rPr>
          <w:rFonts w:ascii="Times New Roman" w:eastAsia="Times New Roman" w:hAnsi="Times New Roman" w:cs="Times New Roman"/>
          <w:color w:val="000000"/>
          <w:kern w:val="0"/>
          <w:sz w:val="24"/>
          <w:szCs w:val="24"/>
          <w:u w:val="single"/>
          <w14:ligatures w14:val="none"/>
        </w:rPr>
        <w:t>:</w:t>
      </w:r>
    </w:p>
    <w:p w14:paraId="707F7495"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  </w:t>
      </w:r>
      <w:r w:rsidRPr="006B4A66">
        <w:rPr>
          <w:rFonts w:ascii="Times New Roman" w:eastAsia="Times New Roman" w:hAnsi="Times New Roman" w:cs="Times New Roman"/>
          <w:color w:val="000000"/>
          <w:kern w:val="0"/>
          <w:sz w:val="24"/>
          <w:szCs w:val="24"/>
          <w:u w:val="single"/>
          <w14:ligatures w14:val="none"/>
        </w:rPr>
        <w:t>9.1.</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strike/>
          <w:color w:val="000000"/>
          <w:kern w:val="0"/>
          <w:sz w:val="24"/>
          <w:szCs w:val="24"/>
          <w14:ligatures w14:val="none"/>
        </w:rPr>
        <w:t>a)</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A</w:t>
      </w:r>
      <w:r w:rsidRPr="006B4A66">
        <w:rPr>
          <w:rFonts w:ascii="Times New Roman" w:eastAsia="Times New Roman" w:hAnsi="Times New Roman" w:cs="Times New Roman"/>
          <w:color w:val="000000"/>
          <w:kern w:val="0"/>
          <w:sz w:val="24"/>
          <w:szCs w:val="24"/>
          <w14:ligatures w14:val="none"/>
        </w:rPr>
        <w:t>re ((</w:t>
      </w:r>
      <w:r w:rsidRPr="006B4A66">
        <w:rPr>
          <w:rFonts w:ascii="Times New Roman" w:eastAsia="Times New Roman" w:hAnsi="Times New Roman" w:cs="Times New Roman"/>
          <w:strike/>
          <w:color w:val="000000"/>
          <w:kern w:val="0"/>
          <w:sz w:val="24"/>
          <w:szCs w:val="24"/>
          <w14:ligatures w14:val="none"/>
        </w:rPr>
        <w:t>either</w:t>
      </w:r>
      <w:r w:rsidRPr="006B4A66">
        <w:rPr>
          <w:rFonts w:ascii="Times New Roman" w:eastAsia="Times New Roman" w:hAnsi="Times New Roman" w:cs="Times New Roman"/>
          <w:color w:val="000000"/>
          <w:kern w:val="0"/>
          <w:sz w:val="24"/>
          <w:szCs w:val="24"/>
          <w14:ligatures w14:val="none"/>
        </w:rPr>
        <w:t>)) less than 24 inches (610 ((</w:t>
      </w:r>
      <w:r w:rsidRPr="006B4A66">
        <w:rPr>
          <w:rFonts w:ascii="Times New Roman" w:eastAsia="Times New Roman" w:hAnsi="Times New Roman" w:cs="Times New Roman"/>
          <w:strike/>
          <w:color w:val="000000"/>
          <w:kern w:val="0"/>
          <w:sz w:val="24"/>
          <w:szCs w:val="24"/>
          <w14:ligatures w14:val="none"/>
        </w:rPr>
        <w:t>mm</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millimeters</w:t>
      </w:r>
      <w:r w:rsidRPr="006B4A66">
        <w:rPr>
          <w:rFonts w:ascii="Times New Roman" w:eastAsia="Times New Roman" w:hAnsi="Times New Roman" w:cs="Times New Roman"/>
          <w:color w:val="000000"/>
          <w:kern w:val="0"/>
          <w:sz w:val="24"/>
          <w:szCs w:val="24"/>
          <w14:ligatures w14:val="none"/>
        </w:rPr>
        <w:t>) deep and do not exceed 5,000 gallons ((</w:t>
      </w:r>
      <w:r w:rsidRPr="006B4A66">
        <w:rPr>
          <w:rFonts w:ascii="Times New Roman" w:eastAsia="Times New Roman" w:hAnsi="Times New Roman" w:cs="Times New Roman"/>
          <w:strike/>
          <w:color w:val="000000"/>
          <w:kern w:val="0"/>
          <w:sz w:val="24"/>
          <w:szCs w:val="24"/>
          <w14:ligatures w14:val="none"/>
        </w:rPr>
        <w:t>(18,925 l)</w:t>
      </w:r>
      <w:r w:rsidRPr="006B4A66">
        <w:rPr>
          <w:rFonts w:ascii="Times New Roman" w:eastAsia="Times New Roman" w:hAnsi="Times New Roman" w:cs="Times New Roman"/>
          <w:color w:val="000000"/>
          <w:kern w:val="0"/>
          <w:sz w:val="24"/>
          <w:szCs w:val="24"/>
          <w14:ligatures w14:val="none"/>
        </w:rPr>
        <w:t>)) (</w:t>
      </w:r>
      <w:r w:rsidRPr="006B4A66">
        <w:rPr>
          <w:rFonts w:ascii="Times New Roman" w:eastAsia="Times New Roman" w:hAnsi="Times New Roman" w:cs="Times New Roman"/>
          <w:color w:val="000000"/>
          <w:kern w:val="0"/>
          <w:sz w:val="24"/>
          <w:szCs w:val="24"/>
          <w:u w:val="single"/>
          <w14:ligatures w14:val="none"/>
        </w:rPr>
        <w:t>18,927 liters);</w:t>
      </w:r>
      <w:r w:rsidRPr="006B4A66">
        <w:rPr>
          <w:rFonts w:ascii="Times New Roman" w:eastAsia="Times New Roman" w:hAnsi="Times New Roman" w:cs="Times New Roman"/>
          <w:color w:val="000000"/>
          <w:kern w:val="0"/>
          <w:sz w:val="24"/>
          <w:szCs w:val="24"/>
          <w14:ligatures w14:val="none"/>
        </w:rPr>
        <w:t xml:space="preserve"> or</w:t>
      </w:r>
    </w:p>
    <w:p w14:paraId="64A86C0B"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  </w:t>
      </w:r>
      <w:r w:rsidRPr="006B4A66">
        <w:rPr>
          <w:rFonts w:ascii="Times New Roman" w:eastAsia="Times New Roman" w:hAnsi="Times New Roman" w:cs="Times New Roman"/>
          <w:color w:val="000000"/>
          <w:kern w:val="0"/>
          <w:sz w:val="24"/>
          <w:szCs w:val="24"/>
          <w:u w:val="single"/>
          <w14:ligatures w14:val="none"/>
        </w:rPr>
        <w:t>9.2.</w:t>
      </w:r>
      <w:r w:rsidRPr="006B4A66">
        <w:rPr>
          <w:rFonts w:ascii="Times New Roman" w:eastAsia="Times New Roman" w:hAnsi="Times New Roman" w:cs="Times New Roman"/>
          <w:color w:val="000000"/>
          <w:kern w:val="0"/>
          <w:sz w:val="24"/>
          <w:szCs w:val="24"/>
          <w14:ligatures w14:val="none"/>
        </w:rPr>
        <w:t xml:space="preserve">  are installed for temporary use of less than ((</w:t>
      </w:r>
      <w:r w:rsidRPr="006B4A66">
        <w:rPr>
          <w:rFonts w:ascii="Times New Roman" w:eastAsia="Times New Roman" w:hAnsi="Times New Roman" w:cs="Times New Roman"/>
          <w:strike/>
          <w:color w:val="000000"/>
          <w:kern w:val="0"/>
          <w:sz w:val="24"/>
          <w:szCs w:val="24"/>
          <w14:ligatures w14:val="none"/>
        </w:rPr>
        <w:t>three</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3</w:t>
      </w:r>
      <w:r w:rsidRPr="006B4A66">
        <w:rPr>
          <w:rFonts w:ascii="Times New Roman" w:eastAsia="Times New Roman" w:hAnsi="Times New Roman" w:cs="Times New Roman"/>
          <w:color w:val="000000"/>
          <w:kern w:val="0"/>
          <w:sz w:val="24"/>
          <w:szCs w:val="24"/>
          <w14:ligatures w14:val="none"/>
        </w:rPr>
        <w:t xml:space="preserve"> months in a ((</w:t>
      </w:r>
      <w:r w:rsidRPr="006B4A66">
        <w:rPr>
          <w:rFonts w:ascii="Times New Roman" w:eastAsia="Times New Roman" w:hAnsi="Times New Roman" w:cs="Times New Roman"/>
          <w:strike/>
          <w:color w:val="000000"/>
          <w:kern w:val="0"/>
          <w:sz w:val="24"/>
          <w:szCs w:val="24"/>
          <w14:ligatures w14:val="none"/>
        </w:rPr>
        <w:t>twelve</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12-</w:t>
      </w:r>
      <w:r w:rsidRPr="006B4A66">
        <w:rPr>
          <w:rFonts w:ascii="Times New Roman" w:eastAsia="Times New Roman" w:hAnsi="Times New Roman" w:cs="Times New Roman"/>
          <w:color w:val="000000"/>
          <w:kern w:val="0"/>
          <w:sz w:val="24"/>
          <w:szCs w:val="24"/>
          <w14:ligatures w14:val="none"/>
        </w:rPr>
        <w:t>month period.</w:t>
      </w:r>
    </w:p>
    <w:p w14:paraId="2C45BBD6"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10.  Temporary growing structures and temporary worker housing as exempted by WAC 51-50-007.</w:t>
      </w:r>
    </w:p>
    <w:p w14:paraId="0A43D26B"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u w:val="single"/>
          <w14:ligatures w14:val="none"/>
        </w:rPr>
      </w:pPr>
      <w:r w:rsidRPr="006B4A66">
        <w:rPr>
          <w:rFonts w:ascii="Times New Roman" w:eastAsia="Times New Roman" w:hAnsi="Times New Roman" w:cs="Times New Roman"/>
          <w:color w:val="000000"/>
          <w:kern w:val="0"/>
          <w:sz w:val="24"/>
          <w:szCs w:val="24"/>
          <w14:ligatures w14:val="none"/>
        </w:rPr>
        <w:tab/>
        <w:t xml:space="preserve">11.  </w:t>
      </w:r>
      <w:r w:rsidRPr="006B4A66">
        <w:rPr>
          <w:rFonts w:ascii="Times New Roman" w:eastAsia="Times New Roman" w:hAnsi="Times New Roman" w:cs="Times New Roman"/>
          <w:color w:val="000000"/>
          <w:kern w:val="0"/>
          <w:sz w:val="24"/>
          <w:szCs w:val="24"/>
          <w:u w:val="single"/>
          <w14:ligatures w14:val="none"/>
        </w:rPr>
        <w:t>Shade cloth structures constructed for nursery or agricultural purposes, not including service systems.</w:t>
      </w:r>
    </w:p>
    <w:p w14:paraId="66EC05E5" w14:textId="54AC968B"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lastRenderedPageBreak/>
        <w:tab/>
      </w:r>
      <w:r w:rsidRPr="006B4A66">
        <w:rPr>
          <w:rFonts w:ascii="Times New Roman" w:eastAsia="Times New Roman" w:hAnsi="Times New Roman" w:cs="Times New Roman"/>
          <w:color w:val="000000"/>
          <w:kern w:val="0"/>
          <w:sz w:val="24"/>
          <w:szCs w:val="24"/>
          <w:u w:val="single"/>
          <w14:ligatures w14:val="none"/>
        </w:rPr>
        <w:t>12.</w:t>
      </w:r>
      <w:r w:rsidRPr="006B4A66">
        <w:rPr>
          <w:rFonts w:ascii="Times New Roman" w:eastAsia="Times New Roman" w:hAnsi="Times New Roman" w:cs="Times New Roman"/>
          <w:color w:val="000000"/>
          <w:kern w:val="0"/>
          <w:sz w:val="24"/>
          <w:szCs w:val="24"/>
          <w14:ligatures w14:val="none"/>
        </w:rPr>
        <w:t xml:space="preserve">  Swings and other playground equipment</w:t>
      </w:r>
      <w:r w:rsidRPr="006B4A66">
        <w:rPr>
          <w:rFonts w:ascii="Times New Roman" w:eastAsia="Times New Roman" w:hAnsi="Times New Roman" w:cs="Times New Roman"/>
          <w:color w:val="000000"/>
          <w:kern w:val="0"/>
          <w:sz w:val="24"/>
          <w:szCs w:val="24"/>
          <w:u w:val="single"/>
          <w14:ligatures w14:val="none"/>
        </w:rPr>
        <w:t>, other than play structures installed inside all occupancies covered by the IBC that exceed 10 feet (3</w:t>
      </w:r>
      <w:r w:rsidR="00944360">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u w:val="single"/>
          <w14:ligatures w14:val="none"/>
        </w:rPr>
        <w:t>048 millimeters) in height or 150 square feet (13.9 square meters) in area</w:t>
      </w:r>
      <w:r w:rsidRPr="006B4A66">
        <w:rPr>
          <w:rFonts w:ascii="Times New Roman" w:eastAsia="Times New Roman" w:hAnsi="Times New Roman" w:cs="Times New Roman"/>
          <w:color w:val="000000"/>
          <w:kern w:val="0"/>
          <w:sz w:val="24"/>
          <w:szCs w:val="24"/>
          <w14:ligatures w14:val="none"/>
        </w:rPr>
        <w:t>.</w:t>
      </w:r>
    </w:p>
    <w:p w14:paraId="07AB16C9"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12.</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13</w:t>
      </w:r>
      <w:r w:rsidRPr="006B4A66">
        <w:rPr>
          <w:rFonts w:ascii="Times New Roman" w:eastAsia="Times New Roman" w:hAnsi="Times New Roman" w:cs="Times New Roman"/>
          <w:color w:val="000000"/>
          <w:kern w:val="0"/>
          <w:sz w:val="24"/>
          <w:szCs w:val="24"/>
          <w14:ligatures w14:val="none"/>
        </w:rPr>
        <w:t>.  Window awnings for detached one- and two-family dwellings supported by an exterior wall that do not project more than 54 inches (1,372 ((</w:t>
      </w:r>
      <w:r w:rsidRPr="006B4A66">
        <w:rPr>
          <w:rFonts w:ascii="Times New Roman" w:eastAsia="Times New Roman" w:hAnsi="Times New Roman" w:cs="Times New Roman"/>
          <w:strike/>
          <w:color w:val="000000"/>
          <w:kern w:val="0"/>
          <w:sz w:val="24"/>
          <w:szCs w:val="24"/>
          <w14:ligatures w14:val="none"/>
        </w:rPr>
        <w:t>mm</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millimeters</w:t>
      </w:r>
      <w:r w:rsidRPr="006B4A66">
        <w:rPr>
          <w:rFonts w:ascii="Times New Roman" w:eastAsia="Times New Roman" w:hAnsi="Times New Roman" w:cs="Times New Roman"/>
          <w:color w:val="000000"/>
          <w:kern w:val="0"/>
          <w:sz w:val="24"/>
          <w:szCs w:val="24"/>
          <w14:ligatures w14:val="none"/>
        </w:rPr>
        <w:t>) from the exterior wall and do not require additional support.</w:t>
      </w:r>
    </w:p>
    <w:p w14:paraId="4995C269" w14:textId="2601E0A2"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13.</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14.</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Nonfixed and</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strike/>
          <w:color w:val="000000"/>
          <w:kern w:val="0"/>
          <w:sz w:val="24"/>
          <w:szCs w:val="24"/>
          <w14:ligatures w14:val="none"/>
        </w:rPr>
        <w:t>M</w:t>
      </w:r>
      <w:r w:rsidRPr="006B4A66">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color w:val="000000"/>
          <w:kern w:val="0"/>
          <w:sz w:val="24"/>
          <w:szCs w:val="24"/>
          <w:u w:val="single"/>
          <w14:ligatures w14:val="none"/>
        </w:rPr>
        <w:t>m</w:t>
      </w:r>
      <w:r w:rsidRPr="006B4A66">
        <w:rPr>
          <w:rFonts w:ascii="Times New Roman" w:eastAsia="Times New Roman" w:hAnsi="Times New Roman" w:cs="Times New Roman"/>
          <w:color w:val="000000"/>
          <w:kern w:val="0"/>
          <w:sz w:val="24"/>
          <w:szCs w:val="24"/>
          <w14:ligatures w14:val="none"/>
        </w:rPr>
        <w:t xml:space="preserve">oveable </w:t>
      </w:r>
      <w:r w:rsidRPr="006B4A66">
        <w:rPr>
          <w:rFonts w:ascii="Times New Roman" w:eastAsia="Times New Roman" w:hAnsi="Times New Roman" w:cs="Times New Roman"/>
          <w:color w:val="000000"/>
          <w:kern w:val="0"/>
          <w:sz w:val="24"/>
          <w:szCs w:val="24"/>
          <w:u w:val="single"/>
          <w14:ligatures w14:val="none"/>
        </w:rPr>
        <w:t>fixtures,</w:t>
      </w:r>
      <w:r w:rsidRPr="006B4A66">
        <w:rPr>
          <w:rFonts w:ascii="Times New Roman" w:eastAsia="Times New Roman" w:hAnsi="Times New Roman" w:cs="Times New Roman"/>
          <w:color w:val="000000"/>
          <w:kern w:val="0"/>
          <w:sz w:val="24"/>
          <w:szCs w:val="24"/>
          <w14:ligatures w14:val="none"/>
        </w:rPr>
        <w:t xml:space="preserve"> cases, </w:t>
      </w:r>
      <w:r w:rsidRPr="006B4A66">
        <w:rPr>
          <w:rFonts w:ascii="Times New Roman" w:eastAsia="Times New Roman" w:hAnsi="Times New Roman" w:cs="Times New Roman"/>
          <w:color w:val="000000"/>
          <w:kern w:val="0"/>
          <w:sz w:val="24"/>
          <w:szCs w:val="24"/>
          <w:u w:val="single"/>
          <w14:ligatures w14:val="none"/>
        </w:rPr>
        <w:t>racks,</w:t>
      </w:r>
      <w:r w:rsidRPr="00BD15DC">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14:ligatures w14:val="none"/>
        </w:rPr>
        <w:t>counters</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 xml:space="preserve"> and partitions not over 5 feet 9 inches (((</w:t>
      </w:r>
      <w:r w:rsidRPr="006B4A66">
        <w:rPr>
          <w:rFonts w:ascii="Times New Roman" w:eastAsia="Times New Roman" w:hAnsi="Times New Roman" w:cs="Times New Roman"/>
          <w:strike/>
          <w:color w:val="000000"/>
          <w:kern w:val="0"/>
          <w:sz w:val="24"/>
          <w:szCs w:val="24"/>
          <w14:ligatures w14:val="none"/>
        </w:rPr>
        <w:t>1.75 m)</w:t>
      </w:r>
      <w:r w:rsidR="001525E0">
        <w:rPr>
          <w:rFonts w:ascii="Times New Roman" w:eastAsia="Times New Roman" w:hAnsi="Times New Roman" w:cs="Times New Roman"/>
          <w:color w:val="000000"/>
          <w:kern w:val="0"/>
          <w:sz w:val="24"/>
          <w:szCs w:val="24"/>
          <w14:ligatures w14:val="none"/>
        </w:rPr>
        <w:t>))</w:t>
      </w:r>
      <w:r w:rsidRPr="001216D4">
        <w:rPr>
          <w:rFonts w:ascii="Times New Roman" w:eastAsia="Times New Roman" w:hAnsi="Times New Roman" w:cs="Times New Roman"/>
          <w:color w:val="000000"/>
          <w:kern w:val="0"/>
          <w:sz w:val="24"/>
          <w:szCs w:val="24"/>
          <w14:ligatures w14:val="none"/>
        </w:rPr>
        <w:t xml:space="preserve"> </w:t>
      </w:r>
      <w:r w:rsidR="001525E0" w:rsidRPr="006B4A66">
        <w:rPr>
          <w:rFonts w:ascii="Times New Roman" w:eastAsia="Times New Roman" w:hAnsi="Times New Roman" w:cs="Times New Roman"/>
          <w:color w:val="000000"/>
          <w:kern w:val="0"/>
          <w:sz w:val="24"/>
          <w:szCs w:val="24"/>
          <w:u w:val="single"/>
          <w14:ligatures w14:val="none"/>
        </w:rPr>
        <w:t>1,753 millimeters</w:t>
      </w:r>
      <w:r>
        <w:rPr>
          <w:rFonts w:ascii="Times New Roman" w:eastAsia="Times New Roman" w:hAnsi="Times New Roman" w:cs="Times New Roman"/>
          <w:color w:val="000000"/>
          <w:kern w:val="0"/>
          <w:sz w:val="24"/>
          <w:szCs w:val="24"/>
          <w14:ligatures w14:val="none"/>
        </w:rPr>
        <w:t xml:space="preserve"> </w:t>
      </w:r>
      <w:r w:rsidRPr="001216D4">
        <w:rPr>
          <w:rFonts w:ascii="Times New Roman" w:eastAsia="Times New Roman" w:hAnsi="Times New Roman" w:cs="Times New Roman"/>
          <w:color w:val="000000"/>
          <w:kern w:val="0"/>
          <w:sz w:val="24"/>
          <w:szCs w:val="24"/>
          <w14:ligatures w14:val="none"/>
        </w:rPr>
        <w:t>high</w:t>
      </w:r>
      <w:r w:rsidR="00285372">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w:t>
      </w:r>
    </w:p>
    <w:p w14:paraId="11500220"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14.</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15.</w:t>
      </w:r>
      <w:r w:rsidRPr="006B4A66">
        <w:rPr>
          <w:rFonts w:ascii="Times New Roman" w:eastAsia="Times New Roman" w:hAnsi="Times New Roman" w:cs="Times New Roman"/>
          <w:color w:val="000000"/>
          <w:kern w:val="0"/>
          <w:sz w:val="24"/>
          <w:szCs w:val="24"/>
          <w14:ligatures w14:val="none"/>
        </w:rPr>
        <w:t xml:space="preserve">  Reroofing of existing one- and two-family residential buildings.</w:t>
      </w:r>
    </w:p>
    <w:p w14:paraId="456E4025"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b/>
          <w:color w:val="000000"/>
          <w:kern w:val="0"/>
          <w:sz w:val="24"/>
          <w:szCs w:val="24"/>
          <w14:ligatures w14:val="none"/>
        </w:rPr>
        <w:t>EXCEPTION:</w:t>
      </w:r>
      <w:r w:rsidRPr="006B4A66">
        <w:rPr>
          <w:rFonts w:ascii="Times New Roman" w:eastAsia="Times New Roman" w:hAnsi="Times New Roman" w:cs="Times New Roman"/>
          <w:color w:val="000000"/>
          <w:kern w:val="0"/>
          <w:sz w:val="24"/>
          <w:szCs w:val="24"/>
          <w14:ligatures w14:val="none"/>
        </w:rPr>
        <w:t xml:space="preserve">  When replacement roofing adds more than 5 pounds per square foot </w:t>
      </w:r>
      <w:r w:rsidRPr="006B4A66">
        <w:rPr>
          <w:rFonts w:ascii="Times New Roman" w:eastAsia="Times New Roman" w:hAnsi="Times New Roman" w:cs="Times New Roman"/>
          <w:color w:val="000000"/>
          <w:kern w:val="0"/>
          <w:sz w:val="24"/>
          <w:szCs w:val="24"/>
          <w:u w:val="single"/>
          <w14:ligatures w14:val="none"/>
        </w:rPr>
        <w:t>(24 kilograms per square meter)</w:t>
      </w:r>
      <w:r w:rsidRPr="006B4A66">
        <w:rPr>
          <w:rFonts w:ascii="Times New Roman" w:eastAsia="Times New Roman" w:hAnsi="Times New Roman" w:cs="Times New Roman"/>
          <w:color w:val="000000"/>
          <w:kern w:val="0"/>
          <w:sz w:val="24"/>
          <w:szCs w:val="24"/>
          <w14:ligatures w14:val="none"/>
        </w:rPr>
        <w:t xml:space="preserve"> cumulative dead load to the weight of the original roofing a permit shall be required.</w:t>
      </w:r>
    </w:p>
    <w:p w14:paraId="319F9FF6"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15.</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16.</w:t>
      </w:r>
      <w:r w:rsidRPr="006B4A66">
        <w:rPr>
          <w:rFonts w:ascii="Times New Roman" w:eastAsia="Times New Roman" w:hAnsi="Times New Roman" w:cs="Times New Roman"/>
          <w:color w:val="000000"/>
          <w:kern w:val="0"/>
          <w:sz w:val="24"/>
          <w:szCs w:val="24"/>
          <w14:ligatures w14:val="none"/>
        </w:rPr>
        <w:t xml:space="preserve">  Submerged, freestanding mechanical boat lifts associated with single-family residential piers and recreational watercraft not exceeding 25 feet ((</w:t>
      </w:r>
      <w:r w:rsidRPr="006B4A66">
        <w:rPr>
          <w:rFonts w:ascii="Times New Roman" w:eastAsia="Times New Roman" w:hAnsi="Times New Roman" w:cs="Times New Roman"/>
          <w:strike/>
          <w:color w:val="000000"/>
          <w:kern w:val="0"/>
          <w:sz w:val="24"/>
          <w:szCs w:val="24"/>
          <w14:ligatures w14:val="none"/>
        </w:rPr>
        <w:t>(7.6 m)</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7,620 millimeters</w:t>
      </w:r>
      <w:r w:rsidRPr="006B4A66">
        <w:rPr>
          <w:rFonts w:ascii="Times New Roman" w:eastAsia="Times New Roman" w:hAnsi="Times New Roman" w:cs="Times New Roman"/>
          <w:color w:val="000000"/>
          <w:kern w:val="0"/>
          <w:sz w:val="24"/>
          <w:szCs w:val="24"/>
          <w14:ligatures w14:val="none"/>
        </w:rPr>
        <w:t xml:space="preserve">) in length or 15 feet </w:t>
      </w:r>
      <w:r w:rsidRPr="006B4A66">
        <w:rPr>
          <w:rFonts w:ascii="Times New Roman" w:eastAsia="Times New Roman" w:hAnsi="Times New Roman" w:cs="Times New Roman"/>
          <w:color w:val="000000"/>
          <w:kern w:val="0"/>
          <w:sz w:val="24"/>
          <w:szCs w:val="24"/>
          <w:u w:val="single"/>
          <w14:ligatures w14:val="none"/>
        </w:rPr>
        <w:t>(4,572 millimeters)</w:t>
      </w:r>
      <w:r w:rsidRPr="006B4A66">
        <w:rPr>
          <w:rFonts w:ascii="Times New Roman" w:eastAsia="Times New Roman" w:hAnsi="Times New Roman" w:cs="Times New Roman"/>
          <w:color w:val="000000"/>
          <w:kern w:val="0"/>
          <w:sz w:val="24"/>
          <w:szCs w:val="24"/>
          <w14:ligatures w14:val="none"/>
        </w:rPr>
        <w:t xml:space="preserve"> in width with no portion exceeding a height of 10 feet </w:t>
      </w:r>
      <w:r w:rsidRPr="006B4A66">
        <w:rPr>
          <w:rFonts w:ascii="Times New Roman" w:eastAsia="Times New Roman" w:hAnsi="Times New Roman" w:cs="Times New Roman"/>
          <w:color w:val="000000"/>
          <w:kern w:val="0"/>
          <w:sz w:val="24"/>
          <w:szCs w:val="24"/>
          <w:u w:val="single"/>
          <w14:ligatures w14:val="none"/>
        </w:rPr>
        <w:t>(3,048 millimeters)</w:t>
      </w:r>
      <w:r w:rsidRPr="006B4A66">
        <w:rPr>
          <w:rFonts w:ascii="Times New Roman" w:eastAsia="Times New Roman" w:hAnsi="Times New Roman" w:cs="Times New Roman"/>
          <w:color w:val="000000"/>
          <w:kern w:val="0"/>
          <w:sz w:val="24"/>
          <w:szCs w:val="24"/>
          <w14:ligatures w14:val="none"/>
        </w:rPr>
        <w:t xml:space="preserve"> above the ordinary high water mark as defined in K.C.C. 21A.06.825.</w:t>
      </w:r>
    </w:p>
    <w:p w14:paraId="53C87602" w14:textId="571162DF"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16.</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17.</w:t>
      </w:r>
      <w:r w:rsidRPr="006B4A66">
        <w:rPr>
          <w:rFonts w:ascii="Times New Roman" w:eastAsia="Times New Roman" w:hAnsi="Times New Roman" w:cs="Times New Roman"/>
          <w:color w:val="000000"/>
          <w:kern w:val="0"/>
          <w:sz w:val="24"/>
          <w:szCs w:val="24"/>
          <w14:ligatures w14:val="none"/>
        </w:rPr>
        <w:t xml:space="preserve">  Work located primarily in a public </w:t>
      </w:r>
      <w:r w:rsidR="000F3050">
        <w:rPr>
          <w:rFonts w:ascii="Times New Roman" w:eastAsia="Times New Roman" w:hAnsi="Times New Roman" w:cs="Times New Roman"/>
          <w:color w:val="000000"/>
          <w:kern w:val="0"/>
          <w:sz w:val="24"/>
          <w:szCs w:val="24"/>
          <w:u w:val="single"/>
          <w14:ligatures w14:val="none"/>
        </w:rPr>
        <w:t>right-of-</w:t>
      </w:r>
      <w:r w:rsidRPr="006B4A66">
        <w:rPr>
          <w:rFonts w:ascii="Times New Roman" w:eastAsia="Times New Roman" w:hAnsi="Times New Roman" w:cs="Times New Roman"/>
          <w:color w:val="000000"/>
          <w:kern w:val="0"/>
          <w:sz w:val="24"/>
          <w:szCs w:val="24"/>
          <w14:ligatures w14:val="none"/>
        </w:rPr>
        <w:t>way, public utility towers</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 xml:space="preserve"> and poles.</w:t>
      </w:r>
    </w:p>
    <w:p w14:paraId="741FB6C0" w14:textId="77777777" w:rsidR="00630923"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17.</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18.</w:t>
      </w:r>
      <w:r w:rsidRPr="006B4A66">
        <w:rPr>
          <w:rFonts w:ascii="Times New Roman" w:eastAsia="Times New Roman" w:hAnsi="Times New Roman" w:cs="Times New Roman"/>
          <w:color w:val="000000"/>
          <w:kern w:val="0"/>
          <w:sz w:val="24"/>
          <w:szCs w:val="24"/>
          <w14:ligatures w14:val="none"/>
        </w:rPr>
        <w:t xml:space="preserve">  Mechanical equipment not specifically regulated in this code.</w:t>
      </w:r>
    </w:p>
    <w:p w14:paraId="4C641C2B" w14:textId="65F3FB7C"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18.</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19.</w:t>
      </w:r>
      <w:r w:rsidRPr="006B4A66">
        <w:rPr>
          <w:rFonts w:ascii="Times New Roman" w:eastAsia="Times New Roman" w:hAnsi="Times New Roman" w:cs="Times New Roman"/>
          <w:color w:val="000000"/>
          <w:kern w:val="0"/>
          <w:sz w:val="24"/>
          <w:szCs w:val="24"/>
          <w14:ligatures w14:val="none"/>
        </w:rPr>
        <w:t xml:space="preserve">  Antenna and dishes that fall under FCC </w:t>
      </w:r>
      <w:r w:rsidR="00D116EA">
        <w:rPr>
          <w:rFonts w:ascii="Times New Roman" w:eastAsia="Times New Roman" w:hAnsi="Times New Roman" w:cs="Times New Roman"/>
          <w:color w:val="000000"/>
          <w:kern w:val="0"/>
          <w:sz w:val="24"/>
          <w:szCs w:val="24"/>
          <w14:ligatures w14:val="none"/>
        </w:rPr>
        <w:t>((</w:t>
      </w:r>
      <w:r w:rsidRPr="001216D4">
        <w:rPr>
          <w:rFonts w:ascii="Times New Roman" w:eastAsia="Times New Roman" w:hAnsi="Times New Roman" w:cs="Times New Roman"/>
          <w:strike/>
          <w:color w:val="000000"/>
          <w:kern w:val="0"/>
          <w:sz w:val="24"/>
          <w:szCs w:val="24"/>
          <w14:ligatures w14:val="none"/>
        </w:rPr>
        <w:t>Antenna</w:t>
      </w:r>
      <w:r w:rsidR="00D116EA">
        <w:rPr>
          <w:rFonts w:ascii="Times New Roman" w:eastAsia="Times New Roman" w:hAnsi="Times New Roman" w:cs="Times New Roman"/>
          <w:color w:val="000000"/>
          <w:kern w:val="0"/>
          <w:sz w:val="24"/>
          <w:szCs w:val="24"/>
          <w14:ligatures w14:val="none"/>
        </w:rPr>
        <w:t xml:space="preserve">)) </w:t>
      </w:r>
      <w:r w:rsidR="00D116EA">
        <w:rPr>
          <w:rFonts w:ascii="Times New Roman" w:eastAsia="Times New Roman" w:hAnsi="Times New Roman" w:cs="Times New Roman"/>
          <w:color w:val="000000"/>
          <w:kern w:val="0"/>
          <w:sz w:val="24"/>
          <w:szCs w:val="24"/>
          <w:u w:val="single"/>
          <w14:ligatures w14:val="none"/>
        </w:rPr>
        <w:t>Over-the-Air Reception Devices</w:t>
      </w:r>
      <w:r w:rsidRPr="006B4A66">
        <w:rPr>
          <w:rFonts w:ascii="Times New Roman" w:eastAsia="Times New Roman" w:hAnsi="Times New Roman" w:cs="Times New Roman"/>
          <w:color w:val="000000"/>
          <w:kern w:val="0"/>
          <w:sz w:val="24"/>
          <w:szCs w:val="24"/>
          <w14:ligatures w14:val="none"/>
        </w:rPr>
        <w:t xml:space="preserve"> Rule 47 C.F.R</w:t>
      </w:r>
      <w:r w:rsidRPr="006B4A66">
        <w:rPr>
          <w:rFonts w:ascii="Times New Roman" w:eastAsia="Times New Roman" w:hAnsi="Times New Roman" w:cs="Times New Roman"/>
          <w:color w:val="000000"/>
          <w:kern w:val="0"/>
          <w:sz w:val="24"/>
          <w:szCs w:val="24"/>
          <w:u w:val="single"/>
          <w14:ligatures w14:val="none"/>
        </w:rPr>
        <w:t>.</w:t>
      </w:r>
      <w:r w:rsidR="00D116EA">
        <w:rPr>
          <w:rFonts w:ascii="Times New Roman" w:eastAsia="Times New Roman" w:hAnsi="Times New Roman" w:cs="Times New Roman"/>
          <w:color w:val="000000"/>
          <w:kern w:val="0"/>
          <w:sz w:val="24"/>
          <w:szCs w:val="24"/>
          <w:u w:val="single"/>
          <w14:ligatures w14:val="none"/>
        </w:rPr>
        <w:t xml:space="preserve"> Section 1.4000</w:t>
      </w:r>
      <w:r w:rsidRPr="006B4A66">
        <w:rPr>
          <w:rFonts w:ascii="Times New Roman" w:eastAsia="Times New Roman" w:hAnsi="Times New Roman" w:cs="Times New Roman"/>
          <w:color w:val="000000"/>
          <w:kern w:val="0"/>
          <w:sz w:val="24"/>
          <w:szCs w:val="24"/>
          <w14:ligatures w14:val="none"/>
        </w:rPr>
        <w:t xml:space="preserve"> including masts under ((</w:t>
      </w:r>
      <w:r w:rsidRPr="006B4A66">
        <w:rPr>
          <w:rFonts w:ascii="Times New Roman" w:eastAsia="Times New Roman" w:hAnsi="Times New Roman" w:cs="Times New Roman"/>
          <w:strike/>
          <w:color w:val="000000"/>
          <w:kern w:val="0"/>
          <w:sz w:val="24"/>
          <w:szCs w:val="24"/>
          <w14:ligatures w14:val="none"/>
        </w:rPr>
        <w:t>twelve</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12</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14:ligatures w14:val="none"/>
        </w:rPr>
        <w:lastRenderedPageBreak/>
        <w:t xml:space="preserve">feet </w:t>
      </w:r>
      <w:r w:rsidRPr="006B4A66">
        <w:rPr>
          <w:rFonts w:ascii="Times New Roman" w:eastAsia="Times New Roman" w:hAnsi="Times New Roman" w:cs="Times New Roman"/>
          <w:color w:val="000000"/>
          <w:kern w:val="0"/>
          <w:sz w:val="24"/>
          <w:szCs w:val="24"/>
          <w:u w:val="single"/>
          <w14:ligatures w14:val="none"/>
        </w:rPr>
        <w:t>(3,658 millimeters)</w:t>
      </w:r>
      <w:r w:rsidRPr="001216D4">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14:ligatures w14:val="none"/>
        </w:rPr>
        <w:t xml:space="preserve">above the roof line and dishes up to </w:t>
      </w:r>
      <w:r w:rsidR="00C60587">
        <w:rPr>
          <w:rFonts w:ascii="Times New Roman" w:eastAsia="Times New Roman" w:hAnsi="Times New Roman" w:cs="Times New Roman"/>
          <w:color w:val="000000"/>
          <w:kern w:val="0"/>
          <w:sz w:val="24"/>
          <w:szCs w:val="24"/>
          <w:u w:val="single"/>
          <w14:ligatures w14:val="none"/>
        </w:rPr>
        <w:t>39.</w:t>
      </w:r>
      <w:r w:rsidR="00886E65">
        <w:rPr>
          <w:rFonts w:ascii="Times New Roman" w:eastAsia="Times New Roman" w:hAnsi="Times New Roman" w:cs="Times New Roman"/>
          <w:color w:val="000000"/>
          <w:kern w:val="0"/>
          <w:sz w:val="24"/>
          <w:szCs w:val="24"/>
          <w:u w:val="single"/>
          <w14:ligatures w14:val="none"/>
        </w:rPr>
        <w:t>4</w:t>
      </w:r>
      <w:r w:rsidR="00C60587">
        <w:rPr>
          <w:rFonts w:ascii="Times New Roman" w:eastAsia="Times New Roman" w:hAnsi="Times New Roman" w:cs="Times New Roman"/>
          <w:color w:val="000000"/>
          <w:kern w:val="0"/>
          <w:sz w:val="24"/>
          <w:szCs w:val="24"/>
          <w:u w:val="single"/>
          <w14:ligatures w14:val="none"/>
        </w:rPr>
        <w:t xml:space="preserve"> </w:t>
      </w:r>
      <w:r w:rsidRPr="006B4A66">
        <w:rPr>
          <w:rFonts w:ascii="Times New Roman" w:eastAsia="Times New Roman" w:hAnsi="Times New Roman" w:cs="Times New Roman"/>
          <w:color w:val="000000"/>
          <w:kern w:val="0"/>
          <w:sz w:val="24"/>
          <w:szCs w:val="24"/>
          <w:u w:val="single"/>
          <w14:ligatures w14:val="none"/>
        </w:rPr>
        <w:t>inches</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strike/>
          <w:color w:val="000000"/>
          <w:kern w:val="0"/>
          <w:sz w:val="24"/>
          <w:szCs w:val="24"/>
          <w14:ligatures w14:val="none"/>
        </w:rPr>
        <w:t>one meter</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(1,000 millimeters)</w:t>
      </w:r>
      <w:r w:rsidRPr="006B4A66">
        <w:rPr>
          <w:rFonts w:ascii="Times New Roman" w:eastAsia="Times New Roman" w:hAnsi="Times New Roman" w:cs="Times New Roman"/>
          <w:color w:val="000000"/>
          <w:kern w:val="0"/>
          <w:sz w:val="24"/>
          <w:szCs w:val="24"/>
          <w14:ligatures w14:val="none"/>
        </w:rPr>
        <w:t xml:space="preserve"> in diameter.</w:t>
      </w:r>
    </w:p>
    <w:p w14:paraId="3799779C" w14:textId="23658664"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19.</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20.</w:t>
      </w:r>
      <w:r w:rsidRPr="006B4A66">
        <w:rPr>
          <w:rFonts w:ascii="Times New Roman" w:eastAsia="Times New Roman" w:hAnsi="Times New Roman" w:cs="Times New Roman"/>
          <w:color w:val="000000"/>
          <w:kern w:val="0"/>
          <w:sz w:val="24"/>
          <w:szCs w:val="24"/>
          <w14:ligatures w14:val="none"/>
        </w:rPr>
        <w:t xml:space="preserve">  Roof-mounted photovoltaic </w:t>
      </w:r>
      <w:r w:rsidR="003B29A3">
        <w:rPr>
          <w:rFonts w:ascii="Times New Roman" w:eastAsia="Times New Roman" w:hAnsi="Times New Roman" w:cs="Times New Roman"/>
          <w:color w:val="000000"/>
          <w:kern w:val="0"/>
          <w:sz w:val="24"/>
          <w:szCs w:val="24"/>
          <w14:ligatures w14:val="none"/>
        </w:rPr>
        <w:t>((</w:t>
      </w:r>
      <w:r w:rsidRPr="001216D4">
        <w:rPr>
          <w:rFonts w:ascii="Times New Roman" w:eastAsia="Times New Roman" w:hAnsi="Times New Roman" w:cs="Times New Roman"/>
          <w:strike/>
          <w:color w:val="000000"/>
          <w:kern w:val="0"/>
          <w:sz w:val="24"/>
          <w:szCs w:val="24"/>
          <w14:ligatures w14:val="none"/>
        </w:rPr>
        <w:t>solar</w:t>
      </w:r>
      <w:r w:rsidR="003B29A3">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xml:space="preserve"> panels for one- and two-family dwellings that have a total dead load not exceeding ((</w:t>
      </w:r>
      <w:r w:rsidRPr="006B4A66">
        <w:rPr>
          <w:rFonts w:ascii="Times New Roman" w:eastAsia="Times New Roman" w:hAnsi="Times New Roman" w:cs="Times New Roman"/>
          <w:strike/>
          <w:color w:val="000000"/>
          <w:kern w:val="0"/>
          <w:sz w:val="24"/>
          <w:szCs w:val="24"/>
          <w14:ligatures w14:val="none"/>
        </w:rPr>
        <w:t>four</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4</w:t>
      </w:r>
      <w:r w:rsidRPr="006B4A66">
        <w:rPr>
          <w:rFonts w:ascii="Times New Roman" w:eastAsia="Times New Roman" w:hAnsi="Times New Roman" w:cs="Times New Roman"/>
          <w:color w:val="000000"/>
          <w:kern w:val="0"/>
          <w:sz w:val="24"/>
          <w:szCs w:val="24"/>
          <w14:ligatures w14:val="none"/>
        </w:rPr>
        <w:t xml:space="preserve"> pounds per square foot </w:t>
      </w:r>
      <w:r w:rsidRPr="006B4A66">
        <w:rPr>
          <w:rFonts w:ascii="Times New Roman" w:eastAsia="Times New Roman" w:hAnsi="Times New Roman" w:cs="Times New Roman"/>
          <w:color w:val="000000"/>
          <w:kern w:val="0"/>
          <w:sz w:val="24"/>
          <w:szCs w:val="24"/>
          <w:u w:val="single"/>
          <w14:ligatures w14:val="none"/>
        </w:rPr>
        <w:t>(20 kilograms per square meter)</w:t>
      </w:r>
      <w:r w:rsidRPr="006B4A66">
        <w:rPr>
          <w:rFonts w:ascii="Times New Roman" w:eastAsia="Times New Roman" w:hAnsi="Times New Roman" w:cs="Times New Roman"/>
          <w:color w:val="000000"/>
          <w:kern w:val="0"/>
          <w:sz w:val="24"/>
          <w:szCs w:val="24"/>
          <w14:ligatures w14:val="none"/>
        </w:rPr>
        <w:t xml:space="preserve"> and are no more than 18 inches (457 ((</w:t>
      </w:r>
      <w:r w:rsidRPr="006B4A66">
        <w:rPr>
          <w:rFonts w:ascii="Times New Roman" w:eastAsia="Times New Roman" w:hAnsi="Times New Roman" w:cs="Times New Roman"/>
          <w:strike/>
          <w:color w:val="000000"/>
          <w:kern w:val="0"/>
          <w:sz w:val="24"/>
          <w:szCs w:val="24"/>
          <w14:ligatures w14:val="none"/>
        </w:rPr>
        <w:t>mm</w:t>
      </w:r>
      <w:r w:rsidRPr="001216D4">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millimeters</w:t>
      </w:r>
      <w:r w:rsidRPr="006B4A66">
        <w:rPr>
          <w:rFonts w:ascii="Times New Roman" w:eastAsia="Times New Roman" w:hAnsi="Times New Roman" w:cs="Times New Roman"/>
          <w:color w:val="000000"/>
          <w:kern w:val="0"/>
          <w:sz w:val="24"/>
          <w:szCs w:val="24"/>
          <w14:ligatures w14:val="none"/>
        </w:rPr>
        <w:t>) above the roof or highest roof point on which they are mounted.</w:t>
      </w:r>
    </w:p>
    <w:p w14:paraId="158E7B49" w14:textId="5C03B44A"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20.</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21.</w:t>
      </w:r>
      <w:r w:rsidRPr="006B4A66">
        <w:rPr>
          <w:rFonts w:ascii="Times New Roman" w:eastAsia="Times New Roman" w:hAnsi="Times New Roman" w:cs="Times New Roman"/>
          <w:color w:val="000000"/>
          <w:kern w:val="0"/>
          <w:sz w:val="24"/>
          <w:szCs w:val="24"/>
          <w14:ligatures w14:val="none"/>
        </w:rPr>
        <w:t xml:space="preserve">  Ground-mounted wind turbines for one</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 xml:space="preserve"> and two-family dwellings for which any portion of the unit does not exceed ((</w:t>
      </w:r>
      <w:r w:rsidRPr="006B4A66">
        <w:rPr>
          <w:rFonts w:ascii="Times New Roman" w:eastAsia="Times New Roman" w:hAnsi="Times New Roman" w:cs="Times New Roman"/>
          <w:strike/>
          <w:color w:val="000000"/>
          <w:kern w:val="0"/>
          <w:sz w:val="24"/>
          <w:szCs w:val="24"/>
          <w14:ligatures w14:val="none"/>
        </w:rPr>
        <w:t>twelve</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12</w:t>
      </w:r>
      <w:r w:rsidRPr="006B4A66">
        <w:rPr>
          <w:rFonts w:ascii="Times New Roman" w:eastAsia="Times New Roman" w:hAnsi="Times New Roman" w:cs="Times New Roman"/>
          <w:color w:val="000000"/>
          <w:kern w:val="0"/>
          <w:sz w:val="24"/>
          <w:szCs w:val="24"/>
          <w14:ligatures w14:val="none"/>
        </w:rPr>
        <w:t xml:space="preserve"> feet (((</w:t>
      </w:r>
      <w:r w:rsidRPr="006B4A66">
        <w:rPr>
          <w:rFonts w:ascii="Times New Roman" w:eastAsia="Times New Roman" w:hAnsi="Times New Roman" w:cs="Times New Roman"/>
          <w:strike/>
          <w:color w:val="000000"/>
          <w:kern w:val="0"/>
          <w:sz w:val="24"/>
          <w:szCs w:val="24"/>
          <w14:ligatures w14:val="none"/>
        </w:rPr>
        <w:t>3.7 m</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3,658 millimeters</w:t>
      </w:r>
      <w:r w:rsidRPr="006B4A66">
        <w:rPr>
          <w:rFonts w:ascii="Times New Roman" w:eastAsia="Times New Roman" w:hAnsi="Times New Roman" w:cs="Times New Roman"/>
          <w:color w:val="000000"/>
          <w:kern w:val="0"/>
          <w:sz w:val="24"/>
          <w:szCs w:val="24"/>
          <w14:ligatures w14:val="none"/>
        </w:rPr>
        <w:t>) in height.</w:t>
      </w:r>
    </w:p>
    <w:p w14:paraId="161C4A4E"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Gas:</w:t>
      </w:r>
    </w:p>
    <w:p w14:paraId="565B614F"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1.  Portable heating or cooking appliances.</w:t>
      </w:r>
    </w:p>
    <w:p w14:paraId="0AB0FEC6"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2.  Replacement of any minor part that does not alter approval of equipment or make such equipment unsafe.</w:t>
      </w:r>
    </w:p>
    <w:p w14:paraId="432ABB0F"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Mechanical:</w:t>
      </w:r>
    </w:p>
    <w:p w14:paraId="59571314"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1.  Portable heating or clothes drying appliances.</w:t>
      </w:r>
    </w:p>
    <w:p w14:paraId="7C83BDEE"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2.  Portable ventilation appliances and equipment.</w:t>
      </w:r>
    </w:p>
    <w:p w14:paraId="651A413B"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3.  Portable cooling unit.</w:t>
      </w:r>
    </w:p>
    <w:p w14:paraId="3B455252"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4.  Steam, hot</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 xml:space="preserve"> or chilled water piping within any heating or cooling equipment regulated by this code.</w:t>
      </w:r>
    </w:p>
    <w:p w14:paraId="6D73DE1E"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5.  Replacement of any part that does not alter its approval or make it unsafe.</w:t>
      </w:r>
    </w:p>
    <w:p w14:paraId="111D05EF"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6.  Portable evaporative cooler.</w:t>
      </w:r>
    </w:p>
    <w:p w14:paraId="21795DFE" w14:textId="3761F92F"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lastRenderedPageBreak/>
        <w:tab/>
        <w:t>7.  Self-contained refrigeration system containing 10 pounds (</w:t>
      </w:r>
      <w:r w:rsidRPr="001216D4">
        <w:rPr>
          <w:rFonts w:ascii="Times New Roman" w:eastAsia="Times New Roman" w:hAnsi="Times New Roman" w:cs="Times New Roman"/>
          <w:color w:val="000000"/>
          <w:kern w:val="0"/>
          <w:sz w:val="24"/>
          <w:szCs w:val="24"/>
          <w14:ligatures w14:val="none"/>
        </w:rPr>
        <w:t xml:space="preserve">4.54 </w:t>
      </w:r>
      <w:r w:rsidR="006727CF" w:rsidRPr="001216D4">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strike/>
          <w:color w:val="000000"/>
          <w:kern w:val="0"/>
          <w:sz w:val="24"/>
          <w:szCs w:val="24"/>
          <w14:ligatures w14:val="none"/>
        </w:rPr>
        <w:t>kg</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 xml:space="preserve"> kilograms</w:t>
      </w:r>
      <w:r w:rsidRPr="006B4A66">
        <w:rPr>
          <w:rFonts w:ascii="Times New Roman" w:eastAsia="Times New Roman" w:hAnsi="Times New Roman" w:cs="Times New Roman"/>
          <w:color w:val="000000"/>
          <w:kern w:val="0"/>
          <w:sz w:val="24"/>
          <w:szCs w:val="24"/>
          <w14:ligatures w14:val="none"/>
        </w:rPr>
        <w:t>) or less of refrigerant and actuated by motors of ((</w:t>
      </w:r>
      <w:r w:rsidRPr="006B4A66">
        <w:rPr>
          <w:rFonts w:ascii="Times New Roman" w:eastAsia="Times New Roman" w:hAnsi="Times New Roman" w:cs="Times New Roman"/>
          <w:strike/>
          <w:color w:val="000000"/>
          <w:kern w:val="0"/>
          <w:sz w:val="24"/>
          <w:szCs w:val="24"/>
          <w14:ligatures w14:val="none"/>
        </w:rPr>
        <w:t>one</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1</w:t>
      </w:r>
      <w:r w:rsidRPr="006B4A66">
        <w:rPr>
          <w:rFonts w:ascii="Times New Roman" w:eastAsia="Times New Roman" w:hAnsi="Times New Roman" w:cs="Times New Roman"/>
          <w:color w:val="000000"/>
          <w:kern w:val="0"/>
          <w:sz w:val="24"/>
          <w:szCs w:val="24"/>
          <w14:ligatures w14:val="none"/>
        </w:rPr>
        <w:t xml:space="preserve"> horsepower (</w:t>
      </w:r>
      <w:r w:rsidRPr="001216D4">
        <w:rPr>
          <w:rFonts w:ascii="Times New Roman" w:eastAsia="Times New Roman" w:hAnsi="Times New Roman" w:cs="Times New Roman"/>
          <w:color w:val="000000"/>
          <w:kern w:val="0"/>
          <w:sz w:val="24"/>
          <w:szCs w:val="24"/>
          <w14:ligatures w14:val="none"/>
        </w:rPr>
        <w:t>746</w:t>
      </w:r>
      <w:r w:rsidRPr="006B4A66">
        <w:rPr>
          <w:rFonts w:ascii="Times New Roman" w:eastAsia="Times New Roman" w:hAnsi="Times New Roman" w:cs="Times New Roman"/>
          <w:strike/>
          <w:color w:val="000000"/>
          <w:kern w:val="0"/>
          <w:sz w:val="24"/>
          <w:szCs w:val="24"/>
          <w14:ligatures w14:val="none"/>
        </w:rPr>
        <w:t xml:space="preserve"> </w:t>
      </w:r>
      <w:r w:rsidR="00A261E0" w:rsidRPr="00A261E0">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strike/>
          <w:color w:val="000000"/>
          <w:kern w:val="0"/>
          <w:sz w:val="24"/>
          <w:szCs w:val="24"/>
          <w14:ligatures w14:val="none"/>
        </w:rPr>
        <w:t>W)</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watts</w:t>
      </w:r>
      <w:r w:rsidRPr="006B4A66">
        <w:rPr>
          <w:rFonts w:ascii="Times New Roman" w:eastAsia="Times New Roman" w:hAnsi="Times New Roman" w:cs="Times New Roman"/>
          <w:color w:val="000000"/>
          <w:kern w:val="0"/>
          <w:sz w:val="24"/>
          <w:szCs w:val="24"/>
          <w14:ligatures w14:val="none"/>
        </w:rPr>
        <w:t>) or less.</w:t>
      </w:r>
    </w:p>
    <w:p w14:paraId="4817ADA4"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8.  Portable fuel cell appliances that are not connected to a fixed piping system and are not interconnected to a power grid.</w:t>
      </w:r>
    </w:p>
    <w:p w14:paraId="4F6D5AA6" w14:textId="77777777" w:rsidR="006B4A66" w:rsidRPr="006B4A66" w:rsidRDefault="006B4A66" w:rsidP="0073496A">
      <w:pPr>
        <w:tabs>
          <w:tab w:val="left" w:pos="720"/>
        </w:tabs>
        <w:spacing w:after="0" w:line="480" w:lineRule="auto"/>
        <w:rPr>
          <w:rFonts w:ascii="Times New Roman" w:eastAsia="Times New Roman" w:hAnsi="Times New Roman" w:cs="Times New Roman"/>
          <w:strike/>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Exempted items shall still be subject to separate plumbing, electrical and mechanical permits.</w:t>
      </w:r>
    </w:p>
    <w:p w14:paraId="313B65A0" w14:textId="77777777" w:rsidR="006B4A66" w:rsidRPr="006B4A66" w:rsidRDefault="006B4A66" w:rsidP="0073496A">
      <w:pPr>
        <w:tabs>
          <w:tab w:val="left" w:pos="720"/>
        </w:tabs>
        <w:spacing w:after="0" w:line="480" w:lineRule="auto"/>
        <w:rPr>
          <w:rFonts w:ascii="Times New Roman" w:eastAsia="Times New Roman" w:hAnsi="Times New Roman" w:cs="Times New Roman"/>
          <w:strike/>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strike/>
          <w:color w:val="000000"/>
          <w:kern w:val="0"/>
          <w:sz w:val="24"/>
          <w:szCs w:val="24"/>
          <w14:ligatures w14:val="none"/>
        </w:rPr>
        <w:t>Exemption from the permit requirements of this code shall not be deemed to grant authorization for any work to be done in any manner in violation of the provisions of this code or any other laws or ordinances of this jurisdiction.</w:t>
      </w:r>
      <w:r w:rsidRPr="006B4A66">
        <w:rPr>
          <w:rFonts w:ascii="Times New Roman" w:eastAsia="Times New Roman" w:hAnsi="Times New Roman" w:cs="Times New Roman"/>
          <w:color w:val="000000"/>
          <w:kern w:val="0"/>
          <w:sz w:val="24"/>
          <w:szCs w:val="24"/>
          <w14:ligatures w14:val="none"/>
        </w:rPr>
        <w:t>))</w:t>
      </w:r>
    </w:p>
    <w:p w14:paraId="4EB6845D" w14:textId="44A15199"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7.</w:t>
      </w:r>
      <w:r w:rsidRPr="006B4A66">
        <w:rPr>
          <w:rFonts w:ascii="Times New Roman" w:eastAsia="Times New Roman" w:hAnsi="Times New Roman" w:cs="Times New Roman"/>
          <w:color w:val="000000"/>
          <w:kern w:val="0"/>
          <w:sz w:val="24"/>
          <w:szCs w:val="24"/>
          <w14:ligatures w14:val="none"/>
        </w:rPr>
        <w:t xml:space="preserve">  Ordinance 12560, Section 18, as amended, and K.C.C. 16.02.290 are hereby amended to read as follows:</w:t>
      </w:r>
    </w:p>
    <w:p w14:paraId="4B00CA70"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Section 105.5 of the International Building Code is not adopted and the following is substituted:</w:t>
      </w:r>
    </w:p>
    <w:p w14:paraId="7862FEAE" w14:textId="77777777" w:rsidR="006B4A66" w:rsidRPr="006B4A66" w:rsidRDefault="006B4A66" w:rsidP="0073496A">
      <w:pPr>
        <w:tabs>
          <w:tab w:val="left" w:pos="720"/>
        </w:tabs>
        <w:spacing w:after="0" w:line="480" w:lineRule="auto"/>
        <w:rPr>
          <w:rFonts w:ascii="Times New Roman" w:eastAsia="Times New Roman" w:hAnsi="Times New Roman" w:cs="Times New Roman"/>
          <w:strike/>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b/>
          <w:color w:val="000000"/>
          <w:kern w:val="0"/>
          <w:sz w:val="24"/>
          <w:szCs w:val="24"/>
          <w14:ligatures w14:val="none"/>
        </w:rPr>
        <w:t>Expiration (IBC 105.5).</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strike/>
          <w:color w:val="000000"/>
          <w:kern w:val="0"/>
          <w:sz w:val="24"/>
          <w:szCs w:val="24"/>
          <w14:ligatures w14:val="none"/>
        </w:rPr>
        <w:t>Every permit approved by the building official under the code shall expire by limitation and become null and void two years from the date of its issue.</w:t>
      </w:r>
    </w:p>
    <w:p w14:paraId="08D14ACE"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u w:val="single"/>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b/>
          <w:bCs/>
          <w:strike/>
          <w:color w:val="000000"/>
          <w:kern w:val="0"/>
          <w:sz w:val="24"/>
          <w:szCs w:val="24"/>
          <w14:ligatures w14:val="none"/>
        </w:rPr>
        <w:t>EXCEPTION:</w:t>
      </w:r>
      <w:r w:rsidRPr="006B4A66">
        <w:rPr>
          <w:rFonts w:ascii="Times New Roman" w:eastAsia="Times New Roman" w:hAnsi="Times New Roman" w:cs="Times New Roman"/>
          <w:strike/>
          <w:color w:val="000000"/>
          <w:kern w:val="0"/>
          <w:sz w:val="24"/>
          <w:szCs w:val="24"/>
          <w14:ligatures w14:val="none"/>
        </w:rPr>
        <w:t xml:space="preserve">  Building permits issued by the building official to correct a code violation, or mechanical permits issued independent of a building permit, shall expire by limitation and become null and void one year from the date of its issue.</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Permit expiration dates are as follows:</w:t>
      </w:r>
    </w:p>
    <w:p w14:paraId="602F8266" w14:textId="7BC42608"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u w:val="single"/>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 xml:space="preserve">A.  Mechanical permits issued independent of a building permit shall expire </w:t>
      </w:r>
      <w:r w:rsidR="000A7AD0">
        <w:rPr>
          <w:rFonts w:ascii="Times New Roman" w:eastAsia="Times New Roman" w:hAnsi="Times New Roman" w:cs="Times New Roman"/>
          <w:color w:val="000000"/>
          <w:kern w:val="0"/>
          <w:sz w:val="24"/>
          <w:szCs w:val="24"/>
          <w:u w:val="single"/>
          <w14:ligatures w14:val="none"/>
        </w:rPr>
        <w:t>one year</w:t>
      </w:r>
      <w:r w:rsidRPr="006B4A66">
        <w:rPr>
          <w:rFonts w:ascii="Times New Roman" w:eastAsia="Times New Roman" w:hAnsi="Times New Roman" w:cs="Times New Roman"/>
          <w:color w:val="000000"/>
          <w:kern w:val="0"/>
          <w:sz w:val="24"/>
          <w:szCs w:val="24"/>
          <w:u w:val="single"/>
          <w14:ligatures w14:val="none"/>
        </w:rPr>
        <w:t xml:space="preserve"> from the date of issuance.</w:t>
      </w:r>
    </w:p>
    <w:p w14:paraId="19AA5A6C"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u w:val="single"/>
          <w14:ligatures w14:val="none"/>
        </w:rPr>
      </w:pPr>
      <w:r w:rsidRPr="006B4A66">
        <w:rPr>
          <w:rFonts w:ascii="Times New Roman" w:eastAsia="Times New Roman" w:hAnsi="Times New Roman" w:cs="Times New Roman"/>
          <w:color w:val="000000"/>
          <w:kern w:val="0"/>
          <w:sz w:val="24"/>
          <w:szCs w:val="24"/>
          <w14:ligatures w14:val="none"/>
        </w:rPr>
        <w:lastRenderedPageBreak/>
        <w:tab/>
      </w:r>
      <w:r w:rsidRPr="006B4A66">
        <w:rPr>
          <w:rFonts w:ascii="Times New Roman" w:eastAsia="Times New Roman" w:hAnsi="Times New Roman" w:cs="Times New Roman"/>
          <w:color w:val="000000"/>
          <w:kern w:val="0"/>
          <w:sz w:val="24"/>
          <w:szCs w:val="24"/>
          <w:u w:val="single"/>
          <w14:ligatures w14:val="none"/>
        </w:rPr>
        <w:t>B.  Building permits issued to correct a code violation shall expire one year from the date of issuance.</w:t>
      </w:r>
    </w:p>
    <w:p w14:paraId="375BB322" w14:textId="0DD970FF"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C.  All other permits not listed above shall expire two years from the date of issuance</w:t>
      </w:r>
      <w:r w:rsidRPr="006B4A66">
        <w:rPr>
          <w:rFonts w:ascii="Times New Roman" w:eastAsia="Times New Roman" w:hAnsi="Times New Roman" w:cs="Times New Roman"/>
          <w:color w:val="000000"/>
          <w:kern w:val="0"/>
          <w:sz w:val="24"/>
          <w:szCs w:val="24"/>
          <w14:ligatures w14:val="none"/>
        </w:rPr>
        <w:t>.</w:t>
      </w:r>
    </w:p>
    <w:p w14:paraId="53F3E748"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D.</w:t>
      </w:r>
      <w:r w:rsidRPr="006B4A66">
        <w:rPr>
          <w:rFonts w:ascii="Times New Roman" w:eastAsia="Times New Roman" w:hAnsi="Times New Roman" w:cs="Times New Roman"/>
          <w:color w:val="000000"/>
          <w:kern w:val="0"/>
          <w:sz w:val="24"/>
          <w:szCs w:val="24"/>
          <w14:ligatures w14:val="none"/>
        </w:rPr>
        <w:t xml:space="preserve">  Issued permits may be extended for one-year periods subject to the following conditions:</w:t>
      </w:r>
    </w:p>
    <w:p w14:paraId="4EFC9D62"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  1.  An application for a permit extension together with the applicable fee is submitted to the department ((</w:t>
      </w:r>
      <w:r w:rsidRPr="006B4A66">
        <w:rPr>
          <w:rFonts w:ascii="Times New Roman" w:eastAsia="Times New Roman" w:hAnsi="Times New Roman" w:cs="Times New Roman"/>
          <w:strike/>
          <w:color w:val="000000"/>
          <w:kern w:val="0"/>
          <w:sz w:val="24"/>
          <w:szCs w:val="24"/>
          <w14:ligatures w14:val="none"/>
        </w:rPr>
        <w:t>at least 7,</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prior to,</w:t>
      </w:r>
      <w:r w:rsidRPr="006B4A66">
        <w:rPr>
          <w:rFonts w:ascii="Times New Roman" w:eastAsia="Times New Roman" w:hAnsi="Times New Roman" w:cs="Times New Roman"/>
          <w:color w:val="000000"/>
          <w:kern w:val="0"/>
          <w:sz w:val="24"/>
          <w:szCs w:val="24"/>
          <w14:ligatures w14:val="none"/>
        </w:rPr>
        <w:t xml:space="preserve"> but no more than 60((</w:t>
      </w:r>
      <w:r w:rsidRPr="006B4A66">
        <w:rPr>
          <w:rFonts w:ascii="Times New Roman" w:eastAsia="Times New Roman"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calendar days before the date the original permit ((</w:t>
      </w:r>
      <w:r w:rsidRPr="006B4A66">
        <w:rPr>
          <w:rFonts w:ascii="Times New Roman" w:eastAsia="Times New Roman" w:hAnsi="Times New Roman" w:cs="Times New Roman"/>
          <w:strike/>
          <w:color w:val="000000"/>
          <w:kern w:val="0"/>
          <w:sz w:val="24"/>
          <w:szCs w:val="24"/>
          <w14:ligatures w14:val="none"/>
        </w:rPr>
        <w:t>becomes null and void</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expires</w:t>
      </w:r>
      <w:r w:rsidRPr="006B4A66">
        <w:rPr>
          <w:rFonts w:ascii="Times New Roman" w:eastAsia="Times New Roman" w:hAnsi="Times New Roman" w:cs="Times New Roman"/>
          <w:color w:val="000000"/>
          <w:kern w:val="0"/>
          <w:sz w:val="24"/>
          <w:szCs w:val="24"/>
          <w14:ligatures w14:val="none"/>
        </w:rPr>
        <w:t>.  Once the permit extension application is submitted and if that extension is not denied, work may continue past the expiration date of the original permit.  If the extension application is denied, all work must stop until a valid permit is obtained.</w:t>
      </w:r>
    </w:p>
    <w:p w14:paraId="4C2E857A" w14:textId="77777777" w:rsidR="006B4A66" w:rsidRPr="006B4A66" w:rsidRDefault="006B4A66" w:rsidP="0073496A">
      <w:pPr>
        <w:tabs>
          <w:tab w:val="left" w:pos="720"/>
        </w:tabs>
        <w:spacing w:after="0" w:line="480" w:lineRule="auto"/>
        <w:rPr>
          <w:rFonts w:ascii="Times New Roman" w:eastAsia="Times New Roman" w:hAnsi="Times New Roman" w:cs="Times New Roman"/>
          <w:strike/>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  2.  ((</w:t>
      </w:r>
      <w:r w:rsidRPr="006B4A66">
        <w:rPr>
          <w:rFonts w:ascii="Times New Roman" w:eastAsia="Times New Roman" w:hAnsi="Times New Roman" w:cs="Times New Roman"/>
          <w:strike/>
          <w:color w:val="000000"/>
          <w:kern w:val="0"/>
          <w:sz w:val="24"/>
          <w:szCs w:val="24"/>
          <w14:ligatures w14:val="none"/>
        </w:rPr>
        <w:t>The permit shall not be extended if:</w:t>
      </w:r>
    </w:p>
    <w:p w14:paraId="2FC38119" w14:textId="77777777" w:rsidR="006B4A66" w:rsidRPr="006B4A66" w:rsidRDefault="006B4A66" w:rsidP="0073496A">
      <w:pPr>
        <w:tabs>
          <w:tab w:val="left" w:pos="720"/>
        </w:tabs>
        <w:spacing w:after="0" w:line="480" w:lineRule="auto"/>
        <w:rPr>
          <w:rFonts w:ascii="Times New Roman" w:eastAsia="Times New Roman" w:hAnsi="Times New Roman" w:cs="Times New Roman"/>
          <w:strike/>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    </w:t>
      </w:r>
      <w:r w:rsidRPr="006B4A66">
        <w:rPr>
          <w:rFonts w:ascii="Times New Roman" w:eastAsia="Times New Roman" w:hAnsi="Times New Roman" w:cs="Times New Roman"/>
          <w:strike/>
          <w:color w:val="000000"/>
          <w:kern w:val="0"/>
          <w:sz w:val="24"/>
          <w:szCs w:val="24"/>
          <w14:ligatures w14:val="none"/>
        </w:rPr>
        <w:t>2.1.  Construction of a building or structure has not substantially begun, as determined by the building official, within two years from the date of the first issued permit; and</w:t>
      </w:r>
    </w:p>
    <w:p w14:paraId="7A3C6582"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    </w:t>
      </w:r>
      <w:r w:rsidRPr="006B4A66">
        <w:rPr>
          <w:rFonts w:ascii="Times New Roman" w:eastAsia="Times New Roman" w:hAnsi="Times New Roman" w:cs="Times New Roman"/>
          <w:strike/>
          <w:color w:val="000000"/>
          <w:kern w:val="0"/>
          <w:sz w:val="24"/>
          <w:szCs w:val="24"/>
          <w14:ligatures w14:val="none"/>
        </w:rPr>
        <w:t>2.2.  The building or the structure, or its intended use, is no longer authorized by the zoning code or other applicable law.</w:t>
      </w:r>
    </w:p>
    <w:p w14:paraId="7A0F2CBA"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  </w:t>
      </w:r>
      <w:r w:rsidRPr="006B4A66">
        <w:rPr>
          <w:rFonts w:ascii="Times New Roman" w:eastAsia="Times New Roman" w:hAnsi="Times New Roman" w:cs="Times New Roman"/>
          <w:strike/>
          <w:color w:val="000000"/>
          <w:kern w:val="0"/>
          <w:sz w:val="24"/>
          <w:szCs w:val="24"/>
          <w14:ligatures w14:val="none"/>
        </w:rPr>
        <w:t>3.  An applicant may request a total of two permit extensions if there are no substantial changes in the approved plans and specifications.</w:t>
      </w:r>
    </w:p>
    <w:p w14:paraId="3333C931" w14:textId="2EF3FDBD"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  </w:t>
      </w:r>
      <w:r w:rsidRPr="006B4A66">
        <w:rPr>
          <w:rFonts w:ascii="Times New Roman" w:eastAsia="Times New Roman" w:hAnsi="Times New Roman" w:cs="Times New Roman"/>
          <w:strike/>
          <w:color w:val="000000"/>
          <w:kern w:val="0"/>
          <w:sz w:val="24"/>
          <w:szCs w:val="24"/>
          <w14:ligatures w14:val="none"/>
        </w:rPr>
        <w:t>4.</w:t>
      </w:r>
      <w:r w:rsidRPr="006B4A66">
        <w:rPr>
          <w:rFonts w:ascii="Times New Roman" w:eastAsia="Times New Roman" w:hAnsi="Times New Roman" w:cs="Times New Roman"/>
          <w:color w:val="000000"/>
          <w:kern w:val="0"/>
          <w:sz w:val="24"/>
          <w:szCs w:val="24"/>
          <w14:ligatures w14:val="none"/>
        </w:rPr>
        <w:t xml:space="preserve">))  The building official may </w:t>
      </w:r>
      <w:r w:rsidRPr="006B4A66">
        <w:rPr>
          <w:rFonts w:ascii="Times New Roman" w:eastAsia="Times New Roman" w:hAnsi="Times New Roman" w:cs="Times New Roman"/>
          <w:color w:val="000000"/>
          <w:kern w:val="0"/>
          <w:sz w:val="24"/>
          <w:szCs w:val="24"/>
          <w:u w:val="single"/>
          <w14:ligatures w14:val="none"/>
        </w:rPr>
        <w:t>approve up to two one-year extensions if there are no substantial changes in the approved plans and specifications.  The building official may</w:t>
      </w:r>
      <w:r w:rsidRPr="006B4A66">
        <w:rPr>
          <w:rFonts w:ascii="Times New Roman" w:eastAsia="Times New Roman" w:hAnsi="Times New Roman" w:cs="Times New Roman"/>
          <w:color w:val="000000"/>
          <w:kern w:val="0"/>
          <w:sz w:val="24"/>
          <w:szCs w:val="24"/>
          <w14:ligatures w14:val="none"/>
        </w:rPr>
        <w:t xml:space="preserve"> extend a building </w:t>
      </w:r>
      <w:r w:rsidRPr="006B4A66">
        <w:rPr>
          <w:rFonts w:ascii="Times New Roman" w:eastAsia="Times New Roman" w:hAnsi="Times New Roman" w:cs="Times New Roman"/>
          <w:color w:val="000000"/>
          <w:kern w:val="0"/>
          <w:sz w:val="24"/>
          <w:szCs w:val="24"/>
          <w:u w:val="single"/>
          <w14:ligatures w14:val="none"/>
        </w:rPr>
        <w:t>or mechanical</w:t>
      </w:r>
      <w:r w:rsidRPr="006B4A66">
        <w:rPr>
          <w:rFonts w:ascii="Times New Roman" w:eastAsia="Times New Roman" w:hAnsi="Times New Roman" w:cs="Times New Roman"/>
          <w:color w:val="000000"/>
          <w:kern w:val="0"/>
          <w:sz w:val="24"/>
          <w:szCs w:val="24"/>
          <w14:ligatures w14:val="none"/>
        </w:rPr>
        <w:t xml:space="preserve"> permit beyond the second extension only to allow </w:t>
      </w:r>
      <w:r w:rsidRPr="006B4A66">
        <w:rPr>
          <w:rFonts w:ascii="Times New Roman" w:eastAsia="Times New Roman" w:hAnsi="Times New Roman" w:cs="Times New Roman"/>
          <w:color w:val="000000"/>
          <w:kern w:val="0"/>
          <w:sz w:val="24"/>
          <w:szCs w:val="24"/>
          <w14:ligatures w14:val="none"/>
        </w:rPr>
        <w:lastRenderedPageBreak/>
        <w:t>completion of ((</w:t>
      </w:r>
      <w:r w:rsidRPr="006B4A66">
        <w:rPr>
          <w:rFonts w:ascii="Times New Roman" w:eastAsia="Times New Roman" w:hAnsi="Times New Roman" w:cs="Times New Roman"/>
          <w:strike/>
          <w:color w:val="000000"/>
          <w:kern w:val="0"/>
          <w:sz w:val="24"/>
          <w:szCs w:val="24"/>
          <w14:ligatures w14:val="none"/>
        </w:rPr>
        <w:t>a building, structure or mechanical system</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work</w:t>
      </w:r>
      <w:r w:rsidRPr="006B4A66">
        <w:rPr>
          <w:rFonts w:ascii="Times New Roman" w:eastAsia="Times New Roman" w:hAnsi="Times New Roman" w:cs="Times New Roman"/>
          <w:color w:val="000000"/>
          <w:kern w:val="0"/>
          <w:sz w:val="24"/>
          <w:szCs w:val="24"/>
          <w14:ligatures w14:val="none"/>
        </w:rPr>
        <w:t xml:space="preserve"> authorized by the original permit ((</w:t>
      </w:r>
      <w:r w:rsidRPr="006B4A66">
        <w:rPr>
          <w:rFonts w:ascii="Times New Roman" w:eastAsia="Times New Roman" w:hAnsi="Times New Roman" w:cs="Times New Roman"/>
          <w:strike/>
          <w:color w:val="000000"/>
          <w:kern w:val="0"/>
          <w:sz w:val="24"/>
          <w:szCs w:val="24"/>
          <w14:ligatures w14:val="none"/>
        </w:rPr>
        <w:t>and</w:t>
      </w:r>
      <w:r w:rsidRPr="006B4A66">
        <w:rPr>
          <w:rFonts w:ascii="Times New Roman" w:eastAsia="Times New Roman" w:hAnsi="Times New Roman" w:cs="Times New Roman"/>
          <w:color w:val="000000"/>
          <w:kern w:val="0"/>
          <w:sz w:val="24"/>
          <w:szCs w:val="24"/>
          <w14:ligatures w14:val="none"/>
        </w:rPr>
        <w:t xml:space="preserve">)) </w:t>
      </w:r>
      <w:r w:rsidR="00D15622">
        <w:rPr>
          <w:rFonts w:ascii="Times New Roman" w:eastAsia="Times New Roman" w:hAnsi="Times New Roman" w:cs="Times New Roman"/>
          <w:color w:val="000000"/>
          <w:kern w:val="0"/>
          <w:sz w:val="24"/>
          <w:szCs w:val="24"/>
          <w:u w:val="single"/>
          <w14:ligatures w14:val="none"/>
        </w:rPr>
        <w:t>that</w:t>
      </w:r>
      <w:r w:rsidR="00D15622" w:rsidRPr="006B4A66">
        <w:rPr>
          <w:rFonts w:ascii="Times New Roman" w:eastAsia="Times New Roman" w:hAnsi="Times New Roman" w:cs="Times New Roman"/>
          <w:color w:val="000000"/>
          <w:kern w:val="0"/>
          <w:sz w:val="24"/>
          <w:szCs w:val="24"/>
          <w:u w:val="single"/>
          <w14:ligatures w14:val="none"/>
        </w:rPr>
        <w:t xml:space="preserve"> </w:t>
      </w:r>
      <w:r w:rsidRPr="006B4A66">
        <w:rPr>
          <w:rFonts w:ascii="Times New Roman" w:eastAsia="Times New Roman" w:hAnsi="Times New Roman" w:cs="Times New Roman"/>
          <w:color w:val="000000"/>
          <w:kern w:val="0"/>
          <w:sz w:val="24"/>
          <w:szCs w:val="24"/>
          <w:u w:val="single"/>
          <w14:ligatures w14:val="none"/>
        </w:rPr>
        <w:t xml:space="preserve">has </w:t>
      </w:r>
      <w:r w:rsidR="00B679FB">
        <w:rPr>
          <w:rFonts w:ascii="Times New Roman" w:eastAsia="Times New Roman" w:hAnsi="Times New Roman" w:cs="Times New Roman"/>
          <w:color w:val="000000"/>
          <w:kern w:val="0"/>
          <w:sz w:val="24"/>
          <w:szCs w:val="24"/>
          <w:u w:val="single"/>
          <w14:ligatures w14:val="none"/>
        </w:rPr>
        <w:t xml:space="preserve">already </w:t>
      </w:r>
      <w:r w:rsidRPr="006B4A66">
        <w:rPr>
          <w:rFonts w:ascii="Times New Roman" w:eastAsia="Times New Roman" w:hAnsi="Times New Roman" w:cs="Times New Roman"/>
          <w:color w:val="000000"/>
          <w:kern w:val="0"/>
          <w:sz w:val="24"/>
          <w:szCs w:val="24"/>
          <w:u w:val="single"/>
          <w14:ligatures w14:val="none"/>
        </w:rPr>
        <w:t>been</w:t>
      </w:r>
      <w:r w:rsidRPr="006B4A66">
        <w:rPr>
          <w:rFonts w:ascii="Times New Roman" w:eastAsia="Times New Roman" w:hAnsi="Times New Roman" w:cs="Times New Roman"/>
          <w:color w:val="000000"/>
          <w:kern w:val="0"/>
          <w:sz w:val="24"/>
          <w:szCs w:val="24"/>
          <w14:ligatures w14:val="none"/>
        </w:rPr>
        <w:t xml:space="preserve"> substantially constructed.  If ((</w:t>
      </w:r>
      <w:r w:rsidRPr="006B4A66">
        <w:rPr>
          <w:rFonts w:ascii="Times New Roman" w:eastAsia="Times New Roman" w:hAnsi="Times New Roman" w:cs="Times New Roman"/>
          <w:strike/>
          <w:color w:val="000000"/>
          <w:kern w:val="0"/>
          <w:sz w:val="24"/>
          <w:szCs w:val="24"/>
          <w14:ligatures w14:val="none"/>
        </w:rPr>
        <w:t>substantial</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the building official determines that</w:t>
      </w:r>
      <w:r w:rsidRPr="006B4A66">
        <w:rPr>
          <w:rFonts w:ascii="Times New Roman" w:eastAsia="Times New Roman" w:hAnsi="Times New Roman" w:cs="Times New Roman"/>
          <w:color w:val="000000"/>
          <w:kern w:val="0"/>
          <w:sz w:val="24"/>
          <w:szCs w:val="24"/>
          <w14:ligatures w14:val="none"/>
        </w:rPr>
        <w:t xml:space="preserve"> work((</w:t>
      </w:r>
      <w:r w:rsidRPr="006B4A66">
        <w:rPr>
          <w:rFonts w:ascii="Times New Roman" w:eastAsia="Times New Roman" w:hAnsi="Times New Roman" w:cs="Times New Roman"/>
          <w:strike/>
          <w:color w:val="000000"/>
          <w:kern w:val="0"/>
          <w:sz w:val="24"/>
          <w:szCs w:val="24"/>
          <w14:ligatures w14:val="none"/>
        </w:rPr>
        <w:t>, as determined by the building official, has not begun</w:t>
      </w:r>
      <w:r w:rsidRPr="006B4A66">
        <w:rPr>
          <w:rFonts w:ascii="Times New Roman" w:eastAsia="Times New Roman" w:hAnsi="Times New Roman" w:cs="Times New Roman"/>
          <w:color w:val="000000"/>
          <w:kern w:val="0"/>
          <w:sz w:val="24"/>
          <w:szCs w:val="24"/>
          <w14:ligatures w14:val="none"/>
        </w:rPr>
        <w:t>)) on a building, structure</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 xml:space="preserve"> or mechanical system authorized in the original permit </w:t>
      </w:r>
      <w:r w:rsidRPr="006B4A66">
        <w:rPr>
          <w:rFonts w:ascii="Times New Roman" w:eastAsia="Times New Roman" w:hAnsi="Times New Roman" w:cs="Times New Roman"/>
          <w:color w:val="000000"/>
          <w:kern w:val="0"/>
          <w:sz w:val="24"/>
          <w:szCs w:val="24"/>
          <w:u w:val="single"/>
          <w14:ligatures w14:val="none"/>
        </w:rPr>
        <w:t>has not been substantially constructed</w:t>
      </w:r>
      <w:r w:rsidRPr="006B4A66">
        <w:rPr>
          <w:rFonts w:ascii="Times New Roman" w:eastAsia="Times New Roman" w:hAnsi="Times New Roman" w:cs="Times New Roman"/>
          <w:color w:val="000000"/>
          <w:kern w:val="0"/>
          <w:sz w:val="24"/>
          <w:szCs w:val="24"/>
          <w14:ligatures w14:val="none"/>
        </w:rPr>
        <w:t>, then a new permit shall be required for construction to proceed.</w:t>
      </w:r>
    </w:p>
    <w:p w14:paraId="64BA2CBF"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5.</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3.</w:t>
      </w:r>
      <w:r w:rsidRPr="006B4A66">
        <w:rPr>
          <w:rFonts w:ascii="Times New Roman" w:eastAsia="Times New Roman" w:hAnsi="Times New Roman" w:cs="Times New Roman"/>
          <w:color w:val="000000"/>
          <w:kern w:val="0"/>
          <w:sz w:val="24"/>
          <w:szCs w:val="24"/>
          <w14:ligatures w14:val="none"/>
        </w:rPr>
        <w:t xml:space="preserve">  The ((</w:t>
      </w:r>
      <w:r w:rsidRPr="006B4A66">
        <w:rPr>
          <w:rFonts w:ascii="Times New Roman" w:eastAsia="Times New Roman" w:hAnsi="Times New Roman" w:cs="Times New Roman"/>
          <w:strike/>
          <w:color w:val="000000"/>
          <w:kern w:val="0"/>
          <w:sz w:val="24"/>
          <w:szCs w:val="24"/>
          <w14:ligatures w14:val="none"/>
        </w:rPr>
        <w:t>staff of the</w:t>
      </w:r>
      <w:r w:rsidRPr="006B4A66">
        <w:rPr>
          <w:rFonts w:ascii="Times New Roman" w:eastAsia="Times New Roman" w:hAnsi="Times New Roman" w:cs="Times New Roman"/>
          <w:color w:val="000000"/>
          <w:kern w:val="0"/>
          <w:sz w:val="24"/>
          <w:szCs w:val="24"/>
          <w14:ligatures w14:val="none"/>
        </w:rPr>
        <w:t>)) department may revise a permit at the permittee's request but such a revision does not ((</w:t>
      </w:r>
      <w:r w:rsidRPr="006B4A66">
        <w:rPr>
          <w:rFonts w:ascii="Times New Roman" w:eastAsia="Times New Roman" w:hAnsi="Times New Roman" w:cs="Times New Roman"/>
          <w:strike/>
          <w:color w:val="000000"/>
          <w:kern w:val="0"/>
          <w:sz w:val="24"/>
          <w:szCs w:val="24"/>
          <w14:ligatures w14:val="none"/>
        </w:rPr>
        <w:t>constitute a renewal or otherwise extend the life of</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extend</w:t>
      </w:r>
      <w:r w:rsidRPr="006B4A66">
        <w:rPr>
          <w:rFonts w:ascii="Times New Roman" w:eastAsia="Times New Roman" w:hAnsi="Times New Roman" w:cs="Times New Roman"/>
          <w:color w:val="000000"/>
          <w:kern w:val="0"/>
          <w:sz w:val="24"/>
          <w:szCs w:val="24"/>
          <w14:ligatures w14:val="none"/>
        </w:rPr>
        <w:t xml:space="preserve"> the permit </w:t>
      </w:r>
      <w:r w:rsidRPr="006B4A66">
        <w:rPr>
          <w:rFonts w:ascii="Times New Roman" w:eastAsia="Times New Roman" w:hAnsi="Times New Roman" w:cs="Times New Roman"/>
          <w:color w:val="000000"/>
          <w:kern w:val="0"/>
          <w:sz w:val="24"/>
          <w:szCs w:val="24"/>
          <w:u w:val="single"/>
          <w14:ligatures w14:val="none"/>
        </w:rPr>
        <w:t>expiration date</w:t>
      </w:r>
      <w:r w:rsidRPr="006B4A66">
        <w:rPr>
          <w:rFonts w:ascii="Times New Roman" w:eastAsia="Times New Roman" w:hAnsi="Times New Roman" w:cs="Times New Roman"/>
          <w:color w:val="000000"/>
          <w:kern w:val="0"/>
          <w:sz w:val="24"/>
          <w:szCs w:val="24"/>
          <w14:ligatures w14:val="none"/>
        </w:rPr>
        <w:t>.</w:t>
      </w:r>
    </w:p>
    <w:p w14:paraId="55539452"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u w:val="single"/>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 xml:space="preserve">E.  Issued permits for which only the final building inspection is remaining, and all other work has been approved, </w:t>
      </w:r>
      <w:bookmarkStart w:id="2" w:name="_Hlk200102455"/>
      <w:r w:rsidRPr="006B4A66">
        <w:rPr>
          <w:rFonts w:ascii="Times New Roman" w:eastAsia="Times New Roman" w:hAnsi="Times New Roman" w:cs="Times New Roman"/>
          <w:color w:val="000000"/>
          <w:kern w:val="0"/>
          <w:sz w:val="24"/>
          <w:szCs w:val="24"/>
          <w:u w:val="single"/>
          <w14:ligatures w14:val="none"/>
        </w:rPr>
        <w:t>may be extended for one 60-day period subject to the following conditions:</w:t>
      </w:r>
      <w:bookmarkEnd w:id="2"/>
    </w:p>
    <w:p w14:paraId="026DEE13"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u w:val="single"/>
          <w14:ligatures w14:val="none"/>
        </w:rPr>
      </w:pPr>
      <w:r w:rsidRPr="006B4A66">
        <w:rPr>
          <w:rFonts w:ascii="Times New Roman" w:eastAsia="Times New Roman" w:hAnsi="Times New Roman" w:cs="Times New Roman"/>
          <w:color w:val="000000"/>
          <w:kern w:val="0"/>
          <w:sz w:val="24"/>
          <w:szCs w:val="24"/>
          <w14:ligatures w14:val="none"/>
        </w:rPr>
        <w:tab/>
        <w:t xml:space="preserve">  </w:t>
      </w:r>
      <w:r w:rsidRPr="006B4A66">
        <w:rPr>
          <w:rFonts w:ascii="Times New Roman" w:eastAsia="Times New Roman" w:hAnsi="Times New Roman" w:cs="Times New Roman"/>
          <w:color w:val="000000"/>
          <w:kern w:val="0"/>
          <w:sz w:val="24"/>
          <w:szCs w:val="24"/>
          <w:u w:val="single"/>
          <w14:ligatures w14:val="none"/>
        </w:rPr>
        <w:t>1.  An application for a permit extension is submitted to the department prior to the expiration date.</w:t>
      </w:r>
    </w:p>
    <w:p w14:paraId="4E53120A"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u w:val="single"/>
          <w14:ligatures w14:val="none"/>
        </w:rPr>
      </w:pPr>
      <w:r w:rsidRPr="006B4A66">
        <w:rPr>
          <w:rFonts w:ascii="Times New Roman" w:eastAsia="Times New Roman" w:hAnsi="Times New Roman" w:cs="Times New Roman"/>
          <w:color w:val="000000"/>
          <w:kern w:val="0"/>
          <w:sz w:val="24"/>
          <w:szCs w:val="24"/>
          <w14:ligatures w14:val="none"/>
        </w:rPr>
        <w:tab/>
        <w:t xml:space="preserve">  </w:t>
      </w:r>
      <w:r w:rsidRPr="006B4A66">
        <w:rPr>
          <w:rFonts w:ascii="Times New Roman" w:eastAsia="Times New Roman" w:hAnsi="Times New Roman" w:cs="Times New Roman"/>
          <w:color w:val="000000"/>
          <w:kern w:val="0"/>
          <w:sz w:val="24"/>
          <w:szCs w:val="24"/>
          <w:u w:val="single"/>
          <w14:ligatures w14:val="none"/>
        </w:rPr>
        <w:t>2.  If work required under a final building inspection is not completed within the 60-day extension period, the permit shall expire, and a new permit shall be required for construction to proceed.</w:t>
      </w:r>
    </w:p>
    <w:p w14:paraId="63E7D9E2"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u w:val="single"/>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F.  The permit shall not be extended if:</w:t>
      </w:r>
    </w:p>
    <w:p w14:paraId="509E922F"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u w:val="single"/>
          <w14:ligatures w14:val="none"/>
        </w:rPr>
      </w:pPr>
      <w:r w:rsidRPr="006B4A66">
        <w:rPr>
          <w:rFonts w:ascii="Times New Roman" w:eastAsia="Times New Roman" w:hAnsi="Times New Roman" w:cs="Times New Roman"/>
          <w:color w:val="000000"/>
          <w:kern w:val="0"/>
          <w:sz w:val="24"/>
          <w:szCs w:val="24"/>
          <w14:ligatures w14:val="none"/>
        </w:rPr>
        <w:tab/>
        <w:t xml:space="preserve">  </w:t>
      </w:r>
      <w:r w:rsidRPr="006B4A66">
        <w:rPr>
          <w:rFonts w:ascii="Times New Roman" w:eastAsia="Times New Roman" w:hAnsi="Times New Roman" w:cs="Times New Roman"/>
          <w:color w:val="000000"/>
          <w:kern w:val="0"/>
          <w:sz w:val="24"/>
          <w:szCs w:val="24"/>
          <w:u w:val="single"/>
          <w14:ligatures w14:val="none"/>
        </w:rPr>
        <w:t>1.  Construction of a building or structure has not substantially begun, as determined by the building official, within two years from the date the permit was first issued; and</w:t>
      </w:r>
    </w:p>
    <w:p w14:paraId="6E5B022B"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u w:val="single"/>
          <w14:ligatures w14:val="none"/>
        </w:rPr>
      </w:pPr>
      <w:r w:rsidRPr="006B4A66">
        <w:rPr>
          <w:rFonts w:ascii="Times New Roman" w:eastAsia="Times New Roman" w:hAnsi="Times New Roman" w:cs="Times New Roman"/>
          <w:color w:val="000000"/>
          <w:kern w:val="0"/>
          <w:sz w:val="24"/>
          <w:szCs w:val="24"/>
          <w14:ligatures w14:val="none"/>
        </w:rPr>
        <w:tab/>
        <w:t xml:space="preserve">  </w:t>
      </w:r>
      <w:r w:rsidRPr="006B4A66">
        <w:rPr>
          <w:rFonts w:ascii="Times New Roman" w:eastAsia="Times New Roman" w:hAnsi="Times New Roman" w:cs="Times New Roman"/>
          <w:color w:val="000000"/>
          <w:kern w:val="0"/>
          <w:sz w:val="24"/>
          <w:szCs w:val="24"/>
          <w:u w:val="single"/>
          <w14:ligatures w14:val="none"/>
        </w:rPr>
        <w:t>2.  The building or the structure, or its intended use, is no longer authorized by the zoning code or other applicable law.</w:t>
      </w:r>
    </w:p>
    <w:p w14:paraId="346F1772" w14:textId="6405DBCD"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lastRenderedPageBreak/>
        <w:tab/>
      </w:r>
      <w:r w:rsidRPr="006B4A66">
        <w:rPr>
          <w:rFonts w:ascii="Times New Roman" w:eastAsia="Times New Roman" w:hAnsi="Times New Roman" w:cs="Times New Roman"/>
          <w:color w:val="000000"/>
          <w:kern w:val="0"/>
          <w:sz w:val="24"/>
          <w:szCs w:val="24"/>
          <w:u w:val="single"/>
          <w14:ligatures w14:val="none"/>
        </w:rPr>
        <w:t>SECTION 8.</w:t>
      </w:r>
      <w:r w:rsidRPr="006B4A66">
        <w:rPr>
          <w:rFonts w:ascii="Times New Roman" w:eastAsia="Times New Roman" w:hAnsi="Times New Roman" w:cs="Times New Roman"/>
          <w:color w:val="000000"/>
          <w:kern w:val="0"/>
          <w:sz w:val="24"/>
          <w:szCs w:val="24"/>
          <w14:ligatures w14:val="none"/>
        </w:rPr>
        <w:t xml:space="preserve">  Ordinance 12560, Section 2</w:t>
      </w:r>
      <w:r w:rsidR="001B60B2">
        <w:rPr>
          <w:rFonts w:ascii="Times New Roman" w:eastAsia="Times New Roman" w:hAnsi="Times New Roman" w:cs="Times New Roman"/>
          <w:color w:val="000000"/>
          <w:kern w:val="0"/>
          <w:sz w:val="24"/>
          <w:szCs w:val="24"/>
          <w14:ligatures w14:val="none"/>
        </w:rPr>
        <w:t>0</w:t>
      </w:r>
      <w:r w:rsidRPr="006B4A66">
        <w:rPr>
          <w:rFonts w:ascii="Times New Roman" w:eastAsia="Times New Roman" w:hAnsi="Times New Roman" w:cs="Times New Roman"/>
          <w:color w:val="000000"/>
          <w:kern w:val="0"/>
          <w:sz w:val="24"/>
          <w:szCs w:val="24"/>
          <w14:ligatures w14:val="none"/>
        </w:rPr>
        <w:t>, as amended, and K.C.C. 16.02.340 are hereby amended to read as follows:</w:t>
      </w:r>
    </w:p>
    <w:p w14:paraId="24E33294" w14:textId="757D138D"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Section 107.3</w:t>
      </w:r>
      <w:r w:rsidR="00E035BF">
        <w:rPr>
          <w:rFonts w:ascii="Times New Roman" w:eastAsia="Times New Roman" w:hAnsi="Times New Roman" w:cs="Times New Roman"/>
          <w:color w:val="000000"/>
          <w:kern w:val="0"/>
          <w:sz w:val="24"/>
          <w:szCs w:val="24"/>
          <w14:ligatures w14:val="none"/>
        </w:rPr>
        <w:t>((</w:t>
      </w:r>
      <w:r w:rsidRPr="001216D4">
        <w:rPr>
          <w:rFonts w:ascii="Times New Roman" w:eastAsia="Times New Roman" w:hAnsi="Times New Roman" w:cs="Times New Roman"/>
          <w:strike/>
          <w:color w:val="000000"/>
          <w:kern w:val="0"/>
          <w:sz w:val="24"/>
          <w:szCs w:val="24"/>
          <w14:ligatures w14:val="none"/>
        </w:rPr>
        <w:t>.3</w:t>
      </w:r>
      <w:r w:rsidR="00E035BF">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xml:space="preserve"> of the International Building Code is </w:t>
      </w:r>
      <w:r w:rsidR="00F05D4F">
        <w:rPr>
          <w:rFonts w:ascii="Times New Roman" w:eastAsia="Times New Roman" w:hAnsi="Times New Roman" w:cs="Times New Roman"/>
          <w:color w:val="000000"/>
          <w:kern w:val="0"/>
          <w:sz w:val="24"/>
          <w:szCs w:val="24"/>
          <w14:ligatures w14:val="none"/>
        </w:rPr>
        <w:t>((</w:t>
      </w:r>
      <w:r w:rsidRPr="001216D4">
        <w:rPr>
          <w:rFonts w:ascii="Times New Roman" w:eastAsia="Times New Roman" w:hAnsi="Times New Roman" w:cs="Times New Roman"/>
          <w:strike/>
          <w:color w:val="000000"/>
          <w:kern w:val="0"/>
          <w:sz w:val="24"/>
          <w:szCs w:val="24"/>
          <w14:ligatures w14:val="none"/>
        </w:rPr>
        <w:t>not adopted and</w:t>
      </w:r>
      <w:r w:rsidR="00F05D4F">
        <w:rPr>
          <w:rFonts w:ascii="Times New Roman" w:eastAsia="Times New Roman" w:hAnsi="Times New Roman" w:cs="Times New Roman"/>
          <w:color w:val="000000"/>
          <w:kern w:val="0"/>
          <w:sz w:val="24"/>
          <w:szCs w:val="24"/>
          <w14:ligatures w14:val="none"/>
        </w:rPr>
        <w:t xml:space="preserve">)) </w:t>
      </w:r>
      <w:r w:rsidR="00F05D4F">
        <w:rPr>
          <w:rFonts w:ascii="Times New Roman" w:eastAsia="Times New Roman" w:hAnsi="Times New Roman" w:cs="Times New Roman"/>
          <w:color w:val="000000"/>
          <w:kern w:val="0"/>
          <w:sz w:val="24"/>
          <w:szCs w:val="24"/>
          <w:u w:val="single"/>
          <w14:ligatures w14:val="none"/>
        </w:rPr>
        <w:t>supplemented with</w:t>
      </w:r>
      <w:r w:rsidRPr="006B4A66">
        <w:rPr>
          <w:rFonts w:ascii="Times New Roman" w:eastAsia="Times New Roman" w:hAnsi="Times New Roman" w:cs="Times New Roman"/>
          <w:color w:val="000000"/>
          <w:kern w:val="0"/>
          <w:sz w:val="24"/>
          <w:szCs w:val="24"/>
          <w14:ligatures w14:val="none"/>
        </w:rPr>
        <w:t xml:space="preserve"> the following </w:t>
      </w:r>
      <w:r w:rsidR="00F05D4F">
        <w:rPr>
          <w:rFonts w:ascii="Times New Roman" w:eastAsia="Times New Roman" w:hAnsi="Times New Roman" w:cs="Times New Roman"/>
          <w:color w:val="000000"/>
          <w:kern w:val="0"/>
          <w:sz w:val="24"/>
          <w:szCs w:val="24"/>
          <w14:ligatures w14:val="none"/>
        </w:rPr>
        <w:t>((</w:t>
      </w:r>
      <w:r w:rsidRPr="001216D4">
        <w:rPr>
          <w:rFonts w:ascii="Times New Roman" w:eastAsia="Times New Roman" w:hAnsi="Times New Roman" w:cs="Times New Roman"/>
          <w:strike/>
          <w:color w:val="000000"/>
          <w:kern w:val="0"/>
          <w:sz w:val="24"/>
          <w:szCs w:val="24"/>
          <w14:ligatures w14:val="none"/>
        </w:rPr>
        <w:t>is substituted</w:t>
      </w:r>
      <w:r w:rsidR="00F05D4F">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w:t>
      </w:r>
    </w:p>
    <w:p w14:paraId="3B181A27" w14:textId="7DFBF8E6"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b/>
          <w:bCs/>
          <w:color w:val="000000"/>
          <w:kern w:val="0"/>
          <w:sz w:val="24"/>
          <w:szCs w:val="24"/>
          <w14:ligatures w14:val="none"/>
        </w:rPr>
        <w:t xml:space="preserve">Pre-issuance construction authorization (PICA) – </w:t>
      </w:r>
      <w:r w:rsidRPr="006B4A66">
        <w:rPr>
          <w:rFonts w:ascii="Times New Roman" w:eastAsia="Times New Roman" w:hAnsi="Times New Roman" w:cs="Times New Roman"/>
          <w:b/>
          <w:color w:val="000000"/>
          <w:kern w:val="0"/>
          <w:sz w:val="24"/>
          <w:szCs w:val="24"/>
          <w14:ligatures w14:val="none"/>
        </w:rPr>
        <w:t xml:space="preserve">Permission to proceed (IBC </w:t>
      </w:r>
      <w:r w:rsidR="00F12541">
        <w:rPr>
          <w:rFonts w:ascii="Times New Roman" w:eastAsia="Times New Roman" w:hAnsi="Times New Roman" w:cs="Times New Roman"/>
          <w:b/>
          <w:color w:val="000000"/>
          <w:kern w:val="0"/>
          <w:sz w:val="24"/>
          <w:szCs w:val="24"/>
          <w14:ligatures w14:val="none"/>
        </w:rPr>
        <w:t>((</w:t>
      </w:r>
      <w:r w:rsidRPr="001216D4">
        <w:rPr>
          <w:rFonts w:ascii="Times New Roman" w:eastAsia="Times New Roman" w:hAnsi="Times New Roman" w:cs="Times New Roman"/>
          <w:b/>
          <w:strike/>
          <w:color w:val="000000"/>
          <w:kern w:val="0"/>
          <w:sz w:val="24"/>
          <w:szCs w:val="24"/>
          <w14:ligatures w14:val="none"/>
        </w:rPr>
        <w:t>107.3.3</w:t>
      </w:r>
      <w:r w:rsidR="00F12541">
        <w:rPr>
          <w:rFonts w:ascii="Times New Roman" w:eastAsia="Times New Roman" w:hAnsi="Times New Roman" w:cs="Times New Roman"/>
          <w:b/>
          <w:color w:val="000000"/>
          <w:kern w:val="0"/>
          <w:sz w:val="24"/>
          <w:szCs w:val="24"/>
          <w14:ligatures w14:val="none"/>
        </w:rPr>
        <w:t xml:space="preserve">)) </w:t>
      </w:r>
      <w:r w:rsidR="00F12541">
        <w:rPr>
          <w:rFonts w:ascii="Times New Roman" w:eastAsia="Times New Roman" w:hAnsi="Times New Roman" w:cs="Times New Roman"/>
          <w:b/>
          <w:color w:val="000000"/>
          <w:kern w:val="0"/>
          <w:sz w:val="24"/>
          <w:szCs w:val="24"/>
          <w:u w:val="single"/>
          <w14:ligatures w14:val="none"/>
        </w:rPr>
        <w:t>107.3.5</w:t>
      </w:r>
      <w:r w:rsidRPr="006B4A66">
        <w:rPr>
          <w:rFonts w:ascii="Times New Roman" w:eastAsia="Times New Roman" w:hAnsi="Times New Roman" w:cs="Times New Roman"/>
          <w:b/>
          <w:color w:val="000000"/>
          <w:kern w:val="0"/>
          <w:sz w:val="24"/>
          <w:szCs w:val="24"/>
          <w14:ligatures w14:val="none"/>
        </w:rPr>
        <w:t>)</w:t>
      </w:r>
      <w:r w:rsidRPr="006B4A66">
        <w:rPr>
          <w:rFonts w:ascii="Times New Roman" w:eastAsia="Times New Roman" w:hAnsi="Times New Roman" w:cs="Times New Roman"/>
          <w:b/>
          <w:bCs/>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xml:space="preserve">  If the applicant for a permit or approval required by this code ((</w:t>
      </w:r>
      <w:r w:rsidRPr="006B4A66">
        <w:rPr>
          <w:rFonts w:ascii="Times New Roman" w:eastAsia="Times New Roman" w:hAnsi="Times New Roman" w:cs="Times New Roman"/>
          <w:strike/>
          <w:color w:val="000000"/>
          <w:kern w:val="0"/>
          <w:sz w:val="24"/>
          <w:szCs w:val="24"/>
          <w14:ligatures w14:val="none"/>
        </w:rPr>
        <w:t>desires</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seeks authorization</w:t>
      </w:r>
      <w:r w:rsidRPr="006B4A66">
        <w:rPr>
          <w:rFonts w:ascii="Times New Roman" w:eastAsia="Times New Roman" w:hAnsi="Times New Roman" w:cs="Times New Roman"/>
          <w:color w:val="000000"/>
          <w:kern w:val="0"/>
          <w:sz w:val="24"/>
          <w:szCs w:val="24"/>
          <w14:ligatures w14:val="none"/>
        </w:rPr>
        <w:t xml:space="preserve"> to begin work before obtaining the required permit or approval, the building official may allow the applicant to proceed if </w:t>
      </w:r>
      <w:r w:rsidRPr="006B4A66">
        <w:rPr>
          <w:rFonts w:ascii="Times New Roman" w:eastAsia="Times New Roman" w:hAnsi="Times New Roman" w:cs="Times New Roman"/>
          <w:color w:val="000000"/>
          <w:kern w:val="0"/>
          <w:sz w:val="24"/>
          <w:szCs w:val="24"/>
          <w:u w:val="single"/>
          <w14:ligatures w14:val="none"/>
        </w:rPr>
        <w:t>it is determined</w:t>
      </w:r>
      <w:r w:rsidR="00367771">
        <w:rPr>
          <w:rFonts w:ascii="Times New Roman" w:eastAsia="Times New Roman" w:hAnsi="Times New Roman" w:cs="Times New Roman"/>
          <w:color w:val="000000"/>
          <w:kern w:val="0"/>
          <w:sz w:val="24"/>
          <w:szCs w:val="24"/>
          <w:u w:val="single"/>
          <w14:ligatures w14:val="none"/>
        </w:rPr>
        <w:t xml:space="preserve"> that</w:t>
      </w:r>
      <w:r w:rsidRPr="006B4A66">
        <w:rPr>
          <w:rFonts w:ascii="Times New Roman" w:eastAsia="Times New Roman" w:hAnsi="Times New Roman" w:cs="Times New Roman"/>
          <w:color w:val="000000"/>
          <w:kern w:val="0"/>
          <w:sz w:val="24"/>
          <w:szCs w:val="24"/>
          <w14:ligatures w14:val="none"/>
        </w:rPr>
        <w:t>:</w:t>
      </w:r>
    </w:p>
    <w:p w14:paraId="26B02176"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1.  The ((</w:t>
      </w:r>
      <w:r w:rsidRPr="006B4A66">
        <w:rPr>
          <w:rFonts w:ascii="Times New Roman" w:eastAsia="Times New Roman" w:hAnsi="Times New Roman" w:cs="Times New Roman"/>
          <w:strike/>
          <w:color w:val="000000"/>
          <w:kern w:val="0"/>
          <w:sz w:val="24"/>
          <w:szCs w:val="24"/>
          <w14:ligatures w14:val="none"/>
        </w:rPr>
        <w:t>building official determines that the</w:t>
      </w:r>
      <w:r w:rsidRPr="006B4A66">
        <w:rPr>
          <w:rFonts w:ascii="Times New Roman" w:eastAsia="Times New Roman" w:hAnsi="Times New Roman" w:cs="Times New Roman"/>
          <w:color w:val="000000"/>
          <w:kern w:val="0"/>
          <w:sz w:val="24"/>
          <w:szCs w:val="24"/>
          <w14:ligatures w14:val="none"/>
        </w:rPr>
        <w:t>)) work would not endanger or harm the property;</w:t>
      </w:r>
    </w:p>
    <w:p w14:paraId="4E0076CC"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2.  ((</w:t>
      </w:r>
      <w:r w:rsidRPr="006B4A66">
        <w:rPr>
          <w:rFonts w:ascii="Times New Roman" w:eastAsia="Times New Roman" w:hAnsi="Times New Roman" w:cs="Times New Roman"/>
          <w:strike/>
          <w:color w:val="000000"/>
          <w:kern w:val="0"/>
          <w:sz w:val="24"/>
          <w:szCs w:val="24"/>
          <w14:ligatures w14:val="none"/>
        </w:rPr>
        <w:t>The building official determines that a</w:t>
      </w:r>
      <w:r w:rsidRPr="006B4A66">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color w:val="000000"/>
          <w:kern w:val="0"/>
          <w:sz w:val="24"/>
          <w:szCs w:val="24"/>
          <w:u w:val="single"/>
          <w14:ligatures w14:val="none"/>
        </w:rPr>
        <w:t>A</w:t>
      </w:r>
      <w:r w:rsidRPr="006B4A66">
        <w:rPr>
          <w:rFonts w:ascii="Times New Roman" w:eastAsia="Times New Roman" w:hAnsi="Times New Roman" w:cs="Times New Roman"/>
          <w:color w:val="000000"/>
          <w:kern w:val="0"/>
          <w:sz w:val="24"/>
          <w:szCs w:val="24"/>
          <w14:ligatures w14:val="none"/>
        </w:rPr>
        <w:t>llowing the work to proceed would not violate the requirements of the state environmental policy act; ((</w:t>
      </w:r>
      <w:r w:rsidRPr="006B4A66">
        <w:rPr>
          <w:rFonts w:ascii="Times New Roman" w:eastAsia="Times New Roman" w:hAnsi="Times New Roman" w:cs="Times New Roman"/>
          <w:strike/>
          <w:color w:val="000000"/>
          <w:kern w:val="0"/>
          <w:sz w:val="24"/>
          <w:szCs w:val="24"/>
          <w14:ligatures w14:val="none"/>
        </w:rPr>
        <w:t>and</w:t>
      </w:r>
      <w:r w:rsidRPr="006B4A66">
        <w:rPr>
          <w:rFonts w:ascii="Times New Roman" w:eastAsia="Times New Roman" w:hAnsi="Times New Roman" w:cs="Times New Roman"/>
          <w:color w:val="000000"/>
          <w:kern w:val="0"/>
          <w:sz w:val="24"/>
          <w:szCs w:val="24"/>
          <w14:ligatures w14:val="none"/>
        </w:rPr>
        <w:t>))</w:t>
      </w:r>
    </w:p>
    <w:p w14:paraId="02DA3C2A" w14:textId="4FCE3F5B"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u w:val="single"/>
          <w14:ligatures w14:val="none"/>
        </w:rPr>
      </w:pPr>
      <w:r w:rsidRPr="006B4A66">
        <w:rPr>
          <w:rFonts w:ascii="Times New Roman" w:eastAsia="Times New Roman" w:hAnsi="Times New Roman" w:cs="Times New Roman"/>
          <w:color w:val="000000"/>
          <w:kern w:val="0"/>
          <w:sz w:val="24"/>
          <w:szCs w:val="24"/>
          <w14:ligatures w14:val="none"/>
        </w:rPr>
        <w:tab/>
        <w:t xml:space="preserve">3.  </w:t>
      </w:r>
      <w:r w:rsidRPr="006B4A66">
        <w:rPr>
          <w:rFonts w:ascii="Times New Roman" w:eastAsia="Times New Roman" w:hAnsi="Times New Roman" w:cs="Times New Roman"/>
          <w:color w:val="000000"/>
          <w:kern w:val="0"/>
          <w:sz w:val="24"/>
          <w:szCs w:val="24"/>
          <w:u w:val="single"/>
          <w14:ligatures w14:val="none"/>
        </w:rPr>
        <w:t>The work does not include alterations or site development regulated under K.C.C. Title 9; and</w:t>
      </w:r>
    </w:p>
    <w:p w14:paraId="0942D8C0" w14:textId="40CED17A" w:rsid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4.</w:t>
      </w:r>
      <w:r w:rsidRPr="006B4A66">
        <w:rPr>
          <w:rFonts w:ascii="Times New Roman" w:eastAsia="Times New Roman" w:hAnsi="Times New Roman" w:cs="Times New Roman"/>
          <w:color w:val="000000"/>
          <w:kern w:val="0"/>
          <w:sz w:val="24"/>
          <w:szCs w:val="24"/>
          <w14:ligatures w14:val="none"/>
        </w:rPr>
        <w:t xml:space="preserve">  The applicant first deposits cash or its equivalent with </w:t>
      </w:r>
      <w:r w:rsidR="006F2DC9">
        <w:rPr>
          <w:rFonts w:ascii="Times New Roman" w:eastAsia="Times New Roman" w:hAnsi="Times New Roman" w:cs="Times New Roman"/>
          <w:color w:val="000000"/>
          <w:kern w:val="0"/>
          <w:sz w:val="24"/>
          <w:szCs w:val="24"/>
          <w14:ligatures w14:val="none"/>
        </w:rPr>
        <w:t>((</w:t>
      </w:r>
      <w:r w:rsidRPr="001216D4">
        <w:rPr>
          <w:rFonts w:ascii="Times New Roman" w:eastAsia="Times New Roman" w:hAnsi="Times New Roman" w:cs="Times New Roman"/>
          <w:strike/>
          <w:color w:val="000000"/>
          <w:kern w:val="0"/>
          <w:sz w:val="24"/>
          <w:szCs w:val="24"/>
          <w14:ligatures w14:val="none"/>
        </w:rPr>
        <w:t>the building official</w:t>
      </w:r>
      <w:r w:rsidR="006F2DC9">
        <w:rPr>
          <w:rFonts w:ascii="Times New Roman" w:eastAsia="Times New Roman" w:hAnsi="Times New Roman" w:cs="Times New Roman"/>
          <w:color w:val="000000"/>
          <w:kern w:val="0"/>
          <w:sz w:val="24"/>
          <w:szCs w:val="24"/>
          <w14:ligatures w14:val="none"/>
        </w:rPr>
        <w:t xml:space="preserve">)) </w:t>
      </w:r>
      <w:r w:rsidR="006F2DC9">
        <w:rPr>
          <w:rFonts w:ascii="Times New Roman" w:eastAsia="Times New Roman" w:hAnsi="Times New Roman" w:cs="Times New Roman"/>
          <w:color w:val="000000"/>
          <w:kern w:val="0"/>
          <w:sz w:val="24"/>
          <w:szCs w:val="24"/>
          <w:u w:val="single"/>
          <w14:ligatures w14:val="none"/>
        </w:rPr>
        <w:t>King County</w:t>
      </w:r>
      <w:r w:rsidRPr="006B4A66">
        <w:rPr>
          <w:rFonts w:ascii="Times New Roman" w:eastAsia="Times New Roman" w:hAnsi="Times New Roman" w:cs="Times New Roman"/>
          <w:color w:val="000000"/>
          <w:kern w:val="0"/>
          <w:sz w:val="24"/>
          <w:szCs w:val="24"/>
          <w14:ligatures w14:val="none"/>
        </w:rPr>
        <w:t>, or in an irrevocable escrow approved by the building official, in an amount determined by the building official to be sufficient to restore the building and site, and to perform the corrective work described in K.C.C. 16.02.350.</w:t>
      </w:r>
    </w:p>
    <w:p w14:paraId="729ADED2" w14:textId="366177E0" w:rsidR="00A127FD" w:rsidRPr="006B4A66" w:rsidRDefault="00A127FD"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9.</w:t>
      </w:r>
      <w:r w:rsidRPr="006B4A66">
        <w:rPr>
          <w:rFonts w:ascii="Times New Roman" w:eastAsia="Times New Roman" w:hAnsi="Times New Roman" w:cs="Times New Roman"/>
          <w:color w:val="000000"/>
          <w:kern w:val="0"/>
          <w:sz w:val="24"/>
          <w:szCs w:val="24"/>
          <w14:ligatures w14:val="none"/>
        </w:rPr>
        <w:t xml:space="preserve">  Ordinance 12560, Section 2</w:t>
      </w:r>
      <w:r>
        <w:rPr>
          <w:rFonts w:ascii="Times New Roman" w:eastAsia="Times New Roman" w:hAnsi="Times New Roman" w:cs="Times New Roman"/>
          <w:color w:val="000000"/>
          <w:kern w:val="0"/>
          <w:sz w:val="24"/>
          <w:szCs w:val="24"/>
          <w14:ligatures w14:val="none"/>
        </w:rPr>
        <w:t>1</w:t>
      </w:r>
      <w:r w:rsidRPr="006B4A66">
        <w:rPr>
          <w:rFonts w:ascii="Times New Roman" w:eastAsia="Times New Roman" w:hAnsi="Times New Roman" w:cs="Times New Roman"/>
          <w:color w:val="000000"/>
          <w:kern w:val="0"/>
          <w:sz w:val="24"/>
          <w:szCs w:val="24"/>
          <w14:ligatures w14:val="none"/>
        </w:rPr>
        <w:t>, as amended, and K.C.C. 16.02.3</w:t>
      </w:r>
      <w:r>
        <w:rPr>
          <w:rFonts w:ascii="Times New Roman" w:eastAsia="Times New Roman" w:hAnsi="Times New Roman" w:cs="Times New Roman"/>
          <w:color w:val="000000"/>
          <w:kern w:val="0"/>
          <w:sz w:val="24"/>
          <w:szCs w:val="24"/>
          <w14:ligatures w14:val="none"/>
        </w:rPr>
        <w:t>5</w:t>
      </w:r>
      <w:r w:rsidRPr="006B4A66">
        <w:rPr>
          <w:rFonts w:ascii="Times New Roman" w:eastAsia="Times New Roman" w:hAnsi="Times New Roman" w:cs="Times New Roman"/>
          <w:color w:val="000000"/>
          <w:kern w:val="0"/>
          <w:sz w:val="24"/>
          <w:szCs w:val="24"/>
          <w14:ligatures w14:val="none"/>
        </w:rPr>
        <w:t>0 are hereby amended to read as follows:</w:t>
      </w:r>
    </w:p>
    <w:p w14:paraId="6A252E13" w14:textId="1BD70B8A" w:rsidR="00BF7367" w:rsidRPr="00BF7367" w:rsidRDefault="004065E0" w:rsidP="0073496A">
      <w:pPr>
        <w:spacing w:after="0" w:line="480" w:lineRule="auto"/>
        <w:jc w:val="both"/>
        <w:rPr>
          <w:rFonts w:asciiTheme="majorHAnsi" w:eastAsia="Times New Roman" w:hAnsiTheme="majorHAnsi" w:cstheme="majorHAnsi"/>
          <w:color w:val="000000"/>
          <w:kern w:val="0"/>
          <w:sz w:val="20"/>
          <w:szCs w:val="20"/>
          <w14:ligatures w14:val="none"/>
        </w:rPr>
      </w:pPr>
      <w:r w:rsidRPr="006B4A66">
        <w:rPr>
          <w:rFonts w:ascii="Times New Roman" w:eastAsia="Times New Roman" w:hAnsi="Times New Roman" w:cs="Times New Roman"/>
          <w:color w:val="000000"/>
          <w:kern w:val="0"/>
          <w:sz w:val="24"/>
          <w:szCs w:val="24"/>
          <w14:ligatures w14:val="none"/>
        </w:rPr>
        <w:tab/>
      </w:r>
      <w:r w:rsidR="00BF7367" w:rsidRPr="00BF7367">
        <w:rPr>
          <w:rFonts w:asciiTheme="majorHAnsi" w:eastAsia="Times New Roman" w:hAnsiTheme="majorHAnsi" w:cstheme="majorHAnsi"/>
          <w:color w:val="000000"/>
          <w:kern w:val="0"/>
          <w:sz w:val="24"/>
          <w:szCs w:val="24"/>
          <w14:ligatures w14:val="none"/>
        </w:rPr>
        <w:t>Section 107.3</w:t>
      </w:r>
      <w:r w:rsidR="00077886">
        <w:rPr>
          <w:rFonts w:asciiTheme="majorHAnsi" w:eastAsia="Times New Roman" w:hAnsiTheme="majorHAnsi" w:cstheme="majorHAnsi"/>
          <w:color w:val="000000"/>
          <w:kern w:val="0"/>
          <w:sz w:val="24"/>
          <w:szCs w:val="24"/>
          <w14:ligatures w14:val="none"/>
        </w:rPr>
        <w:t>((</w:t>
      </w:r>
      <w:r w:rsidR="00BF7367" w:rsidRPr="001216D4">
        <w:rPr>
          <w:rFonts w:asciiTheme="majorHAnsi" w:eastAsia="Times New Roman" w:hAnsiTheme="majorHAnsi" w:cstheme="majorHAnsi"/>
          <w:strike/>
          <w:color w:val="000000"/>
          <w:kern w:val="0"/>
          <w:sz w:val="24"/>
          <w:szCs w:val="24"/>
          <w14:ligatures w14:val="none"/>
        </w:rPr>
        <w:t>.3</w:t>
      </w:r>
      <w:r w:rsidR="00077886">
        <w:rPr>
          <w:rFonts w:asciiTheme="majorHAnsi" w:eastAsia="Times New Roman" w:hAnsiTheme="majorHAnsi" w:cstheme="majorHAnsi"/>
          <w:color w:val="000000"/>
          <w:kern w:val="0"/>
          <w:sz w:val="24"/>
          <w:szCs w:val="24"/>
          <w14:ligatures w14:val="none"/>
        </w:rPr>
        <w:t>))</w:t>
      </w:r>
      <w:r w:rsidR="00BF7367" w:rsidRPr="00BF7367">
        <w:rPr>
          <w:rFonts w:asciiTheme="majorHAnsi" w:eastAsia="Times New Roman" w:hAnsiTheme="majorHAnsi" w:cstheme="majorHAnsi"/>
          <w:color w:val="000000"/>
          <w:kern w:val="0"/>
          <w:sz w:val="24"/>
          <w:szCs w:val="24"/>
          <w14:ligatures w14:val="none"/>
        </w:rPr>
        <w:t xml:space="preserve"> of the International Building Code is supplemented with the following:</w:t>
      </w:r>
    </w:p>
    <w:p w14:paraId="2F656D77" w14:textId="43DDD592" w:rsidR="00BF7367" w:rsidRPr="00BF7367" w:rsidRDefault="00BF7367" w:rsidP="0073496A">
      <w:pPr>
        <w:spacing w:after="0" w:line="480" w:lineRule="auto"/>
        <w:jc w:val="both"/>
        <w:rPr>
          <w:rFonts w:asciiTheme="majorHAnsi" w:eastAsia="Times New Roman" w:hAnsiTheme="majorHAnsi" w:cstheme="majorHAnsi"/>
          <w:color w:val="000000"/>
          <w:kern w:val="0"/>
          <w:sz w:val="20"/>
          <w:szCs w:val="20"/>
          <w14:ligatures w14:val="none"/>
        </w:rPr>
      </w:pPr>
      <w:r w:rsidRPr="00BF7367">
        <w:rPr>
          <w:rFonts w:asciiTheme="majorHAnsi" w:eastAsia="Times New Roman" w:hAnsiTheme="majorHAnsi" w:cstheme="majorHAnsi"/>
          <w:b/>
          <w:bCs/>
          <w:color w:val="000000"/>
          <w:kern w:val="0"/>
          <w:sz w:val="24"/>
          <w:szCs w:val="24"/>
          <w14:ligatures w14:val="none"/>
        </w:rPr>
        <w:lastRenderedPageBreak/>
        <w:t xml:space="preserve">          Pre-issuance construction authorization (PICA) - Removal of work not permitted and restoration (IBC </w:t>
      </w:r>
      <w:r w:rsidR="00077886">
        <w:rPr>
          <w:rFonts w:asciiTheme="majorHAnsi" w:eastAsia="Times New Roman" w:hAnsiTheme="majorHAnsi" w:cstheme="majorHAnsi"/>
          <w:b/>
          <w:bCs/>
          <w:color w:val="000000"/>
          <w:kern w:val="0"/>
          <w:sz w:val="24"/>
          <w:szCs w:val="24"/>
          <w14:ligatures w14:val="none"/>
        </w:rPr>
        <w:t>((</w:t>
      </w:r>
      <w:r w:rsidRPr="001216D4">
        <w:rPr>
          <w:rFonts w:asciiTheme="majorHAnsi" w:eastAsia="Times New Roman" w:hAnsiTheme="majorHAnsi" w:cstheme="majorHAnsi"/>
          <w:b/>
          <w:bCs/>
          <w:strike/>
          <w:color w:val="000000"/>
          <w:kern w:val="0"/>
          <w:sz w:val="24"/>
          <w:szCs w:val="24"/>
          <w14:ligatures w14:val="none"/>
        </w:rPr>
        <w:t>107.3.3.1</w:t>
      </w:r>
      <w:r w:rsidR="00077886">
        <w:rPr>
          <w:rFonts w:asciiTheme="majorHAnsi" w:eastAsia="Times New Roman" w:hAnsiTheme="majorHAnsi" w:cstheme="majorHAnsi"/>
          <w:b/>
          <w:bCs/>
          <w:color w:val="000000"/>
          <w:kern w:val="0"/>
          <w:sz w:val="24"/>
          <w:szCs w:val="24"/>
          <w14:ligatures w14:val="none"/>
        </w:rPr>
        <w:t>))</w:t>
      </w:r>
      <w:r w:rsidR="00077886">
        <w:rPr>
          <w:rFonts w:asciiTheme="majorHAnsi" w:eastAsia="Times New Roman" w:hAnsiTheme="majorHAnsi" w:cstheme="majorHAnsi"/>
          <w:b/>
          <w:bCs/>
          <w:color w:val="000000"/>
          <w:kern w:val="0"/>
          <w:sz w:val="24"/>
          <w:szCs w:val="24"/>
          <w:u w:val="single"/>
          <w14:ligatures w14:val="none"/>
        </w:rPr>
        <w:t>107.3.5.1</w:t>
      </w:r>
      <w:r w:rsidRPr="00BF7367">
        <w:rPr>
          <w:rFonts w:asciiTheme="majorHAnsi" w:eastAsia="Times New Roman" w:hAnsiTheme="majorHAnsi" w:cstheme="majorHAnsi"/>
          <w:b/>
          <w:bCs/>
          <w:color w:val="000000"/>
          <w:kern w:val="0"/>
          <w:sz w:val="24"/>
          <w:szCs w:val="24"/>
          <w14:ligatures w14:val="none"/>
        </w:rPr>
        <w:t>).</w:t>
      </w:r>
      <w:r w:rsidRPr="00BF7367">
        <w:rPr>
          <w:rFonts w:asciiTheme="majorHAnsi" w:eastAsia="Times New Roman" w:hAnsiTheme="majorHAnsi" w:cstheme="majorHAnsi"/>
          <w:color w:val="000000"/>
          <w:kern w:val="0"/>
          <w:sz w:val="24"/>
          <w:szCs w:val="24"/>
          <w14:ligatures w14:val="none"/>
        </w:rPr>
        <w:t xml:space="preserve">  An applicant who commences work pursuant to Section </w:t>
      </w:r>
      <w:r w:rsidR="00CD0F4F">
        <w:rPr>
          <w:rFonts w:asciiTheme="majorHAnsi" w:eastAsia="Times New Roman" w:hAnsiTheme="majorHAnsi" w:cstheme="majorHAnsi"/>
          <w:color w:val="000000"/>
          <w:kern w:val="0"/>
          <w:sz w:val="24"/>
          <w:szCs w:val="24"/>
          <w14:ligatures w14:val="none"/>
        </w:rPr>
        <w:t>((</w:t>
      </w:r>
      <w:r w:rsidRPr="001216D4">
        <w:rPr>
          <w:rFonts w:asciiTheme="majorHAnsi" w:eastAsia="Times New Roman" w:hAnsiTheme="majorHAnsi" w:cstheme="majorHAnsi"/>
          <w:strike/>
          <w:color w:val="000000"/>
          <w:kern w:val="0"/>
          <w:sz w:val="24"/>
          <w:szCs w:val="24"/>
          <w14:ligatures w14:val="none"/>
        </w:rPr>
        <w:t>107.3.3.1</w:t>
      </w:r>
      <w:r w:rsidR="00CD0F4F">
        <w:rPr>
          <w:rFonts w:asciiTheme="majorHAnsi" w:eastAsia="Times New Roman" w:hAnsiTheme="majorHAnsi" w:cstheme="majorHAnsi"/>
          <w:color w:val="000000"/>
          <w:kern w:val="0"/>
          <w:sz w:val="24"/>
          <w:szCs w:val="24"/>
          <w14:ligatures w14:val="none"/>
        </w:rPr>
        <w:t xml:space="preserve">)) </w:t>
      </w:r>
      <w:r w:rsidR="00CD0F4F">
        <w:rPr>
          <w:rFonts w:asciiTheme="majorHAnsi" w:eastAsia="Times New Roman" w:hAnsiTheme="majorHAnsi" w:cstheme="majorHAnsi"/>
          <w:color w:val="000000"/>
          <w:kern w:val="0"/>
          <w:sz w:val="24"/>
          <w:szCs w:val="24"/>
          <w:u w:val="single"/>
          <w14:ligatures w14:val="none"/>
        </w:rPr>
        <w:t>107.3.5</w:t>
      </w:r>
      <w:r w:rsidRPr="00BF7367">
        <w:rPr>
          <w:rFonts w:asciiTheme="majorHAnsi" w:eastAsia="Times New Roman" w:hAnsiTheme="majorHAnsi" w:cstheme="majorHAnsi"/>
          <w:color w:val="000000"/>
          <w:kern w:val="0"/>
          <w:sz w:val="24"/>
          <w:szCs w:val="24"/>
          <w14:ligatures w14:val="none"/>
        </w:rPr>
        <w:t xml:space="preserve"> must, within the time specified by the building official, remove all work which does not receive the required permit or approval or which does not comply with the terms of a permit or approval which is obtained.  The applicant must also restore the building and site to a condition satisfactory to the building official and perform whatever additional correction work is deemed necessary by the building official.</w:t>
      </w:r>
    </w:p>
    <w:p w14:paraId="11211C2A" w14:textId="5440A2D7" w:rsidR="00F90B48" w:rsidRPr="006B4A66" w:rsidRDefault="00F90B4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10.</w:t>
      </w:r>
      <w:r w:rsidRPr="006B4A66">
        <w:rPr>
          <w:rFonts w:ascii="Times New Roman" w:eastAsia="Times New Roman" w:hAnsi="Times New Roman" w:cs="Times New Roman"/>
          <w:color w:val="000000"/>
          <w:kern w:val="0"/>
          <w:sz w:val="24"/>
          <w:szCs w:val="24"/>
          <w14:ligatures w14:val="none"/>
        </w:rPr>
        <w:t xml:space="preserve">  Ordinance 12560, Section 2</w:t>
      </w:r>
      <w:r w:rsidR="00DB0839">
        <w:rPr>
          <w:rFonts w:ascii="Times New Roman" w:eastAsia="Times New Roman" w:hAnsi="Times New Roman" w:cs="Times New Roman"/>
          <w:color w:val="000000"/>
          <w:kern w:val="0"/>
          <w:sz w:val="24"/>
          <w:szCs w:val="24"/>
          <w14:ligatures w14:val="none"/>
        </w:rPr>
        <w:t>2</w:t>
      </w:r>
      <w:r w:rsidRPr="006B4A66">
        <w:rPr>
          <w:rFonts w:ascii="Times New Roman" w:eastAsia="Times New Roman" w:hAnsi="Times New Roman" w:cs="Times New Roman"/>
          <w:color w:val="000000"/>
          <w:kern w:val="0"/>
          <w:sz w:val="24"/>
          <w:szCs w:val="24"/>
          <w14:ligatures w14:val="none"/>
        </w:rPr>
        <w:t>, as amended, and K.C.C. 16.02.</w:t>
      </w:r>
      <w:r w:rsidR="007208D3">
        <w:rPr>
          <w:rFonts w:ascii="Times New Roman" w:eastAsia="Times New Roman" w:hAnsi="Times New Roman" w:cs="Times New Roman"/>
          <w:color w:val="000000"/>
          <w:kern w:val="0"/>
          <w:sz w:val="24"/>
          <w:szCs w:val="24"/>
          <w14:ligatures w14:val="none"/>
        </w:rPr>
        <w:t>36</w:t>
      </w:r>
      <w:r w:rsidRPr="006B4A66">
        <w:rPr>
          <w:rFonts w:ascii="Times New Roman" w:eastAsia="Times New Roman" w:hAnsi="Times New Roman" w:cs="Times New Roman"/>
          <w:color w:val="000000"/>
          <w:kern w:val="0"/>
          <w:sz w:val="24"/>
          <w:szCs w:val="24"/>
          <w14:ligatures w14:val="none"/>
        </w:rPr>
        <w:t>0 are hereby amended to read as follows:</w:t>
      </w:r>
    </w:p>
    <w:p w14:paraId="69DE1F2A" w14:textId="4B7EFBAF" w:rsidR="00BF7367" w:rsidRPr="00BF7367" w:rsidRDefault="00F90B48" w:rsidP="0073496A">
      <w:pPr>
        <w:spacing w:after="0" w:line="480" w:lineRule="auto"/>
        <w:jc w:val="both"/>
        <w:rPr>
          <w:rFonts w:asciiTheme="majorHAnsi" w:eastAsia="Times New Roman" w:hAnsiTheme="majorHAnsi" w:cstheme="majorHAnsi"/>
          <w:color w:val="000000"/>
          <w:kern w:val="0"/>
          <w:sz w:val="20"/>
          <w:szCs w:val="20"/>
          <w14:ligatures w14:val="none"/>
        </w:rPr>
      </w:pPr>
      <w:r w:rsidRPr="006B4A66">
        <w:rPr>
          <w:rFonts w:ascii="Times New Roman" w:eastAsia="Times New Roman" w:hAnsi="Times New Roman" w:cs="Times New Roman"/>
          <w:color w:val="000000"/>
          <w:kern w:val="0"/>
          <w:sz w:val="24"/>
          <w:szCs w:val="24"/>
          <w14:ligatures w14:val="none"/>
        </w:rPr>
        <w:tab/>
      </w:r>
      <w:r w:rsidR="00BF7367" w:rsidRPr="00BF7367">
        <w:rPr>
          <w:rFonts w:asciiTheme="majorHAnsi" w:eastAsia="Times New Roman" w:hAnsiTheme="majorHAnsi" w:cstheme="majorHAnsi"/>
          <w:color w:val="000000"/>
          <w:kern w:val="0"/>
          <w:sz w:val="24"/>
          <w:szCs w:val="24"/>
          <w14:ligatures w14:val="none"/>
        </w:rPr>
        <w:t>Section 107.3</w:t>
      </w:r>
      <w:r w:rsidR="00217927">
        <w:rPr>
          <w:rFonts w:asciiTheme="majorHAnsi" w:eastAsia="Times New Roman" w:hAnsiTheme="majorHAnsi" w:cstheme="majorHAnsi"/>
          <w:color w:val="000000"/>
          <w:kern w:val="0"/>
          <w:sz w:val="24"/>
          <w:szCs w:val="24"/>
          <w14:ligatures w14:val="none"/>
        </w:rPr>
        <w:t>((</w:t>
      </w:r>
      <w:r w:rsidR="00BF7367" w:rsidRPr="001216D4">
        <w:rPr>
          <w:rFonts w:asciiTheme="majorHAnsi" w:eastAsia="Times New Roman" w:hAnsiTheme="majorHAnsi" w:cstheme="majorHAnsi"/>
          <w:strike/>
          <w:color w:val="000000"/>
          <w:kern w:val="0"/>
          <w:sz w:val="24"/>
          <w:szCs w:val="24"/>
          <w14:ligatures w14:val="none"/>
        </w:rPr>
        <w:t>.3</w:t>
      </w:r>
      <w:r w:rsidR="00217927">
        <w:rPr>
          <w:rFonts w:asciiTheme="majorHAnsi" w:eastAsia="Times New Roman" w:hAnsiTheme="majorHAnsi" w:cstheme="majorHAnsi"/>
          <w:color w:val="000000"/>
          <w:kern w:val="0"/>
          <w:sz w:val="24"/>
          <w:szCs w:val="24"/>
          <w14:ligatures w14:val="none"/>
        </w:rPr>
        <w:t>))</w:t>
      </w:r>
      <w:r w:rsidR="00BF7367" w:rsidRPr="00BF7367">
        <w:rPr>
          <w:rFonts w:asciiTheme="majorHAnsi" w:eastAsia="Times New Roman" w:hAnsiTheme="majorHAnsi" w:cstheme="majorHAnsi"/>
          <w:color w:val="000000"/>
          <w:kern w:val="0"/>
          <w:sz w:val="24"/>
          <w:szCs w:val="24"/>
          <w14:ligatures w14:val="none"/>
        </w:rPr>
        <w:t xml:space="preserve"> of the International Building Code is supplemented with the following:</w:t>
      </w:r>
    </w:p>
    <w:p w14:paraId="24928925" w14:textId="31135CBA" w:rsidR="00BF7367" w:rsidRPr="006B4A66" w:rsidRDefault="00217927"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00BF7367" w:rsidRPr="00BF7367">
        <w:rPr>
          <w:rFonts w:asciiTheme="majorHAnsi" w:eastAsia="Times New Roman" w:hAnsiTheme="majorHAnsi" w:cstheme="majorHAnsi"/>
          <w:b/>
          <w:bCs/>
          <w:color w:val="000000"/>
          <w:kern w:val="0"/>
          <w:sz w:val="24"/>
          <w:szCs w:val="24"/>
          <w14:ligatures w14:val="none"/>
        </w:rPr>
        <w:t xml:space="preserve">Pre-issuance construction authorization (PICA) - Enforcement (IBC </w:t>
      </w:r>
      <w:r>
        <w:rPr>
          <w:rFonts w:asciiTheme="majorHAnsi" w:eastAsia="Times New Roman" w:hAnsiTheme="majorHAnsi" w:cstheme="majorHAnsi"/>
          <w:b/>
          <w:bCs/>
          <w:color w:val="000000"/>
          <w:kern w:val="0"/>
          <w:sz w:val="24"/>
          <w:szCs w:val="24"/>
          <w14:ligatures w14:val="none"/>
        </w:rPr>
        <w:t>((</w:t>
      </w:r>
      <w:r w:rsidR="00BF7367" w:rsidRPr="001216D4">
        <w:rPr>
          <w:rFonts w:asciiTheme="majorHAnsi" w:eastAsia="Times New Roman" w:hAnsiTheme="majorHAnsi" w:cstheme="majorHAnsi"/>
          <w:b/>
          <w:bCs/>
          <w:strike/>
          <w:color w:val="000000"/>
          <w:kern w:val="0"/>
          <w:sz w:val="24"/>
          <w:szCs w:val="24"/>
          <w14:ligatures w14:val="none"/>
        </w:rPr>
        <w:t>107.3.3.2</w:t>
      </w:r>
      <w:r>
        <w:rPr>
          <w:rFonts w:asciiTheme="majorHAnsi" w:eastAsia="Times New Roman" w:hAnsiTheme="majorHAnsi" w:cstheme="majorHAnsi"/>
          <w:b/>
          <w:bCs/>
          <w:color w:val="000000"/>
          <w:kern w:val="0"/>
          <w:sz w:val="24"/>
          <w:szCs w:val="24"/>
          <w14:ligatures w14:val="none"/>
        </w:rPr>
        <w:t xml:space="preserve">)) </w:t>
      </w:r>
      <w:r>
        <w:rPr>
          <w:rFonts w:asciiTheme="majorHAnsi" w:eastAsia="Times New Roman" w:hAnsiTheme="majorHAnsi" w:cstheme="majorHAnsi"/>
          <w:b/>
          <w:bCs/>
          <w:color w:val="000000"/>
          <w:kern w:val="0"/>
          <w:sz w:val="24"/>
          <w:szCs w:val="24"/>
          <w:u w:val="single"/>
          <w14:ligatures w14:val="none"/>
        </w:rPr>
        <w:t>107.3.5.2</w:t>
      </w:r>
      <w:r w:rsidR="00BF7367" w:rsidRPr="00BF7367">
        <w:rPr>
          <w:rFonts w:asciiTheme="majorHAnsi" w:eastAsia="Times New Roman" w:hAnsiTheme="majorHAnsi" w:cstheme="majorHAnsi"/>
          <w:b/>
          <w:bCs/>
          <w:color w:val="000000"/>
          <w:kern w:val="0"/>
          <w:sz w:val="24"/>
          <w:szCs w:val="24"/>
          <w14:ligatures w14:val="none"/>
        </w:rPr>
        <w:t>).</w:t>
      </w:r>
      <w:r w:rsidR="00D74F0A">
        <w:rPr>
          <w:rFonts w:asciiTheme="majorHAnsi" w:eastAsia="Times New Roman" w:hAnsiTheme="majorHAnsi" w:cstheme="majorHAnsi"/>
          <w:color w:val="000000"/>
          <w:kern w:val="0"/>
          <w:sz w:val="24"/>
          <w:szCs w:val="24"/>
          <w14:ligatures w14:val="none"/>
        </w:rPr>
        <w:t xml:space="preserve"> </w:t>
      </w:r>
      <w:r w:rsidR="00BF7367" w:rsidRPr="00BF7367">
        <w:rPr>
          <w:rFonts w:asciiTheme="majorHAnsi" w:eastAsia="Times New Roman" w:hAnsiTheme="majorHAnsi" w:cstheme="majorHAnsi"/>
          <w:color w:val="000000"/>
          <w:kern w:val="0"/>
          <w:sz w:val="24"/>
          <w:szCs w:val="24"/>
          <w14:ligatures w14:val="none"/>
        </w:rPr>
        <w:t xml:space="preserve"> If an applicant fails to comply with the requirements of Section </w:t>
      </w:r>
      <w:r w:rsidR="00DE2E8E">
        <w:rPr>
          <w:rFonts w:asciiTheme="majorHAnsi" w:eastAsia="Times New Roman" w:hAnsiTheme="majorHAnsi" w:cstheme="majorHAnsi"/>
          <w:color w:val="000000"/>
          <w:kern w:val="0"/>
          <w:sz w:val="24"/>
          <w:szCs w:val="24"/>
          <w14:ligatures w14:val="none"/>
        </w:rPr>
        <w:t>((</w:t>
      </w:r>
      <w:r w:rsidR="00BF7367" w:rsidRPr="001216D4">
        <w:rPr>
          <w:rFonts w:asciiTheme="majorHAnsi" w:eastAsia="Times New Roman" w:hAnsiTheme="majorHAnsi" w:cstheme="majorHAnsi"/>
          <w:strike/>
          <w:color w:val="000000"/>
          <w:kern w:val="0"/>
          <w:sz w:val="24"/>
          <w:szCs w:val="24"/>
          <w14:ligatures w14:val="none"/>
        </w:rPr>
        <w:t>107.3.3.2</w:t>
      </w:r>
      <w:r w:rsidR="00DE2E8E">
        <w:rPr>
          <w:rFonts w:asciiTheme="majorHAnsi" w:eastAsia="Times New Roman" w:hAnsiTheme="majorHAnsi" w:cstheme="majorHAnsi"/>
          <w:color w:val="000000"/>
          <w:kern w:val="0"/>
          <w:sz w:val="24"/>
          <w:szCs w:val="24"/>
          <w14:ligatures w14:val="none"/>
        </w:rPr>
        <w:t xml:space="preserve">)) </w:t>
      </w:r>
      <w:r w:rsidR="00DE2E8E">
        <w:rPr>
          <w:rFonts w:asciiTheme="majorHAnsi" w:eastAsia="Times New Roman" w:hAnsiTheme="majorHAnsi" w:cstheme="majorHAnsi"/>
          <w:color w:val="000000"/>
          <w:kern w:val="0"/>
          <w:sz w:val="24"/>
          <w:szCs w:val="24"/>
          <w:u w:val="single"/>
          <w14:ligatures w14:val="none"/>
        </w:rPr>
        <w:t>107.3.5.1</w:t>
      </w:r>
      <w:r w:rsidR="00BF7367" w:rsidRPr="00BF7367">
        <w:rPr>
          <w:rFonts w:asciiTheme="majorHAnsi" w:eastAsia="Times New Roman" w:hAnsiTheme="majorHAnsi" w:cstheme="majorHAnsi"/>
          <w:color w:val="000000"/>
          <w:kern w:val="0"/>
          <w:sz w:val="24"/>
          <w:szCs w:val="24"/>
          <w14:ligatures w14:val="none"/>
        </w:rPr>
        <w:t>, the building official may employ the code enforcement procedures set forth in K.C.C. Title 23 and may, in addition, obtain the funds on deposit and apply them towards removal of the unpermitted work, restoration of the building and site, and performance of whatever additional corrective work is deemed necessary by the building official.  In the event the applicant obtains the necessary permits or approvals or performs the corrective work to the satisfaction of the building official, the funds or deposit shall be released to the applicant.</w:t>
      </w:r>
    </w:p>
    <w:p w14:paraId="6481E7C9" w14:textId="1E3C8AF2"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11.</w:t>
      </w:r>
      <w:r w:rsidRPr="006B4A66">
        <w:rPr>
          <w:rFonts w:ascii="Times New Roman" w:eastAsia="Times New Roman" w:hAnsi="Times New Roman" w:cs="Times New Roman"/>
          <w:color w:val="000000"/>
          <w:kern w:val="0"/>
          <w:sz w:val="24"/>
          <w:szCs w:val="24"/>
          <w14:ligatures w14:val="none"/>
        </w:rPr>
        <w:t xml:space="preserve">  Ordinance 14914, Section 57, as amended, and K.C.C. 16.02.440 are hereby amended to read as follows:</w:t>
      </w:r>
    </w:p>
    <w:p w14:paraId="66A5F707"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lastRenderedPageBreak/>
        <w:tab/>
        <w:t>Section ((</w:t>
      </w:r>
      <w:r w:rsidRPr="006B4A66">
        <w:rPr>
          <w:rFonts w:ascii="Times New Roman" w:eastAsia="Times New Roman" w:hAnsi="Times New Roman" w:cs="Times New Roman"/>
          <w:strike/>
          <w:color w:val="000000"/>
          <w:kern w:val="0"/>
          <w:sz w:val="24"/>
          <w:szCs w:val="24"/>
          <w14:ligatures w14:val="none"/>
        </w:rPr>
        <w:t>110.3.8</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110.3.9</w:t>
      </w:r>
      <w:r w:rsidRPr="006B4A66">
        <w:rPr>
          <w:rFonts w:ascii="Times New Roman" w:eastAsia="Times New Roman" w:hAnsi="Times New Roman" w:cs="Times New Roman"/>
          <w:color w:val="000000"/>
          <w:kern w:val="0"/>
          <w:sz w:val="24"/>
          <w:szCs w:val="24"/>
          <w14:ligatures w14:val="none"/>
        </w:rPr>
        <w:t xml:space="preserve"> of the International Building Code is not adopted and the following is substituted:</w:t>
      </w:r>
    </w:p>
    <w:p w14:paraId="0802C37A" w14:textId="2313C516"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b/>
          <w:color w:val="000000"/>
          <w:kern w:val="0"/>
          <w:sz w:val="24"/>
          <w:szCs w:val="24"/>
          <w14:ligatures w14:val="none"/>
        </w:rPr>
        <w:t>Energy efficiency inspections (IBC ((</w:t>
      </w:r>
      <w:r w:rsidRPr="006B4A66">
        <w:rPr>
          <w:rFonts w:ascii="Times New Roman" w:eastAsia="Times New Roman" w:hAnsi="Times New Roman" w:cs="Times New Roman"/>
          <w:b/>
          <w:strike/>
          <w:color w:val="000000"/>
          <w:kern w:val="0"/>
          <w:sz w:val="24"/>
          <w:szCs w:val="24"/>
          <w14:ligatures w14:val="none"/>
        </w:rPr>
        <w:t>110.3.8</w:t>
      </w:r>
      <w:r w:rsidRPr="006B4A66">
        <w:rPr>
          <w:rFonts w:ascii="Times New Roman" w:eastAsia="Times New Roman" w:hAnsi="Times New Roman" w:cs="Times New Roman"/>
          <w:b/>
          <w:color w:val="000000"/>
          <w:kern w:val="0"/>
          <w:sz w:val="24"/>
          <w:szCs w:val="24"/>
          <w14:ligatures w14:val="none"/>
        </w:rPr>
        <w:t xml:space="preserve">)) </w:t>
      </w:r>
      <w:r w:rsidRPr="006B4A66">
        <w:rPr>
          <w:rFonts w:ascii="Times New Roman" w:eastAsia="Times New Roman" w:hAnsi="Times New Roman" w:cs="Times New Roman"/>
          <w:b/>
          <w:color w:val="000000"/>
          <w:kern w:val="0"/>
          <w:sz w:val="24"/>
          <w:szCs w:val="24"/>
          <w:u w:val="single"/>
          <w14:ligatures w14:val="none"/>
        </w:rPr>
        <w:t>110.3.9</w:t>
      </w:r>
      <w:r w:rsidRPr="006B4A66">
        <w:rPr>
          <w:rFonts w:ascii="Times New Roman" w:eastAsia="Times New Roman" w:hAnsi="Times New Roman" w:cs="Times New Roman"/>
          <w:b/>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xml:space="preserve">  Energy efficiency inspections shall be in accordance with the ((</w:t>
      </w:r>
      <w:r w:rsidRPr="006B4A66">
        <w:rPr>
          <w:rFonts w:ascii="Times New Roman" w:eastAsia="Times New Roman" w:hAnsi="Times New Roman" w:cs="Times New Roman"/>
          <w:strike/>
          <w:color w:val="000000"/>
          <w:kern w:val="0"/>
          <w:sz w:val="24"/>
          <w:szCs w:val="24"/>
          <w14:ligatures w14:val="none"/>
        </w:rPr>
        <w:t>International Energy Conservation</w:t>
      </w:r>
      <w:r w:rsidRPr="001216D4">
        <w:rPr>
          <w:rFonts w:ascii="Times New Roman" w:eastAsia="Times New Roman" w:hAnsi="Times New Roman" w:cs="Times New Roman"/>
          <w:strike/>
          <w:color w:val="000000"/>
          <w:kern w:val="0"/>
          <w:sz w:val="24"/>
          <w:szCs w:val="24"/>
          <w14:ligatures w14:val="none"/>
        </w:rPr>
        <w:t>, as adopted and amended by chapters 51-11C and 51-11R WAC,</w:t>
      </w:r>
      <w:r w:rsidR="006D141E">
        <w:rPr>
          <w:rFonts w:ascii="Times New Roman" w:eastAsia="Times New Roman" w:hAnsi="Times New Roman" w:cs="Times New Roman"/>
          <w:color w:val="000000"/>
          <w:kern w:val="0"/>
          <w:sz w:val="24"/>
          <w:szCs w:val="24"/>
          <w14:ligatures w14:val="none"/>
        </w:rPr>
        <w:t>))</w:t>
      </w:r>
      <w:r w:rsidR="00425F02">
        <w:rPr>
          <w:rFonts w:ascii="Times New Roman" w:eastAsia="Times New Roman" w:hAnsi="Times New Roman" w:cs="Times New Roman"/>
          <w:color w:val="000000"/>
          <w:kern w:val="0"/>
          <w:sz w:val="24"/>
          <w:szCs w:val="24"/>
          <w14:ligatures w14:val="none"/>
        </w:rPr>
        <w:t xml:space="preserve"> </w:t>
      </w:r>
      <w:r w:rsidR="00425F02" w:rsidRPr="006B4A66">
        <w:rPr>
          <w:rFonts w:ascii="Times New Roman" w:eastAsia="Times New Roman" w:hAnsi="Times New Roman" w:cs="Times New Roman"/>
          <w:color w:val="000000"/>
          <w:kern w:val="0"/>
          <w:sz w:val="24"/>
          <w:szCs w:val="24"/>
          <w:u w:val="single"/>
          <w14:ligatures w14:val="none"/>
        </w:rPr>
        <w:t>Washington State Energy</w:t>
      </w:r>
      <w:r w:rsidR="00425F02" w:rsidRPr="006B4A66">
        <w:rPr>
          <w:rFonts w:ascii="Times New Roman" w:eastAsia="Times New Roman" w:hAnsi="Times New Roman" w:cs="Times New Roman"/>
          <w:color w:val="000000"/>
          <w:kern w:val="0"/>
          <w:sz w:val="24"/>
          <w:szCs w:val="24"/>
          <w14:ligatures w14:val="none"/>
        </w:rPr>
        <w:t xml:space="preserve"> Code</w:t>
      </w:r>
      <w:r w:rsidRPr="006B4A66">
        <w:rPr>
          <w:rFonts w:ascii="Times New Roman" w:eastAsia="Times New Roman" w:hAnsi="Times New Roman" w:cs="Times New Roman"/>
          <w:color w:val="000000"/>
          <w:kern w:val="0"/>
          <w:sz w:val="24"/>
          <w:szCs w:val="24"/>
          <w14:ligatures w14:val="none"/>
        </w:rPr>
        <w:t xml:space="preserve"> and as amended in this title.</w:t>
      </w:r>
    </w:p>
    <w:p w14:paraId="6D11E36D" w14:textId="6AF60BFA"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12.</w:t>
      </w:r>
      <w:r w:rsidRPr="006B4A66">
        <w:rPr>
          <w:rFonts w:ascii="Times New Roman" w:eastAsia="Times New Roman" w:hAnsi="Times New Roman" w:cs="Times New Roman"/>
          <w:color w:val="000000"/>
          <w:kern w:val="0"/>
          <w:sz w:val="24"/>
          <w:szCs w:val="24"/>
          <w14:ligatures w14:val="none"/>
        </w:rPr>
        <w:t xml:space="preserve">  Ordinance 12560, Section 30, as amended, and K.C.C. 16.02.470 are hereby amended to read as follows:</w:t>
      </w:r>
    </w:p>
    <w:p w14:paraId="624ED112"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Section 111.2 of the International Building Code is not adopted and the following is substituted:</w:t>
      </w:r>
    </w:p>
    <w:p w14:paraId="04B77EC7"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b/>
          <w:bCs/>
          <w:color w:val="000000"/>
          <w:kern w:val="0"/>
          <w:sz w:val="24"/>
          <w:szCs w:val="24"/>
          <w14:ligatures w14:val="none"/>
        </w:rPr>
        <w:t>Certificate((</w:t>
      </w:r>
      <w:r w:rsidRPr="006B4A66">
        <w:rPr>
          <w:rFonts w:ascii="Times New Roman" w:eastAsia="Times New Roman" w:hAnsi="Times New Roman" w:cs="Times New Roman"/>
          <w:b/>
          <w:bCs/>
          <w:strike/>
          <w:color w:val="000000"/>
          <w:kern w:val="0"/>
          <w:sz w:val="24"/>
          <w:szCs w:val="24"/>
          <w14:ligatures w14:val="none"/>
        </w:rPr>
        <w:t>s</w:t>
      </w:r>
      <w:r w:rsidRPr="006B4A66">
        <w:rPr>
          <w:rFonts w:ascii="Times New Roman" w:eastAsia="Times New Roman" w:hAnsi="Times New Roman" w:cs="Times New Roman"/>
          <w:b/>
          <w:bCs/>
          <w:color w:val="000000"/>
          <w:kern w:val="0"/>
          <w:sz w:val="24"/>
          <w:szCs w:val="24"/>
          <w14:ligatures w14:val="none"/>
        </w:rPr>
        <w:t>)) issued (IBC 111.2).</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After</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strike/>
          <w:color w:val="000000"/>
          <w:kern w:val="0"/>
          <w:sz w:val="24"/>
          <w:szCs w:val="24"/>
          <w14:ligatures w14:val="none"/>
        </w:rPr>
        <w:t>T</w:t>
      </w:r>
      <w:r w:rsidRPr="006B4A66">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color w:val="000000"/>
          <w:kern w:val="0"/>
          <w:sz w:val="24"/>
          <w:szCs w:val="24"/>
          <w:u w:val="single"/>
          <w14:ligatures w14:val="none"/>
        </w:rPr>
        <w:t>t</w:t>
      </w:r>
      <w:r w:rsidRPr="006B4A66">
        <w:rPr>
          <w:rFonts w:ascii="Times New Roman" w:eastAsia="Times New Roman" w:hAnsi="Times New Roman" w:cs="Times New Roman"/>
          <w:color w:val="000000"/>
          <w:kern w:val="0"/>
          <w:sz w:val="24"/>
          <w:szCs w:val="24"/>
          <w14:ligatures w14:val="none"/>
        </w:rPr>
        <w:t xml:space="preserve">he building official </w:t>
      </w:r>
      <w:r w:rsidRPr="006B4A66">
        <w:rPr>
          <w:rFonts w:ascii="Times New Roman" w:eastAsia="Times New Roman" w:hAnsi="Times New Roman" w:cs="Times New Roman"/>
          <w:color w:val="000000"/>
          <w:kern w:val="0"/>
          <w:sz w:val="24"/>
          <w:szCs w:val="24"/>
          <w:u w:val="single"/>
          <w14:ligatures w14:val="none"/>
        </w:rPr>
        <w:t>inspects the building or structure and does not find violations of the provisions of this code or other laws that are enforced by the department, the building official shall</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strike/>
          <w:color w:val="000000"/>
          <w:kern w:val="0"/>
          <w:sz w:val="24"/>
          <w:szCs w:val="24"/>
          <w14:ligatures w14:val="none"/>
        </w:rPr>
        <w:t>may</w:t>
      </w:r>
      <w:r w:rsidRPr="006B4A66">
        <w:rPr>
          <w:rFonts w:ascii="Times New Roman" w:eastAsia="Times New Roman" w:hAnsi="Times New Roman" w:cs="Times New Roman"/>
          <w:color w:val="000000"/>
          <w:kern w:val="0"/>
          <w:sz w:val="24"/>
          <w:szCs w:val="24"/>
          <w14:ligatures w14:val="none"/>
        </w:rPr>
        <w:t>)) issue ((</w:t>
      </w:r>
      <w:r w:rsidRPr="006B4A66">
        <w:rPr>
          <w:rFonts w:ascii="Times New Roman" w:eastAsia="Times New Roman" w:hAnsi="Times New Roman" w:cs="Times New Roman"/>
          <w:strike/>
          <w:color w:val="000000"/>
          <w:kern w:val="0"/>
          <w:sz w:val="24"/>
          <w:szCs w:val="24"/>
          <w14:ligatures w14:val="none"/>
        </w:rPr>
        <w:t>either</w:t>
      </w:r>
      <w:r w:rsidRPr="006B4A66">
        <w:rPr>
          <w:rFonts w:ascii="Times New Roman" w:eastAsia="Times New Roman" w:hAnsi="Times New Roman" w:cs="Times New Roman"/>
          <w:color w:val="000000"/>
          <w:kern w:val="0"/>
          <w:sz w:val="24"/>
          <w:szCs w:val="24"/>
          <w14:ligatures w14:val="none"/>
        </w:rPr>
        <w:t>)) a certificate of occupancy ((</w:t>
      </w:r>
      <w:r w:rsidRPr="006B4A66">
        <w:rPr>
          <w:rFonts w:ascii="Times New Roman" w:eastAsia="Times New Roman" w:hAnsi="Times New Roman" w:cs="Times New Roman"/>
          <w:strike/>
          <w:color w:val="000000"/>
          <w:kern w:val="0"/>
          <w:sz w:val="24"/>
          <w:szCs w:val="24"/>
          <w14:ligatures w14:val="none"/>
        </w:rPr>
        <w:t>or a certificate of shell completion.</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that contains the following:</w:t>
      </w:r>
    </w:p>
    <w:p w14:paraId="0E87469A" w14:textId="7C36598C"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1.  The permit number</w:t>
      </w:r>
      <w:r w:rsidR="0022583D">
        <w:rPr>
          <w:rFonts w:ascii="Times New Roman" w:eastAsia="Calibri" w:hAnsi="Times New Roman" w:cs="Times New Roman"/>
          <w:color w:val="000000"/>
          <w:kern w:val="0"/>
          <w:sz w:val="24"/>
          <w:u w:val="single"/>
          <w14:ligatures w14:val="none"/>
        </w:rPr>
        <w:t>;</w:t>
      </w:r>
    </w:p>
    <w:p w14:paraId="76AC3F29" w14:textId="4C164712"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2.  The address of the structure</w:t>
      </w:r>
      <w:r w:rsidR="0022583D">
        <w:rPr>
          <w:rFonts w:ascii="Times New Roman" w:eastAsia="Calibri" w:hAnsi="Times New Roman" w:cs="Times New Roman"/>
          <w:color w:val="000000"/>
          <w:kern w:val="0"/>
          <w:sz w:val="24"/>
          <w:u w:val="single"/>
          <w14:ligatures w14:val="none"/>
        </w:rPr>
        <w:t>;</w:t>
      </w:r>
    </w:p>
    <w:p w14:paraId="48FFF118" w14:textId="0DB15715"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3.  The name and address of the owner or the owner's authorized agent</w:t>
      </w:r>
      <w:r w:rsidR="0022583D">
        <w:rPr>
          <w:rFonts w:ascii="Times New Roman" w:eastAsia="Calibri" w:hAnsi="Times New Roman" w:cs="Times New Roman"/>
          <w:color w:val="000000"/>
          <w:kern w:val="0"/>
          <w:sz w:val="24"/>
          <w:u w:val="single"/>
          <w14:ligatures w14:val="none"/>
        </w:rPr>
        <w:t>;</w:t>
      </w:r>
    </w:p>
    <w:p w14:paraId="1DD10076" w14:textId="6766766D"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4.  A description of that portion of the structure for which the certificate is issued</w:t>
      </w:r>
      <w:r w:rsidR="0022583D">
        <w:rPr>
          <w:rFonts w:ascii="Times New Roman" w:eastAsia="Calibri" w:hAnsi="Times New Roman" w:cs="Times New Roman"/>
          <w:color w:val="000000"/>
          <w:kern w:val="0"/>
          <w:sz w:val="24"/>
          <w:u w:val="single"/>
          <w14:ligatures w14:val="none"/>
        </w:rPr>
        <w:t>;</w:t>
      </w:r>
    </w:p>
    <w:p w14:paraId="760B6111" w14:textId="60DA1D78" w:rsidR="006B4A66" w:rsidRPr="006B4A66" w:rsidRDefault="006B4A66" w:rsidP="0073496A">
      <w:pPr>
        <w:widowControl w:val="0"/>
        <w:tabs>
          <w:tab w:val="left" w:pos="720"/>
        </w:tabs>
        <w:autoSpaceDE w:val="0"/>
        <w:autoSpaceDN w:val="0"/>
        <w:adjustRightInd w:val="0"/>
        <w:spacing w:after="0" w:line="480" w:lineRule="auto"/>
        <w:contextualSpacing/>
        <w:rPr>
          <w:rFonts w:ascii="Times New Roman" w:eastAsia="Times New Roman" w:hAnsi="Times New Roman" w:cs="Times New Roman"/>
          <w:color w:val="000000"/>
          <w:kern w:val="0"/>
          <w:sz w:val="24"/>
          <w:szCs w:val="24"/>
          <w:u w:val="single"/>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5.  A statement that the described portion of the structure has been inspected for compliance with the requirements of this code</w:t>
      </w:r>
      <w:r w:rsidR="0022583D">
        <w:rPr>
          <w:rFonts w:ascii="Times New Roman" w:eastAsia="Times New Roman" w:hAnsi="Times New Roman" w:cs="Times New Roman"/>
          <w:color w:val="000000"/>
          <w:kern w:val="0"/>
          <w:sz w:val="24"/>
          <w:szCs w:val="24"/>
          <w:u w:val="single"/>
          <w14:ligatures w14:val="none"/>
        </w:rPr>
        <w:t>;</w:t>
      </w:r>
    </w:p>
    <w:p w14:paraId="2D97BDD7" w14:textId="2AA977AF"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6.  The name of the building official</w:t>
      </w:r>
      <w:r w:rsidR="0022583D">
        <w:rPr>
          <w:rFonts w:ascii="Times New Roman" w:eastAsia="Calibri" w:hAnsi="Times New Roman" w:cs="Times New Roman"/>
          <w:color w:val="000000"/>
          <w:kern w:val="0"/>
          <w:sz w:val="24"/>
          <w:u w:val="single"/>
          <w14:ligatures w14:val="none"/>
        </w:rPr>
        <w:t>;</w:t>
      </w:r>
    </w:p>
    <w:p w14:paraId="315AB3E7" w14:textId="42614E6A"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7.  The edition of the code under which the permit was issued</w:t>
      </w:r>
      <w:r w:rsidR="0022583D">
        <w:rPr>
          <w:rFonts w:ascii="Times New Roman" w:eastAsia="Calibri" w:hAnsi="Times New Roman" w:cs="Times New Roman"/>
          <w:color w:val="000000"/>
          <w:kern w:val="0"/>
          <w:sz w:val="24"/>
          <w:u w:val="single"/>
          <w14:ligatures w14:val="none"/>
        </w:rPr>
        <w:t>;</w:t>
      </w:r>
    </w:p>
    <w:p w14:paraId="7FB473BD" w14:textId="487CA1C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color w:val="000000"/>
          <w:kern w:val="0"/>
          <w:sz w:val="24"/>
          <w:u w:val="single"/>
          <w14:ligatures w14:val="none"/>
        </w:rPr>
        <w:t>8.  The use and occupancy, in accordance with IBC Chapter 3</w:t>
      </w:r>
      <w:r w:rsidR="0022583D">
        <w:rPr>
          <w:rFonts w:ascii="Times New Roman" w:eastAsia="Calibri" w:hAnsi="Times New Roman" w:cs="Times New Roman"/>
          <w:color w:val="000000"/>
          <w:kern w:val="0"/>
          <w:sz w:val="24"/>
          <w:u w:val="single"/>
          <w14:ligatures w14:val="none"/>
        </w:rPr>
        <w:t>;</w:t>
      </w:r>
    </w:p>
    <w:p w14:paraId="48C91D29" w14:textId="5E356019"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9.  The type of construction as defined in IBC Chapter 6</w:t>
      </w:r>
      <w:r w:rsidR="0022583D">
        <w:rPr>
          <w:rFonts w:ascii="Times New Roman" w:eastAsia="Calibri" w:hAnsi="Times New Roman" w:cs="Times New Roman"/>
          <w:color w:val="000000"/>
          <w:kern w:val="0"/>
          <w:sz w:val="24"/>
          <w:u w:val="single"/>
          <w14:ligatures w14:val="none"/>
        </w:rPr>
        <w:t>;</w:t>
      </w:r>
    </w:p>
    <w:p w14:paraId="66707F57" w14:textId="40B493AC"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10.  The design occupant load</w:t>
      </w:r>
      <w:r w:rsidR="0022583D">
        <w:rPr>
          <w:rFonts w:ascii="Times New Roman" w:eastAsia="Calibri" w:hAnsi="Times New Roman" w:cs="Times New Roman"/>
          <w:color w:val="000000"/>
          <w:kern w:val="0"/>
          <w:sz w:val="24"/>
          <w:u w:val="single"/>
          <w14:ligatures w14:val="none"/>
        </w:rPr>
        <w:t>;</w:t>
      </w:r>
    </w:p>
    <w:p w14:paraId="04D21775" w14:textId="6A91F93C" w:rsidR="006B4A66" w:rsidRPr="006B4A66" w:rsidRDefault="006B4A66" w:rsidP="0073496A">
      <w:pPr>
        <w:widowControl w:val="0"/>
        <w:tabs>
          <w:tab w:val="left" w:pos="720"/>
        </w:tabs>
        <w:autoSpaceDE w:val="0"/>
        <w:autoSpaceDN w:val="0"/>
        <w:adjustRightInd w:val="0"/>
        <w:spacing w:after="0" w:line="480" w:lineRule="auto"/>
        <w:contextualSpacing/>
        <w:rPr>
          <w:rFonts w:ascii="Times New Roman" w:eastAsia="Times New Roman" w:hAnsi="Times New Roman" w:cs="Times New Roman"/>
          <w:color w:val="000000"/>
          <w:kern w:val="0"/>
          <w:sz w:val="24"/>
          <w:szCs w:val="24"/>
          <w:u w:val="single"/>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11.  Where an automatic sprinkler system is provided, whether the sprinkler system is required</w:t>
      </w:r>
      <w:r w:rsidR="0022583D">
        <w:rPr>
          <w:rFonts w:ascii="Times New Roman" w:eastAsia="Times New Roman" w:hAnsi="Times New Roman" w:cs="Times New Roman"/>
          <w:color w:val="000000"/>
          <w:kern w:val="0"/>
          <w:sz w:val="24"/>
          <w:szCs w:val="24"/>
          <w:u w:val="single"/>
          <w14:ligatures w14:val="none"/>
        </w:rPr>
        <w:t>;</w:t>
      </w:r>
    </w:p>
    <w:p w14:paraId="0ADA97BC" w14:textId="7D136522"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12.  Any special stipulations and conditions of the building permit</w:t>
      </w:r>
      <w:r w:rsidR="0022583D">
        <w:rPr>
          <w:rFonts w:ascii="Times New Roman" w:eastAsia="Calibri" w:hAnsi="Times New Roman" w:cs="Times New Roman"/>
          <w:color w:val="000000"/>
          <w:kern w:val="0"/>
          <w:sz w:val="24"/>
          <w:u w:val="single"/>
          <w14:ligatures w14:val="none"/>
        </w:rPr>
        <w:t>; and</w:t>
      </w:r>
    </w:p>
    <w:p w14:paraId="7EFBAB8F" w14:textId="77777777" w:rsidR="006B4A66" w:rsidRPr="006B4A66" w:rsidRDefault="006B4A66" w:rsidP="0073496A">
      <w:pPr>
        <w:widowControl w:val="0"/>
        <w:tabs>
          <w:tab w:val="left" w:pos="720"/>
        </w:tabs>
        <w:autoSpaceDE w:val="0"/>
        <w:autoSpaceDN w:val="0"/>
        <w:adjustRightInd w:val="0"/>
        <w:spacing w:after="0" w:line="480" w:lineRule="auto"/>
        <w:contextualSpacing/>
        <w:rPr>
          <w:rFonts w:ascii="Times New Roman" w:eastAsia="Times New Roman" w:hAnsi="Times New Roman" w:cs="Times New Roman"/>
          <w:color w:val="000000"/>
          <w:kern w:val="0"/>
          <w:sz w:val="24"/>
          <w:szCs w:val="24"/>
          <w:u w:val="single"/>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13.  An explanation that the responsibility for compliance with King County codes and building maintenance rests exclusively with the permit applicants and their agents and the building's owners.</w:t>
      </w:r>
    </w:p>
    <w:p w14:paraId="17F189DC" w14:textId="77777777" w:rsidR="006B4A66" w:rsidRPr="006B4A66" w:rsidRDefault="006B4A66" w:rsidP="0073496A">
      <w:pPr>
        <w:widowControl w:val="0"/>
        <w:tabs>
          <w:tab w:val="left" w:pos="720"/>
        </w:tabs>
        <w:autoSpaceDE w:val="0"/>
        <w:autoSpaceDN w:val="0"/>
        <w:adjustRightInd w:val="0"/>
        <w:spacing w:after="0" w:line="480" w:lineRule="auto"/>
        <w:contextualSpacing/>
        <w:rPr>
          <w:rFonts w:ascii="Times New Roman" w:eastAsia="Times New Roman" w:hAnsi="Times New Roman" w:cs="Times New Roman"/>
          <w:color w:val="000000"/>
          <w:kern w:val="0"/>
          <w:sz w:val="24"/>
          <w:szCs w:val="24"/>
          <w:u w:val="single"/>
          <w14:ligatures w14:val="none"/>
        </w:rPr>
      </w:pPr>
      <w:r w:rsidRPr="006B4A66">
        <w:rPr>
          <w:rFonts w:ascii="Times New Roman" w:eastAsia="Yu Mincho" w:hAnsi="Times New Roman" w:cs="Times New Roman"/>
          <w:color w:val="000000"/>
          <w:kern w:val="0"/>
          <w:sz w:val="24"/>
          <w:szCs w:val="24"/>
          <w14:ligatures w14:val="none"/>
        </w:rPr>
        <w:tab/>
      </w:r>
      <w:r w:rsidRPr="006B4A66">
        <w:rPr>
          <w:rFonts w:ascii="Times New Roman" w:eastAsia="Yu Mincho" w:hAnsi="Times New Roman" w:cs="Times New Roman"/>
          <w:color w:val="000000"/>
          <w:kern w:val="0"/>
          <w:sz w:val="24"/>
          <w:szCs w:val="24"/>
          <w:u w:val="single"/>
          <w14:ligatures w14:val="none"/>
        </w:rPr>
        <w:t>EXCEPTION:</w:t>
      </w:r>
      <w:r w:rsidRPr="006B4A66">
        <w:rPr>
          <w:rFonts w:ascii="Times New Roman" w:eastAsia="Yu Mincho" w:hAnsi="Times New Roman" w:cs="Times New Roman"/>
          <w:color w:val="000000"/>
          <w:kern w:val="0"/>
          <w:sz w:val="24"/>
          <w:szCs w:val="24"/>
          <w14:ligatures w14:val="none"/>
        </w:rPr>
        <w:t xml:space="preserve">  The inspection record card specified in K.C.C. 16.02.410 shall serve as the certificate of occupancy for structures built under the International Residential Code.</w:t>
      </w:r>
    </w:p>
    <w:p w14:paraId="2842689B" w14:textId="6C1BD098"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13.</w:t>
      </w:r>
      <w:r w:rsidRPr="006B4A66">
        <w:rPr>
          <w:rFonts w:ascii="Times New Roman" w:eastAsia="Times New Roman" w:hAnsi="Times New Roman" w:cs="Times New Roman"/>
          <w:color w:val="000000"/>
          <w:kern w:val="0"/>
          <w:sz w:val="24"/>
          <w:szCs w:val="24"/>
          <w14:ligatures w14:val="none"/>
        </w:rPr>
        <w:t xml:space="preserve">  Ordinance 12560, Section 36, as amended, and K.C.C. 16.02.540 are hereby amended to read as follows:</w:t>
      </w:r>
    </w:p>
    <w:p w14:paraId="16B3D82E"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Section 111 of the International Building Code is supplemented with the following:</w:t>
      </w:r>
    </w:p>
    <w:p w14:paraId="0C791656"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b/>
          <w:bCs/>
          <w:color w:val="000000"/>
          <w:kern w:val="0"/>
          <w:sz w:val="24"/>
          <w:szCs w:val="24"/>
          <w14:ligatures w14:val="none"/>
        </w:rPr>
        <w:t>Posting (IBC 111.5).</w:t>
      </w:r>
      <w:r w:rsidRPr="006B4A66">
        <w:rPr>
          <w:rFonts w:ascii="Times New Roman" w:eastAsia="Times New Roman" w:hAnsi="Times New Roman" w:cs="Times New Roman"/>
          <w:color w:val="000000"/>
          <w:kern w:val="0"/>
          <w:sz w:val="24"/>
          <w:szCs w:val="24"/>
          <w14:ligatures w14:val="none"/>
        </w:rPr>
        <w:t xml:space="preserve">  The certificate of occupancy ((</w:t>
      </w:r>
      <w:r w:rsidRPr="006B4A66">
        <w:rPr>
          <w:rFonts w:ascii="Times New Roman" w:eastAsia="Times New Roman" w:hAnsi="Times New Roman" w:cs="Times New Roman"/>
          <w:strike/>
          <w:color w:val="000000"/>
          <w:kern w:val="0"/>
          <w:sz w:val="24"/>
          <w:szCs w:val="24"/>
          <w14:ligatures w14:val="none"/>
        </w:rPr>
        <w:t>and/or the certificate of shell completion</w:t>
      </w:r>
      <w:r w:rsidRPr="006B4A66">
        <w:rPr>
          <w:rFonts w:ascii="Times New Roman" w:eastAsia="Times New Roman" w:hAnsi="Times New Roman" w:cs="Times New Roman"/>
          <w:color w:val="000000"/>
          <w:kern w:val="0"/>
          <w:sz w:val="24"/>
          <w:szCs w:val="24"/>
          <w14:ligatures w14:val="none"/>
        </w:rPr>
        <w:t>)) shall be posted in a conspicuous place on the premises and shall not be removed except by the building official.</w:t>
      </w:r>
    </w:p>
    <w:p w14:paraId="1C5A8882" w14:textId="021E522E"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14.</w:t>
      </w:r>
      <w:r w:rsidRPr="006B4A66">
        <w:rPr>
          <w:rFonts w:ascii="Times New Roman" w:eastAsia="Times New Roman" w:hAnsi="Times New Roman" w:cs="Times New Roman"/>
          <w:color w:val="000000"/>
          <w:kern w:val="0"/>
          <w:sz w:val="24"/>
          <w:szCs w:val="24"/>
          <w14:ligatures w14:val="none"/>
        </w:rPr>
        <w:t xml:space="preserve">  Ordinance 14914 Section 90, as amended, and K.C.C. 16.03.020 are hereby amended to read as follows:</w:t>
      </w:r>
    </w:p>
    <w:p w14:paraId="58339D98"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The following definitions in Section 202 of the International Building Code are not adopted:</w:t>
      </w:r>
    </w:p>
    <w:p w14:paraId="4F31BD2A"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lastRenderedPageBreak/>
        <w:tab/>
        <w:t>A.  Base flood;</w:t>
      </w:r>
    </w:p>
    <w:p w14:paraId="4232D225"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u w:val="single"/>
          <w14:ligatures w14:val="none"/>
        </w:rPr>
      </w:pPr>
      <w:r w:rsidRPr="006B4A66">
        <w:rPr>
          <w:rFonts w:ascii="Times New Roman" w:eastAsia="Times New Roman" w:hAnsi="Times New Roman" w:cs="Times New Roman"/>
          <w:color w:val="000000"/>
          <w:kern w:val="0"/>
          <w:sz w:val="24"/>
          <w:szCs w:val="24"/>
          <w14:ligatures w14:val="none"/>
        </w:rPr>
        <w:tab/>
        <w:t>B.  Base flood elevation</w:t>
      </w:r>
      <w:r w:rsidRPr="006B4A66">
        <w:rPr>
          <w:rFonts w:ascii="Times New Roman" w:eastAsia="Times New Roman" w:hAnsi="Times New Roman" w:cs="Times New Roman"/>
          <w:color w:val="000000"/>
          <w:kern w:val="0"/>
          <w:sz w:val="24"/>
          <w:szCs w:val="24"/>
          <w:u w:val="single"/>
          <w14:ligatures w14:val="none"/>
        </w:rPr>
        <w:t>;</w:t>
      </w:r>
    </w:p>
    <w:p w14:paraId="32B49FC5"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C.  Coastal high-hazard area;</w:t>
      </w:r>
    </w:p>
    <w:p w14:paraId="56622999"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D.  Design flood;</w:t>
      </w:r>
    </w:p>
    <w:p w14:paraId="0EE2B50B"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E.  Dry floodproofing;</w:t>
      </w:r>
    </w:p>
    <w:p w14:paraId="2A480E09"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F.  Flood hazard area;</w:t>
      </w:r>
    </w:p>
    <w:p w14:paraId="294F3B19"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G.  Flood insurance rate map (FIRM);</w:t>
      </w:r>
    </w:p>
    <w:p w14:paraId="5F9B0107"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H.  Flood insurance study;</w:t>
      </w:r>
    </w:p>
    <w:p w14:paraId="5883464E"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I.  Floodway;</w:t>
      </w:r>
    </w:p>
    <w:p w14:paraId="3F2CF33B" w14:textId="77777777" w:rsidR="006B4A66" w:rsidRPr="006B4A66" w:rsidRDefault="006B4A66" w:rsidP="0073496A">
      <w:pPr>
        <w:tabs>
          <w:tab w:val="left" w:pos="720"/>
        </w:tabs>
        <w:spacing w:after="0" w:line="480" w:lineRule="auto"/>
        <w:rPr>
          <w:rFonts w:ascii="Times New Roman" w:eastAsia="Times New Roman" w:hAnsi="Times New Roman" w:cs="Times New Roman"/>
          <w:strike/>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J.  ((</w:t>
      </w:r>
      <w:r w:rsidRPr="006B4A66">
        <w:rPr>
          <w:rFonts w:ascii="Times New Roman" w:eastAsia="Times New Roman" w:hAnsi="Times New Roman" w:cs="Times New Roman"/>
          <w:strike/>
          <w:color w:val="000000"/>
          <w:kern w:val="0"/>
          <w:sz w:val="24"/>
          <w:szCs w:val="24"/>
          <w14:ligatures w14:val="none"/>
        </w:rPr>
        <w:t>Historic buildings;</w:t>
      </w:r>
    </w:p>
    <w:p w14:paraId="3A7BF08E"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strike/>
          <w:color w:val="000000"/>
          <w:kern w:val="0"/>
          <w:sz w:val="24"/>
          <w:szCs w:val="24"/>
          <w14:ligatures w14:val="none"/>
        </w:rPr>
        <w:t>K.</w:t>
      </w:r>
      <w:r w:rsidRPr="006B4A66">
        <w:rPr>
          <w:rFonts w:ascii="Times New Roman" w:eastAsia="Times New Roman" w:hAnsi="Times New Roman" w:cs="Times New Roman"/>
          <w:color w:val="000000"/>
          <w:kern w:val="0"/>
          <w:sz w:val="24"/>
          <w:szCs w:val="24"/>
          <w14:ligatures w14:val="none"/>
        </w:rPr>
        <w:t>))  Special flood hazard area; and</w:t>
      </w:r>
    </w:p>
    <w:p w14:paraId="3FC8546C"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L.</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K.</w:t>
      </w:r>
      <w:r w:rsidRPr="006B4A66">
        <w:rPr>
          <w:rFonts w:ascii="Times New Roman" w:eastAsia="Times New Roman" w:hAnsi="Times New Roman" w:cs="Times New Roman"/>
          <w:color w:val="000000"/>
          <w:kern w:val="0"/>
          <w:sz w:val="24"/>
          <w:szCs w:val="24"/>
          <w14:ligatures w14:val="none"/>
        </w:rPr>
        <w:t xml:space="preserve">  Substantial improvement.</w:t>
      </w:r>
    </w:p>
    <w:p w14:paraId="4E1E762D" w14:textId="3E6DB5CD" w:rsidR="005849FD" w:rsidRPr="006B4A66" w:rsidRDefault="005849FD"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15.</w:t>
      </w:r>
      <w:r w:rsidRPr="006B4A66">
        <w:rPr>
          <w:rFonts w:ascii="Times New Roman" w:eastAsia="Times New Roman" w:hAnsi="Times New Roman" w:cs="Times New Roman"/>
          <w:color w:val="000000"/>
          <w:kern w:val="0"/>
          <w:sz w:val="24"/>
          <w:szCs w:val="24"/>
          <w14:ligatures w14:val="none"/>
        </w:rPr>
        <w:t xml:space="preserve">  Ordinance </w:t>
      </w:r>
      <w:r>
        <w:rPr>
          <w:rFonts w:ascii="Times New Roman" w:eastAsia="Times New Roman" w:hAnsi="Times New Roman" w:cs="Times New Roman"/>
          <w:color w:val="000000"/>
          <w:kern w:val="0"/>
          <w:sz w:val="24"/>
          <w:szCs w:val="24"/>
          <w14:ligatures w14:val="none"/>
        </w:rPr>
        <w:t>3647</w:t>
      </w:r>
      <w:r w:rsidRPr="006B4A66">
        <w:rPr>
          <w:rFonts w:ascii="Times New Roman" w:eastAsia="Times New Roman" w:hAnsi="Times New Roman" w:cs="Times New Roman"/>
          <w:color w:val="000000"/>
          <w:kern w:val="0"/>
          <w:sz w:val="24"/>
          <w:szCs w:val="24"/>
          <w14:ligatures w14:val="none"/>
        </w:rPr>
        <w:t xml:space="preserve"> Section </w:t>
      </w:r>
      <w:r>
        <w:rPr>
          <w:rFonts w:ascii="Times New Roman" w:eastAsia="Times New Roman" w:hAnsi="Times New Roman" w:cs="Times New Roman"/>
          <w:color w:val="000000"/>
          <w:kern w:val="0"/>
          <w:sz w:val="24"/>
          <w:szCs w:val="24"/>
          <w14:ligatures w14:val="none"/>
        </w:rPr>
        <w:t>3</w:t>
      </w:r>
      <w:r w:rsidRPr="006B4A66">
        <w:rPr>
          <w:rFonts w:ascii="Times New Roman" w:eastAsia="Times New Roman" w:hAnsi="Times New Roman" w:cs="Times New Roman"/>
          <w:color w:val="000000"/>
          <w:kern w:val="0"/>
          <w:sz w:val="24"/>
          <w:szCs w:val="24"/>
          <w14:ligatures w14:val="none"/>
        </w:rPr>
        <w:t>, as amended, and K.C.C. 16.03.0</w:t>
      </w:r>
      <w:r>
        <w:rPr>
          <w:rFonts w:ascii="Times New Roman" w:eastAsia="Times New Roman" w:hAnsi="Times New Roman" w:cs="Times New Roman"/>
          <w:color w:val="000000"/>
          <w:kern w:val="0"/>
          <w:sz w:val="24"/>
          <w:szCs w:val="24"/>
          <w14:ligatures w14:val="none"/>
        </w:rPr>
        <w:t>40</w:t>
      </w:r>
      <w:r w:rsidRPr="006B4A66">
        <w:rPr>
          <w:rFonts w:ascii="Times New Roman" w:eastAsia="Times New Roman" w:hAnsi="Times New Roman" w:cs="Times New Roman"/>
          <w:color w:val="000000"/>
          <w:kern w:val="0"/>
          <w:sz w:val="24"/>
          <w:szCs w:val="24"/>
          <w14:ligatures w14:val="none"/>
        </w:rPr>
        <w:t xml:space="preserve"> are hereby amended to read as follows:</w:t>
      </w:r>
    </w:p>
    <w:p w14:paraId="3BA5E45C" w14:textId="63E383FA" w:rsidR="005849FD" w:rsidRPr="005849FD" w:rsidRDefault="005849FD"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5849FD">
        <w:rPr>
          <w:rFonts w:ascii="Times New Roman" w:eastAsia="Times New Roman" w:hAnsi="Times New Roman" w:cs="Times New Roman"/>
          <w:color w:val="000000"/>
          <w:kern w:val="0"/>
          <w:sz w:val="24"/>
          <w:szCs w:val="24"/>
          <w14:ligatures w14:val="none"/>
        </w:rPr>
        <w:t xml:space="preserve">Whenever the following words appear in </w:t>
      </w:r>
      <w:r>
        <w:rPr>
          <w:rFonts w:ascii="Times New Roman" w:eastAsia="Times New Roman" w:hAnsi="Times New Roman" w:cs="Times New Roman"/>
          <w:color w:val="000000"/>
          <w:kern w:val="0"/>
          <w:sz w:val="24"/>
          <w:szCs w:val="24"/>
          <w14:ligatures w14:val="none"/>
        </w:rPr>
        <w:t>((</w:t>
      </w:r>
      <w:r w:rsidRPr="001216D4">
        <w:rPr>
          <w:rFonts w:ascii="Times New Roman" w:eastAsia="Times New Roman" w:hAnsi="Times New Roman" w:cs="Times New Roman"/>
          <w:strike/>
          <w:color w:val="000000"/>
          <w:kern w:val="0"/>
          <w:sz w:val="24"/>
          <w:szCs w:val="24"/>
          <w14:ligatures w14:val="none"/>
        </w:rPr>
        <w:t>the</w:t>
      </w:r>
      <w:r>
        <w:rPr>
          <w:rFonts w:ascii="Times New Roman" w:eastAsia="Times New Roman" w:hAnsi="Times New Roman" w:cs="Times New Roman"/>
          <w:color w:val="000000"/>
          <w:kern w:val="0"/>
          <w:sz w:val="24"/>
          <w:szCs w:val="24"/>
          <w14:ligatures w14:val="none"/>
        </w:rPr>
        <w:t xml:space="preserve">)) </w:t>
      </w:r>
      <w:r>
        <w:rPr>
          <w:rFonts w:ascii="Times New Roman" w:eastAsia="Times New Roman" w:hAnsi="Times New Roman" w:cs="Times New Roman"/>
          <w:color w:val="000000"/>
          <w:kern w:val="0"/>
          <w:sz w:val="24"/>
          <w:szCs w:val="24"/>
          <w:u w:val="single"/>
          <w14:ligatures w14:val="none"/>
        </w:rPr>
        <w:t>this</w:t>
      </w:r>
      <w:r w:rsidRPr="005849FD">
        <w:rPr>
          <w:rFonts w:ascii="Times New Roman" w:eastAsia="Times New Roman" w:hAnsi="Times New Roman" w:cs="Times New Roman"/>
          <w:color w:val="000000"/>
          <w:kern w:val="0"/>
          <w:sz w:val="24"/>
          <w:szCs w:val="24"/>
          <w14:ligatures w14:val="none"/>
        </w:rPr>
        <w:t xml:space="preserve"> code, they are to be changed as follows:</w:t>
      </w:r>
    </w:p>
    <w:p w14:paraId="4F70BAB4" w14:textId="70571F64" w:rsidR="005849FD" w:rsidRPr="005849FD" w:rsidRDefault="007373F1"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ab/>
      </w:r>
      <w:r w:rsidR="005849FD" w:rsidRPr="005849FD">
        <w:rPr>
          <w:rFonts w:ascii="Times New Roman" w:eastAsia="Times New Roman" w:hAnsi="Times New Roman" w:cs="Times New Roman"/>
          <w:color w:val="000000"/>
          <w:kern w:val="0"/>
          <w:sz w:val="24"/>
          <w:szCs w:val="24"/>
          <w14:ligatures w14:val="none"/>
        </w:rPr>
        <w:t>A.  Building official or code official to the department of local services permitting division manager or designee;</w:t>
      </w:r>
    </w:p>
    <w:p w14:paraId="445C6FF2" w14:textId="595C1FD6" w:rsidR="005849FD" w:rsidRPr="005849FD" w:rsidRDefault="007373F1"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ab/>
      </w:r>
      <w:r w:rsidR="005849FD" w:rsidRPr="005849FD">
        <w:rPr>
          <w:rFonts w:ascii="Times New Roman" w:eastAsia="Times New Roman" w:hAnsi="Times New Roman" w:cs="Times New Roman"/>
          <w:color w:val="000000"/>
          <w:kern w:val="0"/>
          <w:sz w:val="24"/>
          <w:szCs w:val="24"/>
          <w14:ligatures w14:val="none"/>
        </w:rPr>
        <w:t>B.  Name of jurisdiction to unincorporated King County;</w:t>
      </w:r>
    </w:p>
    <w:p w14:paraId="01A76FDC" w14:textId="3E3E2CC9" w:rsidR="005849FD" w:rsidRPr="005849FD" w:rsidRDefault="007373F1"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ab/>
      </w:r>
      <w:r w:rsidR="005849FD" w:rsidRPr="005849FD">
        <w:rPr>
          <w:rFonts w:ascii="Times New Roman" w:eastAsia="Times New Roman" w:hAnsi="Times New Roman" w:cs="Times New Roman"/>
          <w:color w:val="000000"/>
          <w:kern w:val="0"/>
          <w:sz w:val="24"/>
          <w:szCs w:val="24"/>
          <w14:ligatures w14:val="none"/>
        </w:rPr>
        <w:t>C.  The department of building and safety to King County department of local services, permitting division; and</w:t>
      </w:r>
    </w:p>
    <w:p w14:paraId="6F742DF1" w14:textId="7248DEE7" w:rsidR="005849FD" w:rsidRDefault="007373F1"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ab/>
      </w:r>
      <w:r w:rsidR="005849FD" w:rsidRPr="005849FD">
        <w:rPr>
          <w:rFonts w:ascii="Times New Roman" w:eastAsia="Times New Roman" w:hAnsi="Times New Roman" w:cs="Times New Roman"/>
          <w:color w:val="000000"/>
          <w:kern w:val="0"/>
          <w:sz w:val="24"/>
          <w:szCs w:val="24"/>
          <w14:ligatures w14:val="none"/>
        </w:rPr>
        <w:t>D.  Design flood elevation to base flood elevation.</w:t>
      </w:r>
    </w:p>
    <w:p w14:paraId="035B8F1A" w14:textId="7EA7DDE1"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lastRenderedPageBreak/>
        <w:tab/>
      </w:r>
      <w:r w:rsidRPr="006B4A66">
        <w:rPr>
          <w:rFonts w:ascii="Times New Roman" w:eastAsia="Times New Roman" w:hAnsi="Times New Roman" w:cs="Times New Roman"/>
          <w:color w:val="000000"/>
          <w:kern w:val="0"/>
          <w:sz w:val="24"/>
          <w:szCs w:val="24"/>
          <w:u w:val="single"/>
          <w14:ligatures w14:val="none"/>
        </w:rPr>
        <w:t>SECTION 16.</w:t>
      </w:r>
      <w:r w:rsidRPr="006B4A66">
        <w:rPr>
          <w:rFonts w:ascii="Times New Roman" w:eastAsia="Times New Roman" w:hAnsi="Times New Roman" w:cs="Times New Roman"/>
          <w:color w:val="000000"/>
          <w:kern w:val="0"/>
          <w:sz w:val="24"/>
          <w:szCs w:val="24"/>
          <w14:ligatures w14:val="none"/>
        </w:rPr>
        <w:t xml:space="preserve">  Ordinance 19485, Section 31, and K.C.C. 16.03.280 are hereby amended to read as follows:</w:t>
      </w:r>
    </w:p>
    <w:p w14:paraId="460A8537" w14:textId="77777777" w:rsidR="002C1AEF"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Water heater:  </w:t>
      </w:r>
    </w:p>
    <w:p w14:paraId="6A8D8015" w14:textId="6E61CD5D" w:rsidR="006B4A66" w:rsidRPr="006B4A66" w:rsidRDefault="002C1AEF" w:rsidP="0073496A">
      <w:pPr>
        <w:tabs>
          <w:tab w:val="left" w:pos="720"/>
        </w:tabs>
        <w:spacing w:after="0" w:line="480" w:lineRule="auto"/>
        <w:rPr>
          <w:rFonts w:ascii="Times New Roman" w:eastAsia="Times New Roman" w:hAnsi="Times New Roman" w:cs="Times New Roman"/>
          <w:strike/>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00F525C4">
        <w:rPr>
          <w:rFonts w:ascii="Times New Roman" w:eastAsia="Times New Roman" w:hAnsi="Times New Roman" w:cs="Times New Roman"/>
          <w:color w:val="000000"/>
          <w:kern w:val="0"/>
          <w:sz w:val="24"/>
          <w:szCs w:val="24"/>
          <w:u w:val="single"/>
          <w14:ligatures w14:val="none"/>
        </w:rPr>
        <w:t>A.</w:t>
      </w:r>
      <w:r w:rsidR="00F525C4">
        <w:rPr>
          <w:rFonts w:ascii="Times New Roman" w:eastAsia="Times New Roman" w:hAnsi="Times New Roman" w:cs="Times New Roman"/>
          <w:color w:val="000000"/>
          <w:kern w:val="0"/>
          <w:sz w:val="24"/>
          <w:szCs w:val="24"/>
          <w14:ligatures w14:val="none"/>
        </w:rPr>
        <w:t xml:space="preserve">  </w:t>
      </w:r>
      <w:r w:rsidR="00DF499A">
        <w:rPr>
          <w:rFonts w:ascii="Times New Roman" w:eastAsia="Times New Roman" w:hAnsi="Times New Roman" w:cs="Times New Roman"/>
          <w:color w:val="000000"/>
          <w:kern w:val="0"/>
          <w:sz w:val="24"/>
          <w:szCs w:val="24"/>
          <w14:ligatures w14:val="none"/>
        </w:rPr>
        <w:t>((</w:t>
      </w:r>
      <w:r w:rsidR="006B4A66" w:rsidRPr="001216D4">
        <w:rPr>
          <w:rFonts w:ascii="Times New Roman" w:eastAsia="Times New Roman" w:hAnsi="Times New Roman" w:cs="Times New Roman"/>
          <w:strike/>
          <w:color w:val="000000"/>
          <w:kern w:val="0"/>
          <w:sz w:val="24"/>
          <w:szCs w:val="24"/>
          <w14:ligatures w14:val="none"/>
        </w:rPr>
        <w:t>a</w:t>
      </w:r>
      <w:r w:rsidR="00DF499A">
        <w:rPr>
          <w:rFonts w:ascii="Times New Roman" w:eastAsia="Times New Roman" w:hAnsi="Times New Roman" w:cs="Times New Roman"/>
          <w:color w:val="000000"/>
          <w:kern w:val="0"/>
          <w:sz w:val="24"/>
          <w:szCs w:val="24"/>
          <w14:ligatures w14:val="none"/>
        </w:rPr>
        <w:t>))</w:t>
      </w:r>
      <w:r w:rsidR="00DF499A">
        <w:rPr>
          <w:rFonts w:ascii="Times New Roman" w:eastAsia="Times New Roman" w:hAnsi="Times New Roman" w:cs="Times New Roman"/>
          <w:color w:val="000000"/>
          <w:kern w:val="0"/>
          <w:sz w:val="24"/>
          <w:szCs w:val="24"/>
          <w:u w:val="single"/>
          <w14:ligatures w14:val="none"/>
        </w:rPr>
        <w:t>A</w:t>
      </w:r>
      <w:r w:rsidR="006B4A66" w:rsidRPr="006B4A66">
        <w:rPr>
          <w:rFonts w:ascii="Times New Roman" w:eastAsia="Times New Roman" w:hAnsi="Times New Roman" w:cs="Times New Roman"/>
          <w:color w:val="000000"/>
          <w:kern w:val="0"/>
          <w:sz w:val="24"/>
          <w:szCs w:val="24"/>
          <w14:ligatures w14:val="none"/>
        </w:rPr>
        <w:t xml:space="preserve">ny </w:t>
      </w:r>
      <w:r w:rsidR="006B4A66" w:rsidRPr="006B4A66">
        <w:rPr>
          <w:rFonts w:ascii="Times New Roman" w:eastAsia="Times New Roman" w:hAnsi="Times New Roman" w:cs="Times New Roman"/>
          <w:color w:val="000000"/>
          <w:kern w:val="0"/>
          <w:sz w:val="24"/>
          <w:szCs w:val="24"/>
          <w:u w:val="single"/>
          <w14:ligatures w14:val="none"/>
        </w:rPr>
        <w:t>listed</w:t>
      </w:r>
      <w:r w:rsidR="006B4A66" w:rsidRPr="006B4A66">
        <w:rPr>
          <w:rFonts w:ascii="Times New Roman" w:eastAsia="Times New Roman" w:hAnsi="Times New Roman" w:cs="Times New Roman"/>
          <w:color w:val="000000"/>
          <w:kern w:val="0"/>
          <w:sz w:val="24"/>
          <w:szCs w:val="24"/>
          <w14:ligatures w14:val="none"/>
        </w:rPr>
        <w:t xml:space="preserve"> heating appliance or equipment that</w:t>
      </w:r>
      <w:r w:rsidR="008A58F8">
        <w:rPr>
          <w:rFonts w:ascii="Times New Roman" w:eastAsia="Times New Roman" w:hAnsi="Times New Roman" w:cs="Times New Roman"/>
          <w:color w:val="000000"/>
          <w:kern w:val="0"/>
          <w:sz w:val="24"/>
          <w:szCs w:val="24"/>
          <w14:ligatures w14:val="none"/>
        </w:rPr>
        <w:t xml:space="preserve"> </w:t>
      </w:r>
      <w:r w:rsidR="006B4A66" w:rsidRPr="006B4A66">
        <w:rPr>
          <w:rFonts w:ascii="Times New Roman" w:eastAsia="Times New Roman" w:hAnsi="Times New Roman" w:cs="Times New Roman"/>
          <w:color w:val="000000"/>
          <w:kern w:val="0"/>
          <w:sz w:val="24"/>
          <w:szCs w:val="24"/>
          <w14:ligatures w14:val="none"/>
        </w:rPr>
        <w:t>((</w:t>
      </w:r>
      <w:r w:rsidR="006B4A66" w:rsidRPr="006B4A66">
        <w:rPr>
          <w:rFonts w:ascii="Times New Roman" w:eastAsia="Times New Roman" w:hAnsi="Times New Roman" w:cs="Times New Roman"/>
          <w:strike/>
          <w:color w:val="000000"/>
          <w:kern w:val="0"/>
          <w:sz w:val="24"/>
          <w:szCs w:val="24"/>
          <w14:ligatures w14:val="none"/>
        </w:rPr>
        <w:t>:</w:t>
      </w:r>
    </w:p>
    <w:p w14:paraId="517782D7" w14:textId="0BE25DAA"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u w:val="single"/>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strike/>
          <w:color w:val="000000"/>
          <w:kern w:val="0"/>
          <w:sz w:val="24"/>
          <w:szCs w:val="24"/>
          <w14:ligatures w14:val="none"/>
        </w:rPr>
        <w:t>A.</w:t>
      </w:r>
      <w:r w:rsidRPr="00217FF0">
        <w:rPr>
          <w:rFonts w:ascii="Times New Roman" w:eastAsia="Times New Roman" w:hAnsi="Times New Roman" w:cs="Times New Roman"/>
          <w:strike/>
          <w:color w:val="000000"/>
          <w:kern w:val="0"/>
          <w:sz w:val="24"/>
          <w:szCs w:val="24"/>
          <w14:ligatures w14:val="none"/>
        </w:rPr>
        <w:t xml:space="preserve">  H</w:t>
      </w:r>
      <w:r w:rsidRPr="006B4A66">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color w:val="000000"/>
          <w:kern w:val="0"/>
          <w:sz w:val="24"/>
          <w:szCs w:val="24"/>
          <w:u w:val="single"/>
          <w14:ligatures w14:val="none"/>
        </w:rPr>
        <w:t>h</w:t>
      </w:r>
      <w:r w:rsidRPr="006B4A66">
        <w:rPr>
          <w:rFonts w:ascii="Times New Roman" w:eastAsia="Times New Roman" w:hAnsi="Times New Roman" w:cs="Times New Roman"/>
          <w:color w:val="000000"/>
          <w:kern w:val="0"/>
          <w:sz w:val="24"/>
          <w:szCs w:val="24"/>
          <w14:ligatures w14:val="none"/>
        </w:rPr>
        <w:t>eats potable water and supplies such water to the potable hot water distribution system(</w:t>
      </w:r>
      <w:r w:rsidRPr="006B4A66">
        <w:rPr>
          <w:rFonts w:ascii="Times New Roman" w:eastAsia="Times New Roman" w:hAnsi="Times New Roman" w:cs="Times New Roman"/>
          <w:strike/>
          <w:color w:val="000000"/>
          <w:kern w:val="0"/>
          <w:sz w:val="24"/>
          <w:szCs w:val="24"/>
          <w14:ligatures w14:val="none"/>
        </w:rPr>
        <w:t>(; and)</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excluding any appliance or equipment that exceeds any of the following:</w:t>
      </w:r>
    </w:p>
    <w:p w14:paraId="70E34A71" w14:textId="3A7DE369"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u w:val="single"/>
          <w14:ligatures w14:val="none"/>
        </w:rPr>
      </w:pPr>
      <w:r w:rsidRPr="006B4A66">
        <w:rPr>
          <w:rFonts w:ascii="Times New Roman" w:eastAsia="Times New Roman" w:hAnsi="Times New Roman" w:cs="Times New Roman"/>
          <w:color w:val="000000"/>
          <w:kern w:val="0"/>
          <w:sz w:val="24"/>
          <w:szCs w:val="24"/>
          <w14:ligatures w14:val="none"/>
        </w:rPr>
        <w:tab/>
      </w:r>
      <w:r w:rsidR="00F525C4">
        <w:rPr>
          <w:rFonts w:ascii="Times New Roman" w:eastAsia="Times New Roman" w:hAnsi="Times New Roman" w:cs="Times New Roman"/>
          <w:color w:val="000000"/>
          <w:kern w:val="0"/>
          <w:sz w:val="24"/>
          <w:szCs w:val="24"/>
          <w14:ligatures w14:val="none"/>
        </w:rPr>
        <w:t xml:space="preserve">  </w:t>
      </w:r>
      <w:r w:rsidR="002B11E1">
        <w:rPr>
          <w:rFonts w:ascii="Times New Roman" w:eastAsia="Times New Roman" w:hAnsi="Times New Roman" w:cs="Times New Roman"/>
          <w:color w:val="000000"/>
          <w:kern w:val="0"/>
          <w:sz w:val="24"/>
          <w:szCs w:val="24"/>
          <w:u w:val="single"/>
          <w14:ligatures w14:val="none"/>
        </w:rPr>
        <w:t>1</w:t>
      </w:r>
      <w:r w:rsidRPr="006B4A66">
        <w:rPr>
          <w:rFonts w:ascii="Times New Roman" w:eastAsia="Times New Roman" w:hAnsi="Times New Roman" w:cs="Times New Roman"/>
          <w:color w:val="000000"/>
          <w:kern w:val="0"/>
          <w:sz w:val="24"/>
          <w:szCs w:val="24"/>
          <w:u w:val="single"/>
          <w14:ligatures w14:val="none"/>
        </w:rPr>
        <w:t>.  An operating temperature of 210° Fahrenheit (99° Celsius);</w:t>
      </w:r>
    </w:p>
    <w:p w14:paraId="5AABD72C" w14:textId="5D960EE8"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u w:val="single"/>
          <w14:ligatures w14:val="none"/>
        </w:rPr>
      </w:pPr>
      <w:r w:rsidRPr="006B4A66">
        <w:rPr>
          <w:rFonts w:ascii="Times New Roman" w:eastAsia="Times New Roman" w:hAnsi="Times New Roman" w:cs="Times New Roman"/>
          <w:color w:val="000000"/>
          <w:kern w:val="0"/>
          <w:sz w:val="24"/>
          <w:szCs w:val="24"/>
          <w14:ligatures w14:val="none"/>
        </w:rPr>
        <w:tab/>
      </w:r>
      <w:r w:rsidR="00AD6C0D">
        <w:rPr>
          <w:rFonts w:ascii="Times New Roman" w:eastAsia="Times New Roman" w:hAnsi="Times New Roman" w:cs="Times New Roman"/>
          <w:color w:val="000000"/>
          <w:kern w:val="0"/>
          <w:sz w:val="24"/>
          <w:szCs w:val="24"/>
          <w14:ligatures w14:val="none"/>
        </w:rPr>
        <w:t xml:space="preserve">  </w:t>
      </w:r>
      <w:r w:rsidR="00AA6D16">
        <w:rPr>
          <w:rFonts w:ascii="Times New Roman" w:eastAsia="Times New Roman" w:hAnsi="Times New Roman" w:cs="Times New Roman"/>
          <w:color w:val="000000"/>
          <w:kern w:val="0"/>
          <w:sz w:val="24"/>
          <w:szCs w:val="24"/>
          <w14:ligatures w14:val="none"/>
        </w:rPr>
        <w:t>((</w:t>
      </w:r>
      <w:r w:rsidRPr="001216D4">
        <w:rPr>
          <w:rFonts w:ascii="Times New Roman" w:eastAsia="Times New Roman" w:hAnsi="Times New Roman" w:cs="Times New Roman"/>
          <w:strike/>
          <w:color w:val="000000"/>
          <w:kern w:val="0"/>
          <w:sz w:val="24"/>
          <w:szCs w:val="24"/>
          <w14:ligatures w14:val="none"/>
        </w:rPr>
        <w:t xml:space="preserve">B.  </w:t>
      </w:r>
      <w:r w:rsidRPr="006B4A66">
        <w:rPr>
          <w:rFonts w:ascii="Times New Roman" w:eastAsia="Times New Roman" w:hAnsi="Times New Roman" w:cs="Times New Roman"/>
          <w:strike/>
          <w:color w:val="000000"/>
          <w:kern w:val="0"/>
          <w:sz w:val="24"/>
          <w:szCs w:val="24"/>
          <w14:ligatures w14:val="none"/>
        </w:rPr>
        <w:t>Does not exceed a</w:t>
      </w:r>
      <w:r w:rsidRPr="006B4A66">
        <w:rPr>
          <w:rFonts w:ascii="Times New Roman" w:eastAsia="Times New Roman" w:hAnsi="Times New Roman" w:cs="Times New Roman"/>
          <w:color w:val="000000"/>
          <w:kern w:val="0"/>
          <w:sz w:val="24"/>
          <w:szCs w:val="24"/>
          <w14:ligatures w14:val="none"/>
        </w:rPr>
        <w:t xml:space="preserve">)) </w:t>
      </w:r>
      <w:r w:rsidR="002B11E1">
        <w:rPr>
          <w:rFonts w:ascii="Times New Roman" w:eastAsia="Times New Roman" w:hAnsi="Times New Roman" w:cs="Times New Roman"/>
          <w:color w:val="000000"/>
          <w:kern w:val="0"/>
          <w:sz w:val="24"/>
          <w:szCs w:val="24"/>
          <w:u w:val="single"/>
          <w14:ligatures w14:val="none"/>
        </w:rPr>
        <w:t>2</w:t>
      </w:r>
      <w:r w:rsidR="00AA6D16">
        <w:rPr>
          <w:rFonts w:ascii="Times New Roman" w:eastAsia="Times New Roman" w:hAnsi="Times New Roman" w:cs="Times New Roman"/>
          <w:color w:val="000000"/>
          <w:kern w:val="0"/>
          <w:sz w:val="24"/>
          <w:szCs w:val="24"/>
          <w:u w:val="single"/>
          <w14:ligatures w14:val="none"/>
        </w:rPr>
        <w:t xml:space="preserve">.  </w:t>
      </w:r>
      <w:r w:rsidRPr="006B4A66">
        <w:rPr>
          <w:rFonts w:ascii="Times New Roman" w:eastAsia="Times New Roman" w:hAnsi="Times New Roman" w:cs="Times New Roman"/>
          <w:color w:val="000000"/>
          <w:kern w:val="0"/>
          <w:sz w:val="24"/>
          <w:szCs w:val="24"/>
          <w:u w:val="single"/>
          <w14:ligatures w14:val="none"/>
        </w:rPr>
        <w:t>A maximum allowable working</w:t>
      </w:r>
      <w:r w:rsidRPr="006B4A66">
        <w:rPr>
          <w:rFonts w:ascii="Times New Roman" w:eastAsia="Times New Roman" w:hAnsi="Times New Roman" w:cs="Times New Roman"/>
          <w:color w:val="000000"/>
          <w:kern w:val="0"/>
          <w:sz w:val="24"/>
          <w:szCs w:val="24"/>
          <w14:ligatures w14:val="none"/>
        </w:rPr>
        <w:t xml:space="preserve"> pressure of 160 pounds per square inch (1,103 ((</w:t>
      </w:r>
      <w:r w:rsidRPr="006B4A66">
        <w:rPr>
          <w:rFonts w:ascii="Times New Roman" w:eastAsia="Times New Roman" w:hAnsi="Times New Roman" w:cs="Times New Roman"/>
          <w:strike/>
          <w:color w:val="000000"/>
          <w:kern w:val="0"/>
          <w:sz w:val="24"/>
          <w:szCs w:val="24"/>
          <w14:ligatures w14:val="none"/>
        </w:rPr>
        <w:t>kPa</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kilopascals</w:t>
      </w:r>
      <w:r w:rsidRPr="006B4A66">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strike/>
          <w:color w:val="000000"/>
          <w:kern w:val="0"/>
          <w:sz w:val="24"/>
          <w:szCs w:val="24"/>
          <w14:ligatures w14:val="none"/>
        </w:rPr>
        <w:t>,</w:t>
      </w:r>
      <w:r w:rsidR="0090573A">
        <w:rPr>
          <w:rFonts w:ascii="Times New Roman" w:eastAsia="Times New Roman" w:hAnsi="Times New Roman" w:cs="Times New Roman"/>
          <w:strike/>
          <w:color w:val="000000"/>
          <w:kern w:val="0"/>
          <w:sz w:val="24"/>
          <w:szCs w:val="24"/>
          <w14:ligatures w14:val="none"/>
        </w:rPr>
        <w:t xml:space="preserve">  a</w:t>
      </w:r>
      <w:r w:rsidRPr="006B4A66">
        <w:rPr>
          <w:rFonts w:ascii="Times New Roman" w:eastAsia="Times New Roman" w:hAnsi="Times New Roman" w:cs="Times New Roman"/>
          <w:color w:val="000000"/>
          <w:kern w:val="0"/>
          <w:sz w:val="24"/>
          <w:szCs w:val="24"/>
          <w14:ligatures w14:val="none"/>
        </w:rPr>
        <w:t>)</w:t>
      </w:r>
      <w:r w:rsidR="00407E1B">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color w:val="000000"/>
          <w:kern w:val="0"/>
          <w:sz w:val="24"/>
          <w:szCs w:val="24"/>
          <w:u w:val="single"/>
          <w14:ligatures w14:val="none"/>
        </w:rPr>
        <w:t>;</w:t>
      </w:r>
    </w:p>
    <w:p w14:paraId="0D6A9239" w14:textId="171ACFC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007B6C37">
        <w:rPr>
          <w:rFonts w:ascii="Times New Roman" w:eastAsia="Times New Roman" w:hAnsi="Times New Roman" w:cs="Times New Roman"/>
          <w:color w:val="000000"/>
          <w:kern w:val="0"/>
          <w:sz w:val="24"/>
          <w:szCs w:val="24"/>
          <w14:ligatures w14:val="none"/>
        </w:rPr>
        <w:t xml:space="preserve">  </w:t>
      </w:r>
      <w:r w:rsidR="002B11E1">
        <w:rPr>
          <w:rFonts w:ascii="Times New Roman" w:eastAsia="Times New Roman" w:hAnsi="Times New Roman" w:cs="Times New Roman"/>
          <w:color w:val="000000"/>
          <w:kern w:val="0"/>
          <w:sz w:val="24"/>
          <w:szCs w:val="24"/>
          <w:u w:val="single"/>
          <w14:ligatures w14:val="none"/>
        </w:rPr>
        <w:t>3</w:t>
      </w:r>
      <w:r w:rsidRPr="006B4A66">
        <w:rPr>
          <w:rFonts w:ascii="Times New Roman" w:eastAsia="Times New Roman" w:hAnsi="Times New Roman" w:cs="Times New Roman"/>
          <w:color w:val="000000"/>
          <w:kern w:val="0"/>
          <w:sz w:val="24"/>
          <w:szCs w:val="24"/>
          <w:u w:val="single"/>
          <w14:ligatures w14:val="none"/>
        </w:rPr>
        <w:t xml:space="preserve">. </w:t>
      </w:r>
      <w:r w:rsidRPr="001216D4">
        <w:rPr>
          <w:rFonts w:ascii="Times New Roman" w:eastAsia="Times New Roman" w:hAnsi="Times New Roman" w:cs="Times New Roman"/>
          <w:color w:val="000000"/>
          <w:kern w:val="0"/>
          <w:sz w:val="24"/>
          <w:szCs w:val="24"/>
          <w:u w:val="single"/>
          <w14:ligatures w14:val="none"/>
        </w:rPr>
        <w:t xml:space="preserve"> </w:t>
      </w:r>
      <w:r w:rsidRPr="006B4A66">
        <w:rPr>
          <w:rFonts w:ascii="Times New Roman" w:eastAsia="Times New Roman" w:hAnsi="Times New Roman" w:cs="Times New Roman"/>
          <w:color w:val="000000"/>
          <w:kern w:val="0"/>
          <w:sz w:val="24"/>
          <w:szCs w:val="24"/>
          <w:u w:val="single"/>
          <w14:ligatures w14:val="none"/>
        </w:rPr>
        <w:t>A</w:t>
      </w:r>
      <w:r w:rsidRPr="006B4A66">
        <w:rPr>
          <w:rFonts w:ascii="Times New Roman" w:eastAsia="Times New Roman" w:hAnsi="Times New Roman" w:cs="Times New Roman"/>
          <w:color w:val="000000"/>
          <w:kern w:val="0"/>
          <w:sz w:val="24"/>
          <w:szCs w:val="24"/>
          <w14:ligatures w14:val="none"/>
        </w:rPr>
        <w:t xml:space="preserve"> volume of 120 gallons (454 (</w:t>
      </w:r>
      <w:r w:rsidRPr="006B4A66">
        <w:rPr>
          <w:rFonts w:ascii="Times New Roman" w:eastAsia="Times New Roman" w:hAnsi="Times New Roman" w:cs="Times New Roman"/>
          <w:strike/>
          <w:color w:val="000000"/>
          <w:kern w:val="0"/>
          <w:sz w:val="24"/>
          <w:szCs w:val="24"/>
          <w14:ligatures w14:val="none"/>
        </w:rPr>
        <w:t>(L)</w:t>
      </w:r>
      <w:r w:rsidRPr="006B4A66">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color w:val="000000"/>
          <w:kern w:val="0"/>
          <w:sz w:val="24"/>
          <w:szCs w:val="24"/>
          <w:u w:val="single"/>
          <w14:ligatures w14:val="none"/>
        </w:rPr>
        <w:t>liters</w:t>
      </w:r>
      <w:r w:rsidRPr="006B4A66">
        <w:rPr>
          <w:rFonts w:ascii="Times New Roman" w:eastAsia="Times New Roman" w:hAnsi="Times New Roman" w:cs="Times New Roman"/>
          <w:color w:val="000000"/>
          <w:kern w:val="0"/>
          <w:sz w:val="24"/>
          <w:szCs w:val="24"/>
          <w14:ligatures w14:val="none"/>
        </w:rPr>
        <w:t>) ((</w:t>
      </w:r>
      <w:r w:rsidRPr="006B4A66">
        <w:rPr>
          <w:rFonts w:ascii="Times New Roman" w:eastAsia="Times New Roman" w:hAnsi="Times New Roman" w:cs="Times New Roman"/>
          <w:strike/>
          <w:color w:val="000000"/>
          <w:kern w:val="0"/>
          <w:sz w:val="24"/>
          <w:szCs w:val="24"/>
          <w14:ligatures w14:val="none"/>
        </w:rPr>
        <w:t>and a</w:t>
      </w:r>
      <w:r w:rsidRPr="006B4A66">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color w:val="000000"/>
          <w:kern w:val="0"/>
          <w:sz w:val="24"/>
          <w:szCs w:val="24"/>
          <w:u w:val="single"/>
          <w14:ligatures w14:val="none"/>
        </w:rPr>
        <w:t>;</w:t>
      </w:r>
      <w:r w:rsidRPr="001216D4">
        <w:rPr>
          <w:rFonts w:ascii="Times New Roman" w:eastAsia="Times New Roman" w:hAnsi="Times New Roman" w:cs="Times New Roman"/>
          <w:color w:val="000000"/>
          <w:kern w:val="0"/>
          <w:sz w:val="24"/>
          <w:szCs w:val="24"/>
          <w:u w:val="single"/>
          <w14:ligatures w14:val="none"/>
        </w:rPr>
        <w:t xml:space="preserve"> </w:t>
      </w:r>
      <w:r w:rsidRPr="006B4A66">
        <w:rPr>
          <w:rFonts w:ascii="Times New Roman" w:eastAsia="Times New Roman" w:hAnsi="Times New Roman" w:cs="Times New Roman"/>
          <w:color w:val="000000"/>
          <w:kern w:val="0"/>
          <w:sz w:val="24"/>
          <w:szCs w:val="24"/>
          <w:u w:val="single"/>
          <w14:ligatures w14:val="none"/>
        </w:rPr>
        <w:t xml:space="preserve">or </w:t>
      </w:r>
    </w:p>
    <w:p w14:paraId="0142D092" w14:textId="709C337C" w:rsidR="00782466" w:rsidRDefault="006B4A66" w:rsidP="0073496A">
      <w:pPr>
        <w:tabs>
          <w:tab w:val="left" w:pos="720"/>
        </w:tabs>
        <w:spacing w:after="0" w:line="480" w:lineRule="auto"/>
        <w:rPr>
          <w:rFonts w:ascii="Times New Roman" w:eastAsia="Times New Roman" w:hAnsi="Times New Roman" w:cs="Times New Roman"/>
          <w:color w:val="000000"/>
          <w:kern w:val="0"/>
          <w:sz w:val="24"/>
          <w:szCs w:val="20"/>
          <w:u w:val="single"/>
          <w14:ligatures w14:val="none"/>
        </w:rPr>
      </w:pPr>
      <w:r w:rsidRPr="006B4A66">
        <w:rPr>
          <w:rFonts w:ascii="Times New Roman" w:eastAsia="Times New Roman" w:hAnsi="Times New Roman" w:cs="Times New Roman"/>
          <w:color w:val="000000"/>
          <w:kern w:val="0"/>
          <w:sz w:val="24"/>
          <w:szCs w:val="24"/>
          <w14:ligatures w14:val="none"/>
        </w:rPr>
        <w:tab/>
      </w:r>
      <w:r w:rsidR="007B6C37">
        <w:rPr>
          <w:rFonts w:ascii="Times New Roman" w:eastAsia="Times New Roman" w:hAnsi="Times New Roman" w:cs="Times New Roman"/>
          <w:color w:val="000000"/>
          <w:kern w:val="0"/>
          <w:sz w:val="24"/>
          <w:szCs w:val="24"/>
          <w14:ligatures w14:val="none"/>
        </w:rPr>
        <w:t xml:space="preserve">  </w:t>
      </w:r>
      <w:r w:rsidR="002B11E1">
        <w:rPr>
          <w:rFonts w:ascii="Times New Roman" w:eastAsia="Times New Roman" w:hAnsi="Times New Roman" w:cs="Times New Roman"/>
          <w:color w:val="000000"/>
          <w:kern w:val="0"/>
          <w:sz w:val="24"/>
          <w:szCs w:val="24"/>
          <w:u w:val="single"/>
          <w14:ligatures w14:val="none"/>
        </w:rPr>
        <w:t>4</w:t>
      </w:r>
      <w:r w:rsidRPr="006B4A66">
        <w:rPr>
          <w:rFonts w:ascii="Times New Roman" w:eastAsia="Times New Roman" w:hAnsi="Times New Roman" w:cs="Times New Roman"/>
          <w:color w:val="000000"/>
          <w:kern w:val="0"/>
          <w:sz w:val="24"/>
          <w:szCs w:val="24"/>
          <w:u w:val="single"/>
          <w14:ligatures w14:val="none"/>
        </w:rPr>
        <w:t>.  A</w:t>
      </w:r>
      <w:r w:rsidRPr="006B4A66">
        <w:rPr>
          <w:rFonts w:ascii="Times New Roman" w:eastAsia="Times New Roman" w:hAnsi="Times New Roman" w:cs="Times New Roman"/>
          <w:color w:val="000000"/>
          <w:kern w:val="0"/>
          <w:sz w:val="24"/>
          <w:szCs w:val="24"/>
          <w14:ligatures w14:val="none"/>
        </w:rPr>
        <w:t xml:space="preserve"> heat input of 200,000 Btu</w:t>
      </w:r>
      <w:r w:rsidRPr="006B4A66">
        <w:rPr>
          <w:rFonts w:ascii="Times New Roman" w:eastAsia="Times New Roman" w:hAnsi="Times New Roman" w:cs="Times New Roman"/>
          <w:color w:val="000000"/>
          <w:kern w:val="0"/>
          <w:sz w:val="24"/>
          <w:szCs w:val="24"/>
          <w:u w:val="single"/>
          <w14:ligatures w14:val="none"/>
        </w:rPr>
        <w:t>/h</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strike/>
          <w:color w:val="000000"/>
          <w:kern w:val="0"/>
          <w:sz w:val="24"/>
          <w:szCs w:val="24"/>
          <w14:ligatures w14:val="none"/>
        </w:rPr>
        <w:t>per hour (58 kW)</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( 59 kilowatts</w:t>
      </w:r>
      <w:r w:rsidRPr="006B4A66">
        <w:rPr>
          <w:rFonts w:ascii="Times New Roman" w:eastAsia="Times New Roman" w:hAnsi="Times New Roman" w:cs="Times New Roman"/>
          <w:color w:val="000000"/>
          <w:kern w:val="0"/>
          <w:sz w:val="24"/>
          <w:szCs w:val="20"/>
          <w:u w:val="single"/>
          <w14:ligatures w14:val="none"/>
        </w:rPr>
        <w:t>)</w:t>
      </w:r>
      <w:r w:rsidRPr="001216D4">
        <w:rPr>
          <w:rFonts w:ascii="Times New Roman" w:eastAsia="Times New Roman" w:hAnsi="Times New Roman" w:cs="Times New Roman"/>
          <w:color w:val="000000"/>
          <w:kern w:val="0"/>
          <w:sz w:val="24"/>
          <w:szCs w:val="20"/>
          <w14:ligatures w14:val="none"/>
        </w:rPr>
        <w:t>.</w:t>
      </w:r>
    </w:p>
    <w:p w14:paraId="4C784303" w14:textId="0E171B53" w:rsidR="006B4A66" w:rsidRPr="006B4A66" w:rsidRDefault="00782466" w:rsidP="0073496A">
      <w:pPr>
        <w:tabs>
          <w:tab w:val="left" w:pos="720"/>
        </w:tabs>
        <w:spacing w:after="0" w:line="480" w:lineRule="auto"/>
        <w:rPr>
          <w:rFonts w:ascii="Times New Roman" w:eastAsia="Times New Roman" w:hAnsi="Times New Roman" w:cs="Times New Roman"/>
          <w:color w:val="000000"/>
          <w:kern w:val="0"/>
          <w:sz w:val="24"/>
          <w:szCs w:val="20"/>
          <w:u w:val="single"/>
          <w14:ligatures w14:val="none"/>
        </w:rPr>
      </w:pPr>
      <w:r w:rsidRPr="006B4A66">
        <w:rPr>
          <w:rFonts w:ascii="Times New Roman" w:eastAsia="Times New Roman" w:hAnsi="Times New Roman" w:cs="Times New Roman"/>
          <w:color w:val="000000"/>
          <w:kern w:val="0"/>
          <w:sz w:val="24"/>
          <w:szCs w:val="24"/>
          <w14:ligatures w14:val="none"/>
        </w:rPr>
        <w:tab/>
      </w:r>
      <w:r w:rsidR="00AA6D16">
        <w:rPr>
          <w:rFonts w:ascii="Times New Roman" w:eastAsia="Times New Roman" w:hAnsi="Times New Roman" w:cs="Times New Roman"/>
          <w:color w:val="000000"/>
          <w:kern w:val="0"/>
          <w:sz w:val="24"/>
          <w:szCs w:val="24"/>
          <w:u w:val="single"/>
          <w14:ligatures w14:val="none"/>
        </w:rPr>
        <w:t>B</w:t>
      </w:r>
      <w:r>
        <w:rPr>
          <w:rFonts w:ascii="Times New Roman" w:eastAsia="Times New Roman" w:hAnsi="Times New Roman" w:cs="Times New Roman"/>
          <w:color w:val="000000"/>
          <w:kern w:val="0"/>
          <w:sz w:val="24"/>
          <w:szCs w:val="24"/>
          <w:u w:val="single"/>
          <w14:ligatures w14:val="none"/>
        </w:rPr>
        <w:t xml:space="preserve">.  </w:t>
      </w:r>
      <w:r w:rsidR="006B4A66" w:rsidRPr="006B4A66">
        <w:rPr>
          <w:rFonts w:ascii="Times New Roman" w:eastAsia="Times New Roman" w:hAnsi="Times New Roman" w:cs="Times New Roman"/>
          <w:color w:val="000000"/>
          <w:kern w:val="0"/>
          <w:sz w:val="24"/>
          <w:szCs w:val="24"/>
          <w:u w:val="single"/>
          <w14:ligatures w14:val="none"/>
        </w:rPr>
        <w:t>Any appliances and equipment that exceed any one of these values are classified as boilers</w:t>
      </w:r>
      <w:r w:rsidR="006B4A66" w:rsidRPr="006B4A66">
        <w:rPr>
          <w:rFonts w:ascii="Times New Roman" w:eastAsia="Times New Roman" w:hAnsi="Times New Roman" w:cs="Times New Roman"/>
          <w:color w:val="000000"/>
          <w:kern w:val="0"/>
          <w:sz w:val="24"/>
          <w:szCs w:val="24"/>
          <w14:ligatures w14:val="none"/>
        </w:rPr>
        <w:t>.</w:t>
      </w:r>
    </w:p>
    <w:p w14:paraId="3CAFADAC" w14:textId="703B5F78" w:rsidR="006B4A66" w:rsidRPr="00D87A0D" w:rsidRDefault="006B4A66" w:rsidP="0073496A">
      <w:pPr>
        <w:tabs>
          <w:tab w:val="left" w:pos="720"/>
        </w:tabs>
        <w:spacing w:after="0" w:line="480" w:lineRule="auto"/>
        <w:rPr>
          <w:rFonts w:ascii="Times New Roman" w:hAnsi="Times New Roman"/>
          <w:color w:val="000000"/>
          <w:kern w:val="0"/>
          <w:sz w:val="24"/>
          <w14:ligatures w14:val="none"/>
        </w:rPr>
      </w:pPr>
      <w:r w:rsidRPr="006B4A66">
        <w:rPr>
          <w:rFonts w:ascii="Courier" w:eastAsia="Times New Roman" w:hAnsi="Courier" w:cs="Times New Roman"/>
          <w:color w:val="000000"/>
          <w:kern w:val="0"/>
          <w:sz w:val="24"/>
          <w:szCs w:val="20"/>
          <w14:ligatures w14:val="none"/>
        </w:rPr>
        <w:tab/>
      </w:r>
      <w:r w:rsidRPr="006B4A66">
        <w:rPr>
          <w:rFonts w:ascii="Times New Roman" w:eastAsia="Times New Roman" w:hAnsi="Times New Roman" w:cs="Times New Roman"/>
          <w:color w:val="000000"/>
          <w:kern w:val="0"/>
          <w:sz w:val="24"/>
          <w:szCs w:val="24"/>
          <w:u w:val="single"/>
          <w14:ligatures w14:val="none"/>
        </w:rPr>
        <w:t>NEW SECTION.  SECTION 17.</w:t>
      </w:r>
      <w:r w:rsidRPr="006B4A66">
        <w:rPr>
          <w:rFonts w:ascii="Times New Roman" w:eastAsia="Times New Roman" w:hAnsi="Times New Roman" w:cs="Times New Roman"/>
          <w:color w:val="000000"/>
          <w:kern w:val="0"/>
          <w:sz w:val="24"/>
          <w:szCs w:val="24"/>
          <w14:ligatures w14:val="none"/>
        </w:rPr>
        <w:t xml:space="preserve">  There is hereby added to K.C.C. chapter 16.04 a new section to read as follows:</w:t>
      </w:r>
    </w:p>
    <w:p w14:paraId="3AA66252" w14:textId="2D1D68D8"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Courier" w:eastAsia="Times New Roman" w:hAnsi="Courier" w:cs="Times New Roman"/>
          <w:color w:val="000000"/>
          <w:kern w:val="0"/>
          <w:sz w:val="24"/>
          <w:szCs w:val="20"/>
          <w14:ligatures w14:val="none"/>
        </w:rPr>
        <w:tab/>
      </w:r>
      <w:r w:rsidRPr="006B4A66">
        <w:rPr>
          <w:rFonts w:ascii="Times New Roman" w:eastAsia="Times New Roman" w:hAnsi="Times New Roman" w:cs="Times New Roman"/>
          <w:color w:val="000000"/>
          <w:kern w:val="0"/>
          <w:sz w:val="24"/>
          <w:szCs w:val="24"/>
          <w14:ligatures w14:val="none"/>
        </w:rPr>
        <w:t xml:space="preserve">Section 429.2 of the International Building Code is not adopted and </w:t>
      </w:r>
      <w:r w:rsidR="00DD58CA">
        <w:rPr>
          <w:rFonts w:ascii="Times New Roman" w:eastAsia="Times New Roman" w:hAnsi="Times New Roman" w:cs="Times New Roman"/>
          <w:color w:val="000000"/>
          <w:kern w:val="0"/>
          <w:sz w:val="24"/>
          <w:szCs w:val="24"/>
          <w14:ligatures w14:val="none"/>
        </w:rPr>
        <w:t xml:space="preserve">the following </w:t>
      </w:r>
      <w:r w:rsidRPr="006B4A66">
        <w:rPr>
          <w:rFonts w:ascii="Times New Roman" w:eastAsia="Times New Roman" w:hAnsi="Times New Roman" w:cs="Times New Roman"/>
          <w:color w:val="000000"/>
          <w:kern w:val="0"/>
          <w:sz w:val="24"/>
          <w:szCs w:val="24"/>
          <w14:ligatures w14:val="none"/>
        </w:rPr>
        <w:t>is substituted:</w:t>
      </w:r>
    </w:p>
    <w:p w14:paraId="1C16BE88"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b/>
          <w:bCs/>
          <w:color w:val="000000"/>
          <w:kern w:val="0"/>
          <w:sz w:val="24"/>
          <w:szCs w:val="24"/>
          <w14:ligatures w14:val="none"/>
        </w:rPr>
        <w:t>Electric Vehicle (EV) Charging Infrastructure (IBC 429.2).</w:t>
      </w:r>
      <w:r w:rsidRPr="006B4A66">
        <w:rPr>
          <w:rFonts w:ascii="Times New Roman" w:eastAsia="Times New Roman" w:hAnsi="Times New Roman" w:cs="Times New Roman"/>
          <w:color w:val="000000"/>
          <w:kern w:val="0"/>
          <w:sz w:val="24"/>
          <w:szCs w:val="24"/>
          <w14:ligatures w14:val="none"/>
        </w:rPr>
        <w:t xml:space="preserve">  Buildings and accessory structures shall be provided with EV charging stations, EV-ready parking spaces, and EV-capable parking spaces in accordance with IBC Table 429.2.  Calculations shall be rounded up to the nearest whole number.  Where a building contains </w:t>
      </w:r>
      <w:r w:rsidRPr="006B4A66">
        <w:rPr>
          <w:rFonts w:ascii="Times New Roman" w:eastAsia="Times New Roman" w:hAnsi="Times New Roman" w:cs="Times New Roman"/>
          <w:color w:val="000000"/>
          <w:kern w:val="0"/>
          <w:sz w:val="24"/>
          <w:szCs w:val="24"/>
          <w14:ligatures w14:val="none"/>
        </w:rPr>
        <w:lastRenderedPageBreak/>
        <w:t>more than one occupancy, the electric vehicle charging infrastructure percentages of IBC Table 429.2 shall be applied to the number of spaces required for each occupancy.</w:t>
      </w:r>
    </w:p>
    <w:p w14:paraId="32CC46B3" w14:textId="337007B8" w:rsidR="003F26AB"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b/>
          <w:bCs/>
          <w:color w:val="000000"/>
          <w:kern w:val="0"/>
          <w:sz w:val="24"/>
          <w:szCs w:val="24"/>
          <w14:ligatures w14:val="none"/>
        </w:rPr>
        <w:t>EXCEPTION</w:t>
      </w:r>
      <w:r w:rsidR="003F26AB">
        <w:rPr>
          <w:rFonts w:ascii="Times New Roman" w:eastAsia="Times New Roman" w:hAnsi="Times New Roman" w:cs="Times New Roman"/>
          <w:b/>
          <w:bCs/>
          <w:color w:val="000000"/>
          <w:kern w:val="0"/>
          <w:sz w:val="24"/>
          <w:szCs w:val="24"/>
          <w14:ligatures w14:val="none"/>
        </w:rPr>
        <w:t>S</w:t>
      </w:r>
      <w:r w:rsidRPr="006B4A66">
        <w:rPr>
          <w:rFonts w:ascii="Times New Roman" w:eastAsia="Times New Roman" w:hAnsi="Times New Roman" w:cs="Times New Roman"/>
          <w:b/>
          <w:bCs/>
          <w:color w:val="000000"/>
          <w:kern w:val="0"/>
          <w:sz w:val="24"/>
          <w:szCs w:val="24"/>
          <w14:ligatures w14:val="none"/>
        </w:rPr>
        <w:t>:</w:t>
      </w:r>
    </w:p>
    <w:p w14:paraId="2F98199C" w14:textId="453A215E" w:rsidR="006B4A66" w:rsidRDefault="003F26AB"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ab/>
        <w:t xml:space="preserve">1.  </w:t>
      </w:r>
      <w:r w:rsidR="006B4A66" w:rsidRPr="006B4A66">
        <w:rPr>
          <w:rFonts w:ascii="Times New Roman" w:eastAsia="Times New Roman" w:hAnsi="Times New Roman" w:cs="Times New Roman"/>
          <w:color w:val="000000"/>
          <w:kern w:val="0"/>
          <w:sz w:val="24"/>
          <w:szCs w:val="24"/>
          <w14:ligatures w14:val="none"/>
        </w:rPr>
        <w:t>On-site parking with less than 10 parking spaces shall not be required to comply with Section 429.2.</w:t>
      </w:r>
    </w:p>
    <w:p w14:paraId="3D19219E" w14:textId="74928F70" w:rsidR="003F26AB" w:rsidRPr="0017177C" w:rsidRDefault="003F26AB"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ab/>
        <w:t xml:space="preserve">2.  </w:t>
      </w:r>
      <w:r w:rsidRPr="0017177C">
        <w:rPr>
          <w:rFonts w:ascii="Times New Roman" w:eastAsia="Times New Roman" w:hAnsi="Times New Roman" w:cs="Times New Roman"/>
          <w:color w:val="000000"/>
          <w:kern w:val="0"/>
          <w:sz w:val="24"/>
          <w:szCs w:val="24"/>
          <w14:ligatures w14:val="none"/>
        </w:rPr>
        <w:t xml:space="preserve">For townhouse developments containing nine or fewer dwelling units, the director may reduce the requirements of </w:t>
      </w:r>
      <w:r>
        <w:rPr>
          <w:rFonts w:ascii="Times New Roman" w:eastAsia="Times New Roman" w:hAnsi="Times New Roman" w:cs="Times New Roman"/>
          <w:color w:val="000000"/>
          <w:kern w:val="0"/>
          <w:sz w:val="24"/>
          <w:szCs w:val="24"/>
          <w14:ligatures w14:val="none"/>
        </w:rPr>
        <w:t>Table 429.2</w:t>
      </w:r>
      <w:r w:rsidRPr="0017177C">
        <w:rPr>
          <w:rFonts w:ascii="Times New Roman" w:eastAsia="Times New Roman" w:hAnsi="Times New Roman" w:cs="Times New Roman"/>
          <w:color w:val="000000"/>
          <w:kern w:val="0"/>
          <w:sz w:val="24"/>
          <w:szCs w:val="24"/>
          <w14:ligatures w14:val="none"/>
        </w:rPr>
        <w:t>. where the applicant can prove that the added electrical load to meet the requirements will require an on-site transformer that is pole-mounted, on a slab or in an underground vault.  The reductions shall occur as follows:</w:t>
      </w:r>
    </w:p>
    <w:p w14:paraId="082B86F0" w14:textId="6BE4F86E" w:rsidR="003F26AB" w:rsidRPr="0017177C" w:rsidRDefault="00C963EF"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ab/>
      </w:r>
      <w:r w:rsidR="003F26AB">
        <w:rPr>
          <w:rFonts w:ascii="Times New Roman" w:eastAsia="Times New Roman" w:hAnsi="Times New Roman" w:cs="Times New Roman"/>
          <w:color w:val="000000"/>
          <w:kern w:val="0"/>
          <w:sz w:val="24"/>
          <w:szCs w:val="24"/>
          <w14:ligatures w14:val="none"/>
        </w:rPr>
        <w:t xml:space="preserve">  a</w:t>
      </w:r>
      <w:r w:rsidR="003F26AB" w:rsidRPr="0017177C">
        <w:rPr>
          <w:rFonts w:ascii="Times New Roman" w:eastAsia="Times New Roman" w:hAnsi="Times New Roman" w:cs="Times New Roman"/>
          <w:color w:val="000000"/>
          <w:kern w:val="0"/>
          <w:sz w:val="24"/>
          <w:szCs w:val="24"/>
          <w14:ligatures w14:val="none"/>
        </w:rPr>
        <w:t xml:space="preserve">.  The maximum quantity of </w:t>
      </w:r>
      <w:r w:rsidR="003F26AB">
        <w:rPr>
          <w:rFonts w:ascii="Times New Roman" w:eastAsia="Times New Roman" w:hAnsi="Times New Roman" w:cs="Times New Roman"/>
          <w:color w:val="000000"/>
          <w:kern w:val="0"/>
          <w:sz w:val="24"/>
          <w:szCs w:val="24"/>
          <w14:ligatures w14:val="none"/>
        </w:rPr>
        <w:t xml:space="preserve">EV </w:t>
      </w:r>
      <w:r w:rsidR="003F26AB" w:rsidRPr="0017177C">
        <w:rPr>
          <w:rFonts w:ascii="Times New Roman" w:eastAsia="Times New Roman" w:hAnsi="Times New Roman" w:cs="Times New Roman"/>
          <w:color w:val="000000"/>
          <w:kern w:val="0"/>
          <w:sz w:val="24"/>
          <w:szCs w:val="24"/>
          <w14:ligatures w14:val="none"/>
        </w:rPr>
        <w:t>charging infrastructure required to be installed shall be reduced to the maximum service size that would not require the changes to transformation or electrical service; and</w:t>
      </w:r>
    </w:p>
    <w:p w14:paraId="01208F2E" w14:textId="4A1B84F4" w:rsidR="003F26AB" w:rsidRPr="00383444" w:rsidRDefault="00C963EF" w:rsidP="0073496A">
      <w:pPr>
        <w:tabs>
          <w:tab w:val="left" w:pos="720"/>
        </w:tabs>
        <w:spacing w:after="0" w:line="480" w:lineRule="auto"/>
        <w:rPr>
          <w:rFonts w:ascii="Times New Roman" w:eastAsia="Calibri" w:hAnsi="Times New Roman" w:cs="Times New Roman"/>
          <w:color w:val="000000"/>
          <w:kern w:val="0"/>
          <w:sz w:val="24"/>
          <w14:ligatures w14:val="none"/>
        </w:rPr>
      </w:pPr>
      <w:r>
        <w:rPr>
          <w:rFonts w:ascii="Times New Roman" w:eastAsia="Times New Roman" w:hAnsi="Times New Roman" w:cs="Times New Roman"/>
          <w:color w:val="000000"/>
          <w:kern w:val="0"/>
          <w:sz w:val="24"/>
          <w:szCs w:val="24"/>
          <w14:ligatures w14:val="none"/>
        </w:rPr>
        <w:tab/>
      </w:r>
      <w:r w:rsidR="003F26AB">
        <w:rPr>
          <w:rFonts w:ascii="Times New Roman" w:eastAsia="Times New Roman" w:hAnsi="Times New Roman" w:cs="Times New Roman"/>
          <w:color w:val="000000"/>
          <w:kern w:val="0"/>
          <w:sz w:val="24"/>
          <w:szCs w:val="24"/>
          <w14:ligatures w14:val="none"/>
        </w:rPr>
        <w:t xml:space="preserve">  b</w:t>
      </w:r>
      <w:r w:rsidR="003F26AB" w:rsidRPr="0017177C">
        <w:rPr>
          <w:rFonts w:ascii="Times New Roman" w:eastAsia="Times New Roman" w:hAnsi="Times New Roman" w:cs="Times New Roman"/>
          <w:color w:val="000000"/>
          <w:kern w:val="0"/>
          <w:sz w:val="24"/>
          <w:szCs w:val="24"/>
          <w14:ligatures w14:val="none"/>
        </w:rPr>
        <w:t xml:space="preserve">.  The director may first reduce the number of required electric-vehicle-ready parking spaces.  If this is not sufficient, the director may also then reduce the required level of </w:t>
      </w:r>
      <w:r w:rsidR="003F26AB">
        <w:rPr>
          <w:rFonts w:ascii="Times New Roman" w:eastAsia="Times New Roman" w:hAnsi="Times New Roman" w:cs="Times New Roman"/>
          <w:color w:val="000000"/>
          <w:kern w:val="0"/>
          <w:sz w:val="24"/>
          <w:szCs w:val="24"/>
          <w14:ligatures w14:val="none"/>
        </w:rPr>
        <w:t>EV</w:t>
      </w:r>
      <w:r w:rsidR="003F26AB" w:rsidRPr="0017177C">
        <w:rPr>
          <w:rFonts w:ascii="Times New Roman" w:eastAsia="Times New Roman" w:hAnsi="Times New Roman" w:cs="Times New Roman"/>
          <w:color w:val="000000"/>
          <w:kern w:val="0"/>
          <w:sz w:val="24"/>
          <w:szCs w:val="24"/>
          <w14:ligatures w14:val="none"/>
        </w:rPr>
        <w:t xml:space="preserve"> infrastructure at </w:t>
      </w:r>
      <w:r w:rsidR="003F26AB">
        <w:rPr>
          <w:rFonts w:ascii="Times New Roman" w:eastAsia="Times New Roman" w:hAnsi="Times New Roman" w:cs="Times New Roman"/>
          <w:color w:val="000000"/>
          <w:kern w:val="0"/>
          <w:sz w:val="24"/>
          <w:szCs w:val="24"/>
          <w14:ligatures w14:val="none"/>
        </w:rPr>
        <w:t>EV R</w:t>
      </w:r>
      <w:r w:rsidR="003F26AB" w:rsidRPr="0017177C">
        <w:rPr>
          <w:rFonts w:ascii="Times New Roman" w:eastAsia="Times New Roman" w:hAnsi="Times New Roman" w:cs="Times New Roman"/>
          <w:color w:val="000000"/>
          <w:kern w:val="0"/>
          <w:sz w:val="24"/>
          <w:szCs w:val="24"/>
          <w14:ligatures w14:val="none"/>
        </w:rPr>
        <w:t>eady parking spaces from 208/240 volt to 120</w:t>
      </w:r>
      <w:r w:rsidR="003F26AB">
        <w:rPr>
          <w:rFonts w:ascii="Times New Roman" w:eastAsia="Times New Roman" w:hAnsi="Times New Roman" w:cs="Times New Roman"/>
          <w:color w:val="000000"/>
          <w:kern w:val="0"/>
          <w:sz w:val="24"/>
          <w:szCs w:val="24"/>
          <w14:ligatures w14:val="none"/>
        </w:rPr>
        <w:t>-</w:t>
      </w:r>
      <w:r w:rsidR="003F26AB" w:rsidRPr="0017177C">
        <w:rPr>
          <w:rFonts w:ascii="Times New Roman" w:eastAsia="Times New Roman" w:hAnsi="Times New Roman" w:cs="Times New Roman"/>
          <w:color w:val="000000"/>
          <w:kern w:val="0"/>
          <w:sz w:val="24"/>
          <w:szCs w:val="24"/>
          <w14:ligatures w14:val="none"/>
        </w:rPr>
        <w:t>volt circuits</w:t>
      </w:r>
      <w:r w:rsidR="003F26AB">
        <w:rPr>
          <w:rFonts w:ascii="Times New Roman" w:eastAsia="Times New Roman" w:hAnsi="Times New Roman" w:cs="Times New Roman"/>
          <w:color w:val="000000"/>
          <w:kern w:val="0"/>
          <w:sz w:val="24"/>
          <w:szCs w:val="24"/>
          <w14:ligatures w14:val="none"/>
        </w:rPr>
        <w:t>.</w:t>
      </w:r>
    </w:p>
    <w:p w14:paraId="791B43F8" w14:textId="77777777" w:rsidR="006B4A66" w:rsidRPr="006B4A66" w:rsidRDefault="006B4A66" w:rsidP="0073496A">
      <w:pPr>
        <w:tabs>
          <w:tab w:val="left" w:pos="720"/>
        </w:tabs>
        <w:spacing w:after="0" w:line="480" w:lineRule="auto"/>
        <w:jc w:val="center"/>
        <w:rPr>
          <w:rFonts w:ascii="Times New Roman" w:eastAsia="Times New Roman" w:hAnsi="Times New Roman" w:cs="Times New Roman"/>
          <w:b/>
          <w:bCs/>
          <w:color w:val="000000"/>
          <w:kern w:val="0"/>
          <w:sz w:val="24"/>
          <w:szCs w:val="20"/>
          <w14:ligatures w14:val="none"/>
        </w:rPr>
      </w:pPr>
      <w:r w:rsidRPr="006B4A66">
        <w:rPr>
          <w:rFonts w:ascii="Times New Roman" w:eastAsia="Times New Roman" w:hAnsi="Times New Roman" w:cs="Times New Roman"/>
          <w:b/>
          <w:bCs/>
          <w:color w:val="000000"/>
          <w:kern w:val="0"/>
          <w:sz w:val="24"/>
          <w:szCs w:val="20"/>
          <w14:ligatures w14:val="none"/>
        </w:rPr>
        <w:t>Table 429.2</w:t>
      </w:r>
    </w:p>
    <w:p w14:paraId="260B7A2E" w14:textId="77777777" w:rsidR="006B4A66" w:rsidRPr="006B4A66" w:rsidRDefault="006B4A66" w:rsidP="0073496A">
      <w:pPr>
        <w:tabs>
          <w:tab w:val="left" w:pos="720"/>
        </w:tabs>
        <w:spacing w:after="0" w:line="480" w:lineRule="auto"/>
        <w:ind w:firstLine="720"/>
        <w:jc w:val="center"/>
        <w:rPr>
          <w:rFonts w:ascii="Times New Roman" w:eastAsia="Times New Roman" w:hAnsi="Times New Roman" w:cs="Times New Roman"/>
          <w:b/>
          <w:bCs/>
          <w:color w:val="000000"/>
          <w:kern w:val="0"/>
          <w:sz w:val="24"/>
          <w:szCs w:val="20"/>
          <w14:ligatures w14:val="none"/>
        </w:rPr>
      </w:pPr>
      <w:r w:rsidRPr="006B4A66">
        <w:rPr>
          <w:rFonts w:ascii="Times New Roman" w:eastAsia="Times New Roman" w:hAnsi="Times New Roman" w:cs="Times New Roman"/>
          <w:b/>
          <w:bCs/>
          <w:color w:val="000000"/>
          <w:kern w:val="0"/>
          <w:sz w:val="24"/>
          <w:szCs w:val="20"/>
          <w14:ligatures w14:val="none"/>
        </w:rPr>
        <w:t>Electric Vehicle Charging Infrastructure</w:t>
      </w:r>
    </w:p>
    <w:tbl>
      <w:tblPr>
        <w:tblW w:w="85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37"/>
        <w:gridCol w:w="2138"/>
        <w:gridCol w:w="2137"/>
        <w:gridCol w:w="2138"/>
      </w:tblGrid>
      <w:tr w:rsidR="006B4A66" w:rsidRPr="006B4A66" w14:paraId="58ABA440" w14:textId="77777777">
        <w:trPr>
          <w:trHeight w:val="552"/>
          <w:jc w:val="center"/>
        </w:trPr>
        <w:tc>
          <w:tcPr>
            <w:tcW w:w="2137" w:type="dxa"/>
            <w:vMerge w:val="restart"/>
          </w:tcPr>
          <w:p w14:paraId="215AFE92" w14:textId="7089A739" w:rsidR="006B4A66" w:rsidRPr="006B4A66" w:rsidRDefault="006B4A66"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jc w:val="center"/>
              <w:rPr>
                <w:rFonts w:ascii="Times New Roman" w:eastAsia="Arial" w:hAnsi="Times New Roman" w:cs="Times New Roman"/>
                <w:b/>
                <w:bCs/>
                <w:color w:val="000000"/>
                <w:kern w:val="0"/>
                <w:sz w:val="20"/>
                <w:szCs w:val="20"/>
                <w14:ligatures w14:val="none"/>
              </w:rPr>
            </w:pPr>
            <w:r w:rsidRPr="006B4A66">
              <w:rPr>
                <w:rFonts w:ascii="Times New Roman" w:eastAsia="Arial" w:hAnsi="Times New Roman" w:cs="Times New Roman"/>
                <w:b/>
                <w:bCs/>
                <w:color w:val="000000"/>
                <w:kern w:val="0"/>
                <w:sz w:val="20"/>
                <w:szCs w:val="20"/>
                <w14:ligatures w14:val="none"/>
              </w:rPr>
              <w:t>Occupancy</w:t>
            </w:r>
            <w:r w:rsidR="005A1845">
              <w:rPr>
                <w:rFonts w:ascii="Times New Roman" w:eastAsia="Arial" w:hAnsi="Times New Roman" w:cs="Times New Roman"/>
                <w:b/>
                <w:bCs/>
                <w:color w:val="000000"/>
                <w:kern w:val="0"/>
                <w:sz w:val="20"/>
                <w:szCs w:val="20"/>
                <w14:ligatures w14:val="none"/>
              </w:rPr>
              <w:t>/Use</w:t>
            </w:r>
          </w:p>
        </w:tc>
        <w:tc>
          <w:tcPr>
            <w:tcW w:w="2138" w:type="dxa"/>
            <w:vMerge w:val="restart"/>
          </w:tcPr>
          <w:p w14:paraId="3AE4E1EF" w14:textId="77777777" w:rsidR="006B4A66" w:rsidRPr="006B4A66" w:rsidRDefault="006B4A66"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jc w:val="center"/>
              <w:rPr>
                <w:rFonts w:ascii="Times New Roman" w:eastAsia="Arial" w:hAnsi="Times New Roman" w:cs="Times New Roman"/>
                <w:b/>
                <w:bCs/>
                <w:color w:val="000000"/>
                <w:kern w:val="0"/>
                <w:sz w:val="20"/>
                <w:szCs w:val="20"/>
                <w14:ligatures w14:val="none"/>
              </w:rPr>
            </w:pPr>
            <w:r w:rsidRPr="006B4A66">
              <w:rPr>
                <w:rFonts w:ascii="Times New Roman" w:eastAsia="Arial" w:hAnsi="Times New Roman" w:cs="Times New Roman"/>
                <w:b/>
                <w:bCs/>
                <w:color w:val="000000"/>
                <w:kern w:val="0"/>
                <w:sz w:val="20"/>
                <w:szCs w:val="20"/>
                <w14:ligatures w14:val="none"/>
              </w:rPr>
              <w:t>Number of EV charging stations</w:t>
            </w:r>
          </w:p>
        </w:tc>
        <w:tc>
          <w:tcPr>
            <w:tcW w:w="2137" w:type="dxa"/>
            <w:vMerge w:val="restart"/>
          </w:tcPr>
          <w:p w14:paraId="79BC5ED2" w14:textId="77777777" w:rsidR="006B4A66" w:rsidRPr="006B4A66" w:rsidRDefault="006B4A66"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jc w:val="center"/>
              <w:rPr>
                <w:rFonts w:ascii="Times New Roman" w:eastAsia="Arial" w:hAnsi="Times New Roman" w:cs="Times New Roman"/>
                <w:b/>
                <w:bCs/>
                <w:color w:val="000000"/>
                <w:kern w:val="0"/>
                <w:sz w:val="20"/>
                <w:szCs w:val="20"/>
                <w14:ligatures w14:val="none"/>
              </w:rPr>
            </w:pPr>
            <w:r w:rsidRPr="006B4A66">
              <w:rPr>
                <w:rFonts w:ascii="Times New Roman" w:eastAsia="Arial" w:hAnsi="Times New Roman" w:cs="Times New Roman"/>
                <w:b/>
                <w:bCs/>
                <w:color w:val="000000"/>
                <w:kern w:val="0"/>
                <w:sz w:val="20"/>
                <w:szCs w:val="20"/>
                <w14:ligatures w14:val="none"/>
              </w:rPr>
              <w:t>Number of EV-ready parking spaces</w:t>
            </w:r>
          </w:p>
        </w:tc>
        <w:tc>
          <w:tcPr>
            <w:tcW w:w="2138" w:type="dxa"/>
            <w:vMerge w:val="restart"/>
          </w:tcPr>
          <w:p w14:paraId="4A8E85B1" w14:textId="77777777" w:rsidR="006B4A66" w:rsidRPr="006B4A66" w:rsidRDefault="006B4A66"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jc w:val="center"/>
              <w:rPr>
                <w:rFonts w:ascii="Times New Roman" w:eastAsia="Arial" w:hAnsi="Times New Roman" w:cs="Times New Roman"/>
                <w:b/>
                <w:bCs/>
                <w:color w:val="000000"/>
                <w:kern w:val="0"/>
                <w:sz w:val="20"/>
                <w:szCs w:val="20"/>
                <w14:ligatures w14:val="none"/>
              </w:rPr>
            </w:pPr>
            <w:r w:rsidRPr="006B4A66">
              <w:rPr>
                <w:rFonts w:ascii="Times New Roman" w:eastAsia="Arial" w:hAnsi="Times New Roman" w:cs="Times New Roman"/>
                <w:b/>
                <w:bCs/>
                <w:color w:val="000000"/>
                <w:kern w:val="0"/>
                <w:sz w:val="20"/>
                <w:szCs w:val="20"/>
                <w14:ligatures w14:val="none"/>
              </w:rPr>
              <w:t>Number of EV-capable parking spaces</w:t>
            </w:r>
          </w:p>
        </w:tc>
      </w:tr>
      <w:tr w:rsidR="006B4A66" w:rsidRPr="006B4A66" w14:paraId="70286F6C" w14:textId="77777777">
        <w:trPr>
          <w:trHeight w:val="460"/>
          <w:jc w:val="center"/>
        </w:trPr>
        <w:tc>
          <w:tcPr>
            <w:tcW w:w="2137" w:type="dxa"/>
            <w:vMerge/>
          </w:tcPr>
          <w:p w14:paraId="4BC919FE" w14:textId="77777777" w:rsidR="006B4A66" w:rsidRPr="006B4A66" w:rsidRDefault="006B4A66"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rPr>
                <w:rFonts w:ascii="Times New Roman" w:eastAsia="Arial" w:hAnsi="Times New Roman" w:cs="Times New Roman"/>
                <w:color w:val="000000"/>
                <w:kern w:val="0"/>
                <w:sz w:val="20"/>
                <w:szCs w:val="20"/>
                <w14:ligatures w14:val="none"/>
              </w:rPr>
            </w:pPr>
          </w:p>
        </w:tc>
        <w:tc>
          <w:tcPr>
            <w:tcW w:w="2138" w:type="dxa"/>
            <w:vMerge/>
          </w:tcPr>
          <w:p w14:paraId="7CF710F1" w14:textId="77777777" w:rsidR="006B4A66" w:rsidRPr="006B4A66" w:rsidRDefault="006B4A66"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rPr>
                <w:rFonts w:ascii="Times New Roman" w:eastAsia="Arial" w:hAnsi="Times New Roman" w:cs="Times New Roman"/>
                <w:color w:val="000000"/>
                <w:kern w:val="0"/>
                <w:sz w:val="20"/>
                <w:szCs w:val="20"/>
                <w14:ligatures w14:val="none"/>
              </w:rPr>
            </w:pPr>
          </w:p>
        </w:tc>
        <w:tc>
          <w:tcPr>
            <w:tcW w:w="2137" w:type="dxa"/>
            <w:vMerge/>
          </w:tcPr>
          <w:p w14:paraId="2D51EE6E" w14:textId="77777777" w:rsidR="006B4A66" w:rsidRPr="006B4A66" w:rsidRDefault="006B4A66"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rPr>
                <w:rFonts w:ascii="Times New Roman" w:eastAsia="Arial" w:hAnsi="Times New Roman" w:cs="Times New Roman"/>
                <w:color w:val="000000"/>
                <w:kern w:val="0"/>
                <w:sz w:val="20"/>
                <w:szCs w:val="20"/>
                <w14:ligatures w14:val="none"/>
              </w:rPr>
            </w:pPr>
          </w:p>
        </w:tc>
        <w:tc>
          <w:tcPr>
            <w:tcW w:w="2138" w:type="dxa"/>
            <w:vMerge/>
          </w:tcPr>
          <w:p w14:paraId="3B34B59F" w14:textId="77777777" w:rsidR="006B4A66" w:rsidRPr="006B4A66" w:rsidRDefault="006B4A66"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rPr>
                <w:rFonts w:ascii="Times New Roman" w:eastAsia="Arial" w:hAnsi="Times New Roman" w:cs="Times New Roman"/>
                <w:color w:val="000000"/>
                <w:kern w:val="0"/>
                <w:sz w:val="20"/>
                <w:szCs w:val="20"/>
                <w14:ligatures w14:val="none"/>
              </w:rPr>
            </w:pPr>
          </w:p>
        </w:tc>
      </w:tr>
      <w:tr w:rsidR="00D17A70" w:rsidRPr="006B4A66" w14:paraId="764825F3" w14:textId="77777777">
        <w:trPr>
          <w:trHeight w:val="432"/>
          <w:jc w:val="center"/>
        </w:trPr>
        <w:tc>
          <w:tcPr>
            <w:tcW w:w="2137" w:type="dxa"/>
          </w:tcPr>
          <w:p w14:paraId="0D325D8B" w14:textId="277185EE" w:rsidR="000C507F" w:rsidRPr="006B4A66" w:rsidRDefault="000C507F"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rPr>
                <w:rFonts w:ascii="Times New Roman" w:eastAsia="Arial" w:hAnsi="Times New Roman" w:cs="Times New Roman"/>
                <w:color w:val="000000"/>
                <w:kern w:val="0"/>
                <w:sz w:val="20"/>
                <w:szCs w:val="20"/>
                <w14:ligatures w14:val="none"/>
              </w:rPr>
            </w:pPr>
            <w:r>
              <w:rPr>
                <w:rFonts w:ascii="Times New Roman" w:eastAsia="Arial" w:hAnsi="Times New Roman" w:cs="Times New Roman"/>
                <w:color w:val="000000"/>
                <w:kern w:val="0"/>
                <w:sz w:val="20"/>
                <w:szCs w:val="20"/>
                <w14:ligatures w14:val="none"/>
              </w:rPr>
              <w:t>Group A, E, and M occupancies</w:t>
            </w:r>
          </w:p>
        </w:tc>
        <w:tc>
          <w:tcPr>
            <w:tcW w:w="2138" w:type="dxa"/>
          </w:tcPr>
          <w:p w14:paraId="603B50F8" w14:textId="6B074A45" w:rsidR="000C507F" w:rsidRPr="006B4A66" w:rsidRDefault="000C507F"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rPr>
                <w:rFonts w:ascii="Times New Roman" w:eastAsia="Arial" w:hAnsi="Times New Roman" w:cs="Times New Roman"/>
                <w:color w:val="000000"/>
                <w:kern w:val="0"/>
                <w:sz w:val="20"/>
                <w:szCs w:val="20"/>
                <w14:ligatures w14:val="none"/>
              </w:rPr>
            </w:pPr>
            <w:r>
              <w:rPr>
                <w:rFonts w:ascii="Times New Roman" w:eastAsia="Arial" w:hAnsi="Times New Roman" w:cs="Times New Roman"/>
                <w:color w:val="000000"/>
                <w:kern w:val="0"/>
                <w:sz w:val="20"/>
                <w:szCs w:val="20"/>
                <w14:ligatures w14:val="none"/>
              </w:rPr>
              <w:t>5</w:t>
            </w:r>
            <w:r w:rsidRPr="006B4A66">
              <w:rPr>
                <w:rFonts w:ascii="Times New Roman" w:eastAsia="Arial" w:hAnsi="Times New Roman" w:cs="Times New Roman"/>
                <w:color w:val="000000"/>
                <w:kern w:val="0"/>
                <w:sz w:val="20"/>
                <w:szCs w:val="20"/>
                <w14:ligatures w14:val="none"/>
              </w:rPr>
              <w:t>% of total parking spaces</w:t>
            </w:r>
          </w:p>
        </w:tc>
        <w:tc>
          <w:tcPr>
            <w:tcW w:w="2137" w:type="dxa"/>
          </w:tcPr>
          <w:p w14:paraId="5E9E3221" w14:textId="331BBBA5" w:rsidR="000C507F" w:rsidRPr="006B4A66" w:rsidRDefault="000C507F"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rPr>
                <w:rFonts w:ascii="Times New Roman" w:eastAsia="Arial" w:hAnsi="Times New Roman" w:cs="Times New Roman"/>
                <w:color w:val="000000"/>
                <w:kern w:val="0"/>
                <w:sz w:val="20"/>
                <w:szCs w:val="20"/>
                <w14:ligatures w14:val="none"/>
              </w:rPr>
            </w:pPr>
            <w:r w:rsidRPr="006B4A66">
              <w:rPr>
                <w:rFonts w:ascii="Times New Roman" w:eastAsia="Arial" w:hAnsi="Times New Roman" w:cs="Times New Roman"/>
                <w:color w:val="000000"/>
                <w:kern w:val="0"/>
                <w:sz w:val="20"/>
                <w:szCs w:val="20"/>
                <w14:ligatures w14:val="none"/>
              </w:rPr>
              <w:t>10% of total parking spaces</w:t>
            </w:r>
          </w:p>
        </w:tc>
        <w:tc>
          <w:tcPr>
            <w:tcW w:w="2138" w:type="dxa"/>
          </w:tcPr>
          <w:p w14:paraId="75F5F560" w14:textId="49FA85DA" w:rsidR="000C507F" w:rsidRPr="006B4A66" w:rsidRDefault="000C507F"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rPr>
                <w:rFonts w:ascii="Times New Roman" w:eastAsia="Arial" w:hAnsi="Times New Roman" w:cs="Times New Roman"/>
                <w:color w:val="000000"/>
                <w:kern w:val="0"/>
                <w:sz w:val="20"/>
                <w:szCs w:val="20"/>
                <w14:ligatures w14:val="none"/>
              </w:rPr>
            </w:pPr>
            <w:r w:rsidRPr="006B4A66">
              <w:rPr>
                <w:rFonts w:ascii="Times New Roman" w:eastAsia="Arial" w:hAnsi="Times New Roman" w:cs="Times New Roman"/>
                <w:color w:val="000000"/>
                <w:kern w:val="0"/>
                <w:sz w:val="20"/>
                <w:szCs w:val="20"/>
                <w14:ligatures w14:val="none"/>
              </w:rPr>
              <w:t>10% of total parking spaces</w:t>
            </w:r>
          </w:p>
        </w:tc>
      </w:tr>
      <w:tr w:rsidR="000C507F" w:rsidRPr="006B4A66" w14:paraId="4A60B8C0" w14:textId="77777777">
        <w:trPr>
          <w:trHeight w:val="432"/>
          <w:jc w:val="center"/>
        </w:trPr>
        <w:tc>
          <w:tcPr>
            <w:tcW w:w="2137" w:type="dxa"/>
          </w:tcPr>
          <w:p w14:paraId="5A477A31" w14:textId="60EBFAFE" w:rsidR="000C507F" w:rsidRPr="006B4A66" w:rsidRDefault="000C507F"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rPr>
                <w:rFonts w:ascii="Times New Roman" w:eastAsia="Arial" w:hAnsi="Times New Roman" w:cs="Times New Roman"/>
                <w:color w:val="000000"/>
                <w:kern w:val="0"/>
                <w:sz w:val="20"/>
                <w:szCs w:val="20"/>
                <w14:ligatures w14:val="none"/>
              </w:rPr>
            </w:pPr>
            <w:r w:rsidRPr="006B4A66">
              <w:rPr>
                <w:rFonts w:ascii="Times New Roman" w:eastAsia="Arial" w:hAnsi="Times New Roman" w:cs="Times New Roman"/>
                <w:color w:val="000000"/>
                <w:kern w:val="0"/>
                <w:sz w:val="20"/>
                <w:szCs w:val="20"/>
                <w14:ligatures w14:val="none"/>
              </w:rPr>
              <w:lastRenderedPageBreak/>
              <w:t>Group B, F, H, I, and S occupancies</w:t>
            </w:r>
            <w:r w:rsidR="00C97DA5">
              <w:rPr>
                <w:rFonts w:ascii="Times New Roman" w:eastAsia="Arial" w:hAnsi="Times New Roman" w:cs="Times New Roman"/>
                <w:color w:val="000000"/>
                <w:kern w:val="0"/>
                <w:sz w:val="20"/>
                <w:szCs w:val="20"/>
                <w14:ligatures w14:val="none"/>
              </w:rPr>
              <w:t>, and standalone surface parking lots</w:t>
            </w:r>
          </w:p>
        </w:tc>
        <w:tc>
          <w:tcPr>
            <w:tcW w:w="2138" w:type="dxa"/>
          </w:tcPr>
          <w:p w14:paraId="0327A2AA" w14:textId="77777777" w:rsidR="000C507F" w:rsidRPr="006B4A66" w:rsidRDefault="000C507F"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rPr>
                <w:rFonts w:ascii="Times New Roman" w:eastAsia="Arial" w:hAnsi="Times New Roman" w:cs="Times New Roman"/>
                <w:color w:val="000000"/>
                <w:kern w:val="0"/>
                <w:sz w:val="20"/>
                <w:szCs w:val="20"/>
                <w14:ligatures w14:val="none"/>
              </w:rPr>
            </w:pPr>
            <w:r w:rsidRPr="006B4A66">
              <w:rPr>
                <w:rFonts w:ascii="Times New Roman" w:eastAsia="Arial" w:hAnsi="Times New Roman" w:cs="Times New Roman"/>
                <w:color w:val="000000"/>
                <w:kern w:val="0"/>
                <w:sz w:val="20"/>
                <w:szCs w:val="20"/>
                <w14:ligatures w14:val="none"/>
              </w:rPr>
              <w:t>10% of total parking spaces</w:t>
            </w:r>
          </w:p>
        </w:tc>
        <w:tc>
          <w:tcPr>
            <w:tcW w:w="2137" w:type="dxa"/>
          </w:tcPr>
          <w:p w14:paraId="229806B6" w14:textId="77777777" w:rsidR="000C507F" w:rsidRPr="006B4A66" w:rsidRDefault="000C507F"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rPr>
                <w:rFonts w:ascii="Times New Roman" w:eastAsia="Arial" w:hAnsi="Times New Roman" w:cs="Times New Roman"/>
                <w:color w:val="000000"/>
                <w:kern w:val="0"/>
                <w:sz w:val="20"/>
                <w:szCs w:val="20"/>
                <w14:ligatures w14:val="none"/>
              </w:rPr>
            </w:pPr>
            <w:r w:rsidRPr="006B4A66">
              <w:rPr>
                <w:rFonts w:ascii="Times New Roman" w:eastAsia="Arial" w:hAnsi="Times New Roman" w:cs="Times New Roman"/>
                <w:color w:val="000000"/>
                <w:kern w:val="0"/>
                <w:sz w:val="20"/>
                <w:szCs w:val="20"/>
                <w14:ligatures w14:val="none"/>
              </w:rPr>
              <w:t>10% of total parking spaces</w:t>
            </w:r>
          </w:p>
        </w:tc>
        <w:tc>
          <w:tcPr>
            <w:tcW w:w="2138" w:type="dxa"/>
          </w:tcPr>
          <w:p w14:paraId="3D463B60" w14:textId="77777777" w:rsidR="000C507F" w:rsidRPr="006B4A66" w:rsidRDefault="000C507F"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rPr>
                <w:rFonts w:ascii="Times New Roman" w:eastAsia="Arial" w:hAnsi="Times New Roman" w:cs="Times New Roman"/>
                <w:color w:val="000000"/>
                <w:kern w:val="0"/>
                <w:sz w:val="20"/>
                <w:szCs w:val="20"/>
                <w14:ligatures w14:val="none"/>
              </w:rPr>
            </w:pPr>
            <w:r w:rsidRPr="006B4A66">
              <w:rPr>
                <w:rFonts w:ascii="Times New Roman" w:eastAsia="Arial" w:hAnsi="Times New Roman" w:cs="Times New Roman"/>
                <w:color w:val="000000"/>
                <w:kern w:val="0"/>
                <w:sz w:val="20"/>
                <w:szCs w:val="20"/>
                <w14:ligatures w14:val="none"/>
              </w:rPr>
              <w:t>10% of total parking spaces</w:t>
            </w:r>
          </w:p>
        </w:tc>
      </w:tr>
      <w:tr w:rsidR="000C507F" w:rsidRPr="006B4A66" w14:paraId="3EE67389" w14:textId="77777777">
        <w:trPr>
          <w:trHeight w:val="432"/>
          <w:jc w:val="center"/>
        </w:trPr>
        <w:tc>
          <w:tcPr>
            <w:tcW w:w="8550" w:type="dxa"/>
            <w:gridSpan w:val="4"/>
          </w:tcPr>
          <w:p w14:paraId="7B9C86A5" w14:textId="77777777" w:rsidR="000C507F" w:rsidRPr="006B4A66" w:rsidRDefault="000C507F"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rPr>
                <w:rFonts w:ascii="Times New Roman" w:eastAsia="Arial" w:hAnsi="Times New Roman" w:cs="Times New Roman"/>
                <w:color w:val="000000"/>
                <w:kern w:val="0"/>
                <w:sz w:val="20"/>
                <w:szCs w:val="20"/>
                <w14:ligatures w14:val="none"/>
              </w:rPr>
            </w:pPr>
            <w:r w:rsidRPr="006B4A66">
              <w:rPr>
                <w:rFonts w:ascii="Times New Roman" w:eastAsia="Arial" w:hAnsi="Times New Roman" w:cs="Times New Roman"/>
                <w:color w:val="000000"/>
                <w:kern w:val="0"/>
                <w:sz w:val="20"/>
                <w:szCs w:val="20"/>
                <w14:ligatures w14:val="none"/>
              </w:rPr>
              <w:t>Group R occupancies</w:t>
            </w:r>
          </w:p>
        </w:tc>
      </w:tr>
      <w:tr w:rsidR="000C507F" w:rsidRPr="006B4A66" w14:paraId="7EA41C67" w14:textId="77777777">
        <w:trPr>
          <w:trHeight w:val="432"/>
          <w:jc w:val="center"/>
        </w:trPr>
        <w:tc>
          <w:tcPr>
            <w:tcW w:w="2137" w:type="dxa"/>
          </w:tcPr>
          <w:p w14:paraId="29EB1188" w14:textId="77777777" w:rsidR="000C507F" w:rsidRPr="006B4A66" w:rsidRDefault="000C507F"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rPr>
                <w:rFonts w:ascii="Times New Roman" w:eastAsia="Arial" w:hAnsi="Times New Roman" w:cs="Times New Roman"/>
                <w:color w:val="000000"/>
                <w:kern w:val="0"/>
                <w:sz w:val="20"/>
                <w:szCs w:val="20"/>
                <w14:ligatures w14:val="none"/>
              </w:rPr>
            </w:pPr>
            <w:r w:rsidRPr="006B4A66">
              <w:rPr>
                <w:rFonts w:ascii="Times New Roman" w:eastAsia="Arial" w:hAnsi="Times New Roman" w:cs="Times New Roman"/>
                <w:color w:val="000000"/>
                <w:kern w:val="0"/>
                <w:sz w:val="20"/>
                <w:szCs w:val="20"/>
                <w14:ligatures w14:val="none"/>
              </w:rPr>
              <w:t>Buildings that do not contain more than two dwelling units</w:t>
            </w:r>
          </w:p>
        </w:tc>
        <w:tc>
          <w:tcPr>
            <w:tcW w:w="2138" w:type="dxa"/>
          </w:tcPr>
          <w:p w14:paraId="3A0C622D" w14:textId="77777777" w:rsidR="000C507F" w:rsidRPr="006B4A66" w:rsidRDefault="000C507F"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rPr>
                <w:rFonts w:ascii="Times New Roman" w:eastAsia="Arial" w:hAnsi="Times New Roman" w:cs="Times New Roman"/>
                <w:color w:val="000000"/>
                <w:kern w:val="0"/>
                <w:sz w:val="20"/>
                <w:szCs w:val="20"/>
                <w14:ligatures w14:val="none"/>
              </w:rPr>
            </w:pPr>
            <w:r w:rsidRPr="006B4A66">
              <w:rPr>
                <w:rFonts w:ascii="Times New Roman" w:eastAsia="Arial" w:hAnsi="Times New Roman" w:cs="Times New Roman"/>
                <w:color w:val="000000"/>
                <w:kern w:val="0"/>
                <w:sz w:val="20"/>
                <w:szCs w:val="20"/>
                <w14:ligatures w14:val="none"/>
              </w:rPr>
              <w:t>Not required</w:t>
            </w:r>
          </w:p>
        </w:tc>
        <w:tc>
          <w:tcPr>
            <w:tcW w:w="2137" w:type="dxa"/>
          </w:tcPr>
          <w:p w14:paraId="081F350A" w14:textId="77777777" w:rsidR="000C507F" w:rsidRPr="006B4A66" w:rsidRDefault="000C507F"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rPr>
                <w:rFonts w:ascii="Times New Roman" w:eastAsia="Arial" w:hAnsi="Times New Roman" w:cs="Times New Roman"/>
                <w:color w:val="000000"/>
                <w:kern w:val="0"/>
                <w:sz w:val="20"/>
                <w:szCs w:val="20"/>
                <w14:ligatures w14:val="none"/>
              </w:rPr>
            </w:pPr>
            <w:r w:rsidRPr="006B4A66">
              <w:rPr>
                <w:rFonts w:ascii="Times New Roman" w:eastAsia="Arial" w:hAnsi="Times New Roman" w:cs="Times New Roman"/>
                <w:color w:val="000000"/>
                <w:kern w:val="0"/>
                <w:sz w:val="20"/>
                <w:szCs w:val="20"/>
                <w14:ligatures w14:val="none"/>
              </w:rPr>
              <w:t>One for each dwelling unit</w:t>
            </w:r>
          </w:p>
        </w:tc>
        <w:tc>
          <w:tcPr>
            <w:tcW w:w="2138" w:type="dxa"/>
          </w:tcPr>
          <w:p w14:paraId="30426832" w14:textId="77777777" w:rsidR="000C507F" w:rsidRPr="006B4A66" w:rsidRDefault="000C507F"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rPr>
                <w:rFonts w:ascii="Times New Roman" w:eastAsia="Arial" w:hAnsi="Times New Roman" w:cs="Times New Roman"/>
                <w:color w:val="000000"/>
                <w:kern w:val="0"/>
                <w:sz w:val="20"/>
                <w:szCs w:val="20"/>
                <w14:ligatures w14:val="none"/>
              </w:rPr>
            </w:pPr>
            <w:r w:rsidRPr="006B4A66">
              <w:rPr>
                <w:rFonts w:ascii="Times New Roman" w:eastAsia="Arial" w:hAnsi="Times New Roman" w:cs="Times New Roman"/>
                <w:color w:val="000000"/>
                <w:kern w:val="0"/>
                <w:sz w:val="20"/>
                <w:szCs w:val="20"/>
                <w14:ligatures w14:val="none"/>
              </w:rPr>
              <w:t>Not required</w:t>
            </w:r>
          </w:p>
        </w:tc>
      </w:tr>
      <w:tr w:rsidR="000C507F" w:rsidRPr="006B4A66" w14:paraId="062ED0B9" w14:textId="77777777">
        <w:trPr>
          <w:trHeight w:val="432"/>
          <w:jc w:val="center"/>
        </w:trPr>
        <w:tc>
          <w:tcPr>
            <w:tcW w:w="2137" w:type="dxa"/>
          </w:tcPr>
          <w:p w14:paraId="78E29E3D" w14:textId="340EBCEE" w:rsidR="000C507F" w:rsidRPr="006B4A66" w:rsidRDefault="000C507F"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rPr>
                <w:rFonts w:ascii="Times New Roman" w:eastAsia="Arial" w:hAnsi="Times New Roman" w:cs="Times New Roman"/>
                <w:color w:val="000000"/>
                <w:kern w:val="0"/>
                <w:sz w:val="20"/>
                <w:szCs w:val="20"/>
                <w14:ligatures w14:val="none"/>
              </w:rPr>
            </w:pPr>
            <w:r w:rsidRPr="006B4A66">
              <w:rPr>
                <w:rFonts w:ascii="Times New Roman" w:eastAsia="Arial" w:hAnsi="Times New Roman" w:cs="Times New Roman"/>
                <w:color w:val="000000"/>
                <w:kern w:val="0"/>
                <w:sz w:val="20"/>
                <w:szCs w:val="20"/>
                <w14:ligatures w14:val="none"/>
              </w:rPr>
              <w:t xml:space="preserve">Dwelling units with </w:t>
            </w:r>
            <w:r w:rsidR="0072736E">
              <w:rPr>
                <w:rFonts w:ascii="Times New Roman" w:eastAsia="Arial" w:hAnsi="Times New Roman" w:cs="Times New Roman"/>
                <w:color w:val="000000"/>
                <w:kern w:val="0"/>
                <w:sz w:val="20"/>
                <w:szCs w:val="20"/>
                <w14:ligatures w14:val="none"/>
              </w:rPr>
              <w:t xml:space="preserve">attached </w:t>
            </w:r>
            <w:r w:rsidRPr="006B4A66">
              <w:rPr>
                <w:rFonts w:ascii="Times New Roman" w:eastAsia="Arial" w:hAnsi="Times New Roman" w:cs="Times New Roman"/>
                <w:color w:val="000000"/>
                <w:kern w:val="0"/>
                <w:sz w:val="20"/>
                <w:szCs w:val="20"/>
                <w14:ligatures w14:val="none"/>
              </w:rPr>
              <w:t>private garages</w:t>
            </w:r>
            <w:r w:rsidR="0072736E">
              <w:rPr>
                <w:rFonts w:ascii="Times New Roman" w:eastAsia="Arial" w:hAnsi="Times New Roman" w:cs="Times New Roman"/>
                <w:color w:val="000000"/>
                <w:kern w:val="0"/>
                <w:sz w:val="20"/>
                <w:szCs w:val="20"/>
                <w14:ligatures w14:val="none"/>
              </w:rPr>
              <w:t xml:space="preserve"> or attached private carports</w:t>
            </w:r>
          </w:p>
        </w:tc>
        <w:tc>
          <w:tcPr>
            <w:tcW w:w="2138" w:type="dxa"/>
          </w:tcPr>
          <w:p w14:paraId="28DD900F" w14:textId="77777777" w:rsidR="000C507F" w:rsidRPr="006B4A66" w:rsidRDefault="000C507F"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rPr>
                <w:rFonts w:ascii="Times New Roman" w:eastAsia="Arial" w:hAnsi="Times New Roman" w:cs="Times New Roman"/>
                <w:color w:val="000000"/>
                <w:kern w:val="0"/>
                <w:sz w:val="20"/>
                <w:szCs w:val="20"/>
                <w14:ligatures w14:val="none"/>
              </w:rPr>
            </w:pPr>
            <w:r w:rsidRPr="006B4A66">
              <w:rPr>
                <w:rFonts w:ascii="Times New Roman" w:eastAsia="Arial" w:hAnsi="Times New Roman" w:cs="Times New Roman"/>
                <w:color w:val="000000"/>
                <w:kern w:val="0"/>
                <w:sz w:val="20"/>
                <w:szCs w:val="20"/>
                <w14:ligatures w14:val="none"/>
              </w:rPr>
              <w:t>Not required</w:t>
            </w:r>
          </w:p>
        </w:tc>
        <w:tc>
          <w:tcPr>
            <w:tcW w:w="2137" w:type="dxa"/>
          </w:tcPr>
          <w:p w14:paraId="56EC59B4" w14:textId="77777777" w:rsidR="000C507F" w:rsidRPr="006B4A66" w:rsidRDefault="000C507F"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rPr>
                <w:rFonts w:ascii="Times New Roman" w:eastAsia="Arial" w:hAnsi="Times New Roman" w:cs="Times New Roman"/>
                <w:color w:val="000000"/>
                <w:kern w:val="0"/>
                <w:sz w:val="20"/>
                <w:szCs w:val="20"/>
                <w14:ligatures w14:val="none"/>
              </w:rPr>
            </w:pPr>
            <w:r w:rsidRPr="006B4A66">
              <w:rPr>
                <w:rFonts w:ascii="Times New Roman" w:eastAsia="Arial" w:hAnsi="Times New Roman" w:cs="Times New Roman"/>
                <w:color w:val="000000"/>
                <w:kern w:val="0"/>
                <w:sz w:val="20"/>
                <w:szCs w:val="20"/>
                <w14:ligatures w14:val="none"/>
              </w:rPr>
              <w:t>One for each dwelling unit</w:t>
            </w:r>
          </w:p>
        </w:tc>
        <w:tc>
          <w:tcPr>
            <w:tcW w:w="2138" w:type="dxa"/>
          </w:tcPr>
          <w:p w14:paraId="443A2874" w14:textId="77777777" w:rsidR="000C507F" w:rsidRPr="006B4A66" w:rsidRDefault="000C507F"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rPr>
                <w:rFonts w:ascii="Times New Roman" w:eastAsia="Arial" w:hAnsi="Times New Roman" w:cs="Times New Roman"/>
                <w:color w:val="000000"/>
                <w:kern w:val="0"/>
                <w:sz w:val="20"/>
                <w:szCs w:val="20"/>
                <w14:ligatures w14:val="none"/>
              </w:rPr>
            </w:pPr>
            <w:r w:rsidRPr="006B4A66">
              <w:rPr>
                <w:rFonts w:ascii="Times New Roman" w:eastAsia="Arial" w:hAnsi="Times New Roman" w:cs="Times New Roman"/>
                <w:color w:val="000000"/>
                <w:kern w:val="0"/>
                <w:sz w:val="20"/>
                <w:szCs w:val="20"/>
                <w14:ligatures w14:val="none"/>
              </w:rPr>
              <w:t>Not required</w:t>
            </w:r>
          </w:p>
        </w:tc>
      </w:tr>
      <w:tr w:rsidR="00D17A70" w:rsidRPr="006B4A66" w14:paraId="721D9FF0" w14:textId="77777777">
        <w:trPr>
          <w:trHeight w:val="432"/>
          <w:jc w:val="center"/>
        </w:trPr>
        <w:tc>
          <w:tcPr>
            <w:tcW w:w="2137" w:type="dxa"/>
          </w:tcPr>
          <w:p w14:paraId="4CCE081B" w14:textId="4604AB41" w:rsidR="00502E9A" w:rsidRDefault="005E30C5"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rPr>
                <w:rFonts w:ascii="Times New Roman" w:eastAsia="Arial" w:hAnsi="Times New Roman" w:cs="Times New Roman"/>
                <w:color w:val="000000"/>
                <w:kern w:val="0"/>
                <w:sz w:val="20"/>
                <w:szCs w:val="20"/>
                <w14:ligatures w14:val="none"/>
              </w:rPr>
            </w:pPr>
            <w:r>
              <w:rPr>
                <w:rFonts w:ascii="Times New Roman" w:eastAsia="Arial" w:hAnsi="Times New Roman" w:cs="Times New Roman"/>
                <w:color w:val="000000"/>
                <w:kern w:val="0"/>
                <w:sz w:val="20"/>
                <w:szCs w:val="20"/>
                <w14:ligatures w14:val="none"/>
              </w:rPr>
              <w:t xml:space="preserve">Permanent </w:t>
            </w:r>
            <w:r w:rsidR="005B2353">
              <w:rPr>
                <w:rFonts w:ascii="Times New Roman" w:eastAsia="Arial" w:hAnsi="Times New Roman" w:cs="Times New Roman"/>
                <w:color w:val="000000"/>
                <w:kern w:val="0"/>
                <w:sz w:val="20"/>
                <w:szCs w:val="20"/>
                <w14:ligatures w14:val="none"/>
              </w:rPr>
              <w:t>s</w:t>
            </w:r>
            <w:r>
              <w:rPr>
                <w:rFonts w:ascii="Times New Roman" w:eastAsia="Arial" w:hAnsi="Times New Roman" w:cs="Times New Roman"/>
                <w:color w:val="000000"/>
                <w:kern w:val="0"/>
                <w:sz w:val="20"/>
                <w:szCs w:val="20"/>
                <w14:ligatures w14:val="none"/>
              </w:rPr>
              <w:t xml:space="preserve">upportive </w:t>
            </w:r>
            <w:r w:rsidR="005B2353">
              <w:rPr>
                <w:rFonts w:ascii="Times New Roman" w:eastAsia="Arial" w:hAnsi="Times New Roman" w:cs="Times New Roman"/>
                <w:color w:val="000000"/>
                <w:kern w:val="0"/>
                <w:sz w:val="20"/>
                <w:szCs w:val="20"/>
                <w14:ligatures w14:val="none"/>
              </w:rPr>
              <w:t>h</w:t>
            </w:r>
            <w:r>
              <w:rPr>
                <w:rFonts w:ascii="Times New Roman" w:eastAsia="Arial" w:hAnsi="Times New Roman" w:cs="Times New Roman"/>
                <w:color w:val="000000"/>
                <w:kern w:val="0"/>
                <w:sz w:val="20"/>
                <w:szCs w:val="20"/>
                <w14:ligatures w14:val="none"/>
              </w:rPr>
              <w:t xml:space="preserve">ousing, </w:t>
            </w:r>
            <w:r w:rsidR="005B2353">
              <w:rPr>
                <w:rFonts w:ascii="Times New Roman" w:eastAsia="Arial" w:hAnsi="Times New Roman" w:cs="Times New Roman"/>
                <w:color w:val="000000"/>
                <w:kern w:val="0"/>
                <w:sz w:val="20"/>
                <w:szCs w:val="20"/>
                <w14:ligatures w14:val="none"/>
              </w:rPr>
              <w:t>recuperative</w:t>
            </w:r>
            <w:r w:rsidR="009E7C43">
              <w:rPr>
                <w:rFonts w:ascii="Times New Roman" w:eastAsia="Arial" w:hAnsi="Times New Roman" w:cs="Times New Roman"/>
                <w:color w:val="000000"/>
                <w:kern w:val="0"/>
                <w:sz w:val="20"/>
                <w:szCs w:val="20"/>
                <w14:ligatures w14:val="none"/>
              </w:rPr>
              <w:t xml:space="preserve"> </w:t>
            </w:r>
            <w:r w:rsidR="005B2353">
              <w:rPr>
                <w:rFonts w:ascii="Times New Roman" w:eastAsia="Arial" w:hAnsi="Times New Roman" w:cs="Times New Roman"/>
                <w:color w:val="000000"/>
                <w:kern w:val="0"/>
                <w:sz w:val="20"/>
                <w:szCs w:val="20"/>
                <w14:ligatures w14:val="none"/>
              </w:rPr>
              <w:t>h</w:t>
            </w:r>
            <w:r w:rsidR="009E7C43">
              <w:rPr>
                <w:rFonts w:ascii="Times New Roman" w:eastAsia="Arial" w:hAnsi="Times New Roman" w:cs="Times New Roman"/>
                <w:color w:val="000000"/>
                <w:kern w:val="0"/>
                <w:sz w:val="20"/>
                <w:szCs w:val="20"/>
                <w14:ligatures w14:val="none"/>
              </w:rPr>
              <w:t xml:space="preserve">ousing, </w:t>
            </w:r>
            <w:r w:rsidR="005B2353">
              <w:rPr>
                <w:rFonts w:ascii="Times New Roman" w:eastAsia="Arial" w:hAnsi="Times New Roman" w:cs="Times New Roman"/>
                <w:color w:val="000000"/>
                <w:kern w:val="0"/>
                <w:sz w:val="20"/>
                <w:szCs w:val="20"/>
                <w14:ligatures w14:val="none"/>
              </w:rPr>
              <w:t>e</w:t>
            </w:r>
            <w:r w:rsidR="009E7C43">
              <w:rPr>
                <w:rFonts w:ascii="Times New Roman" w:eastAsia="Arial" w:hAnsi="Times New Roman" w:cs="Times New Roman"/>
                <w:color w:val="000000"/>
                <w:kern w:val="0"/>
                <w:sz w:val="20"/>
                <w:szCs w:val="20"/>
                <w14:ligatures w14:val="none"/>
              </w:rPr>
              <w:t xml:space="preserve">mergency </w:t>
            </w:r>
            <w:r w:rsidR="005B2353">
              <w:rPr>
                <w:rFonts w:ascii="Times New Roman" w:eastAsia="Arial" w:hAnsi="Times New Roman" w:cs="Times New Roman"/>
                <w:color w:val="000000"/>
                <w:kern w:val="0"/>
                <w:sz w:val="20"/>
                <w:szCs w:val="20"/>
                <w14:ligatures w14:val="none"/>
              </w:rPr>
              <w:t>s</w:t>
            </w:r>
            <w:r w:rsidR="009E7C43">
              <w:rPr>
                <w:rFonts w:ascii="Times New Roman" w:eastAsia="Arial" w:hAnsi="Times New Roman" w:cs="Times New Roman"/>
                <w:color w:val="000000"/>
                <w:kern w:val="0"/>
                <w:sz w:val="20"/>
                <w:szCs w:val="20"/>
                <w14:ligatures w14:val="none"/>
              </w:rPr>
              <w:t xml:space="preserve">upportive </w:t>
            </w:r>
            <w:r w:rsidR="005B2353">
              <w:rPr>
                <w:rFonts w:ascii="Times New Roman" w:eastAsia="Arial" w:hAnsi="Times New Roman" w:cs="Times New Roman"/>
                <w:color w:val="000000"/>
                <w:kern w:val="0"/>
                <w:sz w:val="20"/>
                <w:szCs w:val="20"/>
                <w14:ligatures w14:val="none"/>
              </w:rPr>
              <w:t>h</w:t>
            </w:r>
            <w:r w:rsidR="009E7C43">
              <w:rPr>
                <w:rFonts w:ascii="Times New Roman" w:eastAsia="Arial" w:hAnsi="Times New Roman" w:cs="Times New Roman"/>
                <w:color w:val="000000"/>
                <w:kern w:val="0"/>
                <w:sz w:val="20"/>
                <w:szCs w:val="20"/>
                <w14:ligatures w14:val="none"/>
              </w:rPr>
              <w:t xml:space="preserve">ousing, </w:t>
            </w:r>
            <w:r w:rsidR="000A5ACB">
              <w:rPr>
                <w:rFonts w:ascii="Times New Roman" w:eastAsia="Arial" w:hAnsi="Times New Roman" w:cs="Times New Roman"/>
                <w:color w:val="000000"/>
                <w:kern w:val="0"/>
                <w:sz w:val="20"/>
                <w:szCs w:val="20"/>
                <w14:ligatures w14:val="none"/>
              </w:rPr>
              <w:t xml:space="preserve">and congregate housing, </w:t>
            </w:r>
            <w:r w:rsidR="009E7C43">
              <w:rPr>
                <w:rFonts w:ascii="Times New Roman" w:eastAsia="Arial" w:hAnsi="Times New Roman" w:cs="Times New Roman"/>
                <w:color w:val="000000"/>
                <w:kern w:val="0"/>
                <w:sz w:val="20"/>
                <w:szCs w:val="20"/>
                <w14:ligatures w14:val="none"/>
              </w:rPr>
              <w:t>as defined in K.C.C.</w:t>
            </w:r>
            <w:r w:rsidR="009437F4">
              <w:rPr>
                <w:rFonts w:ascii="Times New Roman" w:eastAsia="Arial" w:hAnsi="Times New Roman" w:cs="Times New Roman"/>
                <w:color w:val="000000"/>
                <w:kern w:val="0"/>
                <w:sz w:val="20"/>
                <w:szCs w:val="20"/>
                <w14:ligatures w14:val="none"/>
              </w:rPr>
              <w:t xml:space="preserve"> Title</w:t>
            </w:r>
            <w:r w:rsidR="009E7C43">
              <w:rPr>
                <w:rFonts w:ascii="Times New Roman" w:eastAsia="Arial" w:hAnsi="Times New Roman" w:cs="Times New Roman"/>
                <w:color w:val="000000"/>
                <w:kern w:val="0"/>
                <w:sz w:val="20"/>
                <w:szCs w:val="20"/>
                <w14:ligatures w14:val="none"/>
              </w:rPr>
              <w:t xml:space="preserve"> 21A</w:t>
            </w:r>
          </w:p>
        </w:tc>
        <w:tc>
          <w:tcPr>
            <w:tcW w:w="2138" w:type="dxa"/>
          </w:tcPr>
          <w:p w14:paraId="1719DECF" w14:textId="4049AE00" w:rsidR="00502E9A" w:rsidRPr="006B4A66" w:rsidRDefault="002E60CA"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rPr>
                <w:rFonts w:ascii="Times New Roman" w:eastAsia="Arial" w:hAnsi="Times New Roman" w:cs="Times New Roman"/>
                <w:color w:val="000000"/>
                <w:kern w:val="0"/>
                <w:sz w:val="20"/>
                <w:szCs w:val="20"/>
                <w14:ligatures w14:val="none"/>
              </w:rPr>
            </w:pPr>
            <w:r>
              <w:rPr>
                <w:rFonts w:ascii="Times New Roman" w:eastAsia="Arial" w:hAnsi="Times New Roman" w:cs="Times New Roman"/>
                <w:color w:val="000000"/>
                <w:kern w:val="0"/>
                <w:sz w:val="20"/>
                <w:szCs w:val="20"/>
                <w14:ligatures w14:val="none"/>
              </w:rPr>
              <w:t>10% of total parking spaces</w:t>
            </w:r>
          </w:p>
        </w:tc>
        <w:tc>
          <w:tcPr>
            <w:tcW w:w="2137" w:type="dxa"/>
          </w:tcPr>
          <w:p w14:paraId="56856D5C" w14:textId="1283D5A9" w:rsidR="00502E9A" w:rsidRPr="006B4A66" w:rsidRDefault="000A5ACB"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rPr>
                <w:rFonts w:ascii="Times New Roman" w:eastAsia="Arial" w:hAnsi="Times New Roman" w:cs="Times New Roman"/>
                <w:color w:val="000000"/>
                <w:kern w:val="0"/>
                <w:sz w:val="20"/>
                <w:szCs w:val="20"/>
                <w14:ligatures w14:val="none"/>
              </w:rPr>
            </w:pPr>
            <w:r w:rsidRPr="006B4A66">
              <w:rPr>
                <w:rFonts w:ascii="Times New Roman" w:eastAsia="Arial" w:hAnsi="Times New Roman" w:cs="Times New Roman"/>
                <w:color w:val="000000"/>
                <w:kern w:val="0"/>
                <w:sz w:val="20"/>
                <w:szCs w:val="20"/>
                <w14:ligatures w14:val="none"/>
              </w:rPr>
              <w:t>10% of total parking spaces</w:t>
            </w:r>
          </w:p>
        </w:tc>
        <w:tc>
          <w:tcPr>
            <w:tcW w:w="2138" w:type="dxa"/>
          </w:tcPr>
          <w:p w14:paraId="57C14B2C" w14:textId="4DCE5645" w:rsidR="00502E9A" w:rsidRPr="006B4A66" w:rsidRDefault="000A5ACB"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rPr>
                <w:rFonts w:ascii="Times New Roman" w:eastAsia="Arial" w:hAnsi="Times New Roman" w:cs="Times New Roman"/>
                <w:color w:val="000000"/>
                <w:kern w:val="0"/>
                <w:sz w:val="20"/>
                <w:szCs w:val="20"/>
                <w14:ligatures w14:val="none"/>
              </w:rPr>
            </w:pPr>
            <w:r w:rsidRPr="006B4A66">
              <w:rPr>
                <w:rFonts w:ascii="Times New Roman" w:eastAsia="Arial" w:hAnsi="Times New Roman" w:cs="Times New Roman"/>
                <w:color w:val="000000"/>
                <w:kern w:val="0"/>
                <w:sz w:val="20"/>
                <w:szCs w:val="20"/>
                <w14:ligatures w14:val="none"/>
              </w:rPr>
              <w:t>10% of total parking spaces</w:t>
            </w:r>
          </w:p>
        </w:tc>
      </w:tr>
      <w:tr w:rsidR="002E60CA" w:rsidRPr="006B4A66" w14:paraId="3D386281" w14:textId="77777777">
        <w:trPr>
          <w:trHeight w:val="432"/>
          <w:jc w:val="center"/>
        </w:trPr>
        <w:tc>
          <w:tcPr>
            <w:tcW w:w="2137" w:type="dxa"/>
          </w:tcPr>
          <w:p w14:paraId="51921A7C" w14:textId="569165A0" w:rsidR="002E60CA" w:rsidRDefault="002E60CA"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rPr>
                <w:rFonts w:ascii="Times New Roman" w:eastAsia="Arial" w:hAnsi="Times New Roman" w:cs="Times New Roman"/>
                <w:color w:val="000000"/>
                <w:kern w:val="0"/>
                <w:sz w:val="20"/>
                <w:szCs w:val="20"/>
                <w14:ligatures w14:val="none"/>
              </w:rPr>
            </w:pPr>
            <w:r>
              <w:rPr>
                <w:rFonts w:ascii="Times New Roman" w:eastAsia="Arial" w:hAnsi="Times New Roman" w:cs="Times New Roman"/>
                <w:color w:val="000000"/>
                <w:kern w:val="0"/>
                <w:sz w:val="20"/>
                <w:szCs w:val="20"/>
                <w14:ligatures w14:val="none"/>
              </w:rPr>
              <w:t xml:space="preserve">Emergency shelter, microshelter villages, safe parking, as defined in K.C.C. </w:t>
            </w:r>
            <w:r w:rsidR="009437F4">
              <w:rPr>
                <w:rFonts w:ascii="Times New Roman" w:eastAsia="Arial" w:hAnsi="Times New Roman" w:cs="Times New Roman"/>
                <w:color w:val="000000"/>
                <w:kern w:val="0"/>
                <w:sz w:val="20"/>
                <w:szCs w:val="20"/>
                <w14:ligatures w14:val="none"/>
              </w:rPr>
              <w:t xml:space="preserve">Title </w:t>
            </w:r>
            <w:r>
              <w:rPr>
                <w:rFonts w:ascii="Times New Roman" w:eastAsia="Arial" w:hAnsi="Times New Roman" w:cs="Times New Roman"/>
                <w:color w:val="000000"/>
                <w:kern w:val="0"/>
                <w:sz w:val="20"/>
                <w:szCs w:val="20"/>
                <w14:ligatures w14:val="none"/>
              </w:rPr>
              <w:t>21A</w:t>
            </w:r>
          </w:p>
        </w:tc>
        <w:tc>
          <w:tcPr>
            <w:tcW w:w="2138" w:type="dxa"/>
          </w:tcPr>
          <w:p w14:paraId="6D0EDEDC" w14:textId="4DE1B2A7" w:rsidR="002E60CA" w:rsidRDefault="00E84E27"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rPr>
                <w:rFonts w:ascii="Times New Roman" w:eastAsia="Arial" w:hAnsi="Times New Roman" w:cs="Times New Roman"/>
                <w:color w:val="000000"/>
                <w:kern w:val="0"/>
                <w:sz w:val="20"/>
                <w:szCs w:val="20"/>
                <w14:ligatures w14:val="none"/>
              </w:rPr>
            </w:pPr>
            <w:r w:rsidRPr="006B4A66">
              <w:rPr>
                <w:rFonts w:ascii="Times New Roman" w:eastAsia="Arial" w:hAnsi="Times New Roman" w:cs="Times New Roman"/>
                <w:color w:val="000000"/>
                <w:kern w:val="0"/>
                <w:sz w:val="20"/>
                <w:szCs w:val="20"/>
                <w14:ligatures w14:val="none"/>
              </w:rPr>
              <w:t>Not required</w:t>
            </w:r>
          </w:p>
        </w:tc>
        <w:tc>
          <w:tcPr>
            <w:tcW w:w="2137" w:type="dxa"/>
          </w:tcPr>
          <w:p w14:paraId="6E8899A0" w14:textId="2F154E6E" w:rsidR="002E60CA" w:rsidRPr="006B4A66" w:rsidRDefault="00E84E27"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rPr>
                <w:rFonts w:ascii="Times New Roman" w:eastAsia="Arial" w:hAnsi="Times New Roman" w:cs="Times New Roman"/>
                <w:color w:val="000000"/>
                <w:kern w:val="0"/>
                <w:sz w:val="20"/>
                <w:szCs w:val="20"/>
                <w14:ligatures w14:val="none"/>
              </w:rPr>
            </w:pPr>
            <w:r w:rsidRPr="006B4A66">
              <w:rPr>
                <w:rFonts w:ascii="Times New Roman" w:eastAsia="Arial" w:hAnsi="Times New Roman" w:cs="Times New Roman"/>
                <w:color w:val="000000"/>
                <w:kern w:val="0"/>
                <w:sz w:val="20"/>
                <w:szCs w:val="20"/>
                <w14:ligatures w14:val="none"/>
              </w:rPr>
              <w:t>Not required</w:t>
            </w:r>
          </w:p>
        </w:tc>
        <w:tc>
          <w:tcPr>
            <w:tcW w:w="2138" w:type="dxa"/>
          </w:tcPr>
          <w:p w14:paraId="097A8B23" w14:textId="3A17A93A" w:rsidR="002E60CA" w:rsidRPr="006B4A66" w:rsidRDefault="00E84E27"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rPr>
                <w:rFonts w:ascii="Times New Roman" w:eastAsia="Arial" w:hAnsi="Times New Roman" w:cs="Times New Roman"/>
                <w:color w:val="000000"/>
                <w:kern w:val="0"/>
                <w:sz w:val="20"/>
                <w:szCs w:val="20"/>
                <w14:ligatures w14:val="none"/>
              </w:rPr>
            </w:pPr>
            <w:r w:rsidRPr="006B4A66">
              <w:rPr>
                <w:rFonts w:ascii="Times New Roman" w:eastAsia="Arial" w:hAnsi="Times New Roman" w:cs="Times New Roman"/>
                <w:color w:val="000000"/>
                <w:kern w:val="0"/>
                <w:sz w:val="20"/>
                <w:szCs w:val="20"/>
                <w14:ligatures w14:val="none"/>
              </w:rPr>
              <w:t>Not required</w:t>
            </w:r>
          </w:p>
        </w:tc>
      </w:tr>
      <w:tr w:rsidR="00D17A70" w:rsidRPr="006B4A66" w14:paraId="4A2309FE" w14:textId="77777777">
        <w:trPr>
          <w:trHeight w:val="432"/>
          <w:jc w:val="center"/>
        </w:trPr>
        <w:tc>
          <w:tcPr>
            <w:tcW w:w="2137" w:type="dxa"/>
          </w:tcPr>
          <w:p w14:paraId="7B604AD6" w14:textId="233DE21D" w:rsidR="00C454E2" w:rsidRDefault="004444FC"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rPr>
                <w:rFonts w:ascii="Times New Roman" w:eastAsia="Arial" w:hAnsi="Times New Roman" w:cs="Times New Roman"/>
                <w:color w:val="000000"/>
                <w:kern w:val="0"/>
                <w:sz w:val="20"/>
                <w:szCs w:val="20"/>
                <w14:ligatures w14:val="none"/>
              </w:rPr>
            </w:pPr>
            <w:r>
              <w:rPr>
                <w:rFonts w:ascii="Times New Roman" w:eastAsia="Arial" w:hAnsi="Times New Roman" w:cs="Times New Roman"/>
                <w:color w:val="000000"/>
                <w:kern w:val="0"/>
                <w:sz w:val="20"/>
                <w:szCs w:val="20"/>
                <w14:ligatures w14:val="none"/>
              </w:rPr>
              <w:t xml:space="preserve">Temporary </w:t>
            </w:r>
            <w:r w:rsidR="005B2353">
              <w:rPr>
                <w:rFonts w:ascii="Times New Roman" w:eastAsia="Arial" w:hAnsi="Times New Roman" w:cs="Times New Roman"/>
                <w:color w:val="000000"/>
                <w:kern w:val="0"/>
                <w:sz w:val="20"/>
                <w:szCs w:val="20"/>
                <w14:ligatures w14:val="none"/>
              </w:rPr>
              <w:t>l</w:t>
            </w:r>
            <w:r>
              <w:rPr>
                <w:rFonts w:ascii="Times New Roman" w:eastAsia="Arial" w:hAnsi="Times New Roman" w:cs="Times New Roman"/>
                <w:color w:val="000000"/>
                <w:kern w:val="0"/>
                <w:sz w:val="20"/>
                <w:szCs w:val="20"/>
                <w14:ligatures w14:val="none"/>
              </w:rPr>
              <w:t xml:space="preserve">odging </w:t>
            </w:r>
            <w:r w:rsidR="005B2353">
              <w:rPr>
                <w:rFonts w:ascii="Times New Roman" w:eastAsia="Arial" w:hAnsi="Times New Roman" w:cs="Times New Roman"/>
                <w:color w:val="000000"/>
                <w:kern w:val="0"/>
                <w:sz w:val="20"/>
                <w:szCs w:val="20"/>
                <w14:ligatures w14:val="none"/>
              </w:rPr>
              <w:t>u</w:t>
            </w:r>
            <w:r>
              <w:rPr>
                <w:rFonts w:ascii="Times New Roman" w:eastAsia="Arial" w:hAnsi="Times New Roman" w:cs="Times New Roman"/>
                <w:color w:val="000000"/>
                <w:kern w:val="0"/>
                <w:sz w:val="20"/>
                <w:szCs w:val="20"/>
                <w14:ligatures w14:val="none"/>
              </w:rPr>
              <w:t xml:space="preserve">ses </w:t>
            </w:r>
            <w:r w:rsidR="005E30C5">
              <w:rPr>
                <w:rFonts w:ascii="Times New Roman" w:eastAsia="Arial" w:hAnsi="Times New Roman" w:cs="Times New Roman"/>
                <w:color w:val="000000"/>
                <w:kern w:val="0"/>
                <w:sz w:val="20"/>
                <w:szCs w:val="20"/>
                <w14:ligatures w14:val="none"/>
              </w:rPr>
              <w:t>in K.C.C. 21A.08.050</w:t>
            </w:r>
          </w:p>
        </w:tc>
        <w:tc>
          <w:tcPr>
            <w:tcW w:w="2138" w:type="dxa"/>
          </w:tcPr>
          <w:p w14:paraId="3823DF0A" w14:textId="135EA710" w:rsidR="00C454E2" w:rsidRPr="006B4A66" w:rsidRDefault="009F3997"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rPr>
                <w:rFonts w:ascii="Times New Roman" w:eastAsia="Arial" w:hAnsi="Times New Roman" w:cs="Times New Roman"/>
                <w:color w:val="000000"/>
                <w:kern w:val="0"/>
                <w:sz w:val="20"/>
                <w:szCs w:val="20"/>
                <w14:ligatures w14:val="none"/>
              </w:rPr>
            </w:pPr>
            <w:r w:rsidRPr="006B4A66">
              <w:rPr>
                <w:rFonts w:ascii="Times New Roman" w:eastAsia="Arial" w:hAnsi="Times New Roman" w:cs="Times New Roman"/>
                <w:color w:val="000000"/>
                <w:kern w:val="0"/>
                <w:sz w:val="20"/>
                <w:szCs w:val="20"/>
                <w14:ligatures w14:val="none"/>
              </w:rPr>
              <w:t>10% of total parking spaces</w:t>
            </w:r>
          </w:p>
        </w:tc>
        <w:tc>
          <w:tcPr>
            <w:tcW w:w="2137" w:type="dxa"/>
          </w:tcPr>
          <w:p w14:paraId="533060AB" w14:textId="391016E9" w:rsidR="00C454E2" w:rsidRPr="006B4A66" w:rsidRDefault="009F3997"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rPr>
                <w:rFonts w:ascii="Times New Roman" w:eastAsia="Arial" w:hAnsi="Times New Roman" w:cs="Times New Roman"/>
                <w:color w:val="000000"/>
                <w:kern w:val="0"/>
                <w:sz w:val="20"/>
                <w:szCs w:val="20"/>
                <w14:ligatures w14:val="none"/>
              </w:rPr>
            </w:pPr>
            <w:r>
              <w:rPr>
                <w:rFonts w:ascii="Times New Roman" w:eastAsia="Arial" w:hAnsi="Times New Roman" w:cs="Times New Roman"/>
                <w:color w:val="000000"/>
                <w:kern w:val="0"/>
                <w:sz w:val="20"/>
                <w:szCs w:val="20"/>
                <w14:ligatures w14:val="none"/>
              </w:rPr>
              <w:t>30</w:t>
            </w:r>
            <w:r w:rsidRPr="006B4A66">
              <w:rPr>
                <w:rFonts w:ascii="Times New Roman" w:eastAsia="Arial" w:hAnsi="Times New Roman" w:cs="Times New Roman"/>
                <w:color w:val="000000"/>
                <w:kern w:val="0"/>
                <w:sz w:val="20"/>
                <w:szCs w:val="20"/>
                <w14:ligatures w14:val="none"/>
              </w:rPr>
              <w:t>% of total parking spaces</w:t>
            </w:r>
          </w:p>
        </w:tc>
        <w:tc>
          <w:tcPr>
            <w:tcW w:w="2138" w:type="dxa"/>
          </w:tcPr>
          <w:p w14:paraId="01F95864" w14:textId="6CFF8FE3" w:rsidR="00C454E2" w:rsidRPr="006B4A66" w:rsidRDefault="009F3997"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rPr>
                <w:rFonts w:ascii="Times New Roman" w:eastAsia="Arial" w:hAnsi="Times New Roman" w:cs="Times New Roman"/>
                <w:color w:val="000000"/>
                <w:kern w:val="0"/>
                <w:sz w:val="20"/>
                <w:szCs w:val="20"/>
                <w14:ligatures w14:val="none"/>
              </w:rPr>
            </w:pPr>
            <w:r w:rsidRPr="006B4A66">
              <w:rPr>
                <w:rFonts w:ascii="Times New Roman" w:eastAsia="Arial" w:hAnsi="Times New Roman" w:cs="Times New Roman"/>
                <w:color w:val="000000"/>
                <w:kern w:val="0"/>
                <w:sz w:val="20"/>
                <w:szCs w:val="20"/>
                <w14:ligatures w14:val="none"/>
              </w:rPr>
              <w:t>1</w:t>
            </w:r>
            <w:r>
              <w:rPr>
                <w:rFonts w:ascii="Times New Roman" w:eastAsia="Arial" w:hAnsi="Times New Roman" w:cs="Times New Roman"/>
                <w:color w:val="000000"/>
                <w:kern w:val="0"/>
                <w:sz w:val="20"/>
                <w:szCs w:val="20"/>
                <w14:ligatures w14:val="none"/>
              </w:rPr>
              <w:t>5</w:t>
            </w:r>
            <w:r w:rsidRPr="006B4A66">
              <w:rPr>
                <w:rFonts w:ascii="Times New Roman" w:eastAsia="Arial" w:hAnsi="Times New Roman" w:cs="Times New Roman"/>
                <w:color w:val="000000"/>
                <w:kern w:val="0"/>
                <w:sz w:val="20"/>
                <w:szCs w:val="20"/>
                <w14:ligatures w14:val="none"/>
              </w:rPr>
              <w:t>% of total parking spaces</w:t>
            </w:r>
          </w:p>
        </w:tc>
      </w:tr>
      <w:tr w:rsidR="000C507F" w:rsidRPr="006B4A66" w14:paraId="7216268B" w14:textId="77777777">
        <w:trPr>
          <w:trHeight w:val="432"/>
          <w:jc w:val="center"/>
        </w:trPr>
        <w:tc>
          <w:tcPr>
            <w:tcW w:w="2137" w:type="dxa"/>
          </w:tcPr>
          <w:p w14:paraId="4D09EFDF" w14:textId="77777777" w:rsidR="000C507F" w:rsidRPr="006B4A66" w:rsidRDefault="000C507F"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rPr>
                <w:rFonts w:ascii="Times New Roman" w:eastAsia="Arial" w:hAnsi="Times New Roman" w:cs="Times New Roman"/>
                <w:color w:val="000000"/>
                <w:kern w:val="0"/>
                <w:sz w:val="20"/>
                <w:szCs w:val="20"/>
                <w14:ligatures w14:val="none"/>
              </w:rPr>
            </w:pPr>
            <w:r w:rsidRPr="006B4A66">
              <w:rPr>
                <w:rFonts w:ascii="Times New Roman" w:eastAsia="Arial" w:hAnsi="Times New Roman" w:cs="Times New Roman"/>
                <w:color w:val="000000"/>
                <w:kern w:val="0"/>
                <w:sz w:val="20"/>
                <w:szCs w:val="20"/>
                <w14:ligatures w14:val="none"/>
              </w:rPr>
              <w:t xml:space="preserve">All other Group R </w:t>
            </w:r>
            <w:r w:rsidRPr="006B4A66">
              <w:rPr>
                <w:rFonts w:ascii="Times New Roman" w:eastAsia="Arial" w:hAnsi="Times New Roman" w:cs="Times New Roman"/>
                <w:color w:val="000000"/>
                <w:kern w:val="0"/>
                <w:sz w:val="20"/>
                <w:szCs w:val="20"/>
                <w14:ligatures w14:val="none"/>
              </w:rPr>
              <w:lastRenderedPageBreak/>
              <w:t>occupancies</w:t>
            </w:r>
          </w:p>
        </w:tc>
        <w:tc>
          <w:tcPr>
            <w:tcW w:w="2138" w:type="dxa"/>
          </w:tcPr>
          <w:p w14:paraId="11440D5D" w14:textId="77777777" w:rsidR="000C507F" w:rsidRPr="006B4A66" w:rsidRDefault="000C507F"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rPr>
                <w:rFonts w:ascii="Times New Roman" w:eastAsia="Arial" w:hAnsi="Times New Roman" w:cs="Times New Roman"/>
                <w:color w:val="000000"/>
                <w:kern w:val="0"/>
                <w:sz w:val="20"/>
                <w:szCs w:val="20"/>
                <w14:ligatures w14:val="none"/>
              </w:rPr>
            </w:pPr>
            <w:r w:rsidRPr="006B4A66">
              <w:rPr>
                <w:rFonts w:ascii="Times New Roman" w:eastAsia="Arial" w:hAnsi="Times New Roman" w:cs="Times New Roman"/>
                <w:color w:val="000000"/>
                <w:kern w:val="0"/>
                <w:sz w:val="20"/>
                <w:szCs w:val="20"/>
                <w14:ligatures w14:val="none"/>
              </w:rPr>
              <w:lastRenderedPageBreak/>
              <w:t xml:space="preserve">10% of total parking </w:t>
            </w:r>
            <w:r w:rsidRPr="006B4A66">
              <w:rPr>
                <w:rFonts w:ascii="Times New Roman" w:eastAsia="Arial" w:hAnsi="Times New Roman" w:cs="Times New Roman"/>
                <w:color w:val="000000"/>
                <w:kern w:val="0"/>
                <w:sz w:val="20"/>
                <w:szCs w:val="20"/>
                <w14:ligatures w14:val="none"/>
              </w:rPr>
              <w:lastRenderedPageBreak/>
              <w:t>spaces</w:t>
            </w:r>
          </w:p>
        </w:tc>
        <w:tc>
          <w:tcPr>
            <w:tcW w:w="2137" w:type="dxa"/>
          </w:tcPr>
          <w:p w14:paraId="7AC169F8" w14:textId="6597EE81" w:rsidR="000C507F" w:rsidRPr="006B4A66" w:rsidRDefault="00547125"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rPr>
                <w:rFonts w:ascii="Times New Roman" w:eastAsia="Arial" w:hAnsi="Times New Roman" w:cs="Times New Roman"/>
                <w:color w:val="000000"/>
                <w:kern w:val="0"/>
                <w:sz w:val="20"/>
                <w:szCs w:val="20"/>
                <w14:ligatures w14:val="none"/>
              </w:rPr>
            </w:pPr>
            <w:r>
              <w:rPr>
                <w:rFonts w:ascii="Times New Roman" w:eastAsia="Arial" w:hAnsi="Times New Roman" w:cs="Times New Roman"/>
                <w:color w:val="000000"/>
                <w:kern w:val="0"/>
                <w:sz w:val="20"/>
                <w:szCs w:val="20"/>
                <w14:ligatures w14:val="none"/>
              </w:rPr>
              <w:lastRenderedPageBreak/>
              <w:t>25</w:t>
            </w:r>
            <w:r w:rsidR="000C507F" w:rsidRPr="006B4A66">
              <w:rPr>
                <w:rFonts w:ascii="Times New Roman" w:eastAsia="Arial" w:hAnsi="Times New Roman" w:cs="Times New Roman"/>
                <w:color w:val="000000"/>
                <w:kern w:val="0"/>
                <w:sz w:val="20"/>
                <w:szCs w:val="20"/>
                <w14:ligatures w14:val="none"/>
              </w:rPr>
              <w:t xml:space="preserve">% of total parking </w:t>
            </w:r>
            <w:r w:rsidR="000C507F" w:rsidRPr="006B4A66">
              <w:rPr>
                <w:rFonts w:ascii="Times New Roman" w:eastAsia="Arial" w:hAnsi="Times New Roman" w:cs="Times New Roman"/>
                <w:color w:val="000000"/>
                <w:kern w:val="0"/>
                <w:sz w:val="20"/>
                <w:szCs w:val="20"/>
                <w14:ligatures w14:val="none"/>
              </w:rPr>
              <w:lastRenderedPageBreak/>
              <w:t>spaces</w:t>
            </w:r>
          </w:p>
        </w:tc>
        <w:tc>
          <w:tcPr>
            <w:tcW w:w="2138" w:type="dxa"/>
          </w:tcPr>
          <w:p w14:paraId="690B5058" w14:textId="10A5A515" w:rsidR="000C507F" w:rsidRPr="006B4A66" w:rsidRDefault="00547125" w:rsidP="0073496A">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480" w:lineRule="auto"/>
              <w:rPr>
                <w:rFonts w:ascii="Times New Roman" w:eastAsia="Arial" w:hAnsi="Times New Roman" w:cs="Times New Roman"/>
                <w:color w:val="000000"/>
                <w:kern w:val="0"/>
                <w:sz w:val="20"/>
                <w:szCs w:val="20"/>
                <w14:ligatures w14:val="none"/>
              </w:rPr>
            </w:pPr>
            <w:r>
              <w:rPr>
                <w:rFonts w:ascii="Times New Roman" w:eastAsia="Arial" w:hAnsi="Times New Roman" w:cs="Times New Roman"/>
                <w:color w:val="000000"/>
                <w:kern w:val="0"/>
                <w:sz w:val="20"/>
                <w:szCs w:val="20"/>
                <w14:ligatures w14:val="none"/>
              </w:rPr>
              <w:lastRenderedPageBreak/>
              <w:t>10</w:t>
            </w:r>
            <w:r w:rsidR="000C507F" w:rsidRPr="006B4A66">
              <w:rPr>
                <w:rFonts w:ascii="Times New Roman" w:eastAsia="Arial" w:hAnsi="Times New Roman" w:cs="Times New Roman"/>
                <w:color w:val="000000"/>
                <w:kern w:val="0"/>
                <w:sz w:val="20"/>
                <w:szCs w:val="20"/>
                <w14:ligatures w14:val="none"/>
              </w:rPr>
              <w:t xml:space="preserve">% of total parking </w:t>
            </w:r>
            <w:r w:rsidR="000C507F" w:rsidRPr="006B4A66">
              <w:rPr>
                <w:rFonts w:ascii="Times New Roman" w:eastAsia="Arial" w:hAnsi="Times New Roman" w:cs="Times New Roman"/>
                <w:color w:val="000000"/>
                <w:kern w:val="0"/>
                <w:sz w:val="20"/>
                <w:szCs w:val="20"/>
                <w14:ligatures w14:val="none"/>
              </w:rPr>
              <w:lastRenderedPageBreak/>
              <w:t>spaces</w:t>
            </w:r>
          </w:p>
        </w:tc>
      </w:tr>
    </w:tbl>
    <w:p w14:paraId="0043EBE3" w14:textId="1CC85B2F" w:rsidR="00FD174A" w:rsidRDefault="00FD174A"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Pr>
          <w:rFonts w:ascii="Times New Roman" w:eastAsia="Calibri" w:hAnsi="Times New Roman" w:cs="Times New Roman"/>
          <w:color w:val="000000"/>
          <w:kern w:val="0"/>
          <w:sz w:val="24"/>
          <w14:ligatures w14:val="none"/>
        </w:rPr>
        <w:lastRenderedPageBreak/>
        <w:tab/>
      </w:r>
      <w:r w:rsidR="00106D89">
        <w:rPr>
          <w:rFonts w:ascii="Times New Roman" w:eastAsia="Calibri" w:hAnsi="Times New Roman" w:cs="Times New Roman"/>
          <w:color w:val="000000"/>
          <w:kern w:val="0"/>
          <w:sz w:val="24"/>
          <w:u w:val="single"/>
          <w14:ligatures w14:val="none"/>
        </w:rPr>
        <w:t>NEW SECTION.  SECTION 18.</w:t>
      </w:r>
      <w:r w:rsidRPr="006B4A66">
        <w:rPr>
          <w:rFonts w:ascii="Times New Roman" w:eastAsia="Times New Roman" w:hAnsi="Times New Roman" w:cs="Times New Roman"/>
          <w:color w:val="000000"/>
          <w:kern w:val="0"/>
          <w:sz w:val="24"/>
          <w:szCs w:val="24"/>
          <w14:ligatures w14:val="none"/>
        </w:rPr>
        <w:t xml:space="preserve">  There is hereby added to K.C.C. chapter 16.04 a new section to read as follows:</w:t>
      </w:r>
    </w:p>
    <w:p w14:paraId="07D68E93" w14:textId="77777777" w:rsidR="00B17563" w:rsidRPr="00B17563" w:rsidRDefault="00B17563" w:rsidP="0073496A">
      <w:pPr>
        <w:tabs>
          <w:tab w:val="left" w:pos="720"/>
        </w:tabs>
        <w:spacing w:after="0" w:line="480" w:lineRule="auto"/>
        <w:rPr>
          <w:rFonts w:ascii="Times New Roman" w:eastAsia="Calibri" w:hAnsi="Times New Roman" w:cs="Times New Roman"/>
          <w:color w:val="000000"/>
          <w:kern w:val="0"/>
          <w:sz w:val="24"/>
          <w14:ligatures w14:val="none"/>
        </w:rPr>
      </w:pPr>
      <w:r w:rsidRPr="00B17563">
        <w:rPr>
          <w:rFonts w:ascii="Times New Roman" w:eastAsia="Calibri" w:hAnsi="Times New Roman" w:cs="Times New Roman"/>
          <w:color w:val="000000"/>
          <w:kern w:val="0"/>
          <w:sz w:val="24"/>
          <w14:ligatures w14:val="none"/>
        </w:rPr>
        <w:tab/>
        <w:t>Section 429.2.1 of the International Building Code is not adopted and the following is substituted:</w:t>
      </w:r>
    </w:p>
    <w:p w14:paraId="4DCFAF7B" w14:textId="074A9E3F" w:rsidR="00FD174A" w:rsidRDefault="00B17563" w:rsidP="0073496A">
      <w:pPr>
        <w:tabs>
          <w:tab w:val="left" w:pos="720"/>
        </w:tabs>
        <w:spacing w:after="0" w:line="480" w:lineRule="auto"/>
        <w:rPr>
          <w:rFonts w:ascii="Times New Roman" w:eastAsia="Calibri" w:hAnsi="Times New Roman" w:cs="Times New Roman"/>
          <w:color w:val="000000"/>
          <w:kern w:val="0"/>
          <w:sz w:val="24"/>
          <w14:ligatures w14:val="none"/>
        </w:rPr>
      </w:pPr>
      <w:r>
        <w:rPr>
          <w:rFonts w:ascii="Times New Roman" w:eastAsia="Calibri" w:hAnsi="Times New Roman" w:cs="Times New Roman"/>
          <w:b/>
          <w:bCs/>
          <w:color w:val="000000"/>
          <w:kern w:val="0"/>
          <w:sz w:val="24"/>
          <w14:ligatures w14:val="none"/>
        </w:rPr>
        <w:tab/>
      </w:r>
      <w:r w:rsidRPr="00B17563">
        <w:rPr>
          <w:rFonts w:ascii="Times New Roman" w:eastAsia="Calibri" w:hAnsi="Times New Roman" w:cs="Times New Roman"/>
          <w:b/>
          <w:bCs/>
          <w:color w:val="000000"/>
          <w:kern w:val="0"/>
          <w:sz w:val="24"/>
          <w14:ligatures w14:val="none"/>
        </w:rPr>
        <w:t>EV Charging Stations and EV</w:t>
      </w:r>
      <w:r w:rsidRPr="00B17563">
        <w:rPr>
          <w:rFonts w:ascii="Times New Roman" w:eastAsia="Calibri" w:hAnsi="Times New Roman" w:cs="Times New Roman"/>
          <w:b/>
          <w:bCs/>
          <w:color w:val="000000"/>
          <w:kern w:val="0"/>
          <w:sz w:val="24"/>
          <w14:ligatures w14:val="none"/>
        </w:rPr>
        <w:noBreakHyphen/>
        <w:t>Ready Parking Spaces (IBC 429.2.1)</w:t>
      </w:r>
      <w:r w:rsidR="006A7F5E">
        <w:rPr>
          <w:rFonts w:ascii="Times New Roman" w:eastAsia="Calibri" w:hAnsi="Times New Roman" w:cs="Times New Roman"/>
          <w:b/>
          <w:bCs/>
          <w:color w:val="000000"/>
          <w:kern w:val="0"/>
          <w:sz w:val="24"/>
          <w14:ligatures w14:val="none"/>
        </w:rPr>
        <w:t>.</w:t>
      </w:r>
      <w:r>
        <w:rPr>
          <w:rFonts w:ascii="Times New Roman" w:eastAsia="Calibri" w:hAnsi="Times New Roman" w:cs="Times New Roman"/>
          <w:color w:val="000000"/>
          <w:kern w:val="0"/>
          <w:sz w:val="24"/>
          <w14:ligatures w14:val="none"/>
        </w:rPr>
        <w:t xml:space="preserve"> </w:t>
      </w:r>
      <w:r w:rsidRPr="00B17563">
        <w:rPr>
          <w:rFonts w:ascii="Times New Roman" w:eastAsia="Calibri" w:hAnsi="Times New Roman" w:cs="Times New Roman"/>
          <w:color w:val="000000"/>
          <w:kern w:val="0"/>
          <w:sz w:val="24"/>
          <w14:ligatures w14:val="none"/>
        </w:rPr>
        <w:t>A minimum of 40</w:t>
      </w:r>
      <w:r w:rsidRPr="00B17563">
        <w:rPr>
          <w:rFonts w:ascii="Times New Roman" w:eastAsia="Calibri" w:hAnsi="Times New Roman" w:cs="Times New Roman"/>
          <w:color w:val="000000"/>
          <w:kern w:val="0"/>
          <w:sz w:val="24"/>
          <w14:ligatures w14:val="none"/>
        </w:rPr>
        <w:noBreakHyphen/>
        <w:t>ampere dedicated 208/240</w:t>
      </w:r>
      <w:r w:rsidRPr="00B17563">
        <w:rPr>
          <w:rFonts w:ascii="Times New Roman" w:eastAsia="Calibri" w:hAnsi="Times New Roman" w:cs="Times New Roman"/>
          <w:color w:val="000000"/>
          <w:kern w:val="0"/>
          <w:sz w:val="24"/>
          <w14:ligatures w14:val="none"/>
        </w:rPr>
        <w:noBreakHyphen/>
        <w:t>volt branch circuit shall be installed for each EV</w:t>
      </w:r>
      <w:r w:rsidRPr="00B17563">
        <w:rPr>
          <w:rFonts w:ascii="Times New Roman" w:eastAsia="Calibri" w:hAnsi="Times New Roman" w:cs="Times New Roman"/>
          <w:color w:val="000000"/>
          <w:kern w:val="0"/>
          <w:sz w:val="24"/>
          <w14:ligatures w14:val="none"/>
        </w:rPr>
        <w:noBreakHyphen/>
        <w:t>Ready parking space and each EV Charging Station.</w:t>
      </w:r>
      <w:r w:rsidR="00106D89">
        <w:rPr>
          <w:rFonts w:ascii="Times New Roman" w:eastAsia="Calibri" w:hAnsi="Times New Roman" w:cs="Times New Roman"/>
          <w:color w:val="000000"/>
          <w:kern w:val="0"/>
          <w:sz w:val="24"/>
          <w14:ligatures w14:val="none"/>
        </w:rPr>
        <w:t xml:space="preserve"> </w:t>
      </w:r>
      <w:r w:rsidRPr="00B17563">
        <w:rPr>
          <w:rFonts w:ascii="Times New Roman" w:eastAsia="Calibri" w:hAnsi="Times New Roman" w:cs="Times New Roman"/>
          <w:color w:val="000000"/>
          <w:kern w:val="0"/>
          <w:sz w:val="24"/>
          <w14:ligatures w14:val="none"/>
        </w:rPr>
        <w:t xml:space="preserve"> The branch circuits shall terminate at a receptacle outlet or EV charger in close proximity to the proposed location of the EV</w:t>
      </w:r>
      <w:r w:rsidRPr="00B17563">
        <w:rPr>
          <w:rFonts w:ascii="Times New Roman" w:eastAsia="Calibri" w:hAnsi="Times New Roman" w:cs="Times New Roman"/>
          <w:color w:val="000000"/>
          <w:kern w:val="0"/>
          <w:sz w:val="24"/>
          <w14:ligatures w14:val="none"/>
        </w:rPr>
        <w:noBreakHyphen/>
        <w:t>Ready parking space or the EV Charging Station.</w:t>
      </w:r>
    </w:p>
    <w:p w14:paraId="66A5DA19" w14:textId="4D5EEC0C" w:rsidR="006A7F5E" w:rsidRDefault="006A7F5E" w:rsidP="0073496A">
      <w:pPr>
        <w:tabs>
          <w:tab w:val="left" w:pos="720"/>
        </w:tabs>
        <w:spacing w:after="0" w:line="480" w:lineRule="auto"/>
        <w:rPr>
          <w:rFonts w:ascii="Times New Roman" w:eastAsia="Calibri" w:hAnsi="Times New Roman" w:cs="Times New Roman"/>
          <w:color w:val="000000"/>
          <w:kern w:val="0"/>
          <w:sz w:val="24"/>
          <w14:ligatures w14:val="none"/>
        </w:rPr>
      </w:pPr>
      <w:r>
        <w:rPr>
          <w:rFonts w:ascii="Times New Roman" w:eastAsia="Calibri" w:hAnsi="Times New Roman" w:cs="Times New Roman"/>
          <w:color w:val="000000"/>
          <w:kern w:val="0"/>
          <w:sz w:val="24"/>
          <w14:ligatures w14:val="none"/>
        </w:rPr>
        <w:tab/>
      </w:r>
      <w:r w:rsidR="00730C21" w:rsidRPr="001216D4">
        <w:rPr>
          <w:rFonts w:ascii="Times New Roman" w:eastAsia="Calibri" w:hAnsi="Times New Roman" w:cs="Times New Roman"/>
          <w:color w:val="000000"/>
          <w:kern w:val="0"/>
          <w:sz w:val="24"/>
          <w14:ligatures w14:val="none"/>
        </w:rPr>
        <w:t>For EV</w:t>
      </w:r>
      <w:r w:rsidR="00730C21" w:rsidRPr="001216D4">
        <w:rPr>
          <w:rFonts w:ascii="Times New Roman" w:eastAsia="Calibri" w:hAnsi="Times New Roman" w:cs="Times New Roman"/>
          <w:color w:val="000000"/>
          <w:kern w:val="0"/>
          <w:sz w:val="24"/>
          <w14:ligatures w14:val="none"/>
        </w:rPr>
        <w:noBreakHyphen/>
        <w:t>Ready parking spaces, the branch circuit shall be identified as "Electric</w:t>
      </w:r>
      <w:r w:rsidR="00730C21" w:rsidRPr="001216D4">
        <w:rPr>
          <w:rFonts w:ascii="Times New Roman" w:eastAsia="Calibri" w:hAnsi="Times New Roman" w:cs="Times New Roman"/>
          <w:color w:val="000000"/>
          <w:kern w:val="0"/>
          <w:sz w:val="24"/>
          <w14:ligatures w14:val="none"/>
        </w:rPr>
        <w:noBreakHyphen/>
        <w:t>Vehicle Ready" in the service panel or subpanel directory, and the termination location shall be marked as "Electric</w:t>
      </w:r>
      <w:r w:rsidR="00730C21" w:rsidRPr="001216D4">
        <w:rPr>
          <w:rFonts w:ascii="Times New Roman" w:eastAsia="Calibri" w:hAnsi="Times New Roman" w:cs="Times New Roman"/>
          <w:color w:val="000000"/>
          <w:kern w:val="0"/>
          <w:sz w:val="24"/>
          <w14:ligatures w14:val="none"/>
        </w:rPr>
        <w:noBreakHyphen/>
        <w:t>Vehicle Ready</w:t>
      </w:r>
      <w:r w:rsidR="00B8430C">
        <w:rPr>
          <w:rFonts w:ascii="Times New Roman" w:eastAsia="Calibri" w:hAnsi="Times New Roman" w:cs="Times New Roman"/>
          <w:color w:val="000000"/>
          <w:kern w:val="0"/>
          <w:sz w:val="24"/>
          <w14:ligatures w14:val="none"/>
        </w:rPr>
        <w:t>.</w:t>
      </w:r>
      <w:r w:rsidR="00730C21" w:rsidRPr="001216D4">
        <w:rPr>
          <w:rFonts w:ascii="Times New Roman" w:eastAsia="Calibri" w:hAnsi="Times New Roman" w:cs="Times New Roman"/>
          <w:color w:val="000000"/>
          <w:kern w:val="0"/>
          <w:sz w:val="24"/>
          <w14:ligatures w14:val="none"/>
        </w:rPr>
        <w:t>"</w:t>
      </w:r>
    </w:p>
    <w:p w14:paraId="6AF86111" w14:textId="08F7F794" w:rsidR="00213FAF" w:rsidRDefault="00C60577"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Pr>
          <w:rFonts w:ascii="Times New Roman" w:eastAsia="Calibri" w:hAnsi="Times New Roman" w:cs="Times New Roman"/>
          <w:color w:val="000000"/>
          <w:kern w:val="0"/>
          <w:sz w:val="24"/>
          <w14:ligatures w14:val="none"/>
        </w:rPr>
        <w:tab/>
      </w:r>
      <w:r w:rsidR="00B8430C">
        <w:rPr>
          <w:rFonts w:ascii="Times New Roman" w:eastAsia="Calibri" w:hAnsi="Times New Roman" w:cs="Times New Roman"/>
          <w:color w:val="000000"/>
          <w:kern w:val="0"/>
          <w:sz w:val="24"/>
          <w:u w:val="single"/>
          <w14:ligatures w14:val="none"/>
        </w:rPr>
        <w:t>NEW SECTION.  SECTION 19.</w:t>
      </w:r>
      <w:r w:rsidR="00133D84" w:rsidRPr="006B4A66">
        <w:rPr>
          <w:rFonts w:ascii="Times New Roman" w:eastAsia="Times New Roman" w:hAnsi="Times New Roman" w:cs="Times New Roman"/>
          <w:color w:val="000000"/>
          <w:kern w:val="0"/>
          <w:sz w:val="24"/>
          <w:szCs w:val="24"/>
          <w14:ligatures w14:val="none"/>
        </w:rPr>
        <w:t xml:space="preserve">  There is hereby added to K.C.C. chapter 16.04 a new section to read as follows:</w:t>
      </w:r>
    </w:p>
    <w:p w14:paraId="64191E20" w14:textId="77777777" w:rsidR="00CC3B2A" w:rsidRPr="00CC3B2A" w:rsidRDefault="00CC3B2A"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CC3B2A">
        <w:rPr>
          <w:rFonts w:ascii="Times New Roman" w:eastAsia="Times New Roman" w:hAnsi="Times New Roman" w:cs="Times New Roman"/>
          <w:color w:val="000000"/>
          <w:kern w:val="0"/>
          <w:sz w:val="24"/>
          <w:szCs w:val="24"/>
          <w14:ligatures w14:val="none"/>
        </w:rPr>
        <w:tab/>
        <w:t>Section 429.4 of the International Building Code is not adopted and the following is substituted:</w:t>
      </w:r>
    </w:p>
    <w:p w14:paraId="32A5908F" w14:textId="2E0BBD57" w:rsidR="00CC3B2A" w:rsidRPr="00CC3B2A" w:rsidRDefault="00CC3B2A"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b/>
          <w:bCs/>
          <w:color w:val="000000"/>
          <w:kern w:val="0"/>
          <w:sz w:val="24"/>
          <w:szCs w:val="24"/>
          <w14:ligatures w14:val="none"/>
        </w:rPr>
        <w:tab/>
      </w:r>
      <w:r w:rsidRPr="00CC3B2A">
        <w:rPr>
          <w:rFonts w:ascii="Times New Roman" w:eastAsia="Times New Roman" w:hAnsi="Times New Roman" w:cs="Times New Roman"/>
          <w:b/>
          <w:bCs/>
          <w:color w:val="000000"/>
          <w:kern w:val="0"/>
          <w:sz w:val="24"/>
          <w:szCs w:val="24"/>
          <w14:ligatures w14:val="none"/>
        </w:rPr>
        <w:t>Electric vehicle charging infrastructure for accessible parking spaces</w:t>
      </w:r>
      <w:r w:rsidR="006A7F5E">
        <w:rPr>
          <w:rFonts w:ascii="Times New Roman" w:eastAsia="Times New Roman" w:hAnsi="Times New Roman" w:cs="Times New Roman"/>
          <w:b/>
          <w:bCs/>
          <w:color w:val="000000"/>
          <w:kern w:val="0"/>
          <w:sz w:val="24"/>
          <w:szCs w:val="24"/>
          <w14:ligatures w14:val="none"/>
        </w:rPr>
        <w:t xml:space="preserve"> (IBC </w:t>
      </w:r>
      <w:r w:rsidR="006A7F5E" w:rsidRPr="00CC3B2A">
        <w:rPr>
          <w:rFonts w:ascii="Times New Roman" w:eastAsia="Times New Roman" w:hAnsi="Times New Roman" w:cs="Times New Roman"/>
          <w:b/>
          <w:bCs/>
          <w:color w:val="000000"/>
          <w:kern w:val="0"/>
          <w:sz w:val="24"/>
          <w:szCs w:val="24"/>
          <w14:ligatures w14:val="none"/>
        </w:rPr>
        <w:t>429.4</w:t>
      </w:r>
      <w:r w:rsidR="006A7F5E">
        <w:rPr>
          <w:rFonts w:ascii="Times New Roman" w:eastAsia="Times New Roman" w:hAnsi="Times New Roman" w:cs="Times New Roman"/>
          <w:b/>
          <w:bCs/>
          <w:color w:val="000000"/>
          <w:kern w:val="0"/>
          <w:sz w:val="24"/>
          <w:szCs w:val="24"/>
          <w14:ligatures w14:val="none"/>
        </w:rPr>
        <w:t>)</w:t>
      </w:r>
      <w:r w:rsidRPr="00CC3B2A">
        <w:rPr>
          <w:rFonts w:ascii="Times New Roman" w:eastAsia="Times New Roman" w:hAnsi="Times New Roman" w:cs="Times New Roman"/>
          <w:b/>
          <w:bCs/>
          <w:color w:val="000000"/>
          <w:kern w:val="0"/>
          <w:sz w:val="24"/>
          <w:szCs w:val="24"/>
          <w14:ligatures w14:val="none"/>
        </w:rPr>
        <w:t>.</w:t>
      </w:r>
      <w:r w:rsidRPr="00CC3B2A">
        <w:rPr>
          <w:rFonts w:ascii="Times New Roman" w:eastAsia="Times New Roman" w:hAnsi="Times New Roman" w:cs="Times New Roman"/>
          <w:color w:val="000000"/>
          <w:kern w:val="0"/>
          <w:sz w:val="24"/>
          <w:szCs w:val="24"/>
          <w14:ligatures w14:val="none"/>
        </w:rPr>
        <w:t xml:space="preserve"> Ten percent of the accessible parking spaces, rounded to the next whole number, shall be EV Charging Stations. </w:t>
      </w:r>
      <w:r w:rsidR="00B8430C">
        <w:rPr>
          <w:rFonts w:ascii="Times New Roman" w:eastAsia="Times New Roman" w:hAnsi="Times New Roman" w:cs="Times New Roman"/>
          <w:color w:val="000000"/>
          <w:kern w:val="0"/>
          <w:sz w:val="24"/>
          <w:szCs w:val="24"/>
          <w14:ligatures w14:val="none"/>
        </w:rPr>
        <w:t xml:space="preserve"> </w:t>
      </w:r>
      <w:r w:rsidRPr="00CC3B2A">
        <w:rPr>
          <w:rFonts w:ascii="Times New Roman" w:eastAsia="Times New Roman" w:hAnsi="Times New Roman" w:cs="Times New Roman"/>
          <w:color w:val="000000"/>
          <w:kern w:val="0"/>
          <w:sz w:val="24"/>
          <w:szCs w:val="24"/>
          <w14:ligatures w14:val="none"/>
        </w:rPr>
        <w:t>An additional ten percent of the accessible parking spaces, rounded to the next whole number, shall be EV Ready. Not fewer than one for each type of EV charging system shall be accessible.</w:t>
      </w:r>
    </w:p>
    <w:p w14:paraId="14A79D1C" w14:textId="7439AAB8" w:rsidR="00CC3B2A" w:rsidRPr="001216D4" w:rsidRDefault="00E97175"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1216D4">
        <w:rPr>
          <w:rFonts w:ascii="Times New Roman" w:eastAsia="Times New Roman" w:hAnsi="Times New Roman" w:cs="Times New Roman"/>
          <w:color w:val="000000"/>
          <w:kern w:val="0"/>
          <w:sz w:val="24"/>
          <w:szCs w:val="24"/>
          <w14:ligatures w14:val="none"/>
        </w:rPr>
        <w:lastRenderedPageBreak/>
        <w:tab/>
      </w:r>
      <w:r w:rsidR="00CC3B2A" w:rsidRPr="001216D4">
        <w:rPr>
          <w:rFonts w:ascii="Times New Roman" w:eastAsia="Times New Roman" w:hAnsi="Times New Roman" w:cs="Times New Roman"/>
          <w:color w:val="000000"/>
          <w:kern w:val="0"/>
          <w:sz w:val="24"/>
          <w:szCs w:val="24"/>
          <w14:ligatures w14:val="none"/>
        </w:rPr>
        <w:t>Where only one accessible parking space is required by Section 1106 of the IBC, the accessible EV charging space shall be provided in addition to the required accessible parking space.</w:t>
      </w:r>
    </w:p>
    <w:p w14:paraId="7D4308DE" w14:textId="3294E7CA" w:rsidR="00CC3B2A" w:rsidRDefault="002A568A"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ab/>
      </w:r>
      <w:r w:rsidR="00CC3B2A" w:rsidRPr="00CC3B2A">
        <w:rPr>
          <w:rFonts w:ascii="Times New Roman" w:eastAsia="Times New Roman" w:hAnsi="Times New Roman" w:cs="Times New Roman"/>
          <w:color w:val="000000"/>
          <w:kern w:val="0"/>
          <w:sz w:val="24"/>
          <w:szCs w:val="24"/>
          <w14:ligatures w14:val="none"/>
        </w:rPr>
        <w:t>The electric vehicle charging infrastructure may also serve adjacent parking spaces not designated as accessible parking. A maximum of ten percent of the accessible parking spaces, rounded to the next whole number, are allowed to be included in the total number of electric vehicle parking spaces required under Section 429.2.</w:t>
      </w:r>
    </w:p>
    <w:p w14:paraId="7165DD64" w14:textId="2BE19F8A" w:rsidR="006B58D6" w:rsidRDefault="006B58D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Pr>
          <w:rFonts w:ascii="Times New Roman" w:eastAsia="Calibri" w:hAnsi="Times New Roman" w:cs="Times New Roman"/>
          <w:color w:val="000000"/>
          <w:kern w:val="0"/>
          <w:sz w:val="24"/>
          <w14:ligatures w14:val="none"/>
        </w:rPr>
        <w:tab/>
      </w:r>
      <w:r w:rsidR="00793BAB">
        <w:rPr>
          <w:rFonts w:ascii="Times New Roman" w:eastAsia="Calibri" w:hAnsi="Times New Roman" w:cs="Times New Roman"/>
          <w:color w:val="000000"/>
          <w:kern w:val="0"/>
          <w:sz w:val="24"/>
          <w:u w:val="single"/>
          <w14:ligatures w14:val="none"/>
        </w:rPr>
        <w:t>NEW SECTION.  SECTION 20.</w:t>
      </w:r>
      <w:r w:rsidRPr="006B4A66">
        <w:rPr>
          <w:rFonts w:ascii="Times New Roman" w:eastAsia="Times New Roman" w:hAnsi="Times New Roman" w:cs="Times New Roman"/>
          <w:color w:val="000000"/>
          <w:kern w:val="0"/>
          <w:sz w:val="24"/>
          <w:szCs w:val="24"/>
          <w14:ligatures w14:val="none"/>
        </w:rPr>
        <w:t xml:space="preserve">  There is hereby added to K.C.C. chapter 16.04 a new section to read as follows:</w:t>
      </w:r>
    </w:p>
    <w:p w14:paraId="1940D90C" w14:textId="77777777" w:rsidR="006B58D6" w:rsidRPr="006B58D6" w:rsidRDefault="006B58D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58D6">
        <w:rPr>
          <w:rFonts w:ascii="Times New Roman" w:eastAsia="Times New Roman" w:hAnsi="Times New Roman" w:cs="Times New Roman"/>
          <w:color w:val="000000"/>
          <w:kern w:val="0"/>
          <w:sz w:val="24"/>
          <w:szCs w:val="24"/>
          <w14:ligatures w14:val="none"/>
        </w:rPr>
        <w:tab/>
        <w:t>Section 429 of the International Building Code is supplemented with the following:</w:t>
      </w:r>
    </w:p>
    <w:p w14:paraId="770F1D95" w14:textId="02679FB4" w:rsidR="006B58D6" w:rsidRPr="00CC3B2A" w:rsidRDefault="00F12795"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b/>
          <w:bCs/>
          <w:color w:val="000000"/>
          <w:kern w:val="0"/>
          <w:sz w:val="24"/>
          <w:szCs w:val="24"/>
          <w14:ligatures w14:val="none"/>
        </w:rPr>
        <w:tab/>
      </w:r>
      <w:r w:rsidR="006B58D6" w:rsidRPr="006B58D6">
        <w:rPr>
          <w:rFonts w:ascii="Times New Roman" w:eastAsia="Times New Roman" w:hAnsi="Times New Roman" w:cs="Times New Roman"/>
          <w:b/>
          <w:bCs/>
          <w:color w:val="000000"/>
          <w:kern w:val="0"/>
          <w:sz w:val="24"/>
          <w:szCs w:val="24"/>
          <w14:ligatures w14:val="none"/>
        </w:rPr>
        <w:t>Signage (IBC 429.5)</w:t>
      </w:r>
      <w:r w:rsidR="006B58D6" w:rsidRPr="006B58D6">
        <w:rPr>
          <w:rFonts w:ascii="Times New Roman" w:eastAsia="Times New Roman" w:hAnsi="Times New Roman" w:cs="Times New Roman"/>
          <w:color w:val="000000"/>
          <w:kern w:val="0"/>
          <w:sz w:val="24"/>
          <w:szCs w:val="24"/>
          <w14:ligatures w14:val="none"/>
        </w:rPr>
        <w:t xml:space="preserve"> All electric-vehicle-supply-equipment parking spaces shall have designated signage and pavement markings as required under RCW 46.08.185.</w:t>
      </w:r>
    </w:p>
    <w:p w14:paraId="56D195E2" w14:textId="09B24282" w:rsidR="006B4A66" w:rsidRPr="006B4A66" w:rsidRDefault="00213FAF" w:rsidP="0073496A">
      <w:pPr>
        <w:tabs>
          <w:tab w:val="left" w:pos="720"/>
        </w:tabs>
        <w:spacing w:after="0" w:line="480" w:lineRule="auto"/>
        <w:rPr>
          <w:rFonts w:ascii="Times New Roman" w:eastAsia="Calibri" w:hAnsi="Times New Roman" w:cs="Times New Roman"/>
          <w:color w:val="000000"/>
          <w:kern w:val="0"/>
          <w:sz w:val="24"/>
          <w14:ligatures w14:val="none"/>
        </w:rPr>
      </w:pPr>
      <w:r w:rsidRPr="001216D4">
        <w:rPr>
          <w:rFonts w:ascii="Times New Roman" w:eastAsia="Calibri" w:hAnsi="Times New Roman" w:cs="Times New Roman"/>
          <w:color w:val="000000"/>
          <w:kern w:val="0"/>
          <w:sz w:val="24"/>
          <w14:ligatures w14:val="none"/>
        </w:rPr>
        <w:tab/>
      </w:r>
      <w:r w:rsidR="006B4A66" w:rsidRPr="006B4A66">
        <w:rPr>
          <w:rFonts w:ascii="Times New Roman" w:eastAsia="Calibri" w:hAnsi="Times New Roman" w:cs="Times New Roman"/>
          <w:color w:val="000000"/>
          <w:kern w:val="0"/>
          <w:sz w:val="24"/>
          <w:u w:val="single"/>
          <w14:ligatures w14:val="none"/>
        </w:rPr>
        <w:t>SECTION 21.</w:t>
      </w:r>
      <w:r w:rsidR="006B4A66" w:rsidRPr="006B4A66">
        <w:rPr>
          <w:rFonts w:ascii="Times New Roman" w:eastAsia="Calibri" w:hAnsi="Times New Roman" w:cs="Times New Roman"/>
          <w:color w:val="000000"/>
          <w:kern w:val="0"/>
          <w:sz w:val="24"/>
          <w14:ligatures w14:val="none"/>
        </w:rPr>
        <w:t xml:space="preserve">  Ordinance </w:t>
      </w:r>
      <w:r w:rsidR="00462B29">
        <w:rPr>
          <w:rFonts w:ascii="Times New Roman" w:eastAsia="Calibri" w:hAnsi="Times New Roman" w:cs="Times New Roman"/>
          <w:color w:val="000000"/>
          <w:kern w:val="0"/>
          <w:sz w:val="24"/>
          <w14:ligatures w14:val="none"/>
        </w:rPr>
        <w:t>14914</w:t>
      </w:r>
      <w:r w:rsidR="006B4A66" w:rsidRPr="006B4A66">
        <w:rPr>
          <w:rFonts w:ascii="Times New Roman" w:eastAsia="Calibri" w:hAnsi="Times New Roman" w:cs="Times New Roman"/>
          <w:color w:val="000000"/>
          <w:kern w:val="0"/>
          <w:sz w:val="24"/>
          <w14:ligatures w14:val="none"/>
        </w:rPr>
        <w:t xml:space="preserve">, Section </w:t>
      </w:r>
      <w:r w:rsidR="00462B29">
        <w:rPr>
          <w:rFonts w:ascii="Times New Roman" w:eastAsia="Calibri" w:hAnsi="Times New Roman" w:cs="Times New Roman"/>
          <w:color w:val="000000"/>
          <w:kern w:val="0"/>
          <w:sz w:val="24"/>
          <w14:ligatures w14:val="none"/>
        </w:rPr>
        <w:t>164</w:t>
      </w:r>
      <w:r w:rsidR="006B4A66" w:rsidRPr="006B4A66">
        <w:rPr>
          <w:rFonts w:ascii="Times New Roman" w:eastAsia="Calibri" w:hAnsi="Times New Roman" w:cs="Times New Roman"/>
          <w:color w:val="000000"/>
          <w:kern w:val="0"/>
          <w:sz w:val="24"/>
          <w14:ligatures w14:val="none"/>
        </w:rPr>
        <w:t>, as amended, and K.C.C. 16.04.440 are hereby amended to read as follows:</w:t>
      </w:r>
    </w:p>
    <w:p w14:paraId="416FF4D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1612.4 of the International Building Code is not adopted and the following is substituted:</w:t>
      </w:r>
    </w:p>
    <w:p w14:paraId="7F0FB71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Flood hazard documentation (IBC 1612.4).</w:t>
      </w:r>
      <w:r w:rsidRPr="006B4A66">
        <w:rPr>
          <w:rFonts w:ascii="Times New Roman" w:eastAsia="Calibri" w:hAnsi="Times New Roman" w:cs="Times New Roman"/>
          <w:color w:val="000000"/>
          <w:kern w:val="0"/>
          <w:sz w:val="24"/>
          <w14:ligatures w14:val="none"/>
        </w:rPr>
        <w:t xml:space="preserve">  For construction in flood hazard areas the applicant shall provide actual as-built elevation certificate by a professional ((</w:t>
      </w:r>
      <w:r w:rsidRPr="006B4A66">
        <w:rPr>
          <w:rFonts w:ascii="Times New Roman" w:eastAsia="Calibri" w:hAnsi="Times New Roman" w:cs="Times New Roman"/>
          <w:strike/>
          <w:color w:val="000000"/>
          <w:kern w:val="0"/>
          <w:sz w:val="24"/>
          <w14:ligatures w14:val="none"/>
        </w:rPr>
        <w:t>civil engineer or</w:t>
      </w:r>
      <w:r w:rsidRPr="006B4A66">
        <w:rPr>
          <w:rFonts w:ascii="Times New Roman" w:eastAsia="Calibri" w:hAnsi="Times New Roman" w:cs="Times New Roman"/>
          <w:color w:val="000000"/>
          <w:kern w:val="0"/>
          <w:sz w:val="24"/>
          <w14:ligatures w14:val="none"/>
        </w:rPr>
        <w:t xml:space="preserve">)) land surveyor licensed by the state of Washington </w:t>
      </w:r>
      <w:r w:rsidRPr="006B4A66">
        <w:rPr>
          <w:rFonts w:ascii="Times New Roman" w:eastAsia="Calibri" w:hAnsi="Times New Roman" w:cs="Times New Roman"/>
          <w:color w:val="000000"/>
          <w:kern w:val="0"/>
          <w:sz w:val="24"/>
          <w:u w:val="single"/>
          <w14:ligatures w14:val="none"/>
        </w:rPr>
        <w:t>in accordance with K.C.C. 21A.24.270</w:t>
      </w:r>
      <w:r w:rsidRPr="006B4A66">
        <w:rPr>
          <w:rFonts w:ascii="Times New Roman" w:eastAsia="Calibri" w:hAnsi="Times New Roman" w:cs="Times New Roman"/>
          <w:color w:val="000000"/>
          <w:kern w:val="0"/>
          <w:sz w:val="24"/>
          <w14:ligatures w14:val="none"/>
        </w:rPr>
        <w:t>.</w:t>
      </w:r>
    </w:p>
    <w:p w14:paraId="18F0AE6D" w14:textId="16AE32BF"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22.</w:t>
      </w:r>
      <w:r w:rsidRPr="006B4A66">
        <w:rPr>
          <w:rFonts w:ascii="Times New Roman" w:eastAsia="Calibri" w:hAnsi="Times New Roman" w:cs="Times New Roman"/>
          <w:color w:val="000000"/>
          <w:kern w:val="0"/>
          <w:sz w:val="24"/>
          <w14:ligatures w14:val="none"/>
        </w:rPr>
        <w:t xml:space="preserve">  Ordinance 12560, Section 72, as amended, and K.C.C. 16.04.600 are hereby amended to read as follows:</w:t>
      </w:r>
    </w:p>
    <w:p w14:paraId="64604BCF" w14:textId="77777777" w:rsidR="006B4A66" w:rsidRPr="006B4A66" w:rsidRDefault="006B4A66" w:rsidP="0073496A">
      <w:pPr>
        <w:tabs>
          <w:tab w:val="left" w:pos="720"/>
        </w:tabs>
        <w:spacing w:after="0" w:line="480" w:lineRule="auto"/>
        <w:rPr>
          <w:rFonts w:ascii="Times New Roman" w:eastAsia="Times New Roman" w:hAnsi="Times New Roman" w:cs="Times New Roman"/>
          <w:b/>
          <w:bCs/>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lastRenderedPageBreak/>
        <w:tab/>
        <w:t>The International Building Code is supplemented by the following appendix:</w:t>
      </w:r>
      <w:r w:rsidRPr="006B4A66">
        <w:rPr>
          <w:rFonts w:ascii="Courier" w:eastAsia="Times New Roman" w:hAnsi="Courier" w:cs="Times New Roman"/>
          <w:color w:val="000000"/>
          <w:kern w:val="0"/>
          <w:sz w:val="24"/>
          <w:szCs w:val="20"/>
          <w14:ligatures w14:val="none"/>
        </w:rPr>
        <w:tab/>
      </w:r>
      <w:r w:rsidRPr="006B4A66">
        <w:rPr>
          <w:rFonts w:ascii="Times New Roman" w:eastAsia="Times New Roman" w:hAnsi="Times New Roman" w:cs="Times New Roman"/>
          <w:b/>
          <w:bCs/>
          <w:color w:val="000000"/>
          <w:kern w:val="0"/>
          <w:sz w:val="24"/>
          <w:szCs w:val="24"/>
          <w14:ligatures w14:val="none"/>
        </w:rPr>
        <w:t>Definitions (IBC AZ 106).</w:t>
      </w:r>
    </w:p>
    <w:p w14:paraId="5D493796"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u w:val="single"/>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b/>
          <w:bCs/>
          <w:strike/>
          <w:color w:val="000000"/>
          <w:kern w:val="0"/>
          <w:sz w:val="24"/>
          <w:szCs w:val="24"/>
          <w14:ligatures w14:val="none"/>
        </w:rPr>
        <w:t>NOISE REDUCTION COEFFICIENT (NRC): is</w:t>
      </w:r>
      <w:r w:rsidRPr="006B4A66">
        <w:rPr>
          <w:rFonts w:ascii="Times New Roman" w:eastAsia="Times New Roman" w:hAnsi="Times New Roman" w:cs="Times New Roman"/>
          <w:color w:val="000000"/>
          <w:kern w:val="0"/>
          <w:sz w:val="24"/>
          <w:szCs w:val="24"/>
          <w14:ligatures w14:val="none"/>
        </w:rPr>
        <w:t xml:space="preserve">)) A.  </w:t>
      </w:r>
      <w:r w:rsidRPr="006B4A66">
        <w:rPr>
          <w:rFonts w:ascii="Times New Roman" w:eastAsia="Times New Roman" w:hAnsi="Times New Roman" w:cs="Times New Roman"/>
          <w:color w:val="000000"/>
          <w:kern w:val="0"/>
          <w:sz w:val="24"/>
          <w:szCs w:val="24"/>
          <w:u w:val="single"/>
          <w14:ligatures w14:val="none"/>
        </w:rPr>
        <w:t>Noise Reduction Coefficient (NRC):</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strike/>
          <w:color w:val="000000"/>
          <w:kern w:val="0"/>
          <w:sz w:val="24"/>
          <w:szCs w:val="24"/>
          <w14:ligatures w14:val="none"/>
        </w:rPr>
        <w:t>t)</w:t>
      </w:r>
      <w:r w:rsidRPr="006B4A66">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color w:val="000000"/>
          <w:kern w:val="0"/>
          <w:sz w:val="24"/>
          <w:szCs w:val="24"/>
          <w:u w:val="single"/>
          <w14:ligatures w14:val="none"/>
        </w:rPr>
        <w:t>T</w:t>
      </w:r>
      <w:r w:rsidRPr="006B4A66">
        <w:rPr>
          <w:rFonts w:ascii="Times New Roman" w:eastAsia="Times New Roman" w:hAnsi="Times New Roman" w:cs="Times New Roman"/>
          <w:color w:val="000000"/>
          <w:kern w:val="0"/>
          <w:sz w:val="24"/>
          <w:szCs w:val="24"/>
          <w14:ligatures w14:val="none"/>
        </w:rPr>
        <w:t>he arithmetic average of the sound absorption coefficients of a material at 250, 500, 1</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000, and 2</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000 ((</w:t>
      </w:r>
      <w:r w:rsidRPr="006B4A66">
        <w:rPr>
          <w:rFonts w:ascii="Times New Roman" w:eastAsia="Times New Roman" w:hAnsi="Times New Roman" w:cs="Times New Roman"/>
          <w:strike/>
          <w:color w:val="000000"/>
          <w:kern w:val="0"/>
          <w:sz w:val="24"/>
          <w:szCs w:val="24"/>
          <w14:ligatures w14:val="none"/>
        </w:rPr>
        <w:t>Hz</w:t>
      </w:r>
      <w:r w:rsidRPr="006B4A66">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color w:val="000000"/>
          <w:kern w:val="0"/>
          <w:sz w:val="24"/>
          <w:szCs w:val="24"/>
          <w:u w:val="single"/>
          <w14:ligatures w14:val="none"/>
        </w:rPr>
        <w:t xml:space="preserve"> hertz</w:t>
      </w:r>
      <w:r w:rsidRPr="006B4A66">
        <w:rPr>
          <w:rFonts w:ascii="Times New Roman" w:eastAsia="Times New Roman" w:hAnsi="Times New Roman" w:cs="Times New Roman"/>
          <w:color w:val="000000"/>
          <w:kern w:val="0"/>
          <w:sz w:val="24"/>
          <w:szCs w:val="24"/>
          <w14:ligatures w14:val="none"/>
        </w:rPr>
        <w:t>.</w:t>
      </w:r>
    </w:p>
    <w:p w14:paraId="5CE66B34"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b/>
          <w:bCs/>
          <w:strike/>
          <w:color w:val="000000"/>
          <w:kern w:val="0"/>
          <w:sz w:val="24"/>
          <w:szCs w:val="24"/>
          <w14:ligatures w14:val="none"/>
        </w:rPr>
        <w:t>SOUND TRANSMISSION CLASS (STC)</w:t>
      </w:r>
      <w:r w:rsidRPr="006B4A66">
        <w:rPr>
          <w:rFonts w:ascii="Times New Roman" w:eastAsia="Times New Roman" w:hAnsi="Times New Roman" w:cs="Times New Roman"/>
          <w:strike/>
          <w:color w:val="000000"/>
          <w:kern w:val="0"/>
          <w:sz w:val="24"/>
          <w:szCs w:val="24"/>
          <w14:ligatures w14:val="none"/>
        </w:rPr>
        <w:t>: is</w:t>
      </w:r>
      <w:r w:rsidRPr="006B4A66">
        <w:rPr>
          <w:rFonts w:ascii="Times New Roman" w:eastAsia="Times New Roman" w:hAnsi="Times New Roman" w:cs="Times New Roman"/>
          <w:b/>
          <w:bCs/>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B.  Sound Transmission Class (STC):</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The</w:t>
      </w:r>
      <w:r w:rsidRPr="006B4A66">
        <w:rPr>
          <w:rFonts w:ascii="Times New Roman" w:eastAsia="Times New Roman" w:hAnsi="Times New Roman" w:cs="Times New Roman"/>
          <w:color w:val="000000"/>
          <w:kern w:val="0"/>
          <w:sz w:val="24"/>
          <w:szCs w:val="24"/>
          <w14:ligatures w14:val="none"/>
        </w:rPr>
        <w:t xml:space="preserve"> single</w:t>
      </w:r>
      <w:r w:rsidRPr="006B4A66">
        <w:rPr>
          <w:rFonts w:ascii="Times New Roman" w:eastAsia="Times New Roman" w:hAnsi="Times New Roman" w:cs="Times New Roman"/>
          <w:color w:val="000000"/>
          <w:kern w:val="0"/>
          <w:sz w:val="24"/>
          <w:szCs w:val="24"/>
          <w14:ligatures w14:val="none"/>
        </w:rPr>
        <w:noBreakHyphen/>
        <w:t>number rating for describing sound transmission loss of a wall, roof, floor, window, door, partition</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 xml:space="preserve"> or other individual building components or assemblies.</w:t>
      </w:r>
    </w:p>
    <w:p w14:paraId="0EAB9172" w14:textId="33DD81BC"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23.</w:t>
      </w:r>
      <w:r w:rsidRPr="006B4A66">
        <w:rPr>
          <w:rFonts w:ascii="Times New Roman" w:eastAsia="Times New Roman" w:hAnsi="Times New Roman" w:cs="Times New Roman"/>
          <w:color w:val="000000"/>
          <w:kern w:val="0"/>
          <w:sz w:val="24"/>
          <w:szCs w:val="24"/>
          <w14:ligatures w14:val="none"/>
        </w:rPr>
        <w:t xml:space="preserve">  Ordinance 12560, Section 72, as amended, and K.C.C. 16.04.620 are hereby amended to read as follows:</w:t>
      </w:r>
    </w:p>
    <w:p w14:paraId="66F776F0"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The International Building Code is supplemented with the following appendix:</w:t>
      </w: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b/>
          <w:bCs/>
          <w:color w:val="000000"/>
          <w:kern w:val="0"/>
          <w:sz w:val="24"/>
          <w:szCs w:val="24"/>
          <w14:ligatures w14:val="none"/>
        </w:rPr>
        <w:t>Seattle-Tacoma noise program area (IBC AZ 108).</w:t>
      </w:r>
      <w:r w:rsidRPr="006B4A66">
        <w:rPr>
          <w:rFonts w:ascii="Times New Roman" w:eastAsia="Times New Roman" w:hAnsi="Times New Roman" w:cs="Times New Roman"/>
          <w:color w:val="000000"/>
          <w:kern w:val="0"/>
          <w:sz w:val="24"/>
          <w:szCs w:val="24"/>
          <w14:ligatures w14:val="none"/>
        </w:rPr>
        <w:t xml:space="preserve">  Noise-determined construction requirements detailed in this chapter shall be applied to new construction and additions within the designated areas of the Port of Seattle's Noise Remedy Boundary, except for not-normally-inhabited portions of warehouses, storage buildings</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 xml:space="preserve"> and similar structures as determined by the director.  Specific construction requirements are:</w:t>
      </w:r>
    </w:p>
    <w:p w14:paraId="3E9ABBB1"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1.</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A.</w:t>
      </w:r>
      <w:r w:rsidRPr="006B4A66">
        <w:rPr>
          <w:rFonts w:ascii="Times New Roman" w:eastAsia="Times New Roman" w:hAnsi="Times New Roman" w:cs="Times New Roman"/>
          <w:color w:val="000000"/>
          <w:kern w:val="0"/>
          <w:sz w:val="24"/>
          <w:szCs w:val="24"/>
          <w14:ligatures w14:val="none"/>
        </w:rPr>
        <w:t xml:space="preserve">  Bedrooms shall comply with IBC AZ 125 which is designed to achieve a noise reduction of 35 ((</w:t>
      </w:r>
      <w:r w:rsidRPr="006B4A66">
        <w:rPr>
          <w:rFonts w:ascii="Times New Roman" w:eastAsia="Times New Roman" w:hAnsi="Times New Roman" w:cs="Times New Roman"/>
          <w:strike/>
          <w:color w:val="000000"/>
          <w:kern w:val="0"/>
          <w:sz w:val="24"/>
          <w:szCs w:val="24"/>
          <w14:ligatures w14:val="none"/>
        </w:rPr>
        <w:t>dB</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decibels</w:t>
      </w:r>
      <w:r w:rsidRPr="006B4A66">
        <w:rPr>
          <w:rFonts w:ascii="Times New Roman" w:eastAsia="Times New Roman" w:hAnsi="Times New Roman" w:cs="Times New Roman"/>
          <w:color w:val="000000"/>
          <w:kern w:val="0"/>
          <w:sz w:val="24"/>
          <w:szCs w:val="24"/>
          <w14:ligatures w14:val="none"/>
        </w:rPr>
        <w:t>.</w:t>
      </w:r>
    </w:p>
    <w:p w14:paraId="511F3B5C"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2.</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B.</w:t>
      </w:r>
      <w:r w:rsidRPr="006B4A66">
        <w:rPr>
          <w:rFonts w:ascii="Times New Roman" w:eastAsia="Times New Roman" w:hAnsi="Times New Roman" w:cs="Times New Roman"/>
          <w:color w:val="000000"/>
          <w:kern w:val="0"/>
          <w:sz w:val="24"/>
          <w:szCs w:val="24"/>
          <w14:ligatures w14:val="none"/>
        </w:rPr>
        <w:t xml:space="preserve">  All other living and working areas shall comply with IBC AZ 117 which is designed to achieve a noise reduction level of 30 ((</w:t>
      </w:r>
      <w:r w:rsidRPr="006B4A66">
        <w:rPr>
          <w:rFonts w:ascii="Times New Roman" w:eastAsia="Times New Roman" w:hAnsi="Times New Roman" w:cs="Times New Roman"/>
          <w:strike/>
          <w:color w:val="000000"/>
          <w:kern w:val="0"/>
          <w:sz w:val="24"/>
          <w:szCs w:val="24"/>
          <w14:ligatures w14:val="none"/>
        </w:rPr>
        <w:t>dB</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decibels</w:t>
      </w:r>
      <w:r w:rsidRPr="006B4A66">
        <w:rPr>
          <w:rFonts w:ascii="Times New Roman" w:eastAsia="Times New Roman" w:hAnsi="Times New Roman" w:cs="Times New Roman"/>
          <w:color w:val="000000"/>
          <w:kern w:val="0"/>
          <w:sz w:val="24"/>
          <w:szCs w:val="24"/>
          <w14:ligatures w14:val="none"/>
        </w:rPr>
        <w:t>.</w:t>
      </w:r>
    </w:p>
    <w:p w14:paraId="36350BE5" w14:textId="53C6D38D"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24.</w:t>
      </w:r>
      <w:r w:rsidRPr="006B4A66">
        <w:rPr>
          <w:rFonts w:ascii="Times New Roman" w:eastAsia="Times New Roman" w:hAnsi="Times New Roman" w:cs="Times New Roman"/>
          <w:color w:val="000000"/>
          <w:kern w:val="0"/>
          <w:sz w:val="24"/>
          <w:szCs w:val="24"/>
          <w14:ligatures w14:val="none"/>
        </w:rPr>
        <w:t xml:space="preserve">  Ordinance 12560, Section 75, as amended, and K.C.C. 16.04.630 are hereby amended to read as follows:</w:t>
      </w:r>
    </w:p>
    <w:p w14:paraId="2C161102" w14:textId="77777777" w:rsidR="006B4A66" w:rsidRPr="006B4A66" w:rsidRDefault="006B4A66" w:rsidP="0073496A">
      <w:pPr>
        <w:tabs>
          <w:tab w:val="left" w:pos="720"/>
        </w:tabs>
        <w:spacing w:after="0" w:line="480" w:lineRule="auto"/>
        <w:rPr>
          <w:rFonts w:ascii="Times New Roman" w:eastAsia="Times New Roman" w:hAnsi="Times New Roman" w:cs="Times New Roman"/>
          <w:b/>
          <w:bCs/>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lastRenderedPageBreak/>
        <w:tab/>
        <w:t>The International Building Code is supplemented by the following appendix:</w:t>
      </w: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b/>
          <w:bCs/>
          <w:color w:val="000000"/>
          <w:kern w:val="0"/>
          <w:sz w:val="24"/>
          <w:szCs w:val="24"/>
          <w14:ligatures w14:val="none"/>
        </w:rPr>
        <w:t>Air leakage for all buildings (IBC AZ 109).</w:t>
      </w:r>
    </w:p>
    <w:p w14:paraId="659731C5"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b/>
          <w:bCs/>
          <w:color w:val="000000"/>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strike/>
          <w:color w:val="000000"/>
          <w:kern w:val="0"/>
          <w:sz w:val="24"/>
          <w:szCs w:val="24"/>
          <w14:ligatures w14:val="none"/>
        </w:rPr>
        <w:t>(a)</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A.</w:t>
      </w:r>
      <w:r w:rsidRPr="006B4A66">
        <w:rPr>
          <w:rFonts w:ascii="Times New Roman" w:eastAsia="Times New Roman" w:hAnsi="Times New Roman" w:cs="Times New Roman"/>
          <w:color w:val="000000"/>
          <w:kern w:val="0"/>
          <w:sz w:val="24"/>
          <w:szCs w:val="24"/>
          <w14:ligatures w14:val="none"/>
        </w:rPr>
        <w:t xml:space="preserve">  The requirements of this section shall apply to the design of the exterior envelope of all buildings in the Sea</w:t>
      </w:r>
      <w:r w:rsidRPr="006B4A66">
        <w:rPr>
          <w:rFonts w:ascii="Times New Roman" w:eastAsia="Times New Roman" w:hAnsi="Times New Roman" w:cs="Times New Roman"/>
          <w:color w:val="000000"/>
          <w:kern w:val="0"/>
          <w:sz w:val="24"/>
          <w:szCs w:val="24"/>
          <w14:ligatures w14:val="none"/>
        </w:rPr>
        <w:noBreakHyphen/>
        <w:t>Tac Noise Program Area designed for human occupancy.  The requirements of this section are not applicable to the separation of interior spaces from each other.</w:t>
      </w:r>
    </w:p>
    <w:p w14:paraId="745D4DAC"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(b)</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B.</w:t>
      </w:r>
      <w:r w:rsidRPr="006B4A66">
        <w:rPr>
          <w:rFonts w:ascii="Times New Roman" w:eastAsia="Times New Roman" w:hAnsi="Times New Roman" w:cs="Times New Roman"/>
          <w:color w:val="000000"/>
          <w:kern w:val="0"/>
          <w:sz w:val="24"/>
          <w:szCs w:val="24"/>
          <w14:ligatures w14:val="none"/>
        </w:rPr>
        <w:t xml:space="preserve">  The following limitations shall be sealed, caulked, gasketed, or weather-stripped to limit or eliminate air leakage:</w:t>
      </w:r>
    </w:p>
    <w:p w14:paraId="3A79AA08"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  1((</w:t>
      </w:r>
      <w:r w:rsidRPr="006B4A66">
        <w:rPr>
          <w:rFonts w:ascii="Times New Roman" w:eastAsia="Times New Roman"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 xml:space="preserve">  Exterior joints around window and door frames between the window or door frame and the framing.</w:t>
      </w:r>
    </w:p>
    <w:p w14:paraId="687CDA22"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  2((</w:t>
      </w:r>
      <w:r w:rsidRPr="006B4A66">
        <w:rPr>
          <w:rFonts w:ascii="Times New Roman" w:eastAsia="Times New Roman"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 xml:space="preserve">  Openings between walls and foundations.</w:t>
      </w:r>
    </w:p>
    <w:p w14:paraId="18C93367"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  3((</w:t>
      </w:r>
      <w:r w:rsidRPr="006B4A66">
        <w:rPr>
          <w:rFonts w:ascii="Times New Roman" w:eastAsia="Times New Roman"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 xml:space="preserve">  Between the wall sole plate and the rough flooring.</w:t>
      </w:r>
    </w:p>
    <w:p w14:paraId="79C5C337"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  4((</w:t>
      </w:r>
      <w:r w:rsidRPr="006B4A66">
        <w:rPr>
          <w:rFonts w:ascii="Times New Roman" w:eastAsia="Times New Roman"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 xml:space="preserve">  Opening at penetrations of utility services through walls, floor, and roofs.</w:t>
      </w:r>
      <w:r w:rsidRPr="006B4A66">
        <w:rPr>
          <w:rFonts w:ascii="Times New Roman" w:eastAsia="Times New Roman" w:hAnsi="Times New Roman" w:cs="Times New Roman"/>
          <w:color w:val="000000"/>
          <w:kern w:val="0"/>
          <w:sz w:val="24"/>
          <w:szCs w:val="24"/>
          <w14:ligatures w14:val="none"/>
        </w:rPr>
        <w:tab/>
        <w:t xml:space="preserve">  5((</w:t>
      </w:r>
      <w:r w:rsidRPr="006B4A66">
        <w:rPr>
          <w:rFonts w:ascii="Times New Roman" w:eastAsia="Times New Roman"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 xml:space="preserve">  Between wall panels at corners.</w:t>
      </w:r>
    </w:p>
    <w:p w14:paraId="32DF1C27"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  6((</w:t>
      </w:r>
      <w:r w:rsidRPr="006B4A66">
        <w:rPr>
          <w:rFonts w:ascii="Times New Roman" w:eastAsia="Times New Roman"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 xml:space="preserve">  All other openings in the building envelope.</w:t>
      </w:r>
    </w:p>
    <w:p w14:paraId="3447D1B8"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(c)</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C.</w:t>
      </w:r>
      <w:r w:rsidRPr="006B4A66">
        <w:rPr>
          <w:rFonts w:ascii="Times New Roman" w:eastAsia="Times New Roman" w:hAnsi="Times New Roman" w:cs="Times New Roman"/>
          <w:color w:val="000000"/>
          <w:kern w:val="0"/>
          <w:sz w:val="24"/>
          <w:szCs w:val="24"/>
          <w14:ligatures w14:val="none"/>
        </w:rPr>
        <w:t xml:space="preserve">  Through the wall, floor, or roof/ceiling penetrations not specifically addressed in these sections shall be designed to limit sound transmission and shall have the same average laboratory sound transmission classification as required for doors.</w:t>
      </w:r>
    </w:p>
    <w:p w14:paraId="4245599C" w14:textId="0DAEA24A"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25.</w:t>
      </w:r>
      <w:r w:rsidRPr="006B4A66">
        <w:rPr>
          <w:rFonts w:ascii="Times New Roman" w:eastAsia="Times New Roman" w:hAnsi="Times New Roman" w:cs="Times New Roman"/>
          <w:color w:val="000000"/>
          <w:kern w:val="0"/>
          <w:sz w:val="24"/>
          <w:szCs w:val="24"/>
          <w14:ligatures w14:val="none"/>
        </w:rPr>
        <w:t xml:space="preserve">  Ordinance 12560, Section 84, as amended, and K.C.C. 16.04.720 are hereby amended to read as follows:</w:t>
      </w:r>
    </w:p>
    <w:p w14:paraId="798B805F" w14:textId="77777777" w:rsidR="006B4A66" w:rsidRPr="006B4A66" w:rsidRDefault="006B4A66" w:rsidP="0073496A">
      <w:pPr>
        <w:tabs>
          <w:tab w:val="left" w:pos="720"/>
        </w:tabs>
        <w:spacing w:after="0" w:line="480" w:lineRule="auto"/>
        <w:rPr>
          <w:rFonts w:ascii="Times New Roman" w:eastAsia="Times New Roman" w:hAnsi="Times New Roman" w:cs="Times New Roman"/>
          <w:b/>
          <w:bCs/>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The International Building Code is supplemented by the following appendix:</w:t>
      </w: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b/>
          <w:bCs/>
          <w:color w:val="000000"/>
          <w:kern w:val="0"/>
          <w:sz w:val="24"/>
          <w:szCs w:val="24"/>
          <w14:ligatures w14:val="none"/>
        </w:rPr>
        <w:t>Exterior walls 30 dB compliance (IBC AZ 118).</w:t>
      </w:r>
    </w:p>
    <w:p w14:paraId="77C8C062"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b/>
          <w:bCs/>
          <w:color w:val="000000"/>
          <w:kern w:val="0"/>
          <w:sz w:val="24"/>
          <w:szCs w:val="24"/>
          <w14:ligatures w14:val="none"/>
        </w:rPr>
        <w:lastRenderedPageBreak/>
        <w:tab/>
      </w:r>
      <w:r w:rsidRPr="006B4A66">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strike/>
          <w:color w:val="000000"/>
          <w:kern w:val="0"/>
          <w:sz w:val="24"/>
          <w:szCs w:val="24"/>
          <w14:ligatures w14:val="none"/>
        </w:rPr>
        <w:t>(a)</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A.</w:t>
      </w:r>
      <w:r w:rsidRPr="006B4A66">
        <w:rPr>
          <w:rFonts w:ascii="Times New Roman" w:eastAsia="Times New Roman" w:hAnsi="Times New Roman" w:cs="Times New Roman"/>
          <w:color w:val="000000"/>
          <w:kern w:val="0"/>
          <w:sz w:val="24"/>
          <w:szCs w:val="24"/>
          <w14:ligatures w14:val="none"/>
        </w:rPr>
        <w:t xml:space="preserve">  Exterior walls, other than as described in this section, shall have a laboratory sound transmission class rating of at least STC</w:t>
      </w:r>
      <w:r w:rsidRPr="006B4A66">
        <w:rPr>
          <w:rFonts w:ascii="Times New Roman" w:eastAsia="Times New Roman" w:hAnsi="Times New Roman" w:cs="Times New Roman"/>
          <w:color w:val="000000"/>
          <w:kern w:val="0"/>
          <w:sz w:val="24"/>
          <w:szCs w:val="24"/>
          <w14:ligatures w14:val="none"/>
        </w:rPr>
        <w:noBreakHyphen/>
        <w:t>35; or</w:t>
      </w:r>
    </w:p>
    <w:p w14:paraId="6B8963D0"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(b)</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B.</w:t>
      </w:r>
      <w:r w:rsidRPr="006B4A66">
        <w:rPr>
          <w:rFonts w:ascii="Times New Roman" w:eastAsia="Times New Roman" w:hAnsi="Times New Roman" w:cs="Times New Roman"/>
          <w:color w:val="000000"/>
          <w:kern w:val="0"/>
          <w:sz w:val="24"/>
          <w:szCs w:val="24"/>
          <w14:ligatures w14:val="none"/>
        </w:rPr>
        <w:t xml:space="preserve">  Masonry walls having a weight of at least 40 pounds per square foot </w:t>
      </w:r>
      <w:r w:rsidRPr="006B4A66">
        <w:rPr>
          <w:rFonts w:ascii="Times New Roman" w:eastAsia="Times New Roman" w:hAnsi="Times New Roman" w:cs="Times New Roman"/>
          <w:color w:val="000000"/>
          <w:kern w:val="0"/>
          <w:sz w:val="24"/>
          <w:szCs w:val="24"/>
          <w:u w:val="single"/>
          <w14:ligatures w14:val="none"/>
        </w:rPr>
        <w:t>(195 kilograms per square meter)</w:t>
      </w:r>
      <w:r w:rsidRPr="006B4A66">
        <w:rPr>
          <w:rFonts w:ascii="Times New Roman" w:eastAsia="Times New Roman" w:hAnsi="Times New Roman" w:cs="Times New Roman"/>
          <w:color w:val="000000"/>
          <w:kern w:val="0"/>
          <w:sz w:val="24"/>
          <w:szCs w:val="24"/>
          <w14:ligatures w14:val="none"/>
        </w:rPr>
        <w:t xml:space="preserve"> do not require a furred (stud) interior wall. At least one surface of concrete block walls shall be plastered.</w:t>
      </w:r>
    </w:p>
    <w:p w14:paraId="10C71847"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(c)</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C.</w:t>
      </w:r>
      <w:r w:rsidRPr="006B4A66">
        <w:rPr>
          <w:rFonts w:ascii="Times New Roman" w:eastAsia="Times New Roman" w:hAnsi="Times New Roman" w:cs="Times New Roman"/>
          <w:color w:val="000000"/>
          <w:kern w:val="0"/>
          <w:sz w:val="24"/>
          <w:szCs w:val="24"/>
          <w14:ligatures w14:val="none"/>
        </w:rPr>
        <w:t xml:space="preserve">  Stud walls shall be at least 4 (</w:t>
      </w:r>
      <w:r w:rsidRPr="001216D4">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strike/>
          <w:color w:val="000000"/>
          <w:kern w:val="0"/>
          <w:sz w:val="24"/>
          <w:szCs w:val="24"/>
          <w14:ligatures w14:val="none"/>
        </w:rPr>
        <w:t>"</w:t>
      </w:r>
      <w:r w:rsidRPr="001216D4">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inches (102 millimeters)</w:t>
      </w:r>
      <w:r w:rsidRPr="006B4A66">
        <w:rPr>
          <w:rFonts w:ascii="Times New Roman" w:eastAsia="Times New Roman" w:hAnsi="Times New Roman" w:cs="Times New Roman"/>
          <w:color w:val="000000"/>
          <w:kern w:val="0"/>
          <w:sz w:val="24"/>
          <w:szCs w:val="24"/>
          <w14:ligatures w14:val="none"/>
        </w:rPr>
        <w:t xml:space="preserve"> in nominal depth and shall be finished on the outside with solid sheathing under an approved exterior wall finish.</w:t>
      </w:r>
    </w:p>
    <w:p w14:paraId="40FB1D0E"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  1.  Interior surface of the exterior walls shall be of gypsum board or plaster at least 1/2 inch </w:t>
      </w:r>
      <w:r w:rsidRPr="006B4A66">
        <w:rPr>
          <w:rFonts w:ascii="Times New Roman" w:eastAsia="Times New Roman" w:hAnsi="Times New Roman" w:cs="Times New Roman"/>
          <w:color w:val="000000"/>
          <w:kern w:val="0"/>
          <w:sz w:val="24"/>
          <w:szCs w:val="24"/>
          <w:u w:val="single"/>
          <w14:ligatures w14:val="none"/>
        </w:rPr>
        <w:t>(13 millimeters)</w:t>
      </w:r>
      <w:r w:rsidRPr="006B4A66">
        <w:rPr>
          <w:rFonts w:ascii="Times New Roman" w:eastAsia="Times New Roman" w:hAnsi="Times New Roman" w:cs="Times New Roman"/>
          <w:color w:val="000000"/>
          <w:kern w:val="0"/>
          <w:sz w:val="24"/>
          <w:szCs w:val="24"/>
          <w14:ligatures w14:val="none"/>
        </w:rPr>
        <w:t xml:space="preserve"> thick, installed on the studs.  The gypsum board or plaster may be fastened rigidly to the studs if the exterior is brick veneer or stucco.  If the exterior is siding, the interior gypsum board or plaster must be fastened resiliently to the studs.</w:t>
      </w:r>
    </w:p>
    <w:p w14:paraId="40559500" w14:textId="77777777" w:rsidR="00051179"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  2.  Continuous composition board, plywood, or gypsum board sheathing at least 3/4 ((</w:t>
      </w:r>
      <w:r w:rsidRPr="006B4A66">
        <w:rPr>
          <w:rFonts w:ascii="Times New Roman" w:eastAsia="Times New Roman"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inch (19 millimeters)</w:t>
      </w:r>
      <w:r w:rsidRPr="006B4A66">
        <w:rPr>
          <w:rFonts w:ascii="Times New Roman" w:eastAsia="Times New Roman" w:hAnsi="Times New Roman" w:cs="Times New Roman"/>
          <w:color w:val="000000"/>
          <w:kern w:val="0"/>
          <w:sz w:val="24"/>
          <w:szCs w:val="24"/>
          <w14:ligatures w14:val="none"/>
        </w:rPr>
        <w:t xml:space="preserve"> thick shall cover the exterior side of the wall studs.</w:t>
      </w:r>
    </w:p>
    <w:p w14:paraId="7C9683F0" w14:textId="4EDE46F9"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  3.  Sheathing panels shall be covered on the exterior with overlapping building paper.</w:t>
      </w:r>
    </w:p>
    <w:p w14:paraId="355096EF"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  4.  Insulation material at least R</w:t>
      </w:r>
      <w:r w:rsidRPr="006B4A66">
        <w:rPr>
          <w:rFonts w:ascii="Times New Roman" w:eastAsia="Times New Roman" w:hAnsi="Times New Roman" w:cs="Times New Roman"/>
          <w:color w:val="000000"/>
          <w:kern w:val="0"/>
          <w:sz w:val="24"/>
          <w:szCs w:val="24"/>
          <w14:ligatures w14:val="none"/>
        </w:rPr>
        <w:noBreakHyphen/>
        <w:t>11 shall be installed continuously throughout the cavity space behind the exterior sheathing and between wall studs. Insulation shall be glass fiber or mineral wool.</w:t>
      </w:r>
    </w:p>
    <w:p w14:paraId="6FBB1554" w14:textId="7F94B118"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26.</w:t>
      </w:r>
      <w:r w:rsidRPr="006B4A66">
        <w:rPr>
          <w:rFonts w:ascii="Times New Roman" w:eastAsia="Times New Roman" w:hAnsi="Times New Roman" w:cs="Times New Roman"/>
          <w:color w:val="000000"/>
          <w:kern w:val="0"/>
          <w:sz w:val="24"/>
          <w:szCs w:val="24"/>
          <w14:ligatures w14:val="none"/>
        </w:rPr>
        <w:t xml:space="preserve">  Ordinance 12560, Section 85, as amended, and K.C.C. 16.04.730 are hereby amended to read as follows:</w:t>
      </w:r>
    </w:p>
    <w:p w14:paraId="772E34CB"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The International Building Code is supplemented by the following appendix:</w:t>
      </w:r>
    </w:p>
    <w:p w14:paraId="42AC448F" w14:textId="77777777" w:rsidR="006B4A66" w:rsidRPr="006B4A66" w:rsidRDefault="006B4A66" w:rsidP="0073496A">
      <w:pPr>
        <w:tabs>
          <w:tab w:val="left" w:pos="720"/>
        </w:tabs>
        <w:spacing w:after="0" w:line="480" w:lineRule="auto"/>
        <w:rPr>
          <w:rFonts w:ascii="Times New Roman" w:eastAsia="Times New Roman" w:hAnsi="Times New Roman" w:cs="Times New Roman"/>
          <w:b/>
          <w:bCs/>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lastRenderedPageBreak/>
        <w:tab/>
      </w:r>
      <w:r w:rsidRPr="006B4A66">
        <w:rPr>
          <w:rFonts w:ascii="Times New Roman" w:eastAsia="Times New Roman" w:hAnsi="Times New Roman" w:cs="Times New Roman"/>
          <w:b/>
          <w:bCs/>
          <w:color w:val="000000"/>
          <w:kern w:val="0"/>
          <w:sz w:val="24"/>
          <w:szCs w:val="20"/>
          <w14:ligatures w14:val="none"/>
        </w:rPr>
        <w:t>E</w:t>
      </w:r>
      <w:r w:rsidRPr="006B4A66">
        <w:rPr>
          <w:rFonts w:ascii="Times New Roman" w:eastAsia="Times New Roman" w:hAnsi="Times New Roman" w:cs="Times New Roman"/>
          <w:b/>
          <w:bCs/>
          <w:color w:val="000000"/>
          <w:kern w:val="0"/>
          <w:sz w:val="24"/>
          <w:szCs w:val="24"/>
          <w14:ligatures w14:val="none"/>
        </w:rPr>
        <w:t>xterior window 30 dB compliance (IBC AZ 119).</w:t>
      </w:r>
    </w:p>
    <w:p w14:paraId="65CF02AE"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b/>
          <w:bCs/>
          <w:color w:val="000000"/>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strike/>
          <w:color w:val="000000"/>
          <w:kern w:val="0"/>
          <w:sz w:val="24"/>
          <w:szCs w:val="24"/>
          <w14:ligatures w14:val="none"/>
        </w:rPr>
        <w:t>(a)</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A.</w:t>
      </w:r>
      <w:r w:rsidRPr="006B4A66">
        <w:rPr>
          <w:rFonts w:ascii="Times New Roman" w:eastAsia="Times New Roman" w:hAnsi="Times New Roman" w:cs="Times New Roman"/>
          <w:color w:val="000000"/>
          <w:kern w:val="0"/>
          <w:sz w:val="24"/>
          <w:szCs w:val="24"/>
          <w14:ligatures w14:val="none"/>
        </w:rPr>
        <w:t xml:space="preserve">  Windows other than as described in this section shall have a laboratory sound transmission class rating of at least STC</w:t>
      </w:r>
      <w:r w:rsidRPr="006B4A66">
        <w:rPr>
          <w:rFonts w:ascii="Times New Roman" w:eastAsia="Times New Roman" w:hAnsi="Times New Roman" w:cs="Times New Roman"/>
          <w:color w:val="000000"/>
          <w:kern w:val="0"/>
          <w:sz w:val="24"/>
          <w:szCs w:val="24"/>
          <w14:ligatures w14:val="none"/>
        </w:rPr>
        <w:noBreakHyphen/>
        <w:t>33; or</w:t>
      </w:r>
    </w:p>
    <w:p w14:paraId="51A6BA28"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(b)</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B.</w:t>
      </w:r>
      <w:r w:rsidRPr="006B4A66">
        <w:rPr>
          <w:rFonts w:ascii="Times New Roman" w:eastAsia="Times New Roman" w:hAnsi="Times New Roman" w:cs="Times New Roman"/>
          <w:color w:val="000000"/>
          <w:kern w:val="0"/>
          <w:sz w:val="24"/>
          <w:szCs w:val="24"/>
          <w14:ligatures w14:val="none"/>
        </w:rPr>
        <w:t xml:space="preserve">  Windows shall be double glazed with panes at least 1/8((</w:t>
      </w:r>
      <w:r w:rsidRPr="006B4A66">
        <w:rPr>
          <w:rFonts w:ascii="Times New Roman" w:eastAsia="Times New Roman"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inch (3 millimeters)</w:t>
      </w:r>
      <w:r w:rsidRPr="006B4A66">
        <w:rPr>
          <w:rFonts w:ascii="Times New Roman" w:eastAsia="Times New Roman" w:hAnsi="Times New Roman" w:cs="Times New Roman"/>
          <w:color w:val="000000"/>
          <w:kern w:val="0"/>
          <w:sz w:val="24"/>
          <w:szCs w:val="24"/>
          <w14:ligatures w14:val="none"/>
        </w:rPr>
        <w:t xml:space="preserve"> thick.  Panes of glass shall be separated by a minimum 1/2 ((</w:t>
      </w:r>
      <w:r w:rsidRPr="006B4A66">
        <w:rPr>
          <w:rFonts w:ascii="Times New Roman" w:eastAsia="Times New Roman"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inch (13 millimeters)</w:t>
      </w:r>
      <w:r w:rsidRPr="006B4A66">
        <w:rPr>
          <w:rFonts w:ascii="Times New Roman" w:eastAsia="Times New Roman" w:hAnsi="Times New Roman" w:cs="Times New Roman"/>
          <w:color w:val="000000"/>
          <w:kern w:val="0"/>
          <w:sz w:val="24"/>
          <w:szCs w:val="24"/>
          <w14:ligatures w14:val="none"/>
        </w:rPr>
        <w:t xml:space="preserve"> airspace.</w:t>
      </w:r>
    </w:p>
    <w:p w14:paraId="04406E6C" w14:textId="025139E2"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(c)</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C.</w:t>
      </w:r>
      <w:r w:rsidRPr="006B4A66">
        <w:rPr>
          <w:rFonts w:ascii="Times New Roman" w:eastAsia="Times New Roman" w:hAnsi="Times New Roman" w:cs="Times New Roman"/>
          <w:color w:val="000000"/>
          <w:kern w:val="0"/>
          <w:sz w:val="24"/>
          <w:szCs w:val="24"/>
          <w14:ligatures w14:val="none"/>
        </w:rPr>
        <w:t xml:space="preserve">  Double-glazed windows shall employ fixed sash or efficiently weather-stripped, operable sash.  The sash shall be rigid and weather-stripped with material that is compressed airtight when the window is closed so as to conform to an air infiltration test not to exceed 0.5 cubic foot per minute per foot of crack length in accordance with ASTM </w:t>
      </w:r>
      <w:r w:rsidR="00C546F1">
        <w:rPr>
          <w:rFonts w:ascii="Times New Roman" w:eastAsia="Times New Roman" w:hAnsi="Times New Roman" w:cs="Times New Roman"/>
          <w:color w:val="000000"/>
          <w:kern w:val="0"/>
          <w:sz w:val="24"/>
          <w:szCs w:val="24"/>
          <w14:ligatures w14:val="none"/>
        </w:rPr>
        <w:t>((</w:t>
      </w:r>
      <w:r w:rsidRPr="001216D4">
        <w:rPr>
          <w:rFonts w:ascii="Times New Roman" w:eastAsia="Times New Roman" w:hAnsi="Times New Roman" w:cs="Times New Roman"/>
          <w:strike/>
          <w:color w:val="000000"/>
          <w:kern w:val="0"/>
          <w:sz w:val="24"/>
          <w:szCs w:val="24"/>
          <w14:ligatures w14:val="none"/>
        </w:rPr>
        <w:t>E</w:t>
      </w:r>
      <w:r w:rsidRPr="001216D4">
        <w:rPr>
          <w:rFonts w:ascii="Times New Roman" w:eastAsia="Times New Roman" w:hAnsi="Times New Roman" w:cs="Times New Roman"/>
          <w:strike/>
          <w:color w:val="000000"/>
          <w:kern w:val="0"/>
          <w:sz w:val="24"/>
          <w:szCs w:val="24"/>
          <w14:ligatures w14:val="none"/>
        </w:rPr>
        <w:noBreakHyphen/>
        <w:t>283</w:t>
      </w:r>
      <w:r w:rsidRPr="001216D4">
        <w:rPr>
          <w:rFonts w:ascii="Times New Roman" w:eastAsia="Times New Roman" w:hAnsi="Times New Roman" w:cs="Times New Roman"/>
          <w:strike/>
          <w:color w:val="000000"/>
          <w:kern w:val="0"/>
          <w:sz w:val="24"/>
          <w:szCs w:val="24"/>
          <w14:ligatures w14:val="none"/>
        </w:rPr>
        <w:noBreakHyphen/>
        <w:t>65</w:t>
      </w:r>
      <w:r w:rsidRPr="001216D4">
        <w:rPr>
          <w:rFonts w:ascii="Times New Roman" w:eastAsia="Times New Roman" w:hAnsi="Times New Roman" w:cs="Times New Roman"/>
          <w:strike/>
          <w:color w:val="000000"/>
          <w:kern w:val="0"/>
          <w:sz w:val="24"/>
          <w:szCs w:val="24"/>
          <w14:ligatures w14:val="none"/>
        </w:rPr>
        <w:noBreakHyphen/>
        <w:t>T.T</w:t>
      </w:r>
      <w:r w:rsidR="00C546F1">
        <w:rPr>
          <w:rFonts w:ascii="Times New Roman" w:eastAsia="Times New Roman" w:hAnsi="Times New Roman" w:cs="Times New Roman"/>
          <w:color w:val="000000"/>
          <w:kern w:val="0"/>
          <w:sz w:val="24"/>
          <w:szCs w:val="24"/>
          <w14:ligatures w14:val="none"/>
        </w:rPr>
        <w:t xml:space="preserve">)) </w:t>
      </w:r>
      <w:r w:rsidR="00C546F1">
        <w:rPr>
          <w:rFonts w:ascii="Times New Roman" w:eastAsia="Times New Roman" w:hAnsi="Times New Roman" w:cs="Times New Roman"/>
          <w:color w:val="000000"/>
          <w:kern w:val="0"/>
          <w:sz w:val="24"/>
          <w:szCs w:val="24"/>
          <w:u w:val="single"/>
          <w14:ligatures w14:val="none"/>
        </w:rPr>
        <w:t>E283</w:t>
      </w:r>
      <w:r w:rsidRPr="006B4A66">
        <w:rPr>
          <w:rFonts w:ascii="Times New Roman" w:eastAsia="Times New Roman" w:hAnsi="Times New Roman" w:cs="Times New Roman"/>
          <w:color w:val="000000"/>
          <w:kern w:val="0"/>
          <w:sz w:val="24"/>
          <w:szCs w:val="24"/>
          <w14:ligatures w14:val="none"/>
        </w:rPr>
        <w:t>.</w:t>
      </w:r>
    </w:p>
    <w:p w14:paraId="36D8C933"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(d)</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D.</w:t>
      </w:r>
      <w:r w:rsidRPr="006B4A66">
        <w:rPr>
          <w:rFonts w:ascii="Times New Roman" w:eastAsia="Times New Roman" w:hAnsi="Times New Roman" w:cs="Times New Roman"/>
          <w:color w:val="000000"/>
          <w:kern w:val="0"/>
          <w:sz w:val="24"/>
          <w:szCs w:val="24"/>
          <w14:ligatures w14:val="none"/>
        </w:rPr>
        <w:t xml:space="preserve">  Glass shall be sealed in an airtight manner with a nonhardening sealant or a soft elastomer gasket or gasket tape.</w:t>
      </w:r>
    </w:p>
    <w:p w14:paraId="35AB8A8F"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(e)</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E.</w:t>
      </w:r>
      <w:r w:rsidRPr="006B4A66">
        <w:rPr>
          <w:rFonts w:ascii="Times New Roman" w:eastAsia="Times New Roman" w:hAnsi="Times New Roman" w:cs="Times New Roman"/>
          <w:color w:val="000000"/>
          <w:kern w:val="0"/>
          <w:sz w:val="24"/>
          <w:szCs w:val="24"/>
          <w14:ligatures w14:val="none"/>
        </w:rPr>
        <w:t xml:space="preserve">  The perimeter of window frames shall be sealed airtight to the exterior wall construction with a sealant conforming to one of the following Federal specifications: TT</w:t>
      </w:r>
      <w:r w:rsidRPr="006B4A66">
        <w:rPr>
          <w:rFonts w:ascii="Times New Roman" w:eastAsia="Times New Roman" w:hAnsi="Times New Roman" w:cs="Times New Roman"/>
          <w:color w:val="000000"/>
          <w:kern w:val="0"/>
          <w:sz w:val="24"/>
          <w:szCs w:val="24"/>
          <w14:ligatures w14:val="none"/>
        </w:rPr>
        <w:noBreakHyphen/>
        <w:t>S</w:t>
      </w:r>
      <w:r w:rsidRPr="006B4A66">
        <w:rPr>
          <w:rFonts w:ascii="Times New Roman" w:eastAsia="Times New Roman" w:hAnsi="Times New Roman" w:cs="Times New Roman"/>
          <w:color w:val="000000"/>
          <w:kern w:val="0"/>
          <w:sz w:val="24"/>
          <w:szCs w:val="24"/>
          <w14:ligatures w14:val="none"/>
        </w:rPr>
        <w:noBreakHyphen/>
        <w:t>0027, TT</w:t>
      </w:r>
      <w:r w:rsidRPr="006B4A66">
        <w:rPr>
          <w:rFonts w:ascii="Times New Roman" w:eastAsia="Times New Roman" w:hAnsi="Times New Roman" w:cs="Times New Roman"/>
          <w:color w:val="000000"/>
          <w:kern w:val="0"/>
          <w:sz w:val="24"/>
          <w:szCs w:val="24"/>
          <w14:ligatures w14:val="none"/>
        </w:rPr>
        <w:noBreakHyphen/>
        <w:t>S-00230</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 xml:space="preserve"> or TT</w:t>
      </w:r>
      <w:r w:rsidRPr="006B4A66">
        <w:rPr>
          <w:rFonts w:ascii="Times New Roman" w:eastAsia="Times New Roman" w:hAnsi="Times New Roman" w:cs="Times New Roman"/>
          <w:color w:val="000000"/>
          <w:kern w:val="0"/>
          <w:sz w:val="24"/>
          <w:szCs w:val="24"/>
          <w14:ligatures w14:val="none"/>
        </w:rPr>
        <w:noBreakHyphen/>
        <w:t>S</w:t>
      </w:r>
      <w:r w:rsidRPr="006B4A66">
        <w:rPr>
          <w:rFonts w:ascii="Times New Roman" w:eastAsia="Times New Roman" w:hAnsi="Times New Roman" w:cs="Times New Roman"/>
          <w:color w:val="000000"/>
          <w:kern w:val="0"/>
          <w:sz w:val="24"/>
          <w:szCs w:val="24"/>
          <w14:ligatures w14:val="none"/>
        </w:rPr>
        <w:noBreakHyphen/>
        <w:t>00153.</w:t>
      </w:r>
    </w:p>
    <w:p w14:paraId="10EF7268" w14:textId="065AD91D"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27.</w:t>
      </w:r>
      <w:r w:rsidRPr="006B4A66">
        <w:rPr>
          <w:rFonts w:ascii="Times New Roman" w:eastAsia="Times New Roman" w:hAnsi="Times New Roman" w:cs="Times New Roman"/>
          <w:color w:val="000000"/>
          <w:kern w:val="0"/>
          <w:sz w:val="24"/>
          <w:szCs w:val="24"/>
          <w14:ligatures w14:val="none"/>
        </w:rPr>
        <w:t xml:space="preserve">  Ordinance 12560, Section 86, as amended, and K.C.C. 16.04.740 are hereby amended to read as follows:</w:t>
      </w:r>
    </w:p>
    <w:p w14:paraId="4D04CD2F" w14:textId="77777777" w:rsidR="006B4A66" w:rsidRPr="006B4A66" w:rsidRDefault="006B4A66" w:rsidP="0073496A">
      <w:pPr>
        <w:tabs>
          <w:tab w:val="left" w:pos="720"/>
        </w:tabs>
        <w:spacing w:after="0" w:line="480" w:lineRule="auto"/>
        <w:rPr>
          <w:rFonts w:ascii="Times New Roman" w:eastAsia="Times New Roman" w:hAnsi="Times New Roman" w:cs="Times New Roman"/>
          <w:b/>
          <w:bCs/>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The International Building Code is supplemented by the following appendix:</w:t>
      </w:r>
      <w:r w:rsidRPr="006B4A66">
        <w:rPr>
          <w:rFonts w:ascii="Times New Roman" w:eastAsia="Times New Roman" w:hAnsi="Times New Roman" w:cs="Times New Roman"/>
          <w:b/>
          <w:bCs/>
          <w:color w:val="000000"/>
          <w:kern w:val="0"/>
          <w:sz w:val="24"/>
          <w:szCs w:val="24"/>
          <w14:ligatures w14:val="none"/>
        </w:rPr>
        <w:tab/>
        <w:t>Exterior doors 30 dB compliance (IBC AZ 120).</w:t>
      </w:r>
    </w:p>
    <w:p w14:paraId="4C404FE7"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b/>
          <w:bCs/>
          <w:color w:val="000000"/>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strike/>
          <w:color w:val="000000"/>
          <w:kern w:val="0"/>
          <w:sz w:val="24"/>
          <w:szCs w:val="24"/>
          <w14:ligatures w14:val="none"/>
        </w:rPr>
        <w:t>(a)</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A.</w:t>
      </w:r>
      <w:r w:rsidRPr="006B4A66">
        <w:rPr>
          <w:rFonts w:ascii="Times New Roman" w:eastAsia="Times New Roman" w:hAnsi="Times New Roman" w:cs="Times New Roman"/>
          <w:color w:val="000000"/>
          <w:kern w:val="0"/>
          <w:sz w:val="24"/>
          <w:szCs w:val="24"/>
          <w14:ligatures w14:val="none"/>
        </w:rPr>
        <w:t xml:space="preserve">  Doors other than as described in this section shall have a laboratory sound transmission class rating of at least STC</w:t>
      </w:r>
      <w:r w:rsidRPr="006B4A66">
        <w:rPr>
          <w:rFonts w:ascii="Times New Roman" w:eastAsia="Times New Roman" w:hAnsi="Times New Roman" w:cs="Times New Roman"/>
          <w:color w:val="000000"/>
          <w:kern w:val="0"/>
          <w:sz w:val="24"/>
          <w:szCs w:val="24"/>
          <w14:ligatures w14:val="none"/>
        </w:rPr>
        <w:noBreakHyphen/>
        <w:t>33; or</w:t>
      </w:r>
    </w:p>
    <w:p w14:paraId="5A4623DD"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lastRenderedPageBreak/>
        <w:tab/>
        <w:t>((</w:t>
      </w:r>
      <w:r w:rsidRPr="006B4A66">
        <w:rPr>
          <w:rFonts w:ascii="Times New Roman" w:eastAsia="Times New Roman" w:hAnsi="Times New Roman" w:cs="Times New Roman"/>
          <w:strike/>
          <w:color w:val="000000"/>
          <w:kern w:val="0"/>
          <w:sz w:val="24"/>
          <w:szCs w:val="24"/>
          <w14:ligatures w14:val="none"/>
        </w:rPr>
        <w:t>(b)</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B.</w:t>
      </w:r>
      <w:r w:rsidRPr="006B4A66">
        <w:rPr>
          <w:rFonts w:ascii="Times New Roman" w:eastAsia="Times New Roman" w:hAnsi="Times New Roman" w:cs="Times New Roman"/>
          <w:color w:val="000000"/>
          <w:kern w:val="0"/>
          <w:sz w:val="24"/>
          <w:szCs w:val="24"/>
          <w14:ligatures w14:val="none"/>
        </w:rPr>
        <w:t xml:space="preserve">  Double door construction is required for all door openings to the exterior.  Openings fitted with side</w:t>
      </w:r>
      <w:r w:rsidRPr="006B4A66">
        <w:rPr>
          <w:rFonts w:ascii="Times New Roman" w:eastAsia="Times New Roman" w:hAnsi="Times New Roman" w:cs="Times New Roman"/>
          <w:color w:val="000000"/>
          <w:kern w:val="0"/>
          <w:sz w:val="24"/>
          <w:szCs w:val="24"/>
          <w14:ligatures w14:val="none"/>
        </w:rPr>
        <w:noBreakHyphen/>
        <w:t>hinged doors shall have one solid core of wood or be an insulated hollow metal door at least 1</w:t>
      </w:r>
      <w:r w:rsidRPr="006B4A66">
        <w:rPr>
          <w:rFonts w:ascii="Times New Roman" w:eastAsia="Times New Roman" w:hAnsi="Times New Roman" w:cs="Times New Roman"/>
          <w:color w:val="000000"/>
          <w:kern w:val="0"/>
          <w:sz w:val="24"/>
          <w:szCs w:val="24"/>
          <w14:ligatures w14:val="none"/>
        </w:rPr>
        <w:noBreakHyphen/>
        <w:t>3/4 ((</w:t>
      </w:r>
      <w:r w:rsidRPr="006B4A66">
        <w:rPr>
          <w:rFonts w:ascii="Times New Roman" w:eastAsia="Times New Roman"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inches (44 millimeters)</w:t>
      </w:r>
      <w:r w:rsidRPr="006B4A66">
        <w:rPr>
          <w:rFonts w:ascii="Times New Roman" w:eastAsia="Times New Roman" w:hAnsi="Times New Roman" w:cs="Times New Roman"/>
          <w:color w:val="000000"/>
          <w:kern w:val="0"/>
          <w:sz w:val="24"/>
          <w:szCs w:val="24"/>
          <w14:ligatures w14:val="none"/>
        </w:rPr>
        <w:t xml:space="preserve"> thick separated by an airspace of at least 3 ((</w:t>
      </w:r>
      <w:r w:rsidRPr="006B4A66">
        <w:rPr>
          <w:rFonts w:ascii="Times New Roman" w:eastAsia="Times New Roman"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inches (76 millimeters)</w:t>
      </w:r>
      <w:r w:rsidRPr="006B4A66">
        <w:rPr>
          <w:rFonts w:ascii="Times New Roman" w:eastAsia="Times New Roman" w:hAnsi="Times New Roman" w:cs="Times New Roman"/>
          <w:color w:val="000000"/>
          <w:kern w:val="0"/>
          <w:sz w:val="24"/>
          <w:szCs w:val="24"/>
          <w14:ligatures w14:val="none"/>
        </w:rPr>
        <w:t xml:space="preserve"> from another door, which can be a storm door. Both doors shall be tightly fitted and weather-stripped.</w:t>
      </w:r>
    </w:p>
    <w:p w14:paraId="4FDAB20C" w14:textId="120C0079"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(c)</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C.</w:t>
      </w:r>
      <w:r w:rsidRPr="006B4A66">
        <w:rPr>
          <w:rFonts w:ascii="Times New Roman" w:eastAsia="Times New Roman" w:hAnsi="Times New Roman" w:cs="Times New Roman"/>
          <w:color w:val="000000"/>
          <w:kern w:val="0"/>
          <w:sz w:val="24"/>
          <w:szCs w:val="24"/>
          <w14:ligatures w14:val="none"/>
        </w:rPr>
        <w:t xml:space="preserve">  The glass of double</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glazed sliding doors shall be separated by a minimum 1/2 ((</w:t>
      </w:r>
      <w:r w:rsidRPr="006B4A66">
        <w:rPr>
          <w:rFonts w:ascii="Times New Roman" w:eastAsia="Times New Roman"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inch (13 millimeters)</w:t>
      </w:r>
      <w:r w:rsidRPr="006B4A66">
        <w:rPr>
          <w:rFonts w:ascii="Times New Roman" w:eastAsia="Times New Roman" w:hAnsi="Times New Roman" w:cs="Times New Roman"/>
          <w:color w:val="000000"/>
          <w:kern w:val="0"/>
          <w:sz w:val="24"/>
          <w:szCs w:val="24"/>
          <w14:ligatures w14:val="none"/>
        </w:rPr>
        <w:t xml:space="preserve"> airspace.  Each sliding frame shall be provided with an efficiently airtight weather</w:t>
      </w:r>
      <w:r w:rsidRPr="006B4A66">
        <w:rPr>
          <w:rFonts w:ascii="Times New Roman" w:eastAsia="Times New Roman" w:hAnsi="Times New Roman" w:cs="Times New Roman"/>
          <w:color w:val="000000"/>
          <w:kern w:val="0"/>
          <w:sz w:val="24"/>
          <w:szCs w:val="24"/>
          <w14:ligatures w14:val="none"/>
        </w:rPr>
        <w:noBreakHyphen/>
        <w:t>stripping material ((</w:t>
      </w:r>
      <w:r w:rsidRPr="006B4A66">
        <w:rPr>
          <w:rFonts w:ascii="Times New Roman" w:eastAsia="Times New Roman" w:hAnsi="Times New Roman" w:cs="Times New Roman"/>
          <w:strike/>
          <w:color w:val="000000"/>
          <w:kern w:val="0"/>
          <w:sz w:val="24"/>
          <w:szCs w:val="24"/>
          <w14:ligatures w14:val="none"/>
        </w:rPr>
        <w:t>as</w:t>
      </w:r>
      <w:r w:rsidRPr="006B4A66">
        <w:rPr>
          <w:rFonts w:ascii="Times New Roman" w:eastAsia="Times New Roman" w:hAnsi="Times New Roman" w:cs="Times New Roman"/>
          <w:color w:val="000000"/>
          <w:kern w:val="0"/>
          <w:sz w:val="24"/>
          <w:szCs w:val="24"/>
          <w14:ligatures w14:val="none"/>
        </w:rPr>
        <w:t>)) that conforms to an air infiltration test not to exceed 0.2 cubic ((</w:t>
      </w:r>
      <w:r w:rsidRPr="006B4A66">
        <w:rPr>
          <w:rFonts w:ascii="Times New Roman" w:eastAsia="Times New Roman" w:hAnsi="Times New Roman" w:cs="Times New Roman"/>
          <w:strike/>
          <w:color w:val="000000"/>
          <w:kern w:val="0"/>
          <w:sz w:val="24"/>
          <w:szCs w:val="24"/>
          <w14:ligatures w14:val="none"/>
        </w:rPr>
        <w:t>feet</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foot</w:t>
      </w:r>
      <w:r w:rsidRPr="006B4A66">
        <w:rPr>
          <w:rFonts w:ascii="Times New Roman" w:eastAsia="Times New Roman" w:hAnsi="Times New Roman" w:cs="Times New Roman"/>
          <w:color w:val="000000"/>
          <w:kern w:val="0"/>
          <w:sz w:val="24"/>
          <w:szCs w:val="24"/>
          <w14:ligatures w14:val="none"/>
        </w:rPr>
        <w:t xml:space="preserve"> per minute per foot of crack length in accordance with ASTM </w:t>
      </w:r>
      <w:r w:rsidR="006A1B7F">
        <w:rPr>
          <w:rFonts w:ascii="Times New Roman" w:eastAsia="Times New Roman" w:hAnsi="Times New Roman" w:cs="Times New Roman"/>
          <w:color w:val="000000"/>
          <w:kern w:val="0"/>
          <w:sz w:val="24"/>
          <w:szCs w:val="24"/>
          <w14:ligatures w14:val="none"/>
        </w:rPr>
        <w:t>((</w:t>
      </w:r>
      <w:r w:rsidR="006A1B7F" w:rsidRPr="001216D4">
        <w:rPr>
          <w:rFonts w:ascii="Times New Roman" w:eastAsia="Times New Roman" w:hAnsi="Times New Roman" w:cs="Times New Roman"/>
          <w:strike/>
          <w:color w:val="000000"/>
          <w:kern w:val="0"/>
          <w:sz w:val="24"/>
          <w:szCs w:val="24"/>
          <w14:ligatures w14:val="none"/>
        </w:rPr>
        <w:t>E</w:t>
      </w:r>
      <w:r w:rsidR="006A1B7F" w:rsidRPr="001216D4">
        <w:rPr>
          <w:rFonts w:ascii="Times New Roman" w:eastAsia="Times New Roman" w:hAnsi="Times New Roman" w:cs="Times New Roman"/>
          <w:strike/>
          <w:color w:val="000000"/>
          <w:kern w:val="0"/>
          <w:sz w:val="24"/>
          <w:szCs w:val="24"/>
          <w14:ligatures w14:val="none"/>
        </w:rPr>
        <w:noBreakHyphen/>
        <w:t>283</w:t>
      </w:r>
      <w:r w:rsidR="006A1B7F" w:rsidRPr="001216D4">
        <w:rPr>
          <w:rFonts w:ascii="Times New Roman" w:eastAsia="Times New Roman" w:hAnsi="Times New Roman" w:cs="Times New Roman"/>
          <w:strike/>
          <w:color w:val="000000"/>
          <w:kern w:val="0"/>
          <w:sz w:val="24"/>
          <w:szCs w:val="24"/>
          <w14:ligatures w14:val="none"/>
        </w:rPr>
        <w:noBreakHyphen/>
        <w:t>65</w:t>
      </w:r>
      <w:r w:rsidR="006A1B7F" w:rsidRPr="001216D4">
        <w:rPr>
          <w:rFonts w:ascii="Times New Roman" w:eastAsia="Times New Roman" w:hAnsi="Times New Roman" w:cs="Times New Roman"/>
          <w:strike/>
          <w:color w:val="000000"/>
          <w:kern w:val="0"/>
          <w:sz w:val="24"/>
          <w:szCs w:val="24"/>
          <w14:ligatures w14:val="none"/>
        </w:rPr>
        <w:noBreakHyphen/>
        <w:t>T.T</w:t>
      </w:r>
      <w:r w:rsidR="006A1B7F">
        <w:rPr>
          <w:rFonts w:ascii="Times New Roman" w:eastAsia="Times New Roman" w:hAnsi="Times New Roman" w:cs="Times New Roman"/>
          <w:color w:val="000000"/>
          <w:kern w:val="0"/>
          <w:sz w:val="24"/>
          <w:szCs w:val="24"/>
          <w14:ligatures w14:val="none"/>
        </w:rPr>
        <w:t xml:space="preserve">)) </w:t>
      </w:r>
      <w:r w:rsidR="006A1B7F">
        <w:rPr>
          <w:rFonts w:ascii="Times New Roman" w:eastAsia="Times New Roman" w:hAnsi="Times New Roman" w:cs="Times New Roman"/>
          <w:color w:val="000000"/>
          <w:kern w:val="0"/>
          <w:sz w:val="24"/>
          <w:szCs w:val="24"/>
          <w:u w:val="single"/>
          <w14:ligatures w14:val="none"/>
        </w:rPr>
        <w:t>E283</w:t>
      </w:r>
      <w:r w:rsidR="006A1B7F" w:rsidRPr="006B4A66">
        <w:rPr>
          <w:rFonts w:ascii="Times New Roman" w:eastAsia="Times New Roman" w:hAnsi="Times New Roman" w:cs="Times New Roman"/>
          <w:color w:val="000000"/>
          <w:kern w:val="0"/>
          <w:sz w:val="24"/>
          <w:szCs w:val="24"/>
          <w14:ligatures w14:val="none"/>
        </w:rPr>
        <w:t>.</w:t>
      </w:r>
    </w:p>
    <w:p w14:paraId="13ED4B42" w14:textId="47E7E986"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(d)</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D.</w:t>
      </w:r>
      <w:r w:rsidRPr="006B4A66">
        <w:rPr>
          <w:rFonts w:ascii="Times New Roman" w:eastAsia="Times New Roman" w:hAnsi="Times New Roman" w:cs="Times New Roman"/>
          <w:color w:val="000000"/>
          <w:kern w:val="0"/>
          <w:sz w:val="24"/>
          <w:szCs w:val="24"/>
          <w14:ligatures w14:val="none"/>
        </w:rPr>
        <w:t xml:space="preserve">  Glass ((</w:t>
      </w:r>
      <w:r w:rsidRPr="006B4A66">
        <w:rPr>
          <w:rFonts w:ascii="Times New Roman" w:eastAsia="Times New Roman"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))over ((</w:t>
      </w:r>
      <w:r w:rsidRPr="006B4A66">
        <w:rPr>
          <w:rFonts w:ascii="Times New Roman" w:eastAsia="Times New Roman" w:hAnsi="Times New Roman" w:cs="Times New Roman"/>
          <w:strike/>
          <w:color w:val="000000"/>
          <w:kern w:val="0"/>
          <w:sz w:val="24"/>
          <w:szCs w:val="24"/>
          <w14:ligatures w14:val="none"/>
        </w:rPr>
        <w:t>two</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2</w:t>
      </w:r>
      <w:r w:rsidRPr="006B4A66">
        <w:rPr>
          <w:rFonts w:ascii="Times New Roman" w:eastAsia="Times New Roman" w:hAnsi="Times New Roman" w:cs="Times New Roman"/>
          <w:color w:val="000000"/>
          <w:kern w:val="0"/>
          <w:sz w:val="24"/>
          <w:szCs w:val="24"/>
          <w14:ligatures w14:val="none"/>
        </w:rPr>
        <w:t xml:space="preserve"> square feet </w:t>
      </w:r>
      <w:r w:rsidRPr="006B4A66">
        <w:rPr>
          <w:rFonts w:ascii="Times New Roman" w:eastAsia="Times New Roman" w:hAnsi="Times New Roman" w:cs="Times New Roman"/>
          <w:color w:val="000000"/>
          <w:kern w:val="0"/>
          <w:sz w:val="24"/>
          <w:szCs w:val="24"/>
          <w:u w:val="single"/>
          <w14:ligatures w14:val="none"/>
        </w:rPr>
        <w:t>(0.</w:t>
      </w:r>
      <w:r w:rsidR="00051179">
        <w:rPr>
          <w:rFonts w:ascii="Times New Roman" w:eastAsia="Times New Roman" w:hAnsi="Times New Roman" w:cs="Times New Roman"/>
          <w:color w:val="000000"/>
          <w:kern w:val="0"/>
          <w:sz w:val="24"/>
          <w:szCs w:val="24"/>
          <w:u w:val="single"/>
          <w14:ligatures w14:val="none"/>
        </w:rPr>
        <w:t>19</w:t>
      </w:r>
      <w:r w:rsidRPr="006B4A66">
        <w:rPr>
          <w:rFonts w:ascii="Times New Roman" w:eastAsia="Times New Roman" w:hAnsi="Times New Roman" w:cs="Times New Roman"/>
          <w:color w:val="000000"/>
          <w:kern w:val="0"/>
          <w:sz w:val="24"/>
          <w:szCs w:val="24"/>
          <w:u w:val="single"/>
          <w14:ligatures w14:val="none"/>
        </w:rPr>
        <w:t xml:space="preserve"> square meter) </w:t>
      </w:r>
      <w:r w:rsidRPr="006B4A66">
        <w:rPr>
          <w:rFonts w:ascii="Times New Roman" w:eastAsia="Times New Roman" w:hAnsi="Times New Roman" w:cs="Times New Roman"/>
          <w:color w:val="000000"/>
          <w:kern w:val="0"/>
          <w:sz w:val="24"/>
          <w:szCs w:val="24"/>
          <w14:ligatures w14:val="none"/>
        </w:rPr>
        <w:t>in area((</w:t>
      </w:r>
      <w:r w:rsidRPr="006B4A66">
        <w:rPr>
          <w:rFonts w:ascii="Times New Roman" w:eastAsia="Times New Roman"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of all doors shall be at least 3/16 ((</w:t>
      </w:r>
      <w:r w:rsidRPr="006B4A66">
        <w:rPr>
          <w:rFonts w:ascii="Times New Roman" w:eastAsia="Times New Roman"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inch (5 millimeters)</w:t>
      </w:r>
      <w:r w:rsidRPr="006B4A66">
        <w:rPr>
          <w:rFonts w:ascii="Times New Roman" w:eastAsia="Times New Roman" w:hAnsi="Times New Roman" w:cs="Times New Roman"/>
          <w:color w:val="000000"/>
          <w:kern w:val="0"/>
          <w:sz w:val="24"/>
          <w:szCs w:val="24"/>
          <w14:ligatures w14:val="none"/>
        </w:rPr>
        <w:t xml:space="preserve"> thick.  Glass of double sliding doors shall not be equal in thickness.</w:t>
      </w:r>
    </w:p>
    <w:p w14:paraId="116CCEBD"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(e)</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E.</w:t>
      </w:r>
      <w:r w:rsidRPr="006B4A66">
        <w:rPr>
          <w:rFonts w:ascii="Times New Roman" w:eastAsia="Times New Roman" w:hAnsi="Times New Roman" w:cs="Times New Roman"/>
          <w:color w:val="000000"/>
          <w:kern w:val="0"/>
          <w:sz w:val="24"/>
          <w:szCs w:val="24"/>
          <w14:ligatures w14:val="none"/>
        </w:rPr>
        <w:t xml:space="preserve">  The perimeter of door frames shall be sealed airtight to the exterior wall construction (framing) with a sealant conforming to one of the following Federal specifications:  TT-S-0227, TT-S-00230</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 xml:space="preserve"> or TT-S-00153.</w:t>
      </w:r>
    </w:p>
    <w:p w14:paraId="1643DF23"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(f)</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F.</w:t>
      </w:r>
      <w:r w:rsidRPr="006B4A66">
        <w:rPr>
          <w:rFonts w:ascii="Times New Roman" w:eastAsia="Times New Roman" w:hAnsi="Times New Roman" w:cs="Times New Roman"/>
          <w:color w:val="000000"/>
          <w:kern w:val="0"/>
          <w:sz w:val="24"/>
          <w:szCs w:val="24"/>
          <w14:ligatures w14:val="none"/>
        </w:rPr>
        <w:t xml:space="preserve">  Glass in doors shall be sealed in an airtight nonhardening sealant or in a soft elastomer gasket or glazing tape.</w:t>
      </w:r>
    </w:p>
    <w:p w14:paraId="44D3F737" w14:textId="6647D685"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28.</w:t>
      </w:r>
      <w:r w:rsidRPr="006B4A66">
        <w:rPr>
          <w:rFonts w:ascii="Times New Roman" w:eastAsia="Times New Roman" w:hAnsi="Times New Roman" w:cs="Times New Roman"/>
          <w:color w:val="000000"/>
          <w:kern w:val="0"/>
          <w:sz w:val="24"/>
          <w:szCs w:val="24"/>
          <w14:ligatures w14:val="none"/>
        </w:rPr>
        <w:t xml:space="preserve">  Ordinance 12560, Section 87, as amended, and K.C.C. 16.04.750 are hereby amended to read as follows:</w:t>
      </w:r>
    </w:p>
    <w:p w14:paraId="12BFC6FC" w14:textId="77777777" w:rsidR="006B4A66" w:rsidRPr="006B4A66" w:rsidRDefault="006B4A66" w:rsidP="0073496A">
      <w:pPr>
        <w:tabs>
          <w:tab w:val="left" w:pos="720"/>
        </w:tabs>
        <w:spacing w:after="0" w:line="480" w:lineRule="auto"/>
        <w:rPr>
          <w:rFonts w:ascii="Times New Roman" w:eastAsia="Times New Roman" w:hAnsi="Times New Roman" w:cs="Times New Roman"/>
          <w:b/>
          <w:bCs/>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The International Building Code is supplemented by the following appendix:</w:t>
      </w:r>
      <w:r w:rsidRPr="006B4A66">
        <w:rPr>
          <w:rFonts w:ascii="Times New Roman" w:eastAsia="Times New Roman" w:hAnsi="Times New Roman" w:cs="Times New Roman"/>
          <w:b/>
          <w:bCs/>
          <w:color w:val="000000"/>
          <w:kern w:val="0"/>
          <w:sz w:val="24"/>
          <w:szCs w:val="24"/>
          <w14:ligatures w14:val="none"/>
        </w:rPr>
        <w:tab/>
        <w:t>Roofs 30 dB compliance (IBC AZ 121).</w:t>
      </w:r>
    </w:p>
    <w:p w14:paraId="62416865"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b/>
          <w:bCs/>
          <w:color w:val="000000"/>
          <w:kern w:val="0"/>
          <w:sz w:val="24"/>
          <w:szCs w:val="24"/>
          <w14:ligatures w14:val="none"/>
        </w:rPr>
        <w:lastRenderedPageBreak/>
        <w:tab/>
      </w:r>
      <w:r w:rsidRPr="006B4A66">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strike/>
          <w:color w:val="000000"/>
          <w:kern w:val="0"/>
          <w:sz w:val="24"/>
          <w:szCs w:val="24"/>
          <w14:ligatures w14:val="none"/>
        </w:rPr>
        <w:t>(a)</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A.</w:t>
      </w:r>
      <w:r w:rsidRPr="006B4A66">
        <w:rPr>
          <w:rFonts w:ascii="Times New Roman" w:eastAsia="Times New Roman" w:hAnsi="Times New Roman" w:cs="Times New Roman"/>
          <w:color w:val="000000"/>
          <w:kern w:val="0"/>
          <w:sz w:val="24"/>
          <w:szCs w:val="24"/>
          <w14:ligatures w14:val="none"/>
        </w:rPr>
        <w:t xml:space="preserve">  Combined roof and ceiling construction other than described in this section and AZ 122 shall have a laboratory sound transmission class rating of at least STC-44; or</w:t>
      </w:r>
    </w:p>
    <w:p w14:paraId="024EC309"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(b)</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B.</w:t>
      </w:r>
      <w:r w:rsidRPr="006B4A66">
        <w:rPr>
          <w:rFonts w:ascii="Times New Roman" w:eastAsia="Times New Roman" w:hAnsi="Times New Roman" w:cs="Times New Roman"/>
          <w:color w:val="000000"/>
          <w:kern w:val="0"/>
          <w:sz w:val="24"/>
          <w:szCs w:val="24"/>
          <w14:ligatures w14:val="none"/>
        </w:rPr>
        <w:t xml:space="preserve">  With an attic or rafter space at least 6 ((</w:t>
      </w:r>
      <w:r w:rsidRPr="006B4A66">
        <w:rPr>
          <w:rFonts w:ascii="Times New Roman" w:eastAsia="Times New Roman"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inches (152 millimeters)</w:t>
      </w:r>
      <w:r w:rsidRPr="006B4A66">
        <w:rPr>
          <w:rFonts w:ascii="Times New Roman" w:eastAsia="Times New Roman" w:hAnsi="Times New Roman" w:cs="Times New Roman"/>
          <w:color w:val="000000"/>
          <w:kern w:val="0"/>
          <w:sz w:val="24"/>
          <w:szCs w:val="24"/>
          <w14:ligatures w14:val="none"/>
        </w:rPr>
        <w:t xml:space="preserve"> deep, and with a ceiling below, the roof shall consist of 3/4 ((</w:t>
      </w:r>
      <w:r w:rsidRPr="006B4A66">
        <w:rPr>
          <w:rFonts w:ascii="Times New Roman" w:eastAsia="Times New Roman"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inch (19 millimeters)</w:t>
      </w:r>
      <w:r w:rsidRPr="006B4A66">
        <w:rPr>
          <w:rFonts w:ascii="Times New Roman" w:eastAsia="Times New Roman" w:hAnsi="Times New Roman" w:cs="Times New Roman"/>
          <w:color w:val="000000"/>
          <w:kern w:val="0"/>
          <w:sz w:val="24"/>
          <w:szCs w:val="24"/>
          <w14:ligatures w14:val="none"/>
        </w:rPr>
        <w:t xml:space="preserve"> composition board, plywood</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 xml:space="preserve"> or gypsum board sheathing topped by roofing as required.</w:t>
      </w: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(c)</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C.</w:t>
      </w:r>
      <w:r w:rsidRPr="006B4A66">
        <w:rPr>
          <w:rFonts w:ascii="Times New Roman" w:eastAsia="Times New Roman" w:hAnsi="Times New Roman" w:cs="Times New Roman"/>
          <w:color w:val="000000"/>
          <w:kern w:val="0"/>
          <w:sz w:val="24"/>
          <w:szCs w:val="24"/>
          <w14:ligatures w14:val="none"/>
        </w:rPr>
        <w:t xml:space="preserve">  Open beam roof construction shall follow the energy insulation standard method for batt insulation, except use 1 ((</w:t>
      </w:r>
      <w:r w:rsidRPr="006B4A66">
        <w:rPr>
          <w:rFonts w:ascii="Times New Roman" w:eastAsia="Times New Roman"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inch or (25 millimeters)</w:t>
      </w:r>
      <w:r w:rsidRPr="006B4A66">
        <w:rPr>
          <w:rFonts w:ascii="Times New Roman" w:eastAsia="Times New Roman" w:hAnsi="Times New Roman" w:cs="Times New Roman"/>
          <w:color w:val="000000"/>
          <w:kern w:val="0"/>
          <w:sz w:val="24"/>
          <w:szCs w:val="24"/>
          <w14:ligatures w14:val="none"/>
        </w:rPr>
        <w:t xml:space="preserve"> plywood decking with shakes or other suitable roofing material.</w:t>
      </w:r>
    </w:p>
    <w:p w14:paraId="229CE9AB"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(d)</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D.</w:t>
      </w:r>
      <w:r w:rsidRPr="006B4A66">
        <w:rPr>
          <w:rFonts w:ascii="Times New Roman" w:eastAsia="Times New Roman" w:hAnsi="Times New Roman" w:cs="Times New Roman"/>
          <w:color w:val="000000"/>
          <w:kern w:val="0"/>
          <w:sz w:val="24"/>
          <w:szCs w:val="24"/>
          <w14:ligatures w14:val="none"/>
        </w:rPr>
        <w:t xml:space="preserve">  Window or dome skylights shall have a laboratory sound transmission class rating of at least STC</w:t>
      </w:r>
      <w:r w:rsidRPr="006B4A66">
        <w:rPr>
          <w:rFonts w:ascii="Times New Roman" w:eastAsia="Times New Roman" w:hAnsi="Times New Roman" w:cs="Times New Roman"/>
          <w:color w:val="000000"/>
          <w:kern w:val="0"/>
          <w:sz w:val="24"/>
          <w:szCs w:val="24"/>
          <w14:ligatures w14:val="none"/>
        </w:rPr>
        <w:noBreakHyphen/>
        <w:t>33.</w:t>
      </w:r>
    </w:p>
    <w:p w14:paraId="78BCFDD7" w14:textId="6CFD93DD"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29.</w:t>
      </w:r>
      <w:r w:rsidRPr="006B4A66">
        <w:rPr>
          <w:rFonts w:ascii="Times New Roman" w:eastAsia="Times New Roman" w:hAnsi="Times New Roman" w:cs="Times New Roman"/>
          <w:color w:val="000000"/>
          <w:kern w:val="0"/>
          <w:sz w:val="24"/>
          <w:szCs w:val="24"/>
          <w14:ligatures w14:val="none"/>
        </w:rPr>
        <w:t xml:space="preserve">  Ordinance 12560, Section 88, as amended, and K.C.C. 16.04.760 are hereby amended to read as follows:</w:t>
      </w:r>
    </w:p>
    <w:p w14:paraId="05632535" w14:textId="77777777" w:rsidR="006B4A66" w:rsidRPr="006B4A66" w:rsidRDefault="006B4A66" w:rsidP="0073496A">
      <w:pPr>
        <w:tabs>
          <w:tab w:val="left" w:pos="720"/>
        </w:tabs>
        <w:spacing w:after="0" w:line="480" w:lineRule="auto"/>
        <w:rPr>
          <w:rFonts w:ascii="Times New Roman" w:eastAsia="Times New Roman" w:hAnsi="Times New Roman" w:cs="Times New Roman"/>
          <w:b/>
          <w:bCs/>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The International Building Code is supplemented by the following appendix:</w:t>
      </w: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b/>
          <w:bCs/>
          <w:color w:val="000000"/>
          <w:kern w:val="0"/>
          <w:sz w:val="24"/>
          <w:szCs w:val="24"/>
          <w14:ligatures w14:val="none"/>
        </w:rPr>
        <w:t>Ceilings 30 dB compliance (IBC AZ 122).</w:t>
      </w:r>
    </w:p>
    <w:p w14:paraId="47971EB9"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b/>
          <w:bCs/>
          <w:color w:val="000000"/>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strike/>
          <w:color w:val="000000"/>
          <w:kern w:val="0"/>
          <w:sz w:val="24"/>
          <w:szCs w:val="24"/>
          <w14:ligatures w14:val="none"/>
        </w:rPr>
        <w:t>(a)</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A.</w:t>
      </w:r>
      <w:r w:rsidRPr="006B4A66">
        <w:rPr>
          <w:rFonts w:ascii="Times New Roman" w:eastAsia="Times New Roman" w:hAnsi="Times New Roman" w:cs="Times New Roman"/>
          <w:color w:val="000000"/>
          <w:kern w:val="0"/>
          <w:sz w:val="24"/>
          <w:szCs w:val="24"/>
          <w14:ligatures w14:val="none"/>
        </w:rPr>
        <w:t xml:space="preserve">  Gypsum board or plaster ceilings at least 5/8 ((</w:t>
      </w:r>
      <w:r w:rsidRPr="006B4A66">
        <w:rPr>
          <w:rFonts w:ascii="Times New Roman" w:eastAsia="Times New Roman"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inch (16 millimeters)</w:t>
      </w:r>
      <w:r w:rsidRPr="006B4A66">
        <w:rPr>
          <w:rFonts w:ascii="Times New Roman" w:eastAsia="Times New Roman" w:hAnsi="Times New Roman" w:cs="Times New Roman"/>
          <w:color w:val="000000"/>
          <w:kern w:val="0"/>
          <w:sz w:val="24"/>
          <w:szCs w:val="24"/>
          <w14:ligatures w14:val="none"/>
        </w:rPr>
        <w:t xml:space="preserve"> thick shall be provided where required by AZ 121(b) above. Ceilings shall be substantially airtight with a minimum of penetrations.</w:t>
      </w:r>
    </w:p>
    <w:p w14:paraId="0B826917"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(b)</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B.</w:t>
      </w:r>
      <w:r w:rsidRPr="006B4A66">
        <w:rPr>
          <w:rFonts w:ascii="Times New Roman" w:eastAsia="Times New Roman" w:hAnsi="Times New Roman" w:cs="Times New Roman"/>
          <w:color w:val="000000"/>
          <w:kern w:val="0"/>
          <w:sz w:val="24"/>
          <w:szCs w:val="24"/>
          <w14:ligatures w14:val="none"/>
        </w:rPr>
        <w:t xml:space="preserve">  Glass fiber or mineral wool insulation of least R</w:t>
      </w:r>
      <w:r w:rsidRPr="006B4A66">
        <w:rPr>
          <w:rFonts w:ascii="Times New Roman" w:eastAsia="Times New Roman" w:hAnsi="Times New Roman" w:cs="Times New Roman"/>
          <w:color w:val="000000"/>
          <w:kern w:val="0"/>
          <w:sz w:val="24"/>
          <w:szCs w:val="24"/>
          <w14:ligatures w14:val="none"/>
        </w:rPr>
        <w:noBreakHyphen/>
        <w:t>19 shall be provided above the ceiling between joists.</w:t>
      </w:r>
    </w:p>
    <w:p w14:paraId="25064E94" w14:textId="571E8689"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30.</w:t>
      </w:r>
      <w:r w:rsidRPr="006B4A66">
        <w:rPr>
          <w:rFonts w:ascii="Times New Roman" w:eastAsia="Times New Roman" w:hAnsi="Times New Roman" w:cs="Times New Roman"/>
          <w:color w:val="000000"/>
          <w:kern w:val="0"/>
          <w:sz w:val="24"/>
          <w:szCs w:val="24"/>
          <w14:ligatures w14:val="none"/>
        </w:rPr>
        <w:t xml:space="preserve">  Ordinance 12560, Section 86, as amended, and K.C.C. 16.04.770 are hereby amended to read as follows:</w:t>
      </w:r>
    </w:p>
    <w:p w14:paraId="7E015895"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lastRenderedPageBreak/>
        <w:tab/>
        <w:t>The International Building Code is supplemented with the following appendix:</w:t>
      </w: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b/>
          <w:bCs/>
          <w:color w:val="000000"/>
          <w:kern w:val="0"/>
          <w:sz w:val="24"/>
          <w:szCs w:val="24"/>
          <w14:ligatures w14:val="none"/>
        </w:rPr>
        <w:t>Floors 30 dB compliance (IBC AZ 123).</w:t>
      </w:r>
      <w:r w:rsidRPr="006B4A66">
        <w:rPr>
          <w:rFonts w:ascii="Times New Roman" w:eastAsia="Times New Roman" w:hAnsi="Times New Roman" w:cs="Times New Roman"/>
          <w:color w:val="000000"/>
          <w:kern w:val="0"/>
          <w:sz w:val="24"/>
          <w:szCs w:val="24"/>
          <w14:ligatures w14:val="none"/>
        </w:rPr>
        <w:t xml:space="preserve">  The floor of the lowest occupied rooms shall be slab on fill, below grade</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 xml:space="preserve"> or over a fully enclosed basement or crawl space. All door and window openings in the fully enclosed basement shall be tightly fitted.</w:t>
      </w:r>
    </w:p>
    <w:p w14:paraId="14B03DA6"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b/>
          <w:bCs/>
          <w:color w:val="000000"/>
          <w:kern w:val="0"/>
          <w:sz w:val="24"/>
          <w:szCs w:val="24"/>
          <w14:ligatures w14:val="none"/>
        </w:rPr>
        <w:t>EXCEPTION:</w:t>
      </w:r>
      <w:r w:rsidRPr="006B4A66">
        <w:rPr>
          <w:rFonts w:ascii="Times New Roman" w:eastAsia="Times New Roman" w:hAnsi="Times New Roman" w:cs="Times New Roman"/>
          <w:color w:val="000000"/>
          <w:kern w:val="0"/>
          <w:sz w:val="24"/>
          <w:szCs w:val="24"/>
          <w14:ligatures w14:val="none"/>
        </w:rPr>
        <w:t xml:space="preserve">  Floors over fully enclosed garages or ((</w:t>
      </w:r>
      <w:r w:rsidRPr="006B4A66">
        <w:rPr>
          <w:rFonts w:ascii="Times New Roman" w:eastAsia="Times New Roman" w:hAnsi="Times New Roman" w:cs="Times New Roman"/>
          <w:strike/>
          <w:color w:val="000000"/>
          <w:kern w:val="0"/>
          <w:sz w:val="24"/>
          <w:szCs w:val="24"/>
          <w14:ligatures w14:val="none"/>
        </w:rPr>
        <w:t>over</w:t>
      </w:r>
      <w:r w:rsidRPr="006B4A66">
        <w:rPr>
          <w:rFonts w:ascii="Times New Roman" w:eastAsia="Times New Roman" w:hAnsi="Times New Roman" w:cs="Times New Roman"/>
          <w:color w:val="000000"/>
          <w:kern w:val="0"/>
          <w:sz w:val="24"/>
          <w:szCs w:val="24"/>
          <w14:ligatures w14:val="none"/>
        </w:rPr>
        <w:t xml:space="preserve">)) carports shall have a laboratory sound transmission class rating of at least </w:t>
      </w:r>
      <w:smartTag w:uri="urn:schemas-microsoft-com:office:smarttags" w:element="stockticker">
        <w:r w:rsidRPr="006B4A66">
          <w:rPr>
            <w:rFonts w:ascii="Times New Roman" w:eastAsia="Times New Roman" w:hAnsi="Times New Roman" w:cs="Times New Roman"/>
            <w:color w:val="000000"/>
            <w:kern w:val="0"/>
            <w:sz w:val="24"/>
            <w:szCs w:val="24"/>
            <w14:ligatures w14:val="none"/>
          </w:rPr>
          <w:t>STC</w:t>
        </w:r>
      </w:smartTag>
      <w:r w:rsidRPr="006B4A66">
        <w:rPr>
          <w:rFonts w:ascii="Times New Roman" w:eastAsia="Times New Roman" w:hAnsi="Times New Roman" w:cs="Times New Roman"/>
          <w:color w:val="000000"/>
          <w:kern w:val="0"/>
          <w:sz w:val="24"/>
          <w:szCs w:val="24"/>
          <w14:ligatures w14:val="none"/>
        </w:rPr>
        <w:t>-35.  The floor over the garage or carport shall be insulated to not less than R-19, ((</w:t>
      </w:r>
      <w:r w:rsidRPr="006B4A66">
        <w:rPr>
          <w:rFonts w:ascii="Times New Roman" w:eastAsia="Times New Roman" w:hAnsi="Times New Roman" w:cs="Times New Roman"/>
          <w:strike/>
          <w:color w:val="000000"/>
          <w:kern w:val="0"/>
          <w:sz w:val="24"/>
          <w:szCs w:val="24"/>
          <w14:ligatures w14:val="none"/>
        </w:rPr>
        <w:t>but not less than that</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or as</w:t>
      </w:r>
      <w:r w:rsidRPr="006B4A66">
        <w:rPr>
          <w:rFonts w:ascii="Times New Roman" w:eastAsia="Times New Roman" w:hAnsi="Times New Roman" w:cs="Times New Roman"/>
          <w:color w:val="000000"/>
          <w:kern w:val="0"/>
          <w:sz w:val="24"/>
          <w:szCs w:val="24"/>
          <w14:ligatures w14:val="none"/>
        </w:rPr>
        <w:t xml:space="preserve"> specified by the (( </w:t>
      </w:r>
      <w:r w:rsidRPr="006B4A66">
        <w:rPr>
          <w:rFonts w:ascii="Times New Roman" w:eastAsia="Times New Roman" w:hAnsi="Times New Roman" w:cs="Times New Roman"/>
          <w:strike/>
          <w:color w:val="000000"/>
          <w:kern w:val="0"/>
          <w:sz w:val="24"/>
          <w:szCs w:val="24"/>
          <w14:ligatures w14:val="none"/>
        </w:rPr>
        <w:t>International Energy Conservation</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Washington State Energy</w:t>
      </w:r>
      <w:r w:rsidRPr="006B4A66">
        <w:rPr>
          <w:rFonts w:ascii="Times New Roman" w:eastAsia="Times New Roman" w:hAnsi="Times New Roman" w:cs="Times New Roman"/>
          <w:color w:val="000000"/>
          <w:kern w:val="0"/>
          <w:sz w:val="24"/>
          <w:szCs w:val="24"/>
          <w14:ligatures w14:val="none"/>
        </w:rPr>
        <w:t xml:space="preserve"> Code</w:t>
      </w:r>
      <w:r w:rsidRPr="006B4A66">
        <w:rPr>
          <w:rFonts w:ascii="Times New Roman" w:eastAsia="Times New Roman" w:hAnsi="Times New Roman" w:cs="Times New Roman"/>
          <w:color w:val="000000"/>
          <w:kern w:val="0"/>
          <w:sz w:val="24"/>
          <w:szCs w:val="24"/>
          <w:u w:val="single"/>
          <w14:ligatures w14:val="none"/>
        </w:rPr>
        <w:t>, whichever is the higher rating,</w:t>
      </w:r>
      <w:r w:rsidRPr="006B4A66">
        <w:rPr>
          <w:rFonts w:ascii="Times New Roman" w:eastAsia="Times New Roman" w:hAnsi="Times New Roman" w:cs="Times New Roman"/>
          <w:color w:val="000000"/>
          <w:kern w:val="0"/>
          <w:sz w:val="24"/>
          <w:szCs w:val="24"/>
          <w14:ligatures w14:val="none"/>
        </w:rPr>
        <w:t xml:space="preserve"> and enclosed with one layer of 5/8 ((</w:t>
      </w:r>
      <w:r w:rsidRPr="006B4A66">
        <w:rPr>
          <w:rFonts w:ascii="Times New Roman" w:eastAsia="Times New Roman"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inch (16 millimeters)</w:t>
      </w:r>
      <w:r w:rsidRPr="006B4A66">
        <w:rPr>
          <w:rFonts w:ascii="Times New Roman" w:eastAsia="Times New Roman" w:hAnsi="Times New Roman" w:cs="Times New Roman"/>
          <w:color w:val="000000"/>
          <w:kern w:val="0"/>
          <w:sz w:val="24"/>
          <w:szCs w:val="24"/>
          <w14:ligatures w14:val="none"/>
        </w:rPr>
        <w:t xml:space="preserve"> type ((</w:t>
      </w:r>
      <w:r w:rsidRPr="006B4A66">
        <w:rPr>
          <w:rFonts w:ascii="Times New Roman" w:eastAsia="Times New Roman"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))X((</w:t>
      </w:r>
      <w:r w:rsidRPr="006B4A66">
        <w:rPr>
          <w:rFonts w:ascii="Times New Roman" w:eastAsia="Times New Roman"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GWB on the garage or carport side or any equivalent approved garage or dwelling separation assembly in conformance with International Residential Code Section R302.6.</w:t>
      </w:r>
    </w:p>
    <w:p w14:paraId="4839C3F9" w14:textId="491C1C59"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31.</w:t>
      </w:r>
      <w:r w:rsidRPr="006B4A66">
        <w:rPr>
          <w:rFonts w:ascii="Times New Roman" w:eastAsia="Times New Roman" w:hAnsi="Times New Roman" w:cs="Times New Roman"/>
          <w:color w:val="000000"/>
          <w:kern w:val="0"/>
          <w:sz w:val="24"/>
          <w:szCs w:val="24"/>
          <w14:ligatures w14:val="none"/>
        </w:rPr>
        <w:t xml:space="preserve">  Ordinance 12560, Section 90, as amended, and K.C.C. 16.04.780 are hereby amended to read as follows:</w:t>
      </w:r>
    </w:p>
    <w:p w14:paraId="6B2009E9" w14:textId="77777777" w:rsidR="006B4A66" w:rsidRPr="006B4A66" w:rsidRDefault="006B4A66" w:rsidP="0073496A">
      <w:pPr>
        <w:tabs>
          <w:tab w:val="left" w:pos="720"/>
        </w:tabs>
        <w:spacing w:after="0" w:line="480" w:lineRule="auto"/>
        <w:rPr>
          <w:rFonts w:ascii="Times New Roman" w:eastAsia="Times New Roman" w:hAnsi="Times New Roman" w:cs="Times New Roman"/>
          <w:b/>
          <w:bCs/>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The International Building Code is supplemented by the following appendix:</w:t>
      </w:r>
      <w:r w:rsidRPr="006B4A66">
        <w:rPr>
          <w:rFonts w:ascii="Times New Roman" w:eastAsia="Times New Roman" w:hAnsi="Times New Roman" w:cs="Times New Roman"/>
          <w:b/>
          <w:bCs/>
          <w:color w:val="000000"/>
          <w:kern w:val="0"/>
          <w:sz w:val="24"/>
          <w:szCs w:val="24"/>
          <w14:ligatures w14:val="none"/>
        </w:rPr>
        <w:tab/>
        <w:t>Ventilation 30 dB compliance (IBC AZ 124).</w:t>
      </w:r>
    </w:p>
    <w:p w14:paraId="47292369"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b/>
          <w:bCs/>
          <w:color w:val="000000"/>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strike/>
          <w:color w:val="000000"/>
          <w:kern w:val="0"/>
          <w:sz w:val="24"/>
          <w:szCs w:val="24"/>
          <w14:ligatures w14:val="none"/>
        </w:rPr>
        <w:t>(a)</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A.</w:t>
      </w:r>
      <w:r w:rsidRPr="006B4A66">
        <w:rPr>
          <w:rFonts w:ascii="Times New Roman" w:eastAsia="Times New Roman" w:hAnsi="Times New Roman" w:cs="Times New Roman"/>
          <w:color w:val="000000"/>
          <w:kern w:val="0"/>
          <w:sz w:val="24"/>
          <w:szCs w:val="24"/>
          <w14:ligatures w14:val="none"/>
        </w:rPr>
        <w:t xml:space="preserve">  A ventilation system shall be installed that would provide the minimum air circulation and fresh air supply requirements for various uses in occupied rooms without the need to open any windows, doors</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 xml:space="preserve"> or other openings to the exterior.  The inlet and discharge openings shall be fitted with sheet metal transfer ducts of at least 26</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gauge steel, which shall be lined with 1 ((</w:t>
      </w:r>
      <w:r w:rsidRPr="006B4A66">
        <w:rPr>
          <w:rFonts w:ascii="Times New Roman" w:eastAsia="Times New Roman"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inch (25 millimeters)</w:t>
      </w:r>
      <w:r w:rsidRPr="006B4A66">
        <w:rPr>
          <w:rFonts w:ascii="Times New Roman" w:eastAsia="Times New Roman" w:hAnsi="Times New Roman" w:cs="Times New Roman"/>
          <w:color w:val="000000"/>
          <w:kern w:val="0"/>
          <w:sz w:val="24"/>
          <w:szCs w:val="24"/>
          <w14:ligatures w14:val="none"/>
        </w:rPr>
        <w:t xml:space="preserve"> thick coated glass fiber or </w:t>
      </w:r>
      <w:r w:rsidRPr="006B4A66">
        <w:rPr>
          <w:rFonts w:ascii="Times New Roman" w:eastAsia="Times New Roman" w:hAnsi="Times New Roman" w:cs="Times New Roman"/>
          <w:color w:val="000000"/>
          <w:kern w:val="0"/>
          <w:sz w:val="24"/>
          <w:szCs w:val="24"/>
          <w14:ligatures w14:val="none"/>
        </w:rPr>
        <w:lastRenderedPageBreak/>
        <w:t xml:space="preserve">insulated with R-11 sound-absorbing duct insulation, and shall be at least 5 feet </w:t>
      </w:r>
      <w:r w:rsidRPr="006B4A66">
        <w:rPr>
          <w:rFonts w:ascii="Times New Roman" w:eastAsia="Times New Roman" w:hAnsi="Times New Roman" w:cs="Times New Roman"/>
          <w:color w:val="000000"/>
          <w:kern w:val="0"/>
          <w:sz w:val="24"/>
          <w:szCs w:val="24"/>
          <w:u w:val="single"/>
          <w14:ligatures w14:val="none"/>
        </w:rPr>
        <w:t>(1,524 millimeters)</w:t>
      </w:r>
      <w:r w:rsidRPr="006B4A66">
        <w:rPr>
          <w:rFonts w:ascii="Times New Roman" w:eastAsia="Times New Roman" w:hAnsi="Times New Roman" w:cs="Times New Roman"/>
          <w:color w:val="000000"/>
          <w:kern w:val="0"/>
          <w:sz w:val="24"/>
          <w:szCs w:val="24"/>
          <w14:ligatures w14:val="none"/>
        </w:rPr>
        <w:t xml:space="preserve"> long with one 90</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degree bend.</w:t>
      </w:r>
    </w:p>
    <w:p w14:paraId="10403F0D"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(b)</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B.</w:t>
      </w:r>
      <w:r w:rsidRPr="006B4A66">
        <w:rPr>
          <w:rFonts w:ascii="Times New Roman" w:eastAsia="Times New Roman" w:hAnsi="Times New Roman" w:cs="Times New Roman"/>
          <w:color w:val="000000"/>
          <w:kern w:val="0"/>
          <w:sz w:val="24"/>
          <w:szCs w:val="24"/>
          <w14:ligatures w14:val="none"/>
        </w:rPr>
        <w:t xml:space="preserve">  Gravity vent openings in attics or crawlspaces shall be as close to minimum code in number and size, as practical.  The openings shall be fitted with transfer ducts at least 3 feet </w:t>
      </w:r>
      <w:r w:rsidRPr="006B4A66">
        <w:rPr>
          <w:rFonts w:ascii="Times New Roman" w:eastAsia="Times New Roman" w:hAnsi="Times New Roman" w:cs="Times New Roman"/>
          <w:color w:val="000000"/>
          <w:kern w:val="0"/>
          <w:sz w:val="24"/>
          <w:szCs w:val="24"/>
          <w:u w:val="single"/>
          <w14:ligatures w14:val="none"/>
        </w:rPr>
        <w:t>(914 millimeters)</w:t>
      </w:r>
      <w:r w:rsidRPr="006B4A66">
        <w:rPr>
          <w:rFonts w:ascii="Times New Roman" w:eastAsia="Times New Roman" w:hAnsi="Times New Roman" w:cs="Times New Roman"/>
          <w:color w:val="000000"/>
          <w:kern w:val="0"/>
          <w:sz w:val="24"/>
          <w:szCs w:val="24"/>
          <w14:ligatures w14:val="none"/>
        </w:rPr>
        <w:t xml:space="preserve">  in length containing internal 1 ((</w:t>
      </w:r>
      <w:r w:rsidRPr="006B4A66">
        <w:rPr>
          <w:rFonts w:ascii="Times New Roman" w:eastAsia="Times New Roman"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inch (25 millimeters)</w:t>
      </w:r>
      <w:r w:rsidRPr="006B4A66">
        <w:rPr>
          <w:rFonts w:ascii="Times New Roman" w:eastAsia="Times New Roman" w:hAnsi="Times New Roman" w:cs="Times New Roman"/>
          <w:color w:val="000000"/>
          <w:kern w:val="0"/>
          <w:sz w:val="24"/>
          <w:szCs w:val="24"/>
          <w14:ligatures w14:val="none"/>
        </w:rPr>
        <w:t xml:space="preserve"> thick coated fiberglass sound-absorbing duct lining or insulated with R-11 sound-absorbing duct insulation.  Each duct shall have a lined 90</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degree bend in the duct such that there is no direct line-of-sight from the exterior through the duct into the attic.</w:t>
      </w:r>
    </w:p>
    <w:p w14:paraId="0BBF8947"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(c)</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C.</w:t>
      </w:r>
      <w:r w:rsidRPr="006B4A66">
        <w:rPr>
          <w:rFonts w:ascii="Times New Roman" w:eastAsia="Times New Roman" w:hAnsi="Times New Roman" w:cs="Times New Roman"/>
          <w:color w:val="000000"/>
          <w:kern w:val="0"/>
          <w:sz w:val="24"/>
          <w:szCs w:val="24"/>
          <w14:ligatures w14:val="none"/>
        </w:rPr>
        <w:t xml:space="preserve">  Bathroom, laundry, and similar exhaust ducts connecting the interior space to the outdoors, shall contain at least 10-foot </w:t>
      </w:r>
      <w:r w:rsidRPr="006B4A66">
        <w:rPr>
          <w:rFonts w:ascii="Times New Roman" w:eastAsia="Times New Roman" w:hAnsi="Times New Roman" w:cs="Times New Roman"/>
          <w:color w:val="000000"/>
          <w:kern w:val="0"/>
          <w:sz w:val="24"/>
          <w:szCs w:val="24"/>
          <w:u w:val="single"/>
          <w14:ligatures w14:val="none"/>
        </w:rPr>
        <w:t>(3,048 millimeters)</w:t>
      </w:r>
      <w:r w:rsidRPr="006B4A66">
        <w:rPr>
          <w:rFonts w:ascii="Times New Roman" w:eastAsia="Times New Roman" w:hAnsi="Times New Roman" w:cs="Times New Roman"/>
          <w:color w:val="000000"/>
          <w:kern w:val="0"/>
          <w:sz w:val="24"/>
          <w:szCs w:val="24"/>
          <w14:ligatures w14:val="none"/>
        </w:rPr>
        <w:t xml:space="preserve"> length of internal sound-absorbing duct lining.  Exhaust ducts less than 10 feet </w:t>
      </w:r>
      <w:r w:rsidRPr="006B4A66">
        <w:rPr>
          <w:rFonts w:ascii="Times New Roman" w:eastAsia="Times New Roman" w:hAnsi="Times New Roman" w:cs="Times New Roman"/>
          <w:color w:val="000000"/>
          <w:kern w:val="0"/>
          <w:sz w:val="24"/>
          <w:szCs w:val="24"/>
          <w:u w:val="single"/>
          <w14:ligatures w14:val="none"/>
        </w:rPr>
        <w:t>(3,048 millimeters)</w:t>
      </w:r>
      <w:r w:rsidRPr="006B4A66">
        <w:rPr>
          <w:rFonts w:ascii="Times New Roman" w:eastAsia="Times New Roman" w:hAnsi="Times New Roman" w:cs="Times New Roman"/>
          <w:color w:val="000000"/>
          <w:kern w:val="0"/>
          <w:sz w:val="24"/>
          <w:szCs w:val="24"/>
          <w14:ligatures w14:val="none"/>
        </w:rPr>
        <w:t xml:space="preserve"> in length shall be fully lined and shall also ((</w:t>
      </w:r>
      <w:r w:rsidRPr="006B4A66">
        <w:rPr>
          <w:rFonts w:ascii="Times New Roman" w:eastAsia="Times New Roman" w:hAnsi="Times New Roman" w:cs="Times New Roman"/>
          <w:strike/>
          <w:color w:val="000000"/>
          <w:kern w:val="0"/>
          <w:sz w:val="24"/>
          <w:szCs w:val="24"/>
          <w14:ligatures w14:val="none"/>
        </w:rPr>
        <w:t>be</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meet</w:t>
      </w:r>
      <w:r w:rsidRPr="006B4A66">
        <w:rPr>
          <w:rFonts w:ascii="Times New Roman" w:eastAsia="Times New Roman" w:hAnsi="Times New Roman" w:cs="Times New Roman"/>
          <w:color w:val="000000"/>
          <w:kern w:val="0"/>
          <w:sz w:val="24"/>
          <w:szCs w:val="24"/>
          <w14:ligatures w14:val="none"/>
        </w:rPr>
        <w:t xml:space="preserve"> the provisions of AZ 109(c).  Each duct shall be provided with a lined 90</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degree bend in the duct such that there is no direct line-of-sight through the duct from the venting cross-section to the room opening cross-section.  Duct lining shall be coated glass fiber duct liner at least 1 ((</w:t>
      </w:r>
      <w:r w:rsidRPr="006B4A66">
        <w:rPr>
          <w:rFonts w:ascii="Times New Roman" w:eastAsia="Times New Roman"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color w:val="000000"/>
          <w:kern w:val="0"/>
          <w:sz w:val="24"/>
          <w:szCs w:val="24"/>
          <w:u w:val="single"/>
          <w14:ligatures w14:val="none"/>
        </w:rPr>
        <w:t>inch (25 millimeters)</w:t>
      </w:r>
      <w:r w:rsidRPr="006B4A66">
        <w:rPr>
          <w:rFonts w:ascii="Times New Roman" w:eastAsia="Times New Roman" w:hAnsi="Times New Roman" w:cs="Times New Roman"/>
          <w:color w:val="000000"/>
          <w:kern w:val="0"/>
          <w:sz w:val="24"/>
          <w:szCs w:val="24"/>
          <w14:ligatures w14:val="none"/>
        </w:rPr>
        <w:t xml:space="preserve"> thick or insulated with R-11 sound-absorbing duct insulation.  In areas </w:t>
      </w:r>
      <w:r w:rsidRPr="006B4A66">
        <w:rPr>
          <w:rFonts w:ascii="Times New Roman" w:eastAsia="Times New Roman" w:hAnsi="Times New Roman" w:cs="Times New Roman"/>
          <w:color w:val="000000"/>
          <w:kern w:val="0"/>
          <w:sz w:val="24"/>
          <w:szCs w:val="24"/>
          <w:u w:val="single"/>
          <w14:ligatures w14:val="none"/>
        </w:rPr>
        <w:t>that produce moisture such as</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strike/>
          <w:color w:val="000000"/>
          <w:kern w:val="0"/>
          <w:sz w:val="24"/>
          <w:szCs w:val="24"/>
          <w14:ligatures w14:val="none"/>
        </w:rPr>
        <w:t>(i.e.</w:t>
      </w:r>
      <w:r w:rsidRPr="006B4A66">
        <w:rPr>
          <w:rFonts w:ascii="Times New Roman" w:eastAsia="Times New Roman" w:hAnsi="Times New Roman" w:cs="Times New Roman"/>
          <w:color w:val="000000"/>
          <w:kern w:val="0"/>
          <w:sz w:val="24"/>
          <w:szCs w:val="24"/>
          <w14:ligatures w14:val="none"/>
        </w:rPr>
        <w:t>)) shower rooms((</w:t>
      </w:r>
      <w:r w:rsidRPr="006B4A66">
        <w:rPr>
          <w:rFonts w:ascii="Times New Roman" w:eastAsia="Times New Roman" w:hAnsi="Times New Roman" w:cs="Times New Roman"/>
          <w:strike/>
          <w:color w:val="000000"/>
          <w:kern w:val="0"/>
          <w:sz w:val="24"/>
          <w:szCs w:val="24"/>
          <w14:ligatures w14:val="none"/>
        </w:rPr>
        <w:t>) which produce moisture</w:t>
      </w:r>
      <w:r w:rsidRPr="006B4A66">
        <w:rPr>
          <w:rFonts w:ascii="Times New Roman" w:eastAsia="Times New Roman" w:hAnsi="Times New Roman" w:cs="Times New Roman"/>
          <w:color w:val="000000"/>
          <w:kern w:val="0"/>
          <w:sz w:val="24"/>
          <w:szCs w:val="24"/>
          <w14:ligatures w14:val="none"/>
        </w:rPr>
        <w:t>)), duct lining shall be made of non-absorbent material.  Commercial kitchen exhaust systems and product conveying duct systems (Chapter 5 U.M.C.) shall be exempt.</w:t>
      </w:r>
    </w:p>
    <w:p w14:paraId="4E021B12"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(d)</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D.</w:t>
      </w:r>
      <w:r w:rsidRPr="006B4A66">
        <w:rPr>
          <w:rFonts w:ascii="Times New Roman" w:eastAsia="Times New Roman" w:hAnsi="Times New Roman" w:cs="Times New Roman"/>
          <w:color w:val="000000"/>
          <w:kern w:val="0"/>
          <w:sz w:val="24"/>
          <w:szCs w:val="24"/>
          <w14:ligatures w14:val="none"/>
        </w:rPr>
        <w:t xml:space="preserve">  Domestic range exhaust ducts connecting the interior space to the outdoors shall contain a self</w:t>
      </w:r>
      <w:r w:rsidRPr="006B4A66">
        <w:rPr>
          <w:rFonts w:ascii="Times New Roman" w:eastAsia="Times New Roman" w:hAnsi="Times New Roman" w:cs="Times New Roman"/>
          <w:color w:val="000000"/>
          <w:kern w:val="0"/>
          <w:sz w:val="24"/>
          <w:szCs w:val="24"/>
          <w14:ligatures w14:val="none"/>
        </w:rPr>
        <w:noBreakHyphen/>
        <w:t>closing baffle plate across the exterior termination which allows proper ventilation.  The duct shall be provided with a 90</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degree bend.</w:t>
      </w:r>
    </w:p>
    <w:p w14:paraId="41D556CF" w14:textId="56784F5B"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lastRenderedPageBreak/>
        <w:tab/>
      </w:r>
      <w:r w:rsidRPr="006B4A66">
        <w:rPr>
          <w:rFonts w:ascii="Times New Roman" w:eastAsia="Times New Roman" w:hAnsi="Times New Roman" w:cs="Times New Roman"/>
          <w:color w:val="000000"/>
          <w:kern w:val="0"/>
          <w:sz w:val="24"/>
          <w:szCs w:val="24"/>
          <w:u w:val="single"/>
          <w14:ligatures w14:val="none"/>
        </w:rPr>
        <w:t>SECTION 32.</w:t>
      </w:r>
      <w:r w:rsidRPr="006B4A66">
        <w:rPr>
          <w:rFonts w:ascii="Times New Roman" w:eastAsia="Times New Roman" w:hAnsi="Times New Roman" w:cs="Times New Roman"/>
          <w:color w:val="000000"/>
          <w:kern w:val="0"/>
          <w:sz w:val="24"/>
          <w:szCs w:val="24"/>
          <w14:ligatures w14:val="none"/>
        </w:rPr>
        <w:t xml:space="preserve">  Ordinance 12560, Section 92, as amended, and K.C.C. 16.04.800 are hereby amended to read as follows:</w:t>
      </w:r>
    </w:p>
    <w:p w14:paraId="307011CD"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The International Building Code is supplemented by the following appendix:</w:t>
      </w:r>
    </w:p>
    <w:p w14:paraId="5667ADB4" w14:textId="77777777" w:rsidR="006B4A66" w:rsidRPr="006B4A66" w:rsidRDefault="006B4A66" w:rsidP="0073496A">
      <w:pPr>
        <w:tabs>
          <w:tab w:val="left" w:pos="720"/>
        </w:tabs>
        <w:spacing w:after="0" w:line="480" w:lineRule="auto"/>
        <w:rPr>
          <w:rFonts w:ascii="Times New Roman" w:eastAsia="Times New Roman" w:hAnsi="Times New Roman" w:cs="Times New Roman"/>
          <w:b/>
          <w:bCs/>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b/>
          <w:bCs/>
          <w:color w:val="000000"/>
          <w:kern w:val="0"/>
          <w:sz w:val="24"/>
          <w:szCs w:val="24"/>
          <w14:ligatures w14:val="none"/>
        </w:rPr>
        <w:t>Exterior walls 35 dB compliance (IBC AZ 126).</w:t>
      </w:r>
    </w:p>
    <w:p w14:paraId="627FB020"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b/>
          <w:bCs/>
          <w:color w:val="000000"/>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strike/>
          <w:color w:val="000000"/>
          <w:kern w:val="0"/>
          <w:sz w:val="24"/>
          <w:szCs w:val="24"/>
          <w14:ligatures w14:val="none"/>
        </w:rPr>
        <w:t>(a)</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A.</w:t>
      </w:r>
      <w:r w:rsidRPr="006B4A66">
        <w:rPr>
          <w:rFonts w:ascii="Times New Roman" w:eastAsia="Times New Roman" w:hAnsi="Times New Roman" w:cs="Times New Roman"/>
          <w:color w:val="000000"/>
          <w:kern w:val="0"/>
          <w:sz w:val="24"/>
          <w:szCs w:val="24"/>
          <w14:ligatures w14:val="none"/>
        </w:rPr>
        <w:t xml:space="preserve">  Exterior walls, other than </w:t>
      </w:r>
      <w:r w:rsidRPr="006B4A66">
        <w:rPr>
          <w:rFonts w:ascii="Times New Roman" w:eastAsia="Times New Roman" w:hAnsi="Times New Roman" w:cs="Times New Roman"/>
          <w:color w:val="000000"/>
          <w:kern w:val="0"/>
          <w:sz w:val="24"/>
          <w:szCs w:val="24"/>
          <w:u w:val="single"/>
          <w14:ligatures w14:val="none"/>
        </w:rPr>
        <w:t>a</w:t>
      </w:r>
      <w:r w:rsidRPr="006B4A66">
        <w:rPr>
          <w:rFonts w:ascii="Times New Roman" w:eastAsia="Times New Roman" w:hAnsi="Times New Roman" w:cs="Times New Roman"/>
          <w:color w:val="000000"/>
          <w:kern w:val="0"/>
          <w:sz w:val="24"/>
          <w:szCs w:val="24"/>
          <w14:ligatures w14:val="none"/>
        </w:rPr>
        <w:t>s described in this section shall have a laboratory sound transmission class rating of at least STC-40; or</w:t>
      </w:r>
    </w:p>
    <w:p w14:paraId="57949E61"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(b)</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B.</w:t>
      </w:r>
      <w:r w:rsidRPr="006B4A66">
        <w:rPr>
          <w:rFonts w:ascii="Times New Roman" w:eastAsia="Times New Roman" w:hAnsi="Times New Roman" w:cs="Times New Roman"/>
          <w:color w:val="000000"/>
          <w:kern w:val="0"/>
          <w:sz w:val="24"/>
          <w:szCs w:val="24"/>
          <w14:ligatures w14:val="none"/>
        </w:rPr>
        <w:t xml:space="preserve">  Masonry walls having a weight of at least 75 pounds per square ((</w:t>
      </w:r>
      <w:r w:rsidRPr="006B4A66">
        <w:rPr>
          <w:rFonts w:ascii="Times New Roman" w:eastAsia="Times New Roman" w:hAnsi="Times New Roman" w:cs="Times New Roman"/>
          <w:strike/>
          <w:color w:val="000000"/>
          <w:kern w:val="0"/>
          <w:sz w:val="24"/>
          <w:szCs w:val="24"/>
          <w14:ligatures w14:val="none"/>
        </w:rPr>
        <w:t>feet</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foot (366 kilograms per square meter)</w:t>
      </w:r>
      <w:r w:rsidRPr="006B4A66">
        <w:rPr>
          <w:rFonts w:ascii="Times New Roman" w:eastAsia="Times New Roman" w:hAnsi="Times New Roman" w:cs="Times New Roman"/>
          <w:color w:val="000000"/>
          <w:kern w:val="0"/>
          <w:sz w:val="24"/>
          <w:szCs w:val="24"/>
          <w14:ligatures w14:val="none"/>
        </w:rPr>
        <w:t xml:space="preserve"> do not require a furred (stud) interior wall.  At least one surface of concrete block walls shall be plastered.</w:t>
      </w:r>
    </w:p>
    <w:p w14:paraId="7B8CD882" w14:textId="355B6D43"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(c)</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C.</w:t>
      </w:r>
      <w:r w:rsidRPr="006B4A66">
        <w:rPr>
          <w:rFonts w:ascii="Times New Roman" w:eastAsia="Times New Roman" w:hAnsi="Times New Roman" w:cs="Times New Roman"/>
          <w:color w:val="000000"/>
          <w:kern w:val="0"/>
          <w:sz w:val="24"/>
          <w:szCs w:val="24"/>
          <w14:ligatures w14:val="none"/>
        </w:rPr>
        <w:t xml:space="preserve">  Stud walls shall be at least 4 ((</w:t>
      </w:r>
      <w:r w:rsidRPr="006B4A66">
        <w:rPr>
          <w:rFonts w:ascii="Times New Roman" w:eastAsia="Times New Roman"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inches (10</w:t>
      </w:r>
      <w:r w:rsidR="00051179">
        <w:rPr>
          <w:rFonts w:ascii="Times New Roman" w:eastAsia="Times New Roman" w:hAnsi="Times New Roman" w:cs="Times New Roman"/>
          <w:color w:val="000000"/>
          <w:kern w:val="0"/>
          <w:sz w:val="24"/>
          <w:szCs w:val="24"/>
          <w:u w:val="single"/>
          <w14:ligatures w14:val="none"/>
        </w:rPr>
        <w:t>2</w:t>
      </w:r>
      <w:r w:rsidRPr="006B4A66">
        <w:rPr>
          <w:rFonts w:ascii="Times New Roman" w:eastAsia="Times New Roman" w:hAnsi="Times New Roman" w:cs="Times New Roman"/>
          <w:color w:val="000000"/>
          <w:kern w:val="0"/>
          <w:sz w:val="24"/>
          <w:szCs w:val="24"/>
          <w:u w:val="single"/>
          <w14:ligatures w14:val="none"/>
        </w:rPr>
        <w:t xml:space="preserve"> millimeters)</w:t>
      </w:r>
      <w:r w:rsidRPr="006B4A66">
        <w:rPr>
          <w:rFonts w:ascii="Times New Roman" w:eastAsia="Times New Roman" w:hAnsi="Times New Roman" w:cs="Times New Roman"/>
          <w:color w:val="000000"/>
          <w:kern w:val="0"/>
          <w:sz w:val="24"/>
          <w:szCs w:val="24"/>
          <w14:ligatures w14:val="none"/>
        </w:rPr>
        <w:t xml:space="preserve"> in nominal depth and shall be finished on the outside with solid sheathing under an approved exterior wall finish.</w:t>
      </w:r>
    </w:p>
    <w:p w14:paraId="655AFB4B"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  1.  Interior surface of the exterior walls shall be of gypsum board or plaster at least 5/8 ((</w:t>
      </w:r>
      <w:r w:rsidRPr="006B4A66">
        <w:rPr>
          <w:rFonts w:ascii="Times New Roman" w:eastAsia="Times New Roman"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inch (16 millimeters)</w:t>
      </w:r>
      <w:r w:rsidRPr="006B4A66">
        <w:rPr>
          <w:rFonts w:ascii="Times New Roman" w:eastAsia="Times New Roman" w:hAnsi="Times New Roman" w:cs="Times New Roman"/>
          <w:color w:val="000000"/>
          <w:kern w:val="0"/>
          <w:sz w:val="24"/>
          <w:szCs w:val="24"/>
          <w14:ligatures w14:val="none"/>
        </w:rPr>
        <w:t xml:space="preserve"> thick installed on the studs.  The gypsum board or plaster may be fastened rigidly to the studs if the exterior is brick veneer or stucco. If the exterior is stucco or siding, the interior gypsum board or plaster must be fastened resiliently to the studs or double thickness must be used.</w:t>
      </w:r>
    </w:p>
    <w:p w14:paraId="6E67670D"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  2.  Continuous composition board, plywood, or gypsum board sheathing, or any combination of these materials of unequal thickness, that is at least 1 ((</w:t>
      </w:r>
      <w:r w:rsidRPr="006B4A66">
        <w:rPr>
          <w:rFonts w:ascii="Times New Roman" w:eastAsia="Times New Roman"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inch (25 millimeters)</w:t>
      </w:r>
      <w:r w:rsidRPr="006B4A66">
        <w:rPr>
          <w:rFonts w:ascii="Times New Roman" w:eastAsia="Times New Roman" w:hAnsi="Times New Roman" w:cs="Times New Roman"/>
          <w:color w:val="000000"/>
          <w:kern w:val="0"/>
          <w:sz w:val="24"/>
          <w:szCs w:val="24"/>
          <w14:ligatures w14:val="none"/>
        </w:rPr>
        <w:t xml:space="preserve"> thick shall cover the exterior side of the wall studs.</w:t>
      </w:r>
    </w:p>
    <w:p w14:paraId="0FE952C4"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  3.  Sheathing panels shall be butted tightly and covered on the exterior with overlapping building paper.</w:t>
      </w:r>
    </w:p>
    <w:p w14:paraId="0518D231"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lastRenderedPageBreak/>
        <w:tab/>
        <w:t xml:space="preserve">  4.  Insulation material at least R-19 or R-19 equivalent shall be installed continuously throughout the cavity space behind the exterior sheathing and between wall studs.  Insulation shall be glass fiber or mineral wool.</w:t>
      </w:r>
    </w:p>
    <w:p w14:paraId="244462FE" w14:textId="60894BC5"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33.</w:t>
      </w:r>
      <w:r w:rsidRPr="006B4A66">
        <w:rPr>
          <w:rFonts w:ascii="Times New Roman" w:eastAsia="Times New Roman" w:hAnsi="Times New Roman" w:cs="Times New Roman"/>
          <w:color w:val="000000"/>
          <w:kern w:val="0"/>
          <w:sz w:val="24"/>
          <w:szCs w:val="24"/>
          <w14:ligatures w14:val="none"/>
        </w:rPr>
        <w:t xml:space="preserve">  Ordinance 12560, Section 94, as amended, and K.C.C. 16.04.820 are hereby amended to read as follows:</w:t>
      </w:r>
    </w:p>
    <w:p w14:paraId="6E965ECC" w14:textId="77777777" w:rsidR="006B4A66" w:rsidRPr="006B4A66" w:rsidRDefault="006B4A66" w:rsidP="0073496A">
      <w:pPr>
        <w:tabs>
          <w:tab w:val="left" w:pos="720"/>
        </w:tabs>
        <w:spacing w:after="0" w:line="480" w:lineRule="auto"/>
        <w:rPr>
          <w:rFonts w:ascii="Times New Roman" w:eastAsia="Times New Roman" w:hAnsi="Times New Roman" w:cs="Times New Roman"/>
          <w:b/>
          <w:bCs/>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The International Building Code is supplemented by the following appendix:</w:t>
      </w: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b/>
          <w:bCs/>
          <w:color w:val="000000"/>
          <w:kern w:val="0"/>
          <w:sz w:val="24"/>
          <w:szCs w:val="24"/>
          <w14:ligatures w14:val="none"/>
        </w:rPr>
        <w:t>Exterior doors 35 dB compliance (IBC AZ 128).</w:t>
      </w:r>
    </w:p>
    <w:p w14:paraId="19BF9E9D"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b/>
          <w:bCs/>
          <w:color w:val="000000"/>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strike/>
          <w:color w:val="000000"/>
          <w:kern w:val="0"/>
          <w:sz w:val="24"/>
          <w:szCs w:val="24"/>
          <w14:ligatures w14:val="none"/>
        </w:rPr>
        <w:t>(a)</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A.</w:t>
      </w:r>
      <w:r w:rsidRPr="006B4A66">
        <w:rPr>
          <w:rFonts w:ascii="Times New Roman" w:eastAsia="Times New Roman" w:hAnsi="Times New Roman" w:cs="Times New Roman"/>
          <w:color w:val="000000"/>
          <w:kern w:val="0"/>
          <w:sz w:val="24"/>
          <w:szCs w:val="24"/>
          <w14:ligatures w14:val="none"/>
        </w:rPr>
        <w:t xml:space="preserve">  Doors other than as described in this section shall have a laboratory sound transmission class rating of a least STC 33; or</w:t>
      </w:r>
    </w:p>
    <w:p w14:paraId="6734B317"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(b)</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B.</w:t>
      </w:r>
      <w:r w:rsidRPr="006B4A66">
        <w:rPr>
          <w:rFonts w:ascii="Times New Roman" w:eastAsia="Times New Roman" w:hAnsi="Times New Roman" w:cs="Times New Roman"/>
          <w:color w:val="000000"/>
          <w:kern w:val="0"/>
          <w:sz w:val="24"/>
          <w:szCs w:val="24"/>
          <w14:ligatures w14:val="none"/>
        </w:rPr>
        <w:t xml:space="preserve">  Double door construction is required for all door openings to the exterior.  The doors shall be side-hinged and shall be solid core wood or insulated hollow metal door at least 1</w:t>
      </w:r>
      <w:r w:rsidRPr="006B4A66">
        <w:rPr>
          <w:rFonts w:ascii="Times New Roman" w:eastAsia="Times New Roman" w:hAnsi="Times New Roman" w:cs="Times New Roman"/>
          <w:color w:val="000000"/>
          <w:kern w:val="0"/>
          <w:sz w:val="24"/>
          <w:szCs w:val="24"/>
          <w14:ligatures w14:val="none"/>
        </w:rPr>
        <w:noBreakHyphen/>
        <w:t>3/4 ((</w:t>
      </w:r>
      <w:r w:rsidRPr="006B4A66">
        <w:rPr>
          <w:rFonts w:ascii="Times New Roman" w:eastAsia="Times New Roman"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inch (44 millimeters)</w:t>
      </w:r>
      <w:r w:rsidRPr="006B4A66">
        <w:rPr>
          <w:rFonts w:ascii="Times New Roman" w:eastAsia="Times New Roman" w:hAnsi="Times New Roman" w:cs="Times New Roman"/>
          <w:color w:val="000000"/>
          <w:kern w:val="0"/>
          <w:sz w:val="24"/>
          <w:szCs w:val="24"/>
          <w14:ligatures w14:val="none"/>
        </w:rPr>
        <w:t xml:space="preserve"> thick, separated by a vestibule or enclosed porch at least 3 feet </w:t>
      </w:r>
      <w:r w:rsidRPr="006B4A66">
        <w:rPr>
          <w:rFonts w:ascii="Times New Roman" w:eastAsia="Times New Roman" w:hAnsi="Times New Roman" w:cs="Times New Roman"/>
          <w:color w:val="000000"/>
          <w:kern w:val="0"/>
          <w:sz w:val="24"/>
          <w:szCs w:val="24"/>
          <w:u w:val="single"/>
          <w14:ligatures w14:val="none"/>
        </w:rPr>
        <w:t>(914 millimeters)</w:t>
      </w:r>
      <w:r w:rsidRPr="006B4A66">
        <w:rPr>
          <w:rFonts w:ascii="Times New Roman" w:eastAsia="Times New Roman" w:hAnsi="Times New Roman" w:cs="Times New Roman"/>
          <w:color w:val="000000"/>
          <w:kern w:val="0"/>
          <w:sz w:val="24"/>
          <w:szCs w:val="24"/>
          <w14:ligatures w14:val="none"/>
        </w:rPr>
        <w:t xml:space="preserve"> in length.  Both doors shall be tightly fitted and weather-stripped.</w:t>
      </w:r>
    </w:p>
    <w:p w14:paraId="6BC77330" w14:textId="1FC7FF83"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(c)</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C.</w:t>
      </w:r>
      <w:r w:rsidRPr="006B4A66">
        <w:rPr>
          <w:rFonts w:ascii="Times New Roman" w:eastAsia="Times New Roman" w:hAnsi="Times New Roman" w:cs="Times New Roman"/>
          <w:color w:val="000000"/>
          <w:kern w:val="0"/>
          <w:sz w:val="24"/>
          <w:szCs w:val="24"/>
          <w14:ligatures w14:val="none"/>
        </w:rPr>
        <w:t xml:space="preserve">  The glass or double</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glazed sliding doors shall be separated by a minimum 1/2 ((</w:t>
      </w:r>
      <w:r w:rsidRPr="006B4A66">
        <w:rPr>
          <w:rFonts w:ascii="Times New Roman" w:eastAsia="Times New Roman"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inch (13 millimeters)</w:t>
      </w:r>
      <w:r w:rsidRPr="006B4A66">
        <w:rPr>
          <w:rFonts w:ascii="Times New Roman" w:eastAsia="Times New Roman" w:hAnsi="Times New Roman" w:cs="Times New Roman"/>
          <w:color w:val="000000"/>
          <w:kern w:val="0"/>
          <w:sz w:val="24"/>
          <w:szCs w:val="24"/>
          <w14:ligatures w14:val="none"/>
        </w:rPr>
        <w:t xml:space="preserve"> airspace.  Each sliding door frame shall be provided with an efficiently airtight weather</w:t>
      </w:r>
      <w:r w:rsidRPr="006B4A66">
        <w:rPr>
          <w:rFonts w:ascii="Times New Roman" w:eastAsia="Times New Roman" w:hAnsi="Times New Roman" w:cs="Times New Roman"/>
          <w:color w:val="000000"/>
          <w:kern w:val="0"/>
          <w:sz w:val="24"/>
          <w:szCs w:val="24"/>
          <w14:ligatures w14:val="none"/>
        </w:rPr>
        <w:noBreakHyphen/>
        <w:t xml:space="preserve">stripping material that conforms to an air infiltration test not to exceed 0.5 cubic </w:t>
      </w:r>
      <w:r w:rsidRPr="001216D4">
        <w:rPr>
          <w:rFonts w:ascii="Times New Roman" w:eastAsia="Times New Roman" w:hAnsi="Times New Roman" w:cs="Times New Roman"/>
          <w:color w:val="000000"/>
          <w:kern w:val="0"/>
          <w:sz w:val="24"/>
          <w:szCs w:val="24"/>
          <w14:ligatures w14:val="none"/>
        </w:rPr>
        <w:t>feet</w:t>
      </w:r>
      <w:r w:rsidRPr="006B4A66">
        <w:rPr>
          <w:rFonts w:ascii="Times New Roman" w:eastAsia="Times New Roman" w:hAnsi="Times New Roman" w:cs="Times New Roman"/>
          <w:color w:val="000000"/>
          <w:kern w:val="0"/>
          <w:sz w:val="24"/>
          <w:szCs w:val="24"/>
          <w14:ligatures w14:val="none"/>
        </w:rPr>
        <w:t xml:space="preserve"> per minute per foot of crack length in accordance with ASTM </w:t>
      </w:r>
      <w:r w:rsidR="00EA1734">
        <w:rPr>
          <w:rFonts w:ascii="Times New Roman" w:eastAsia="Times New Roman" w:hAnsi="Times New Roman" w:cs="Times New Roman"/>
          <w:color w:val="000000"/>
          <w:kern w:val="0"/>
          <w:sz w:val="24"/>
          <w:szCs w:val="24"/>
          <w14:ligatures w14:val="none"/>
        </w:rPr>
        <w:t>((</w:t>
      </w:r>
      <w:r w:rsidR="00EA1734" w:rsidRPr="001216D4">
        <w:rPr>
          <w:rFonts w:ascii="Times New Roman" w:eastAsia="Times New Roman" w:hAnsi="Times New Roman" w:cs="Times New Roman"/>
          <w:strike/>
          <w:color w:val="000000"/>
          <w:kern w:val="0"/>
          <w:sz w:val="24"/>
          <w:szCs w:val="24"/>
          <w14:ligatures w14:val="none"/>
        </w:rPr>
        <w:t>E</w:t>
      </w:r>
      <w:r w:rsidR="00EA1734" w:rsidRPr="001216D4">
        <w:rPr>
          <w:rFonts w:ascii="Times New Roman" w:eastAsia="Times New Roman" w:hAnsi="Times New Roman" w:cs="Times New Roman"/>
          <w:strike/>
          <w:color w:val="000000"/>
          <w:kern w:val="0"/>
          <w:sz w:val="24"/>
          <w:szCs w:val="24"/>
          <w14:ligatures w14:val="none"/>
        </w:rPr>
        <w:noBreakHyphen/>
        <w:t>283</w:t>
      </w:r>
      <w:r w:rsidR="00EA1734" w:rsidRPr="001216D4">
        <w:rPr>
          <w:rFonts w:ascii="Times New Roman" w:eastAsia="Times New Roman" w:hAnsi="Times New Roman" w:cs="Times New Roman"/>
          <w:strike/>
          <w:color w:val="000000"/>
          <w:kern w:val="0"/>
          <w:sz w:val="24"/>
          <w:szCs w:val="24"/>
          <w14:ligatures w14:val="none"/>
        </w:rPr>
        <w:noBreakHyphen/>
        <w:t>65</w:t>
      </w:r>
      <w:r w:rsidR="00EA1734" w:rsidRPr="001216D4">
        <w:rPr>
          <w:rFonts w:ascii="Times New Roman" w:eastAsia="Times New Roman" w:hAnsi="Times New Roman" w:cs="Times New Roman"/>
          <w:strike/>
          <w:color w:val="000000"/>
          <w:kern w:val="0"/>
          <w:sz w:val="24"/>
          <w:szCs w:val="24"/>
          <w14:ligatures w14:val="none"/>
        </w:rPr>
        <w:noBreakHyphen/>
        <w:t>T.T</w:t>
      </w:r>
      <w:r w:rsidR="00EA1734">
        <w:rPr>
          <w:rFonts w:ascii="Times New Roman" w:eastAsia="Times New Roman" w:hAnsi="Times New Roman" w:cs="Times New Roman"/>
          <w:color w:val="000000"/>
          <w:kern w:val="0"/>
          <w:sz w:val="24"/>
          <w:szCs w:val="24"/>
          <w14:ligatures w14:val="none"/>
        </w:rPr>
        <w:t xml:space="preserve">)) </w:t>
      </w:r>
      <w:r w:rsidR="00EA1734">
        <w:rPr>
          <w:rFonts w:ascii="Times New Roman" w:eastAsia="Times New Roman" w:hAnsi="Times New Roman" w:cs="Times New Roman"/>
          <w:color w:val="000000"/>
          <w:kern w:val="0"/>
          <w:sz w:val="24"/>
          <w:szCs w:val="24"/>
          <w:u w:val="single"/>
          <w14:ligatures w14:val="none"/>
        </w:rPr>
        <w:t>E283</w:t>
      </w:r>
      <w:r w:rsidR="00EA1734" w:rsidRPr="006B4A66">
        <w:rPr>
          <w:rFonts w:ascii="Times New Roman" w:eastAsia="Times New Roman" w:hAnsi="Times New Roman" w:cs="Times New Roman"/>
          <w:color w:val="000000"/>
          <w:kern w:val="0"/>
          <w:sz w:val="24"/>
          <w:szCs w:val="24"/>
          <w14:ligatures w14:val="none"/>
        </w:rPr>
        <w:t>.</w:t>
      </w:r>
    </w:p>
    <w:p w14:paraId="5D9ADF9D"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(d)</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D.</w:t>
      </w:r>
      <w:r w:rsidRPr="006B4A66">
        <w:rPr>
          <w:rFonts w:ascii="Times New Roman" w:eastAsia="Times New Roman" w:hAnsi="Times New Roman" w:cs="Times New Roman"/>
          <w:color w:val="000000"/>
          <w:kern w:val="0"/>
          <w:sz w:val="24"/>
          <w:szCs w:val="24"/>
          <w14:ligatures w14:val="none"/>
        </w:rPr>
        <w:t xml:space="preserve">  Glass of all doors shall be at least 3/16 ((</w:t>
      </w:r>
      <w:r w:rsidRPr="006B4A66">
        <w:rPr>
          <w:rFonts w:ascii="Times New Roman" w:eastAsia="Times New Roman"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inch (5 millimeters)</w:t>
      </w:r>
      <w:r w:rsidRPr="006B4A66">
        <w:rPr>
          <w:rFonts w:ascii="Times New Roman" w:eastAsia="Times New Roman" w:hAnsi="Times New Roman" w:cs="Times New Roman"/>
          <w:color w:val="000000"/>
          <w:kern w:val="0"/>
          <w:sz w:val="24"/>
          <w:szCs w:val="24"/>
          <w14:ligatures w14:val="none"/>
        </w:rPr>
        <w:t xml:space="preserve"> thick.  Glass of double sliding doors shall not be equal in thickness.</w:t>
      </w:r>
    </w:p>
    <w:p w14:paraId="19816886"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lastRenderedPageBreak/>
        <w:tab/>
        <w:t>((</w:t>
      </w:r>
      <w:r w:rsidRPr="006B4A66">
        <w:rPr>
          <w:rFonts w:ascii="Times New Roman" w:eastAsia="Times New Roman" w:hAnsi="Times New Roman" w:cs="Times New Roman"/>
          <w:strike/>
          <w:color w:val="000000"/>
          <w:kern w:val="0"/>
          <w:sz w:val="24"/>
          <w:szCs w:val="24"/>
          <w14:ligatures w14:val="none"/>
        </w:rPr>
        <w:t>(e)</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E.</w:t>
      </w:r>
      <w:r w:rsidRPr="006B4A66">
        <w:rPr>
          <w:rFonts w:ascii="Times New Roman" w:eastAsia="Times New Roman" w:hAnsi="Times New Roman" w:cs="Times New Roman"/>
          <w:color w:val="000000"/>
          <w:kern w:val="0"/>
          <w:sz w:val="24"/>
          <w:szCs w:val="24"/>
          <w14:ligatures w14:val="none"/>
        </w:rPr>
        <w:t xml:space="preserve">  The perimeter of door frames shall be sealed airtight to the exterior wall construction (framing) with a sealant conforming to one of the following Federal specifications:  TT-S-00227, TT-S-00230</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 xml:space="preserve"> or TT-S-00153.</w:t>
      </w:r>
    </w:p>
    <w:p w14:paraId="14939208"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(f)</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F.</w:t>
      </w:r>
      <w:r w:rsidRPr="006B4A66">
        <w:rPr>
          <w:rFonts w:ascii="Times New Roman" w:eastAsia="Times New Roman" w:hAnsi="Times New Roman" w:cs="Times New Roman"/>
          <w:color w:val="000000"/>
          <w:kern w:val="0"/>
          <w:sz w:val="24"/>
          <w:szCs w:val="24"/>
          <w14:ligatures w14:val="none"/>
        </w:rPr>
        <w:t xml:space="preserve">  Glass in doors shall be sealed in an airtight nonhardening sealant or in a soft elastomer gasket of glazing tape.</w:t>
      </w:r>
    </w:p>
    <w:p w14:paraId="7C55FCF7" w14:textId="0E2CAC1F"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34.</w:t>
      </w:r>
      <w:r w:rsidRPr="006B4A66">
        <w:rPr>
          <w:rFonts w:ascii="Times New Roman" w:eastAsia="Times New Roman" w:hAnsi="Times New Roman" w:cs="Times New Roman"/>
          <w:color w:val="000000"/>
          <w:kern w:val="0"/>
          <w:sz w:val="24"/>
          <w:szCs w:val="24"/>
          <w14:ligatures w14:val="none"/>
        </w:rPr>
        <w:t xml:space="preserve">  Ordinance 12560, Section 95, as amended, and K.C.C. 16.04.830 are hereby amended to read as follows:</w:t>
      </w:r>
    </w:p>
    <w:p w14:paraId="09D69B8D" w14:textId="77777777" w:rsidR="006B4A66" w:rsidRPr="006B4A66" w:rsidRDefault="006B4A66" w:rsidP="0073496A">
      <w:pPr>
        <w:tabs>
          <w:tab w:val="left" w:pos="720"/>
        </w:tabs>
        <w:spacing w:after="0" w:line="480" w:lineRule="auto"/>
        <w:rPr>
          <w:rFonts w:ascii="Courier" w:eastAsia="Times New Roman" w:hAnsi="Courier" w:cs="Times New Roman"/>
          <w:color w:val="000000"/>
          <w:kern w:val="0"/>
          <w:sz w:val="24"/>
          <w:szCs w:val="20"/>
          <w14:ligatures w14:val="none"/>
        </w:rPr>
      </w:pPr>
      <w:r w:rsidRPr="006B4A66">
        <w:rPr>
          <w:rFonts w:ascii="Times New Roman" w:eastAsia="Times New Roman" w:hAnsi="Times New Roman" w:cs="Times New Roman"/>
          <w:color w:val="000000"/>
          <w:kern w:val="0"/>
          <w:sz w:val="24"/>
          <w:szCs w:val="24"/>
          <w14:ligatures w14:val="none"/>
        </w:rPr>
        <w:tab/>
        <w:t>The International Building Code is supplemented by the following appendix:</w:t>
      </w:r>
    </w:p>
    <w:p w14:paraId="091A219B" w14:textId="77777777" w:rsidR="006B4A66" w:rsidRPr="006B4A66" w:rsidRDefault="006B4A66" w:rsidP="0073496A">
      <w:pPr>
        <w:tabs>
          <w:tab w:val="left" w:pos="720"/>
        </w:tabs>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ab/>
        <w:t>Roofs 35 dB compliance (IBC AZ 129).</w:t>
      </w:r>
    </w:p>
    <w:p w14:paraId="4A87DF5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tab/>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(a)</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A.</w:t>
      </w:r>
      <w:r w:rsidRPr="006B4A66">
        <w:rPr>
          <w:rFonts w:ascii="Times New Roman" w:eastAsia="Calibri" w:hAnsi="Times New Roman" w:cs="Times New Roman"/>
          <w:color w:val="000000"/>
          <w:kern w:val="0"/>
          <w:sz w:val="24"/>
          <w14:ligatures w14:val="none"/>
        </w:rPr>
        <w:t xml:space="preserve">  Combined roof and ceiling construction other than as described in this section and AZ 130 shall have a laboratory sound transmission class rating of at least STC-49; or</w:t>
      </w:r>
    </w:p>
    <w:p w14:paraId="4FF2C22A" w14:textId="77777777" w:rsidR="004424A8"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(b)</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B.</w:t>
      </w:r>
      <w:r w:rsidRPr="006B4A66">
        <w:rPr>
          <w:rFonts w:ascii="Times New Roman" w:eastAsia="Calibri" w:hAnsi="Times New Roman" w:cs="Times New Roman"/>
          <w:color w:val="000000"/>
          <w:kern w:val="0"/>
          <w:sz w:val="24"/>
          <w14:ligatures w14:val="none"/>
        </w:rPr>
        <w:t xml:space="preserve">  With an attic or rafter space at least 6 ((</w:t>
      </w:r>
      <w:r w:rsidRPr="006B4A66">
        <w:rPr>
          <w:rFonts w:ascii="Times New Roman" w:eastAsia="Calibri" w:hAnsi="Times New Roman" w:cs="Times New Roman"/>
          <w:strike/>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inches (152 millimeters)</w:t>
      </w:r>
      <w:r w:rsidRPr="006B4A66">
        <w:rPr>
          <w:rFonts w:ascii="Times New Roman" w:eastAsia="Calibri" w:hAnsi="Times New Roman" w:cs="Times New Roman"/>
          <w:color w:val="000000"/>
          <w:kern w:val="0"/>
          <w:sz w:val="24"/>
          <w14:ligatures w14:val="none"/>
        </w:rPr>
        <w:t xml:space="preserve"> deep, and with a ceiling below, the roof shall consist of composition board, plywood</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gypsum board sheathing, or any combination of these materials of unequal thickness, that is at least 1 ((</w:t>
      </w:r>
      <w:r w:rsidRPr="006B4A66">
        <w:rPr>
          <w:rFonts w:ascii="Times New Roman" w:eastAsia="Calibri" w:hAnsi="Times New Roman" w:cs="Times New Roman"/>
          <w:strike/>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inch (25 millimeters)</w:t>
      </w:r>
      <w:r w:rsidRPr="006B4A66">
        <w:rPr>
          <w:rFonts w:ascii="Times New Roman" w:eastAsia="Calibri" w:hAnsi="Times New Roman" w:cs="Times New Roman"/>
          <w:color w:val="000000"/>
          <w:kern w:val="0"/>
          <w:sz w:val="24"/>
          <w14:ligatures w14:val="none"/>
        </w:rPr>
        <w:t xml:space="preserve"> thick and topped by roofing as required.</w:t>
      </w:r>
    </w:p>
    <w:p w14:paraId="598F267A" w14:textId="2825DF42"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(c)</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C.</w:t>
      </w:r>
      <w:r w:rsidRPr="006B4A66">
        <w:rPr>
          <w:rFonts w:ascii="Times New Roman" w:eastAsia="Calibri" w:hAnsi="Times New Roman" w:cs="Times New Roman"/>
          <w:color w:val="000000"/>
          <w:kern w:val="0"/>
          <w:sz w:val="24"/>
          <w14:ligatures w14:val="none"/>
        </w:rPr>
        <w:t xml:space="preserve">  Open beam roof construction shall follow the energy insulation standard method for batt insulation, except use 1 ((</w:t>
      </w:r>
      <w:r w:rsidRPr="006B4A66">
        <w:rPr>
          <w:rFonts w:ascii="Times New Roman" w:eastAsia="Calibri" w:hAnsi="Times New Roman" w:cs="Times New Roman"/>
          <w:strike/>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inch (25 millimeters)</w:t>
      </w:r>
      <w:r w:rsidRPr="006B4A66">
        <w:rPr>
          <w:rFonts w:ascii="Times New Roman" w:eastAsia="Calibri" w:hAnsi="Times New Roman" w:cs="Times New Roman"/>
          <w:color w:val="000000"/>
          <w:kern w:val="0"/>
          <w:sz w:val="24"/>
          <w14:ligatures w14:val="none"/>
        </w:rPr>
        <w:t xml:space="preserve"> plywood decking with concrete or clay tiles as roofing material.</w:t>
      </w:r>
    </w:p>
    <w:p w14:paraId="63C4006B" w14:textId="62D3D5C9"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35.</w:t>
      </w:r>
      <w:r w:rsidRPr="006B4A66">
        <w:rPr>
          <w:rFonts w:ascii="Times New Roman" w:eastAsia="Times New Roman" w:hAnsi="Times New Roman" w:cs="Times New Roman"/>
          <w:color w:val="000000"/>
          <w:kern w:val="0"/>
          <w:sz w:val="24"/>
          <w:szCs w:val="24"/>
          <w14:ligatures w14:val="none"/>
        </w:rPr>
        <w:t xml:space="preserve">  Ordinance 12560, Section 96, as amended, and K.C.C. 16.04.840 are hereby amended to read as follows:</w:t>
      </w:r>
    </w:p>
    <w:p w14:paraId="7150EA80" w14:textId="77777777" w:rsidR="006B4A66" w:rsidRPr="006B4A66" w:rsidRDefault="006B4A66" w:rsidP="0073496A">
      <w:pPr>
        <w:tabs>
          <w:tab w:val="left" w:pos="720"/>
        </w:tabs>
        <w:spacing w:after="0" w:line="480" w:lineRule="auto"/>
        <w:rPr>
          <w:rFonts w:ascii="Times New Roman" w:eastAsia="Times New Roman" w:hAnsi="Times New Roman" w:cs="Times New Roman"/>
          <w:b/>
          <w:bCs/>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The International Building Code is supplemented by the following appendix:</w:t>
      </w:r>
      <w:r w:rsidRPr="006B4A66">
        <w:rPr>
          <w:rFonts w:ascii="Times New Roman" w:eastAsia="Times New Roman" w:hAnsi="Times New Roman" w:cs="Times New Roman"/>
          <w:b/>
          <w:bCs/>
          <w:color w:val="000000"/>
          <w:kern w:val="0"/>
          <w:sz w:val="24"/>
          <w:szCs w:val="24"/>
          <w14:ligatures w14:val="none"/>
        </w:rPr>
        <w:tab/>
        <w:t>Ceiling 35 dB compliance (IBC AZ 130).</w:t>
      </w:r>
    </w:p>
    <w:p w14:paraId="48412457" w14:textId="5DD2DCFC"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b/>
          <w:bCs/>
          <w:color w:val="000000"/>
          <w:kern w:val="0"/>
          <w:sz w:val="24"/>
          <w:szCs w:val="24"/>
          <w14:ligatures w14:val="none"/>
        </w:rPr>
        <w:lastRenderedPageBreak/>
        <w:tab/>
      </w:r>
      <w:r w:rsidRPr="006B4A66">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strike/>
          <w:color w:val="000000"/>
          <w:kern w:val="0"/>
          <w:sz w:val="24"/>
          <w:szCs w:val="24"/>
          <w14:ligatures w14:val="none"/>
        </w:rPr>
        <w:t>(a)</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A.</w:t>
      </w:r>
      <w:r w:rsidRPr="006B4A66">
        <w:rPr>
          <w:rFonts w:ascii="Times New Roman" w:eastAsia="Times New Roman" w:hAnsi="Times New Roman" w:cs="Times New Roman"/>
          <w:color w:val="000000"/>
          <w:kern w:val="0"/>
          <w:sz w:val="24"/>
          <w:szCs w:val="24"/>
          <w14:ligatures w14:val="none"/>
        </w:rPr>
        <w:t xml:space="preserve">  Gypsum board or plaster ceiling at least 5/8 ((</w:t>
      </w:r>
      <w:r w:rsidRPr="006B4A66">
        <w:rPr>
          <w:rFonts w:ascii="Times New Roman" w:eastAsia="Times New Roman"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inch (16 millimeters) thick</w:t>
      </w:r>
      <w:r w:rsidRPr="006B4A66">
        <w:rPr>
          <w:rFonts w:ascii="Times New Roman" w:eastAsia="Times New Roman" w:hAnsi="Times New Roman" w:cs="Times New Roman"/>
          <w:color w:val="000000"/>
          <w:kern w:val="0"/>
          <w:sz w:val="24"/>
          <w:szCs w:val="24"/>
          <w14:ligatures w14:val="none"/>
        </w:rPr>
        <w:t xml:space="preserve"> shall be provided where required by </w:t>
      </w:r>
      <w:r w:rsidR="008E0285">
        <w:rPr>
          <w:rFonts w:ascii="Times New Roman" w:eastAsia="Times New Roman" w:hAnsi="Times New Roman" w:cs="Times New Roman"/>
          <w:color w:val="000000"/>
          <w:kern w:val="0"/>
          <w:sz w:val="24"/>
          <w:szCs w:val="24"/>
          <w:u w:val="single"/>
          <w14:ligatures w14:val="none"/>
        </w:rPr>
        <w:t>IBC</w:t>
      </w:r>
      <w:r w:rsidR="008E0285">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14:ligatures w14:val="none"/>
        </w:rPr>
        <w:t>AZ 129</w:t>
      </w:r>
      <w:r w:rsidR="008E0285">
        <w:rPr>
          <w:rFonts w:ascii="Times New Roman" w:eastAsia="Times New Roman" w:hAnsi="Times New Roman" w:cs="Times New Roman"/>
          <w:color w:val="000000"/>
          <w:kern w:val="0"/>
          <w:sz w:val="24"/>
          <w:szCs w:val="24"/>
          <w14:ligatures w14:val="none"/>
        </w:rPr>
        <w:t>((</w:t>
      </w:r>
      <w:r w:rsidRPr="001216D4">
        <w:rPr>
          <w:rFonts w:ascii="Times New Roman" w:eastAsia="Times New Roman" w:hAnsi="Times New Roman" w:cs="Times New Roman"/>
          <w:strike/>
          <w:color w:val="000000"/>
          <w:kern w:val="0"/>
          <w:sz w:val="24"/>
          <w:szCs w:val="24"/>
          <w14:ligatures w14:val="none"/>
        </w:rPr>
        <w:t>, above</w:t>
      </w:r>
      <w:r w:rsidR="008E0285">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Ceiling shall be substantially airtight with a minimum of penetrations.  The ceiling panels shall be mounted on resilient clips or channels.</w:t>
      </w:r>
    </w:p>
    <w:p w14:paraId="061BF08E"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(b)</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B.</w:t>
      </w:r>
      <w:r w:rsidRPr="006B4A66">
        <w:rPr>
          <w:rFonts w:ascii="Times New Roman" w:eastAsia="Times New Roman" w:hAnsi="Times New Roman" w:cs="Times New Roman"/>
          <w:color w:val="000000"/>
          <w:kern w:val="0"/>
          <w:sz w:val="24"/>
          <w:szCs w:val="24"/>
          <w14:ligatures w14:val="none"/>
        </w:rPr>
        <w:t xml:space="preserve">  Glass fiber or mineral wool insulation at least R</w:t>
      </w:r>
      <w:r w:rsidRPr="006B4A66">
        <w:rPr>
          <w:rFonts w:ascii="Times New Roman" w:eastAsia="Times New Roman" w:hAnsi="Times New Roman" w:cs="Times New Roman"/>
          <w:color w:val="000000"/>
          <w:kern w:val="0"/>
          <w:sz w:val="24"/>
          <w:szCs w:val="24"/>
          <w14:ligatures w14:val="none"/>
        </w:rPr>
        <w:noBreakHyphen/>
        <w:t>30 shall be provided above the ceiling between joists.</w:t>
      </w:r>
    </w:p>
    <w:p w14:paraId="78E82DFB" w14:textId="73BD6685"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36.</w:t>
      </w:r>
      <w:r w:rsidRPr="006B4A66">
        <w:rPr>
          <w:rFonts w:ascii="Times New Roman" w:eastAsia="Times New Roman" w:hAnsi="Times New Roman" w:cs="Times New Roman"/>
          <w:color w:val="000000"/>
          <w:kern w:val="0"/>
          <w:sz w:val="24"/>
          <w:szCs w:val="24"/>
          <w14:ligatures w14:val="none"/>
        </w:rPr>
        <w:t xml:space="preserve">  Ordinance 12560, Section 97, as amended, and K.C.C. 16.04.850 are hereby amended to read as follows:</w:t>
      </w:r>
    </w:p>
    <w:p w14:paraId="7E38F170"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The International Building Code is supplemented with the following appendix:</w:t>
      </w:r>
    </w:p>
    <w:p w14:paraId="69934E3F"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b/>
          <w:bCs/>
          <w:color w:val="000000"/>
          <w:kern w:val="0"/>
          <w:sz w:val="24"/>
          <w:szCs w:val="24"/>
          <w14:ligatures w14:val="none"/>
        </w:rPr>
        <w:t>Floors 35 dB compliance (IBC AZ 131).</w:t>
      </w:r>
      <w:r w:rsidRPr="006B4A66">
        <w:rPr>
          <w:rFonts w:ascii="Times New Roman" w:eastAsia="Times New Roman" w:hAnsi="Times New Roman" w:cs="Times New Roman"/>
          <w:color w:val="000000"/>
          <w:kern w:val="0"/>
          <w:sz w:val="24"/>
          <w:szCs w:val="24"/>
          <w14:ligatures w14:val="none"/>
        </w:rPr>
        <w:t xml:space="preserve">  The floor of the lowest occupied rooms shall be slab on fill or below grade or over a fully enclosed basement or crawl space.  All door and window openings in the fully enclosed basement shall be tightly fitted.</w:t>
      </w:r>
    </w:p>
    <w:p w14:paraId="532DAAC4" w14:textId="3A7E42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b/>
          <w:bCs/>
          <w:color w:val="000000"/>
          <w:kern w:val="0"/>
          <w:sz w:val="24"/>
          <w:szCs w:val="24"/>
          <w14:ligatures w14:val="none"/>
        </w:rPr>
        <w:t>EXCEPTION:</w:t>
      </w:r>
      <w:r w:rsidRPr="006B4A66">
        <w:rPr>
          <w:rFonts w:ascii="Times New Roman" w:eastAsia="Times New Roman" w:hAnsi="Times New Roman" w:cs="Times New Roman"/>
          <w:color w:val="000000"/>
          <w:kern w:val="0"/>
          <w:sz w:val="24"/>
          <w:szCs w:val="24"/>
          <w14:ligatures w14:val="none"/>
        </w:rPr>
        <w:t xml:space="preserve">  Floors over </w:t>
      </w:r>
      <w:r w:rsidR="003D2D01">
        <w:rPr>
          <w:rFonts w:ascii="Times New Roman" w:eastAsia="Times New Roman" w:hAnsi="Times New Roman" w:cs="Times New Roman"/>
          <w:color w:val="000000"/>
          <w:kern w:val="0"/>
          <w:sz w:val="24"/>
          <w:szCs w:val="24"/>
          <w14:ligatures w14:val="none"/>
        </w:rPr>
        <w:t>((</w:t>
      </w:r>
      <w:r w:rsidRPr="001216D4">
        <w:rPr>
          <w:rFonts w:ascii="Times New Roman" w:eastAsia="Times New Roman" w:hAnsi="Times New Roman" w:cs="Times New Roman"/>
          <w:strike/>
          <w:color w:val="000000"/>
          <w:kern w:val="0"/>
          <w:sz w:val="24"/>
          <w:szCs w:val="24"/>
          <w14:ligatures w14:val="none"/>
        </w:rPr>
        <w:t>fully enclosed</w:t>
      </w:r>
      <w:r w:rsidR="003D2D01">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xml:space="preserve"> garages or ((</w:t>
      </w:r>
      <w:r w:rsidRPr="006B4A66">
        <w:rPr>
          <w:rFonts w:ascii="Times New Roman" w:eastAsia="Times New Roman" w:hAnsi="Times New Roman" w:cs="Times New Roman"/>
          <w:strike/>
          <w:color w:val="000000"/>
          <w:kern w:val="0"/>
          <w:sz w:val="24"/>
          <w:szCs w:val="24"/>
          <w14:ligatures w14:val="none"/>
        </w:rPr>
        <w:t>over</w:t>
      </w:r>
      <w:r w:rsidRPr="006B4A66">
        <w:rPr>
          <w:rFonts w:ascii="Times New Roman" w:eastAsia="Times New Roman" w:hAnsi="Times New Roman" w:cs="Times New Roman"/>
          <w:color w:val="000000"/>
          <w:kern w:val="0"/>
          <w:sz w:val="24"/>
          <w:szCs w:val="24"/>
          <w14:ligatures w14:val="none"/>
        </w:rPr>
        <w:t xml:space="preserve">)) carports shall have a laboratory sound transmission class rating of at least </w:t>
      </w:r>
      <w:smartTag w:uri="urn:schemas-microsoft-com:office:smarttags" w:element="stockticker">
        <w:r w:rsidRPr="006B4A66">
          <w:rPr>
            <w:rFonts w:ascii="Times New Roman" w:eastAsia="Times New Roman" w:hAnsi="Times New Roman" w:cs="Times New Roman"/>
            <w:color w:val="000000"/>
            <w:kern w:val="0"/>
            <w:sz w:val="24"/>
            <w:szCs w:val="24"/>
            <w14:ligatures w14:val="none"/>
          </w:rPr>
          <w:t>STC</w:t>
        </w:r>
      </w:smartTag>
      <w:r w:rsidRPr="006B4A66">
        <w:rPr>
          <w:rFonts w:ascii="Times New Roman" w:eastAsia="Times New Roman" w:hAnsi="Times New Roman" w:cs="Times New Roman"/>
          <w:color w:val="000000"/>
          <w:kern w:val="0"/>
          <w:sz w:val="24"/>
          <w:szCs w:val="24"/>
          <w14:ligatures w14:val="none"/>
        </w:rPr>
        <w:t>-40.  The floor over the garage or carport shall be insulated to not less than R-19, ((</w:t>
      </w:r>
      <w:r w:rsidRPr="006B4A66">
        <w:rPr>
          <w:rFonts w:ascii="Times New Roman" w:eastAsia="Times New Roman" w:hAnsi="Times New Roman" w:cs="Times New Roman"/>
          <w:strike/>
          <w:color w:val="000000"/>
          <w:kern w:val="0"/>
          <w:sz w:val="24"/>
          <w:szCs w:val="24"/>
          <w14:ligatures w14:val="none"/>
        </w:rPr>
        <w:t>but not less than that</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or as</w:t>
      </w:r>
      <w:r w:rsidRPr="006B4A66">
        <w:rPr>
          <w:rFonts w:ascii="Times New Roman" w:eastAsia="Times New Roman" w:hAnsi="Times New Roman" w:cs="Times New Roman"/>
          <w:color w:val="000000"/>
          <w:kern w:val="0"/>
          <w:sz w:val="24"/>
          <w:szCs w:val="24"/>
          <w14:ligatures w14:val="none"/>
        </w:rPr>
        <w:t xml:space="preserve"> specified by the (</w:t>
      </w:r>
      <w:r w:rsidRPr="006B4A66">
        <w:rPr>
          <w:rFonts w:ascii="Times New Roman" w:eastAsia="Times New Roman" w:hAnsi="Times New Roman" w:cs="Times New Roman"/>
          <w:strike/>
          <w:color w:val="000000"/>
          <w:kern w:val="0"/>
          <w:sz w:val="24"/>
          <w:szCs w:val="24"/>
          <w14:ligatures w14:val="none"/>
        </w:rPr>
        <w:t>(International Energy Conservation</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Washington State Energy</w:t>
      </w:r>
      <w:r w:rsidRPr="006B4A66">
        <w:rPr>
          <w:rFonts w:ascii="Times New Roman" w:eastAsia="Times New Roman" w:hAnsi="Times New Roman" w:cs="Times New Roman"/>
          <w:color w:val="000000"/>
          <w:kern w:val="0"/>
          <w:sz w:val="24"/>
          <w:szCs w:val="24"/>
          <w14:ligatures w14:val="none"/>
        </w:rPr>
        <w:t xml:space="preserve"> Code</w:t>
      </w:r>
      <w:r w:rsidRPr="006B4A66">
        <w:rPr>
          <w:rFonts w:ascii="Times New Roman" w:eastAsia="Times New Roman" w:hAnsi="Times New Roman" w:cs="Times New Roman"/>
          <w:color w:val="000000"/>
          <w:kern w:val="0"/>
          <w:sz w:val="24"/>
          <w:szCs w:val="24"/>
          <w:u w:val="single"/>
          <w14:ligatures w14:val="none"/>
        </w:rPr>
        <w:t xml:space="preserve">, whichever </w:t>
      </w:r>
      <w:r w:rsidR="00326411">
        <w:rPr>
          <w:rFonts w:ascii="Times New Roman" w:eastAsia="Times New Roman" w:hAnsi="Times New Roman" w:cs="Times New Roman"/>
          <w:color w:val="000000"/>
          <w:kern w:val="0"/>
          <w:sz w:val="24"/>
          <w:szCs w:val="24"/>
          <w:u w:val="single"/>
          <w14:ligatures w14:val="none"/>
        </w:rPr>
        <w:t xml:space="preserve">rating </w:t>
      </w:r>
      <w:r w:rsidRPr="006B4A66">
        <w:rPr>
          <w:rFonts w:ascii="Times New Roman" w:eastAsia="Times New Roman" w:hAnsi="Times New Roman" w:cs="Times New Roman"/>
          <w:color w:val="000000"/>
          <w:kern w:val="0"/>
          <w:sz w:val="24"/>
          <w:szCs w:val="24"/>
          <w:u w:val="single"/>
          <w14:ligatures w14:val="none"/>
        </w:rPr>
        <w:t>is higher,</w:t>
      </w:r>
      <w:r w:rsidRPr="006B4A66">
        <w:rPr>
          <w:rFonts w:ascii="Times New Roman" w:eastAsia="Times New Roman" w:hAnsi="Times New Roman" w:cs="Times New Roman"/>
          <w:color w:val="000000"/>
          <w:kern w:val="0"/>
          <w:sz w:val="24"/>
          <w:szCs w:val="24"/>
          <w14:ligatures w14:val="none"/>
        </w:rPr>
        <w:t xml:space="preserve"> and enclosed with two layers of 5/8 ((</w:t>
      </w:r>
      <w:r w:rsidRPr="006B4A66">
        <w:rPr>
          <w:rFonts w:ascii="Times New Roman" w:eastAsia="Times New Roman"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inch (16 millimeters)</w:t>
      </w:r>
      <w:r w:rsidRPr="006B4A66">
        <w:rPr>
          <w:rFonts w:ascii="Times New Roman" w:eastAsia="Times New Roman" w:hAnsi="Times New Roman" w:cs="Times New Roman"/>
          <w:color w:val="000000"/>
          <w:kern w:val="0"/>
          <w:sz w:val="24"/>
          <w:szCs w:val="24"/>
          <w14:ligatures w14:val="none"/>
        </w:rPr>
        <w:t xml:space="preserve"> type ((</w:t>
      </w:r>
      <w:r w:rsidRPr="006B4A66">
        <w:rPr>
          <w:rFonts w:ascii="Times New Roman" w:eastAsia="Times New Roman"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))X((</w:t>
      </w:r>
      <w:r w:rsidRPr="006B4A66">
        <w:rPr>
          <w:rFonts w:ascii="Times New Roman" w:eastAsia="Times New Roman"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GWB on the garage or carport side or any equivalent approved garage/dwelling separation assembly in conformance with International Residential Code Section R302.6.</w:t>
      </w:r>
    </w:p>
    <w:p w14:paraId="19FCFFEA" w14:textId="4412E8BD"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37.</w:t>
      </w:r>
      <w:r w:rsidRPr="006B4A66">
        <w:rPr>
          <w:rFonts w:ascii="Times New Roman" w:eastAsia="Times New Roman" w:hAnsi="Times New Roman" w:cs="Times New Roman"/>
          <w:color w:val="000000"/>
          <w:kern w:val="0"/>
          <w:sz w:val="24"/>
          <w:szCs w:val="24"/>
          <w14:ligatures w14:val="none"/>
        </w:rPr>
        <w:t xml:space="preserve">  Ordinance 12560, Section 98, as amended, and K.C.C. 16.04.860 are hereby amended to read as follows:</w:t>
      </w:r>
    </w:p>
    <w:p w14:paraId="19F27E44" w14:textId="2D3E0BBE"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lastRenderedPageBreak/>
        <w:tab/>
        <w:t xml:space="preserve">The International </w:t>
      </w:r>
      <w:r w:rsidR="004E742C">
        <w:rPr>
          <w:rFonts w:ascii="Times New Roman" w:eastAsia="Times New Roman" w:hAnsi="Times New Roman" w:cs="Times New Roman"/>
          <w:color w:val="000000"/>
          <w:kern w:val="0"/>
          <w:sz w:val="24"/>
          <w:szCs w:val="24"/>
          <w:u w:val="single"/>
          <w14:ligatures w14:val="none"/>
        </w:rPr>
        <w:t>Building</w:t>
      </w:r>
      <w:r w:rsidR="004E742C">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14:ligatures w14:val="none"/>
        </w:rPr>
        <w:t>Code is supplemented by the following appendix:</w:t>
      </w:r>
    </w:p>
    <w:p w14:paraId="06E2AA68" w14:textId="77777777" w:rsidR="006B4A66" w:rsidRPr="006B4A66" w:rsidRDefault="006B4A66" w:rsidP="0073496A">
      <w:pPr>
        <w:tabs>
          <w:tab w:val="left" w:pos="720"/>
        </w:tabs>
        <w:spacing w:after="0" w:line="480" w:lineRule="auto"/>
        <w:rPr>
          <w:rFonts w:ascii="Times New Roman" w:eastAsia="Times New Roman" w:hAnsi="Times New Roman" w:cs="Times New Roman"/>
          <w:b/>
          <w:bCs/>
          <w:color w:val="000000"/>
          <w:kern w:val="0"/>
          <w:sz w:val="24"/>
          <w:szCs w:val="24"/>
          <w14:ligatures w14:val="none"/>
        </w:rPr>
      </w:pPr>
      <w:r w:rsidRPr="006B4A66">
        <w:rPr>
          <w:rFonts w:ascii="Times New Roman" w:eastAsia="Times New Roman" w:hAnsi="Times New Roman" w:cs="Times New Roman"/>
          <w:b/>
          <w:bCs/>
          <w:color w:val="000000"/>
          <w:kern w:val="0"/>
          <w:sz w:val="24"/>
          <w:szCs w:val="24"/>
          <w14:ligatures w14:val="none"/>
        </w:rPr>
        <w:tab/>
        <w:t>Ventilation 35 dB compliance (IBC AZ 132).</w:t>
      </w:r>
    </w:p>
    <w:p w14:paraId="40B017FF"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b/>
          <w:bCs/>
          <w:color w:val="000000"/>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strike/>
          <w:color w:val="000000"/>
          <w:kern w:val="0"/>
          <w:sz w:val="24"/>
          <w:szCs w:val="24"/>
          <w14:ligatures w14:val="none"/>
        </w:rPr>
        <w:t>(a)</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A.</w:t>
      </w:r>
      <w:r w:rsidRPr="006B4A66">
        <w:rPr>
          <w:rFonts w:ascii="Times New Roman" w:eastAsia="Times New Roman" w:hAnsi="Times New Roman" w:cs="Times New Roman"/>
          <w:color w:val="000000"/>
          <w:kern w:val="0"/>
          <w:sz w:val="24"/>
          <w:szCs w:val="24"/>
          <w14:ligatures w14:val="none"/>
        </w:rPr>
        <w:t xml:space="preserve">  A ventilation system shall be installed that will provide the minimum air circulation and fresh air supply requirements for various uses in occupied rooms without the need to open any windows, doors</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 xml:space="preserve"> or other opening</w:t>
      </w:r>
      <w:r w:rsidRPr="006B4A66">
        <w:rPr>
          <w:rFonts w:ascii="Times New Roman" w:eastAsia="Times New Roman" w:hAnsi="Times New Roman" w:cs="Times New Roman"/>
          <w:color w:val="000000"/>
          <w:kern w:val="0"/>
          <w:sz w:val="24"/>
          <w:szCs w:val="24"/>
          <w:u w:val="single"/>
          <w14:ligatures w14:val="none"/>
        </w:rPr>
        <w:t>s</w:t>
      </w:r>
      <w:r w:rsidRPr="006B4A66">
        <w:rPr>
          <w:rFonts w:ascii="Times New Roman" w:eastAsia="Times New Roman" w:hAnsi="Times New Roman" w:cs="Times New Roman"/>
          <w:color w:val="000000"/>
          <w:kern w:val="0"/>
          <w:sz w:val="24"/>
          <w:szCs w:val="24"/>
          <w14:ligatures w14:val="none"/>
        </w:rPr>
        <w:t xml:space="preserve"> to the exterior.  The inlet and discharge openings shall be fitted with sheet metal transfer ducts of at least 26</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gauge steel, which shall be lined with 1 ((</w:t>
      </w:r>
      <w:r w:rsidRPr="006B4A66">
        <w:rPr>
          <w:rFonts w:ascii="Times New Roman" w:eastAsia="Symbol"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inch (25 millimeters)</w:t>
      </w:r>
      <w:r w:rsidRPr="006B4A66">
        <w:rPr>
          <w:rFonts w:ascii="Times New Roman" w:eastAsia="Times New Roman" w:hAnsi="Times New Roman" w:cs="Times New Roman"/>
          <w:color w:val="000000"/>
          <w:kern w:val="0"/>
          <w:sz w:val="24"/>
          <w:szCs w:val="24"/>
          <w14:ligatures w14:val="none"/>
        </w:rPr>
        <w:t xml:space="preserve"> thick coated glass fiber or insulated with R-11 sound-absorbing duct insulation, and shall be at least 10 feet </w:t>
      </w:r>
      <w:r w:rsidRPr="006B4A66">
        <w:rPr>
          <w:rFonts w:ascii="Times New Roman" w:eastAsia="Times New Roman" w:hAnsi="Times New Roman" w:cs="Times New Roman"/>
          <w:color w:val="000000"/>
          <w:kern w:val="0"/>
          <w:sz w:val="24"/>
          <w:szCs w:val="24"/>
          <w:u w:val="single"/>
          <w14:ligatures w14:val="none"/>
        </w:rPr>
        <w:t>(3,048 millimeters)</w:t>
      </w:r>
      <w:r w:rsidRPr="006B4A66">
        <w:rPr>
          <w:rFonts w:ascii="Times New Roman" w:eastAsia="Times New Roman" w:hAnsi="Times New Roman" w:cs="Times New Roman"/>
          <w:color w:val="000000"/>
          <w:kern w:val="0"/>
          <w:sz w:val="24"/>
          <w:szCs w:val="24"/>
          <w14:ligatures w14:val="none"/>
        </w:rPr>
        <w:t xml:space="preserve"> long with one 90</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degree bend.</w:t>
      </w:r>
    </w:p>
    <w:p w14:paraId="3E955EAA"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(b)</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B.</w:t>
      </w:r>
      <w:r w:rsidRPr="006B4A66">
        <w:rPr>
          <w:rFonts w:ascii="Times New Roman" w:eastAsia="Times New Roman" w:hAnsi="Times New Roman" w:cs="Times New Roman"/>
          <w:color w:val="000000"/>
          <w:kern w:val="0"/>
          <w:sz w:val="24"/>
          <w:szCs w:val="24"/>
          <w14:ligatures w14:val="none"/>
        </w:rPr>
        <w:t xml:space="preserve">  Gravity vent openings in attics shall be as close to minimum code in number and size, as practical.  The openings shall be fitted with transfer ducts at least 6 feet </w:t>
      </w:r>
      <w:r w:rsidRPr="006B4A66">
        <w:rPr>
          <w:rFonts w:ascii="Times New Roman" w:eastAsia="Times New Roman" w:hAnsi="Times New Roman" w:cs="Times New Roman"/>
          <w:color w:val="000000"/>
          <w:kern w:val="0"/>
          <w:sz w:val="24"/>
          <w:szCs w:val="24"/>
          <w:u w:val="single"/>
          <w14:ligatures w14:val="none"/>
        </w:rPr>
        <w:t>(1,829 millimeters)</w:t>
      </w:r>
      <w:r w:rsidRPr="006B4A66">
        <w:rPr>
          <w:rFonts w:ascii="Times New Roman" w:eastAsia="Times New Roman" w:hAnsi="Times New Roman" w:cs="Times New Roman"/>
          <w:color w:val="000000"/>
          <w:kern w:val="0"/>
          <w:sz w:val="24"/>
          <w:szCs w:val="24"/>
          <w14:ligatures w14:val="none"/>
        </w:rPr>
        <w:t xml:space="preserve"> in length containing internal 1 ((</w:t>
      </w:r>
      <w:r w:rsidRPr="006B4A66">
        <w:rPr>
          <w:rFonts w:ascii="Times New Roman" w:eastAsia="Times New Roman"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inch (25 millimeters)</w:t>
      </w:r>
      <w:r w:rsidRPr="006B4A66">
        <w:rPr>
          <w:rFonts w:ascii="Times New Roman" w:eastAsia="Times New Roman" w:hAnsi="Times New Roman" w:cs="Times New Roman"/>
          <w:color w:val="000000"/>
          <w:kern w:val="0"/>
          <w:sz w:val="24"/>
          <w:szCs w:val="24"/>
          <w14:ligatures w14:val="none"/>
        </w:rPr>
        <w:t xml:space="preserve"> thick coated fiberglass sound-absorbing duct lining or insulated with R-11 sound-absorbing duct insulation.  Each duct shall have a lined 90</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 xml:space="preserve">degree bend in the duct </w:t>
      </w:r>
      <w:r w:rsidRPr="006B4A66">
        <w:rPr>
          <w:rFonts w:ascii="Times New Roman" w:eastAsia="Times New Roman" w:hAnsi="Times New Roman" w:cs="Times New Roman"/>
          <w:color w:val="000000"/>
          <w:kern w:val="0"/>
          <w:sz w:val="24"/>
          <w:szCs w:val="24"/>
          <w:u w:val="single"/>
          <w14:ligatures w14:val="none"/>
        </w:rPr>
        <w:t>such</w:t>
      </w:r>
      <w:r w:rsidRPr="006B4A66">
        <w:rPr>
          <w:rFonts w:ascii="Times New Roman" w:eastAsia="Times New Roman" w:hAnsi="Times New Roman" w:cs="Times New Roman"/>
          <w:color w:val="000000"/>
          <w:kern w:val="0"/>
          <w:sz w:val="24"/>
          <w:szCs w:val="24"/>
          <w14:ligatures w14:val="none"/>
        </w:rPr>
        <w:t xml:space="preserve"> that there is no direct line-of-sight from the exterior through the duct into the attic.</w:t>
      </w:r>
    </w:p>
    <w:p w14:paraId="035D6F1C" w14:textId="196D55D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(c)</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C.</w:t>
      </w:r>
      <w:r w:rsidRPr="006B4A66">
        <w:rPr>
          <w:rFonts w:ascii="Times New Roman" w:eastAsia="Times New Roman" w:hAnsi="Times New Roman" w:cs="Times New Roman"/>
          <w:color w:val="000000"/>
          <w:kern w:val="0"/>
          <w:sz w:val="24"/>
          <w:szCs w:val="24"/>
          <w14:ligatures w14:val="none"/>
        </w:rPr>
        <w:t xml:space="preserve">  Bathroom, laundry, and similar exhaust ducts connecting the interior space to the outdoors, shall contain at least a 10-foot </w:t>
      </w:r>
      <w:r w:rsidRPr="006B4A66">
        <w:rPr>
          <w:rFonts w:ascii="Times New Roman" w:eastAsia="Times New Roman" w:hAnsi="Times New Roman" w:cs="Times New Roman"/>
          <w:color w:val="000000"/>
          <w:kern w:val="0"/>
          <w:sz w:val="24"/>
          <w:szCs w:val="24"/>
          <w:u w:val="single"/>
          <w14:ligatures w14:val="none"/>
        </w:rPr>
        <w:t>(3,048 millimeters)</w:t>
      </w:r>
      <w:r w:rsidRPr="006B4A66">
        <w:rPr>
          <w:rFonts w:ascii="Times New Roman" w:eastAsia="Times New Roman" w:hAnsi="Times New Roman" w:cs="Times New Roman"/>
          <w:color w:val="000000"/>
          <w:kern w:val="0"/>
          <w:sz w:val="24"/>
          <w:szCs w:val="24"/>
          <w14:ligatures w14:val="none"/>
        </w:rPr>
        <w:t xml:space="preserve"> length of internal sound-absorbing duct lining or insulated with R-11 sound-absorbing duct insulation.  Exhaust ducts less than 10 feet </w:t>
      </w:r>
      <w:r w:rsidRPr="006B4A66">
        <w:rPr>
          <w:rFonts w:ascii="Times New Roman" w:eastAsia="Times New Roman" w:hAnsi="Times New Roman" w:cs="Times New Roman"/>
          <w:color w:val="000000"/>
          <w:kern w:val="0"/>
          <w:sz w:val="24"/>
          <w:szCs w:val="24"/>
          <w:u w:val="single"/>
          <w14:ligatures w14:val="none"/>
        </w:rPr>
        <w:t>(3,048 millimeters)</w:t>
      </w:r>
      <w:r w:rsidRPr="006B4A66">
        <w:rPr>
          <w:rFonts w:ascii="Times New Roman" w:eastAsia="Times New Roman" w:hAnsi="Times New Roman" w:cs="Times New Roman"/>
          <w:color w:val="000000"/>
          <w:kern w:val="0"/>
          <w:sz w:val="24"/>
          <w:szCs w:val="24"/>
          <w14:ligatures w14:val="none"/>
        </w:rPr>
        <w:t xml:space="preserve"> in length shall be fully lined and shall also meet the provisions of AZ 109</w:t>
      </w:r>
      <w:r w:rsidR="00131230">
        <w:rPr>
          <w:rFonts w:ascii="Times New Roman" w:eastAsia="Times New Roman" w:hAnsi="Times New Roman" w:cs="Times New Roman"/>
          <w:color w:val="000000"/>
          <w:kern w:val="0"/>
          <w:sz w:val="24"/>
          <w:szCs w:val="24"/>
          <w14:ligatures w14:val="none"/>
        </w:rPr>
        <w:t>((</w:t>
      </w:r>
      <w:r w:rsidRPr="001216D4">
        <w:rPr>
          <w:rFonts w:ascii="Times New Roman" w:eastAsia="Times New Roman" w:hAnsi="Times New Roman" w:cs="Times New Roman"/>
          <w:strike/>
          <w:color w:val="000000"/>
          <w:kern w:val="0"/>
          <w:sz w:val="24"/>
          <w:szCs w:val="24"/>
          <w14:ligatures w14:val="none"/>
        </w:rPr>
        <w:t>(c)</w:t>
      </w:r>
      <w:r w:rsidR="00131230">
        <w:rPr>
          <w:rFonts w:ascii="Times New Roman" w:eastAsia="Times New Roman" w:hAnsi="Times New Roman" w:cs="Times New Roman"/>
          <w:color w:val="000000"/>
          <w:kern w:val="0"/>
          <w:sz w:val="24"/>
          <w:szCs w:val="24"/>
          <w14:ligatures w14:val="none"/>
        </w:rPr>
        <w:t>))</w:t>
      </w:r>
      <w:r w:rsidR="00131230">
        <w:rPr>
          <w:rFonts w:ascii="Times New Roman" w:eastAsia="Times New Roman" w:hAnsi="Times New Roman" w:cs="Times New Roman"/>
          <w:color w:val="000000"/>
          <w:kern w:val="0"/>
          <w:sz w:val="24"/>
          <w:szCs w:val="24"/>
          <w:u w:val="single"/>
          <w14:ligatures w14:val="none"/>
        </w:rPr>
        <w:t>.C</w:t>
      </w:r>
      <w:r w:rsidRPr="006B4A66">
        <w:rPr>
          <w:rFonts w:ascii="Times New Roman" w:eastAsia="Times New Roman" w:hAnsi="Times New Roman" w:cs="Times New Roman"/>
          <w:color w:val="000000"/>
          <w:kern w:val="0"/>
          <w:sz w:val="24"/>
          <w:szCs w:val="24"/>
          <w14:ligatures w14:val="none"/>
        </w:rPr>
        <w:t>.  Each duct shall be provided with a lined 90</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degree bend in the duct such that there is no direct line-of-sight through the duct from the venting cross-section to the room-opening cross-section.  Duct lining shall be coated glass fiber duct liner at least 1 ((</w:t>
      </w:r>
      <w:r w:rsidRPr="006B4A66">
        <w:rPr>
          <w:rFonts w:ascii="Times New Roman" w:eastAsia="Times New Roman"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inch (25 millimeters)</w:t>
      </w:r>
      <w:r w:rsidRPr="006B4A66">
        <w:rPr>
          <w:rFonts w:ascii="Times New Roman" w:eastAsia="Times New Roman" w:hAnsi="Times New Roman" w:cs="Times New Roman"/>
          <w:color w:val="000000"/>
          <w:kern w:val="0"/>
          <w:sz w:val="24"/>
          <w:szCs w:val="24"/>
          <w14:ligatures w14:val="none"/>
        </w:rPr>
        <w:t xml:space="preserve"> thick or R-11 </w:t>
      </w:r>
      <w:r w:rsidRPr="006B4A66">
        <w:rPr>
          <w:rFonts w:ascii="Times New Roman" w:eastAsia="Times New Roman" w:hAnsi="Times New Roman" w:cs="Times New Roman"/>
          <w:color w:val="000000"/>
          <w:kern w:val="0"/>
          <w:sz w:val="24"/>
          <w:szCs w:val="24"/>
          <w14:ligatures w14:val="none"/>
        </w:rPr>
        <w:lastRenderedPageBreak/>
        <w:t xml:space="preserve">sound-absorbing duct insulation.  In areas such as shower rooms which produce moisture, duct lining shall be made of non-absorbent material.  Commercial kitchen exhaust systems and product conveying duct systems </w:t>
      </w:r>
      <w:r w:rsidR="00A7637F">
        <w:rPr>
          <w:rFonts w:ascii="Times New Roman" w:eastAsia="Times New Roman" w:hAnsi="Times New Roman" w:cs="Times New Roman"/>
          <w:color w:val="000000"/>
          <w:kern w:val="0"/>
          <w:sz w:val="24"/>
          <w:szCs w:val="24"/>
          <w14:ligatures w14:val="none"/>
        </w:rPr>
        <w:t>((</w:t>
      </w:r>
      <w:r w:rsidRPr="001216D4">
        <w:rPr>
          <w:rFonts w:ascii="Times New Roman" w:eastAsia="Times New Roman" w:hAnsi="Times New Roman" w:cs="Times New Roman"/>
          <w:strike/>
          <w:color w:val="000000"/>
          <w:kern w:val="0"/>
          <w:sz w:val="24"/>
          <w:szCs w:val="24"/>
          <w14:ligatures w14:val="none"/>
        </w:rPr>
        <w:t>(Chapter 51)</w:t>
      </w:r>
      <w:r w:rsidR="00A7637F">
        <w:rPr>
          <w:rFonts w:ascii="Times New Roman" w:eastAsia="Times New Roman" w:hAnsi="Times New Roman" w:cs="Times New Roman"/>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xml:space="preserve"> shall be exempt.</w:t>
      </w:r>
    </w:p>
    <w:p w14:paraId="327C465C"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(d)</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D.</w:t>
      </w:r>
      <w:r w:rsidRPr="006B4A66">
        <w:rPr>
          <w:rFonts w:ascii="Times New Roman" w:eastAsia="Times New Roman" w:hAnsi="Times New Roman" w:cs="Times New Roman"/>
          <w:color w:val="000000"/>
          <w:kern w:val="0"/>
          <w:sz w:val="24"/>
          <w:szCs w:val="24"/>
          <w14:ligatures w14:val="none"/>
        </w:rPr>
        <w:t xml:space="preserve">  Domestic range exhaust ducts connecting the interior space to the outdoors shall contain a self-closing baffle plate across the exterior termination which allows proper ventilation.  The duct shall be provided with a 90</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degree bend.</w:t>
      </w:r>
    </w:p>
    <w:p w14:paraId="64A4124F" w14:textId="14CBAF0A" w:rsidR="006B4A66" w:rsidRPr="006B4A66" w:rsidRDefault="006B4A66" w:rsidP="0073496A">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jc w:val="both"/>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NEW SECTION.  SECTION 38.</w:t>
      </w:r>
      <w:r w:rsidRPr="006B4A66">
        <w:rPr>
          <w:rFonts w:ascii="Times New Roman" w:eastAsia="Times New Roman" w:hAnsi="Times New Roman" w:cs="Times New Roman"/>
          <w:color w:val="000000"/>
          <w:kern w:val="0"/>
          <w:sz w:val="24"/>
          <w:szCs w:val="24"/>
          <w14:ligatures w14:val="none"/>
        </w:rPr>
        <w:t>There is hereby added to K.C.C. chapter 16.04 a new section to read as follows:</w:t>
      </w:r>
    </w:p>
    <w:p w14:paraId="333B5BF3" w14:textId="01C6EE54"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Chapter 9  of the International Existing Building Code is supplemented with the following:</w:t>
      </w:r>
    </w:p>
    <w:p w14:paraId="07434CC0" w14:textId="72D6E18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1216D4">
        <w:rPr>
          <w:rFonts w:ascii="Times New Roman" w:eastAsia="Times New Roman" w:hAnsi="Times New Roman" w:cs="Times New Roman"/>
          <w:b/>
          <w:color w:val="000000"/>
          <w:kern w:val="0"/>
          <w:sz w:val="24"/>
          <w:szCs w:val="24"/>
          <w14:ligatures w14:val="none"/>
        </w:rPr>
        <w:t>Electric vehicle charging infrastructure</w:t>
      </w:r>
      <w:r w:rsidR="00E45FF7" w:rsidRPr="001216D4">
        <w:rPr>
          <w:rFonts w:ascii="Times New Roman" w:eastAsia="Times New Roman" w:hAnsi="Times New Roman" w:cs="Times New Roman"/>
          <w:b/>
          <w:color w:val="000000"/>
          <w:kern w:val="0"/>
          <w:sz w:val="24"/>
          <w:szCs w:val="24"/>
          <w14:ligatures w14:val="none"/>
        </w:rPr>
        <w:t xml:space="preserve"> (</w:t>
      </w:r>
      <w:r w:rsidR="00E45FF7" w:rsidRPr="001216D4">
        <w:rPr>
          <w:rFonts w:ascii="Times New Roman" w:eastAsia="Times New Roman" w:hAnsi="Times New Roman" w:cs="Times New Roman"/>
          <w:b/>
          <w:bCs/>
          <w:color w:val="000000"/>
          <w:kern w:val="0"/>
          <w:sz w:val="24"/>
          <w:szCs w:val="24"/>
          <w14:ligatures w14:val="none"/>
        </w:rPr>
        <w:t>I</w:t>
      </w:r>
      <w:r w:rsidR="007168D8" w:rsidRPr="001216D4">
        <w:rPr>
          <w:rFonts w:ascii="Times New Roman" w:eastAsia="Times New Roman" w:hAnsi="Times New Roman" w:cs="Times New Roman"/>
          <w:b/>
          <w:bCs/>
          <w:color w:val="000000"/>
          <w:kern w:val="0"/>
          <w:sz w:val="24"/>
          <w:szCs w:val="24"/>
          <w14:ligatures w14:val="none"/>
        </w:rPr>
        <w:t>E</w:t>
      </w:r>
      <w:r w:rsidR="000272DF" w:rsidRPr="001216D4">
        <w:rPr>
          <w:rFonts w:ascii="Times New Roman" w:eastAsia="Times New Roman" w:hAnsi="Times New Roman" w:cs="Times New Roman"/>
          <w:b/>
          <w:bCs/>
          <w:color w:val="000000"/>
          <w:kern w:val="0"/>
          <w:sz w:val="24"/>
          <w:szCs w:val="24"/>
          <w14:ligatures w14:val="none"/>
        </w:rPr>
        <w:t>BC 908.1)</w:t>
      </w:r>
      <w:r w:rsidRPr="006B4A66">
        <w:rPr>
          <w:rFonts w:ascii="Times New Roman" w:eastAsia="Times New Roman" w:hAnsi="Times New Roman" w:cs="Times New Roman"/>
          <w:color w:val="000000"/>
          <w:kern w:val="0"/>
          <w:sz w:val="24"/>
          <w:szCs w:val="24"/>
          <w14:ligatures w14:val="none"/>
        </w:rPr>
        <w:t xml:space="preserve">.  </w:t>
      </w:r>
      <w:r w:rsidR="005B2C67">
        <w:rPr>
          <w:rFonts w:ascii="Times New Roman" w:eastAsia="Times New Roman" w:hAnsi="Times New Roman" w:cs="Times New Roman"/>
          <w:color w:val="000000"/>
          <w:kern w:val="0"/>
          <w:sz w:val="24"/>
          <w:szCs w:val="24"/>
          <w14:ligatures w14:val="none"/>
        </w:rPr>
        <w:t xml:space="preserve">Only when the </w:t>
      </w:r>
      <w:r w:rsidR="005F2583">
        <w:rPr>
          <w:rFonts w:ascii="Times New Roman" w:eastAsia="Times New Roman" w:hAnsi="Times New Roman" w:cs="Times New Roman"/>
          <w:color w:val="000000"/>
          <w:kern w:val="0"/>
          <w:sz w:val="24"/>
          <w:szCs w:val="24"/>
          <w14:ligatures w14:val="none"/>
        </w:rPr>
        <w:t>work meets or exceeds the threshold of either substantial improvement or substantial damage, e</w:t>
      </w:r>
      <w:r w:rsidRPr="006B4A66">
        <w:rPr>
          <w:rFonts w:ascii="Times New Roman" w:eastAsia="Times New Roman" w:hAnsi="Times New Roman" w:cs="Times New Roman"/>
          <w:color w:val="000000"/>
          <w:kern w:val="0"/>
          <w:sz w:val="24"/>
          <w:szCs w:val="24"/>
          <w14:ligatures w14:val="none"/>
        </w:rPr>
        <w:t xml:space="preserve">lectric vehicle charging infrastructure shall be provided in accordance with </w:t>
      </w:r>
      <w:r w:rsidR="005275DD">
        <w:rPr>
          <w:rFonts w:ascii="Times New Roman" w:eastAsia="Times New Roman" w:hAnsi="Times New Roman" w:cs="Times New Roman"/>
          <w:color w:val="000000"/>
          <w:kern w:val="0"/>
          <w:sz w:val="24"/>
          <w:szCs w:val="24"/>
          <w14:ligatures w14:val="none"/>
        </w:rPr>
        <w:t xml:space="preserve">IBC </w:t>
      </w:r>
      <w:r w:rsidRPr="006B4A66">
        <w:rPr>
          <w:rFonts w:ascii="Times New Roman" w:eastAsia="Times New Roman" w:hAnsi="Times New Roman" w:cs="Times New Roman"/>
          <w:color w:val="000000"/>
          <w:kern w:val="0"/>
          <w:sz w:val="24"/>
          <w:szCs w:val="24"/>
          <w14:ligatures w14:val="none"/>
        </w:rPr>
        <w:t>Section 429 as required for new construction.</w:t>
      </w:r>
    </w:p>
    <w:p w14:paraId="3BE42290" w14:textId="6506C68E"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39.</w:t>
      </w:r>
      <w:r w:rsidRPr="006B4A66">
        <w:rPr>
          <w:rFonts w:ascii="Times New Roman" w:eastAsia="Times New Roman" w:hAnsi="Times New Roman" w:cs="Times New Roman"/>
          <w:color w:val="000000"/>
          <w:kern w:val="0"/>
          <w:sz w:val="24"/>
          <w:szCs w:val="24"/>
          <w14:ligatures w14:val="none"/>
        </w:rPr>
        <w:t xml:space="preserve">  Ordinance 14914, Section 272, as amended, and K.C.C. 16.05.040 are hereby amended to read as follows:</w:t>
      </w:r>
    </w:p>
    <w:p w14:paraId="3A0ECCB9"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Table R301.2(1) of the International Residential Code is not adopted and the following is substituted:</w:t>
      </w:r>
    </w:p>
    <w:p w14:paraId="64D0A9F3"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Table R301.2(1)</w:t>
      </w:r>
    </w:p>
    <w:p w14:paraId="3414B9D4"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CLIMATIC AND GEOGRAPHIC DESIGN CRITERIA FOR KING COUNTY</w:t>
      </w:r>
    </w:p>
    <w:tbl>
      <w:tblPr>
        <w:tblW w:w="8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7"/>
        <w:gridCol w:w="629"/>
        <w:gridCol w:w="723"/>
        <w:gridCol w:w="727"/>
        <w:gridCol w:w="727"/>
        <w:gridCol w:w="795"/>
        <w:gridCol w:w="664"/>
        <w:gridCol w:w="776"/>
        <w:gridCol w:w="630"/>
        <w:gridCol w:w="720"/>
        <w:gridCol w:w="810"/>
        <w:gridCol w:w="702"/>
      </w:tblGrid>
      <w:tr w:rsidR="006B4A66" w:rsidRPr="006B4A66" w14:paraId="4DA0B90C" w14:textId="77777777">
        <w:tc>
          <w:tcPr>
            <w:tcW w:w="8730" w:type="dxa"/>
            <w:gridSpan w:val="12"/>
          </w:tcPr>
          <w:p w14:paraId="1A29B8BC" w14:textId="77777777" w:rsidR="006B4A66" w:rsidRPr="006B4A66" w:rsidRDefault="006B4A66" w:rsidP="0073496A">
            <w:pPr>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Subject to damage from</w:t>
            </w:r>
          </w:p>
        </w:tc>
      </w:tr>
      <w:tr w:rsidR="006B4A66" w:rsidRPr="006B4A66" w14:paraId="37E8C339" w14:textId="77777777">
        <w:tc>
          <w:tcPr>
            <w:tcW w:w="827" w:type="dxa"/>
          </w:tcPr>
          <w:p w14:paraId="29E7D66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Ground snow load</w:t>
            </w:r>
          </w:p>
        </w:tc>
        <w:tc>
          <w:tcPr>
            <w:tcW w:w="629" w:type="dxa"/>
          </w:tcPr>
          <w:p w14:paraId="3E190D7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Wind speed (mph)</w:t>
            </w:r>
          </w:p>
        </w:tc>
        <w:tc>
          <w:tcPr>
            <w:tcW w:w="723" w:type="dxa"/>
          </w:tcPr>
          <w:p w14:paraId="6226D5E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Seismic design category</w:t>
            </w:r>
          </w:p>
        </w:tc>
        <w:tc>
          <w:tcPr>
            <w:tcW w:w="727" w:type="dxa"/>
          </w:tcPr>
          <w:p w14:paraId="06E94E9F"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Weathering</w:t>
            </w:r>
          </w:p>
        </w:tc>
        <w:tc>
          <w:tcPr>
            <w:tcW w:w="727" w:type="dxa"/>
          </w:tcPr>
          <w:p w14:paraId="3F79F0B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Frost line depth</w:t>
            </w:r>
          </w:p>
        </w:tc>
        <w:tc>
          <w:tcPr>
            <w:tcW w:w="795" w:type="dxa"/>
          </w:tcPr>
          <w:p w14:paraId="44149D35"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Termite</w:t>
            </w:r>
          </w:p>
        </w:tc>
        <w:tc>
          <w:tcPr>
            <w:tcW w:w="664" w:type="dxa"/>
          </w:tcPr>
          <w:p w14:paraId="65DFD65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Decay</w:t>
            </w:r>
          </w:p>
        </w:tc>
        <w:tc>
          <w:tcPr>
            <w:tcW w:w="776" w:type="dxa"/>
          </w:tcPr>
          <w:p w14:paraId="572EAA82"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Winter design temp.</w:t>
            </w:r>
          </w:p>
        </w:tc>
        <w:tc>
          <w:tcPr>
            <w:tcW w:w="630" w:type="dxa"/>
          </w:tcPr>
          <w:p w14:paraId="34503470"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Ice-shield required</w:t>
            </w:r>
          </w:p>
        </w:tc>
        <w:tc>
          <w:tcPr>
            <w:tcW w:w="720" w:type="dxa"/>
          </w:tcPr>
          <w:p w14:paraId="03F8862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Flood hazards</w:t>
            </w:r>
          </w:p>
        </w:tc>
        <w:tc>
          <w:tcPr>
            <w:tcW w:w="810" w:type="dxa"/>
          </w:tcPr>
          <w:p w14:paraId="703F5B5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Air freezing index</w:t>
            </w:r>
          </w:p>
        </w:tc>
        <w:tc>
          <w:tcPr>
            <w:tcW w:w="702" w:type="dxa"/>
          </w:tcPr>
          <w:p w14:paraId="49A0C66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Mean annual temp.</w:t>
            </w:r>
          </w:p>
        </w:tc>
      </w:tr>
      <w:tr w:rsidR="006B4A66" w:rsidRPr="006B4A66" w14:paraId="39773CB7" w14:textId="77777777">
        <w:tc>
          <w:tcPr>
            <w:tcW w:w="827" w:type="dxa"/>
          </w:tcPr>
          <w:p w14:paraId="77963F11"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Varies1</w:t>
            </w:r>
          </w:p>
        </w:tc>
        <w:tc>
          <w:tcPr>
            <w:tcW w:w="629" w:type="dxa"/>
          </w:tcPr>
          <w:p w14:paraId="59FE557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110</w:t>
            </w:r>
          </w:p>
        </w:tc>
        <w:tc>
          <w:tcPr>
            <w:tcW w:w="723" w:type="dxa"/>
          </w:tcPr>
          <w:p w14:paraId="0D211ABC" w14:textId="094C55A8" w:rsidR="006B4A66" w:rsidRPr="006B4A66" w:rsidRDefault="00B35589" w:rsidP="0073496A">
            <w:pPr>
              <w:spacing w:after="0" w:line="480" w:lineRule="auto"/>
              <w:rPr>
                <w:rFonts w:ascii="Times New Roman" w:eastAsia="Calibri" w:hAnsi="Times New Roman" w:cs="Times New Roman"/>
                <w:color w:val="000000"/>
                <w:kern w:val="0"/>
                <w:sz w:val="24"/>
                <w14:ligatures w14:val="none"/>
              </w:rPr>
            </w:pPr>
            <w:r>
              <w:rPr>
                <w:rFonts w:ascii="Times New Roman" w:eastAsia="Calibri" w:hAnsi="Times New Roman" w:cs="Times New Roman"/>
                <w:color w:val="000000"/>
                <w:kern w:val="0"/>
                <w:sz w:val="24"/>
                <w:u w:val="single"/>
                <w14:ligatures w14:val="none"/>
              </w:rPr>
              <w:t>D0,</w:t>
            </w:r>
            <w:r w:rsidR="006B4A66" w:rsidRPr="006B4A66">
              <w:rPr>
                <w:rFonts w:ascii="Times New Roman" w:eastAsia="Calibri" w:hAnsi="Times New Roman" w:cs="Times New Roman"/>
                <w:color w:val="000000"/>
                <w:kern w:val="0"/>
                <w:sz w:val="24"/>
                <w14:ligatures w14:val="none"/>
              </w:rPr>
              <w:t xml:space="preserve">D1  </w:t>
            </w:r>
            <w:r w:rsidR="00E50519">
              <w:rPr>
                <w:rFonts w:ascii="Times New Roman" w:eastAsia="Calibri" w:hAnsi="Times New Roman" w:cs="Times New Roman"/>
                <w:color w:val="000000"/>
                <w:kern w:val="0"/>
                <w:sz w:val="24"/>
                <w14:ligatures w14:val="none"/>
              </w:rPr>
              <w:t>((</w:t>
            </w:r>
            <w:r w:rsidR="006B4A66" w:rsidRPr="001216D4">
              <w:rPr>
                <w:rFonts w:ascii="Times New Roman" w:eastAsia="Calibri" w:hAnsi="Times New Roman" w:cs="Times New Roman"/>
                <w:strike/>
                <w:color w:val="000000"/>
                <w:kern w:val="0"/>
                <w:sz w:val="24"/>
                <w14:ligatures w14:val="none"/>
              </w:rPr>
              <w:t>or</w:t>
            </w:r>
            <w:r w:rsidR="00E50519">
              <w:rPr>
                <w:rFonts w:ascii="Times New Roman" w:eastAsia="Calibri" w:hAnsi="Times New Roman" w:cs="Times New Roman"/>
                <w:color w:val="000000"/>
                <w:kern w:val="0"/>
                <w:sz w:val="24"/>
                <w14:ligatures w14:val="none"/>
              </w:rPr>
              <w:t>))</w:t>
            </w:r>
            <w:r w:rsidR="006B4A66" w:rsidRPr="006B4A66">
              <w:rPr>
                <w:rFonts w:ascii="Times New Roman" w:eastAsia="Calibri" w:hAnsi="Times New Roman" w:cs="Times New Roman"/>
                <w:color w:val="000000"/>
                <w:kern w:val="0"/>
                <w:sz w:val="24"/>
                <w14:ligatures w14:val="none"/>
              </w:rPr>
              <w:t xml:space="preserve"> D2</w:t>
            </w:r>
            <w:r w:rsidR="00C1584C">
              <w:rPr>
                <w:rFonts w:ascii="Times New Roman" w:eastAsia="Calibri" w:hAnsi="Times New Roman" w:cs="Times New Roman"/>
                <w:color w:val="000000"/>
                <w:kern w:val="0"/>
                <w:sz w:val="24"/>
                <w:u w:val="single"/>
                <w14:ligatures w14:val="none"/>
              </w:rPr>
              <w:t>, or E</w:t>
            </w:r>
            <w:r w:rsidR="006B4A66" w:rsidRPr="006B4A66">
              <w:rPr>
                <w:rFonts w:ascii="Times New Roman" w:eastAsia="Calibri" w:hAnsi="Times New Roman" w:cs="Times New Roman"/>
                <w:color w:val="000000"/>
                <w:kern w:val="0"/>
                <w:sz w:val="24"/>
                <w:vertAlign w:val="superscript"/>
                <w14:ligatures w14:val="none"/>
              </w:rPr>
              <w:t>2</w:t>
            </w:r>
          </w:p>
        </w:tc>
        <w:tc>
          <w:tcPr>
            <w:tcW w:w="727" w:type="dxa"/>
          </w:tcPr>
          <w:p w14:paraId="4A0B5EB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Moderate</w:t>
            </w:r>
          </w:p>
        </w:tc>
        <w:tc>
          <w:tcPr>
            <w:tcW w:w="727" w:type="dxa"/>
          </w:tcPr>
          <w:p w14:paraId="313E343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12" &lt; 1,000 ft elev.</w:t>
            </w:r>
            <w:r w:rsidRPr="006B4A66">
              <w:rPr>
                <w:rFonts w:ascii="Times New Roman" w:eastAsia="Calibri" w:hAnsi="Times New Roman" w:cs="Times New Roman"/>
                <w:color w:val="000000"/>
                <w:kern w:val="0"/>
                <w:sz w:val="24"/>
                <w:vertAlign w:val="superscript"/>
                <w14:ligatures w14:val="none"/>
              </w:rPr>
              <w:t>3</w:t>
            </w:r>
          </w:p>
        </w:tc>
        <w:tc>
          <w:tcPr>
            <w:tcW w:w="795" w:type="dxa"/>
          </w:tcPr>
          <w:p w14:paraId="3A667E6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Slight to Mod.</w:t>
            </w:r>
          </w:p>
        </w:tc>
        <w:tc>
          <w:tcPr>
            <w:tcW w:w="664" w:type="dxa"/>
          </w:tcPr>
          <w:p w14:paraId="090CB78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Slight to Mod.</w:t>
            </w:r>
          </w:p>
        </w:tc>
        <w:tc>
          <w:tcPr>
            <w:tcW w:w="776" w:type="dxa"/>
          </w:tcPr>
          <w:p w14:paraId="47EA462F"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25</w:t>
            </w:r>
          </w:p>
        </w:tc>
        <w:tc>
          <w:tcPr>
            <w:tcW w:w="630" w:type="dxa"/>
          </w:tcPr>
          <w:p w14:paraId="01934821"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No</w:t>
            </w:r>
          </w:p>
        </w:tc>
        <w:tc>
          <w:tcPr>
            <w:tcW w:w="720" w:type="dxa"/>
          </w:tcPr>
          <w:p w14:paraId="0A42BF4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Varies</w:t>
            </w:r>
            <w:r w:rsidRPr="006B4A66">
              <w:rPr>
                <w:rFonts w:ascii="Times New Roman" w:eastAsia="Calibri" w:hAnsi="Times New Roman" w:cs="Times New Roman"/>
                <w:color w:val="000000"/>
                <w:kern w:val="0"/>
                <w:sz w:val="24"/>
                <w:vertAlign w:val="superscript"/>
                <w14:ligatures w14:val="none"/>
              </w:rPr>
              <w:t>4</w:t>
            </w:r>
          </w:p>
        </w:tc>
        <w:tc>
          <w:tcPr>
            <w:tcW w:w="810" w:type="dxa"/>
          </w:tcPr>
          <w:p w14:paraId="3DB1D859"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100 to 250</w:t>
            </w:r>
          </w:p>
        </w:tc>
        <w:tc>
          <w:tcPr>
            <w:tcW w:w="702" w:type="dxa"/>
          </w:tcPr>
          <w:p w14:paraId="6AC59879"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50</w:t>
            </w:r>
          </w:p>
        </w:tc>
      </w:tr>
    </w:tbl>
    <w:p w14:paraId="2E60FB8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Footnotes:</w:t>
      </w:r>
    </w:p>
    <w:p w14:paraId="599ECCC6" w14:textId="1190884A"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Snow loads shall be determined in accordance with King County public rules. The minimum roof design snow load shall be 25 pounds per square ((</w:t>
      </w:r>
      <w:r w:rsidRPr="006B4A66">
        <w:rPr>
          <w:rFonts w:ascii="Times New Roman" w:eastAsia="Calibri" w:hAnsi="Times New Roman" w:cs="Times New Roman"/>
          <w:strike/>
          <w:color w:val="000000"/>
          <w:kern w:val="0"/>
          <w:sz w:val="24"/>
          <w14:ligatures w14:val="none"/>
        </w:rPr>
        <w:t>feet</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foot</w:t>
      </w:r>
      <w:r w:rsidRPr="006B4A66">
        <w:rPr>
          <w:rFonts w:ascii="Times New Roman" w:eastAsia="Calibri" w:hAnsi="Times New Roman" w:cs="Times New Roman"/>
          <w:color w:val="000000"/>
          <w:kern w:val="0"/>
          <w:sz w:val="24"/>
          <w14:ligatures w14:val="none"/>
        </w:rPr>
        <w:t>.</w:t>
      </w:r>
    </w:p>
    <w:p w14:paraId="3C22BA7F" w14:textId="21295149"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2.  </w:t>
      </w:r>
      <w:r w:rsidR="002470FB">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Seismic design category shall be D1 for areas of unincorporated King County to the east of the Snoqualmie River as it traverses from the King County-Snohomish County line to the city limits of Snoqualmie, east of the city of Snoqualmie, east of the Snoqualmie Parkway and the Echo Lake-Snoqualmie Cut-off SE as they run from the city limits of the city of Snoqualmie to State Route 18 and to the south or east of State Route 18.  All other portions of unincorporated King County shall be</w:t>
      </w:r>
      <w:r w:rsidR="004D1EB2">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w:t>
      </w:r>
      <w:r w:rsidR="004D1EB2">
        <w:rPr>
          <w:rFonts w:ascii="Times New Roman" w:eastAsia="Calibri" w:hAnsi="Times New Roman" w:cs="Times New Roman"/>
          <w:color w:val="000000"/>
          <w:kern w:val="0"/>
          <w:sz w:val="24"/>
          <w:u w:val="single"/>
          <w14:ligatures w14:val="none"/>
        </w:rPr>
        <w:t>Buildings shall be assigned a</w:t>
      </w:r>
      <w:r w:rsidR="004D1EB2" w:rsidRPr="00A85D2E">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14:ligatures w14:val="none"/>
        </w:rPr>
        <w:t xml:space="preserve">seismic design category </w:t>
      </w:r>
      <w:r w:rsidR="00C71904">
        <w:rPr>
          <w:rFonts w:ascii="Times New Roman" w:eastAsia="Calibri" w:hAnsi="Times New Roman" w:cs="Times New Roman"/>
          <w:color w:val="000000"/>
          <w:kern w:val="0"/>
          <w:sz w:val="24"/>
          <w:u w:val="single"/>
          <w14:ligatures w14:val="none"/>
        </w:rPr>
        <w:t>((</w:t>
      </w:r>
      <w:r w:rsidRPr="001216D4">
        <w:rPr>
          <w:rFonts w:ascii="Times New Roman" w:eastAsia="Calibri" w:hAnsi="Times New Roman" w:cs="Times New Roman"/>
          <w:strike/>
          <w:color w:val="000000"/>
          <w:kern w:val="0"/>
          <w:sz w:val="24"/>
          <w14:ligatures w14:val="none"/>
        </w:rPr>
        <w:t>D2</w:t>
      </w:r>
      <w:r w:rsidR="00C71904">
        <w:rPr>
          <w:rFonts w:ascii="Times New Roman" w:eastAsia="Calibri" w:hAnsi="Times New Roman" w:cs="Times New Roman"/>
          <w:color w:val="000000"/>
          <w:kern w:val="0"/>
          <w:sz w:val="24"/>
          <w14:ligatures w14:val="none"/>
        </w:rPr>
        <w:t xml:space="preserve">)) </w:t>
      </w:r>
      <w:r w:rsidR="00C71904">
        <w:rPr>
          <w:rFonts w:ascii="Times New Roman" w:eastAsia="Calibri" w:hAnsi="Times New Roman" w:cs="Times New Roman"/>
          <w:color w:val="000000"/>
          <w:kern w:val="0"/>
          <w:sz w:val="24"/>
          <w:u w:val="single"/>
          <w14:ligatures w14:val="none"/>
        </w:rPr>
        <w:t xml:space="preserve">in </w:t>
      </w:r>
      <w:r w:rsidR="00A6107F">
        <w:rPr>
          <w:rFonts w:ascii="Times New Roman" w:eastAsia="Calibri" w:hAnsi="Times New Roman" w:cs="Times New Roman"/>
          <w:color w:val="000000"/>
          <w:kern w:val="0"/>
          <w:sz w:val="24"/>
          <w:u w:val="single"/>
          <w14:ligatures w14:val="none"/>
        </w:rPr>
        <w:t xml:space="preserve">accordance with 2021 IRC </w:t>
      </w:r>
      <w:r w:rsidR="002F34B5">
        <w:rPr>
          <w:rFonts w:ascii="Times New Roman" w:eastAsia="Calibri" w:hAnsi="Times New Roman" w:cs="Times New Roman"/>
          <w:color w:val="000000"/>
          <w:kern w:val="0"/>
          <w:sz w:val="24"/>
          <w:u w:val="single"/>
          <w14:ligatures w14:val="none"/>
        </w:rPr>
        <w:t>Figures R301.2.2.1(1) through R301.2.2.1(6)</w:t>
      </w:r>
      <w:r w:rsidRPr="006B4A66">
        <w:rPr>
          <w:rFonts w:ascii="Times New Roman" w:eastAsia="Calibri" w:hAnsi="Times New Roman" w:cs="Times New Roman"/>
          <w:color w:val="000000"/>
          <w:kern w:val="0"/>
          <w:sz w:val="24"/>
          <w14:ligatures w14:val="none"/>
        </w:rPr>
        <w:t>.</w:t>
      </w:r>
    </w:p>
    <w:p w14:paraId="1B596990" w14:textId="0864A54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3.  The frost line depth shall be considered to be 12 inches for sites up to an elevation of 1</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000 feet  above sea level, 18 inches </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for sites more than 1</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000 feet  and up to an elevation of 2</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000 feet  above sea level or 24 inches for sites more than 2</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000 feet  above sea level.  Frost depth may be otherwise determined by specific site analysis, but shall not be less than 12 inches.</w:t>
      </w:r>
    </w:p>
    <w:p w14:paraId="5033817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4.  Flood hazard within King County varies.  See the flood hazard </w:t>
      </w:r>
      <w:r w:rsidRPr="006B4A66">
        <w:rPr>
          <w:rFonts w:ascii="Times New Roman" w:eastAsia="Calibri" w:hAnsi="Times New Roman" w:cs="Times New Roman"/>
          <w:color w:val="000000"/>
          <w:kern w:val="0"/>
          <w:sz w:val="24"/>
          <w:u w:val="single"/>
          <w14:ligatures w14:val="none"/>
        </w:rPr>
        <w:t>areas</w:t>
      </w:r>
      <w:r w:rsidRPr="006B4A66">
        <w:rPr>
          <w:rFonts w:ascii="Times New Roman" w:eastAsia="Calibri" w:hAnsi="Times New Roman" w:cs="Times New Roman"/>
          <w:color w:val="000000"/>
          <w:kern w:val="0"/>
          <w:sz w:val="24"/>
          <w14:ligatures w14:val="none"/>
        </w:rPr>
        <w:t xml:space="preserve"> code provisions of K.C.C. chapter 21A.24.</w:t>
      </w:r>
    </w:p>
    <w:p w14:paraId="2821EC6C" w14:textId="4FFC3111" w:rsidR="00262088" w:rsidRDefault="0026208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40.</w:t>
      </w:r>
      <w:r w:rsidRPr="006B4A66">
        <w:rPr>
          <w:rFonts w:ascii="Times New Roman" w:eastAsia="Times New Roman" w:hAnsi="Times New Roman" w:cs="Times New Roman"/>
          <w:color w:val="000000"/>
          <w:kern w:val="0"/>
          <w:sz w:val="24"/>
          <w:szCs w:val="24"/>
          <w14:ligatures w14:val="none"/>
        </w:rPr>
        <w:t xml:space="preserve">  Ordinance 14914, Section 27</w:t>
      </w:r>
      <w:r>
        <w:rPr>
          <w:rFonts w:ascii="Times New Roman" w:eastAsia="Times New Roman" w:hAnsi="Times New Roman" w:cs="Times New Roman"/>
          <w:color w:val="000000"/>
          <w:kern w:val="0"/>
          <w:sz w:val="24"/>
          <w:szCs w:val="24"/>
          <w14:ligatures w14:val="none"/>
        </w:rPr>
        <w:t>4</w:t>
      </w:r>
      <w:r w:rsidRPr="006B4A66">
        <w:rPr>
          <w:rFonts w:ascii="Times New Roman" w:eastAsia="Times New Roman" w:hAnsi="Times New Roman" w:cs="Times New Roman"/>
          <w:color w:val="000000"/>
          <w:kern w:val="0"/>
          <w:sz w:val="24"/>
          <w:szCs w:val="24"/>
          <w14:ligatures w14:val="none"/>
        </w:rPr>
        <w:t>, as amended, and K.C.C. 16.05.0</w:t>
      </w:r>
      <w:r>
        <w:rPr>
          <w:rFonts w:ascii="Times New Roman" w:eastAsia="Times New Roman" w:hAnsi="Times New Roman" w:cs="Times New Roman"/>
          <w:color w:val="000000"/>
          <w:kern w:val="0"/>
          <w:sz w:val="24"/>
          <w:szCs w:val="24"/>
          <w14:ligatures w14:val="none"/>
        </w:rPr>
        <w:t>6</w:t>
      </w:r>
      <w:r w:rsidRPr="006B4A66">
        <w:rPr>
          <w:rFonts w:ascii="Times New Roman" w:eastAsia="Times New Roman" w:hAnsi="Times New Roman" w:cs="Times New Roman"/>
          <w:color w:val="000000"/>
          <w:kern w:val="0"/>
          <w:sz w:val="24"/>
          <w:szCs w:val="24"/>
          <w14:ligatures w14:val="none"/>
        </w:rPr>
        <w:t>0 are hereby amended to read as follows:</w:t>
      </w:r>
    </w:p>
    <w:p w14:paraId="34A56FE4" w14:textId="0CB21D7D" w:rsidR="00262088" w:rsidRPr="00262088" w:rsidRDefault="0026208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ab/>
      </w:r>
      <w:r w:rsidRPr="00262088">
        <w:rPr>
          <w:rFonts w:ascii="Times New Roman" w:eastAsia="Times New Roman" w:hAnsi="Times New Roman" w:cs="Times New Roman"/>
          <w:color w:val="000000"/>
          <w:kern w:val="0"/>
          <w:sz w:val="24"/>
          <w:szCs w:val="24"/>
          <w14:ligatures w14:val="none"/>
        </w:rPr>
        <w:t>Section R309.3 of the International Residential Code is not adopted and the following is substituted:</w:t>
      </w:r>
    </w:p>
    <w:p w14:paraId="50F66C0B" w14:textId="6402751B" w:rsidR="0082650C" w:rsidRDefault="009E627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ab/>
      </w:r>
      <w:r w:rsidR="00262088" w:rsidRPr="00262088">
        <w:rPr>
          <w:rFonts w:ascii="Times New Roman" w:eastAsia="Times New Roman" w:hAnsi="Times New Roman" w:cs="Times New Roman"/>
          <w:b/>
          <w:bCs/>
          <w:color w:val="000000"/>
          <w:kern w:val="0"/>
          <w:sz w:val="24"/>
          <w:szCs w:val="24"/>
          <w14:ligatures w14:val="none"/>
        </w:rPr>
        <w:t xml:space="preserve">Flood hazard areas (IRC </w:t>
      </w:r>
      <w:r w:rsidR="00262088">
        <w:rPr>
          <w:rFonts w:ascii="Times New Roman" w:eastAsia="Times New Roman" w:hAnsi="Times New Roman" w:cs="Times New Roman"/>
          <w:b/>
          <w:bCs/>
          <w:color w:val="000000"/>
          <w:kern w:val="0"/>
          <w:sz w:val="24"/>
          <w:szCs w:val="24"/>
          <w:u w:val="single"/>
          <w14:ligatures w14:val="none"/>
        </w:rPr>
        <w:t>R</w:t>
      </w:r>
      <w:r w:rsidR="00262088" w:rsidRPr="0095358C">
        <w:rPr>
          <w:rFonts w:ascii="Times New Roman" w:eastAsia="Times New Roman" w:hAnsi="Times New Roman" w:cs="Times New Roman"/>
          <w:b/>
          <w:bCs/>
          <w:color w:val="000000"/>
          <w:kern w:val="0"/>
          <w:sz w:val="24"/>
          <w:szCs w:val="24"/>
          <w14:ligatures w14:val="none"/>
        </w:rPr>
        <w:t>309</w:t>
      </w:r>
      <w:r w:rsidR="00262088" w:rsidRPr="0095358C">
        <w:rPr>
          <w:rFonts w:ascii="Times New Roman" w:eastAsia="Times New Roman" w:hAnsi="Times New Roman" w:cs="Times New Roman"/>
          <w:b/>
          <w:color w:val="000000"/>
          <w:kern w:val="0"/>
          <w:sz w:val="24"/>
          <w:szCs w:val="24"/>
          <w14:ligatures w14:val="none"/>
        </w:rPr>
        <w:t xml:space="preserve">.3). </w:t>
      </w:r>
      <w:r w:rsidR="00262088" w:rsidRPr="00262088">
        <w:rPr>
          <w:rFonts w:ascii="Times New Roman" w:eastAsia="Times New Roman" w:hAnsi="Times New Roman" w:cs="Times New Roman"/>
          <w:color w:val="000000"/>
          <w:kern w:val="0"/>
          <w:sz w:val="24"/>
          <w:szCs w:val="24"/>
          <w14:ligatures w14:val="none"/>
        </w:rPr>
        <w:t xml:space="preserve"> Garage floors in buildings located in flood hazard areas shall comply with the flood hazard standards in K.C.C. chapter 21A.24.</w:t>
      </w:r>
    </w:p>
    <w:p w14:paraId="683C3880" w14:textId="18F34034" w:rsidR="00825C42" w:rsidRDefault="00825C42"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ab/>
      </w:r>
      <w:r w:rsidR="00B822C3">
        <w:rPr>
          <w:rFonts w:ascii="Times New Roman" w:eastAsia="Times New Roman" w:hAnsi="Times New Roman" w:cs="Times New Roman"/>
          <w:color w:val="000000"/>
          <w:kern w:val="0"/>
          <w:sz w:val="24"/>
          <w:szCs w:val="24"/>
          <w:u w:val="single"/>
          <w14:ligatures w14:val="none"/>
        </w:rPr>
        <w:t>NEW SECTION.  SECTION 41.</w:t>
      </w:r>
      <w:r>
        <w:rPr>
          <w:rFonts w:ascii="Times New Roman" w:eastAsia="Times New Roman" w:hAnsi="Times New Roman" w:cs="Times New Roman"/>
          <w:color w:val="000000"/>
          <w:kern w:val="0"/>
          <w:sz w:val="24"/>
          <w:szCs w:val="24"/>
          <w14:ligatures w14:val="none"/>
        </w:rPr>
        <w:t xml:space="preserve">  </w:t>
      </w:r>
      <w:r w:rsidRPr="00D43850">
        <w:rPr>
          <w:rFonts w:ascii="Times New Roman" w:eastAsia="Times New Roman" w:hAnsi="Times New Roman" w:cs="Times New Roman"/>
          <w:color w:val="000000"/>
          <w:kern w:val="0"/>
          <w:sz w:val="24"/>
          <w:szCs w:val="24"/>
          <w14:ligatures w14:val="none"/>
        </w:rPr>
        <w:t>There is hereby added to K.C.C. chapter 16.05 a new section to read as follows:</w:t>
      </w:r>
    </w:p>
    <w:p w14:paraId="4B77699F" w14:textId="31D2A114" w:rsidR="00825C42" w:rsidRDefault="00825C42" w:rsidP="0073496A">
      <w:pPr>
        <w:tabs>
          <w:tab w:val="left" w:pos="720"/>
        </w:tabs>
        <w:spacing w:after="0" w:line="480" w:lineRule="auto"/>
        <w:rPr>
          <w:rFonts w:ascii="Times New Roman" w:eastAsia="Times New Roman" w:hAnsi="Times New Roman" w:cs="Times New Roman"/>
          <w:color w:val="000000"/>
          <w:kern w:val="0"/>
          <w:sz w:val="24"/>
          <w:szCs w:val="20"/>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0"/>
          <w14:ligatures w14:val="none"/>
        </w:rPr>
        <w:t>Section R3</w:t>
      </w:r>
      <w:r>
        <w:rPr>
          <w:rFonts w:ascii="Times New Roman" w:eastAsia="Times New Roman" w:hAnsi="Times New Roman" w:cs="Times New Roman"/>
          <w:color w:val="000000"/>
          <w:kern w:val="0"/>
          <w:sz w:val="24"/>
          <w:szCs w:val="20"/>
          <w14:ligatures w14:val="none"/>
        </w:rPr>
        <w:t>09</w:t>
      </w:r>
      <w:r w:rsidRPr="006B4A66">
        <w:rPr>
          <w:rFonts w:ascii="Times New Roman" w:eastAsia="Times New Roman" w:hAnsi="Times New Roman" w:cs="Times New Roman"/>
          <w:color w:val="000000"/>
          <w:kern w:val="0"/>
          <w:sz w:val="24"/>
          <w:szCs w:val="20"/>
          <w14:ligatures w14:val="none"/>
        </w:rPr>
        <w:t>.</w:t>
      </w:r>
      <w:r>
        <w:rPr>
          <w:rFonts w:ascii="Times New Roman" w:eastAsia="Times New Roman" w:hAnsi="Times New Roman" w:cs="Times New Roman"/>
          <w:color w:val="000000"/>
          <w:kern w:val="0"/>
          <w:sz w:val="24"/>
          <w:szCs w:val="20"/>
          <w14:ligatures w14:val="none"/>
        </w:rPr>
        <w:t>6.2</w:t>
      </w:r>
      <w:r w:rsidRPr="006B4A66">
        <w:rPr>
          <w:rFonts w:ascii="Times New Roman" w:eastAsia="Times New Roman" w:hAnsi="Times New Roman" w:cs="Times New Roman"/>
          <w:color w:val="000000"/>
          <w:kern w:val="0"/>
          <w:sz w:val="24"/>
          <w:szCs w:val="20"/>
          <w14:ligatures w14:val="none"/>
        </w:rPr>
        <w:t xml:space="preserve"> of the International Residential Code is not adopted and the following is substituted:</w:t>
      </w:r>
    </w:p>
    <w:p w14:paraId="1158978D" w14:textId="4086520D" w:rsidR="00825C42" w:rsidRDefault="00825C42" w:rsidP="0073496A">
      <w:pPr>
        <w:tabs>
          <w:tab w:val="left" w:pos="720"/>
        </w:tabs>
        <w:spacing w:after="0" w:line="480" w:lineRule="auto"/>
        <w:rPr>
          <w:rFonts w:ascii="Times New Roman" w:eastAsia="Times New Roman" w:hAnsi="Times New Roman" w:cs="Times New Roman"/>
          <w:color w:val="000000"/>
          <w:kern w:val="0"/>
          <w:sz w:val="24"/>
          <w:szCs w:val="20"/>
          <w14:ligatures w14:val="none"/>
        </w:rPr>
      </w:pPr>
      <w:r>
        <w:rPr>
          <w:rFonts w:ascii="Times New Roman" w:eastAsia="Times New Roman" w:hAnsi="Times New Roman" w:cs="Times New Roman"/>
          <w:color w:val="000000"/>
          <w:kern w:val="0"/>
          <w:sz w:val="24"/>
          <w:szCs w:val="20"/>
          <w14:ligatures w14:val="none"/>
        </w:rPr>
        <w:tab/>
      </w:r>
      <w:r w:rsidR="00DB385B">
        <w:rPr>
          <w:rFonts w:ascii="Times New Roman" w:eastAsia="Times New Roman" w:hAnsi="Times New Roman" w:cs="Times New Roman"/>
          <w:b/>
          <w:bCs/>
          <w:color w:val="000000"/>
          <w:kern w:val="0"/>
          <w:sz w:val="24"/>
          <w:szCs w:val="20"/>
          <w14:ligatures w14:val="none"/>
        </w:rPr>
        <w:t>Dedicated circuit for electric vehicle charging (IRC R309.6.2).</w:t>
      </w:r>
      <w:r w:rsidR="00DB385B">
        <w:rPr>
          <w:rFonts w:ascii="Times New Roman" w:eastAsia="Times New Roman" w:hAnsi="Times New Roman" w:cs="Times New Roman"/>
          <w:color w:val="000000"/>
          <w:kern w:val="0"/>
          <w:sz w:val="24"/>
          <w:szCs w:val="20"/>
          <w14:ligatures w14:val="none"/>
        </w:rPr>
        <w:t xml:space="preserve"> </w:t>
      </w:r>
      <w:r>
        <w:rPr>
          <w:rFonts w:ascii="Times New Roman" w:eastAsia="Times New Roman" w:hAnsi="Times New Roman" w:cs="Times New Roman"/>
          <w:color w:val="000000"/>
          <w:kern w:val="0"/>
          <w:sz w:val="24"/>
          <w:szCs w:val="20"/>
          <w14:ligatures w14:val="none"/>
        </w:rPr>
        <w:t>A minimum of one 40-ampere dedicated 208/240-volt branch circuit shall be installed in the electrical panel for each dwelling unit. The branch circuit shall terminate at a junction box, receptacle outlet, or electric vehicle charging equipment.</w:t>
      </w:r>
    </w:p>
    <w:p w14:paraId="44ED0808" w14:textId="56E585D6" w:rsidR="00002C54" w:rsidRPr="008542C0" w:rsidRDefault="00825C42" w:rsidP="0073496A">
      <w:pPr>
        <w:tabs>
          <w:tab w:val="left" w:pos="720"/>
        </w:tabs>
        <w:spacing w:after="0" w:line="480" w:lineRule="auto"/>
        <w:rPr>
          <w:rFonts w:ascii="Times New Roman" w:eastAsia="Times New Roman" w:hAnsi="Times New Roman" w:cs="Times New Roman"/>
          <w:color w:val="000000"/>
          <w:kern w:val="0"/>
          <w:sz w:val="24"/>
          <w:szCs w:val="20"/>
          <w14:ligatures w14:val="none"/>
        </w:rPr>
      </w:pPr>
      <w:r>
        <w:rPr>
          <w:rFonts w:ascii="Times New Roman" w:eastAsia="Times New Roman" w:hAnsi="Times New Roman" w:cs="Times New Roman"/>
          <w:color w:val="000000"/>
          <w:kern w:val="0"/>
          <w:sz w:val="24"/>
          <w:szCs w:val="20"/>
          <w14:ligatures w14:val="none"/>
        </w:rPr>
        <w:tab/>
      </w:r>
      <w:r>
        <w:rPr>
          <w:rFonts w:ascii="Times New Roman" w:eastAsia="Times New Roman" w:hAnsi="Times New Roman" w:cs="Times New Roman"/>
          <w:b/>
          <w:bCs/>
          <w:color w:val="000000"/>
          <w:kern w:val="0"/>
          <w:sz w:val="24"/>
          <w:szCs w:val="20"/>
          <w14:ligatures w14:val="none"/>
        </w:rPr>
        <w:t>EXCEPTION:</w:t>
      </w:r>
      <w:r w:rsidR="007E1EBF">
        <w:rPr>
          <w:rFonts w:ascii="Times New Roman" w:eastAsia="Times New Roman" w:hAnsi="Times New Roman" w:cs="Times New Roman"/>
          <w:b/>
          <w:bCs/>
          <w:color w:val="000000"/>
          <w:kern w:val="0"/>
          <w:sz w:val="24"/>
          <w:szCs w:val="20"/>
          <w14:ligatures w14:val="none"/>
        </w:rPr>
        <w:t xml:space="preserve"> </w:t>
      </w:r>
      <w:r w:rsidR="00002C54">
        <w:rPr>
          <w:rFonts w:ascii="Times New Roman" w:eastAsia="Times New Roman" w:hAnsi="Times New Roman" w:cs="Times New Roman"/>
          <w:color w:val="000000"/>
          <w:kern w:val="0"/>
          <w:sz w:val="24"/>
          <w:szCs w:val="20"/>
          <w14:ligatures w14:val="none"/>
        </w:rPr>
        <w:t>Except</w:t>
      </w:r>
      <w:r w:rsidR="00957EE0">
        <w:rPr>
          <w:rFonts w:ascii="Times New Roman" w:eastAsia="Times New Roman" w:hAnsi="Times New Roman" w:cs="Times New Roman"/>
          <w:color w:val="000000"/>
          <w:kern w:val="0"/>
          <w:sz w:val="24"/>
          <w:szCs w:val="20"/>
          <w14:ligatures w14:val="none"/>
        </w:rPr>
        <w:t xml:space="preserve"> for</w:t>
      </w:r>
      <w:r w:rsidR="00002C54">
        <w:rPr>
          <w:rFonts w:ascii="Times New Roman" w:eastAsia="Times New Roman" w:hAnsi="Times New Roman" w:cs="Times New Roman"/>
          <w:color w:val="000000"/>
          <w:kern w:val="0"/>
          <w:sz w:val="24"/>
          <w:szCs w:val="20"/>
          <w14:ligatures w14:val="none"/>
        </w:rPr>
        <w:t xml:space="preserve"> those </w:t>
      </w:r>
      <w:r w:rsidR="00957EE0">
        <w:rPr>
          <w:rFonts w:ascii="Times New Roman" w:eastAsia="Times New Roman" w:hAnsi="Times New Roman" w:cs="Times New Roman"/>
          <w:color w:val="000000"/>
          <w:kern w:val="0"/>
          <w:sz w:val="24"/>
          <w:szCs w:val="20"/>
          <w14:ligatures w14:val="none"/>
        </w:rPr>
        <w:t>qualifying as multifamily</w:t>
      </w:r>
      <w:r w:rsidR="00002C54">
        <w:rPr>
          <w:rFonts w:ascii="Times New Roman" w:eastAsia="Times New Roman" w:hAnsi="Times New Roman" w:cs="Times New Roman"/>
          <w:color w:val="000000"/>
          <w:kern w:val="0"/>
          <w:sz w:val="24"/>
          <w:szCs w:val="20"/>
          <w14:ligatures w14:val="none"/>
        </w:rPr>
        <w:t xml:space="preserve"> residential buildings </w:t>
      </w:r>
      <w:r w:rsidR="00957EE0">
        <w:rPr>
          <w:rFonts w:ascii="Times New Roman" w:eastAsia="Times New Roman" w:hAnsi="Times New Roman" w:cs="Times New Roman"/>
          <w:color w:val="000000"/>
          <w:kern w:val="0"/>
          <w:sz w:val="24"/>
          <w:szCs w:val="20"/>
          <w14:ligatures w14:val="none"/>
        </w:rPr>
        <w:t>as defined in RCW 19.27.015, f</w:t>
      </w:r>
      <w:r w:rsidR="00002C54" w:rsidRPr="008542C0">
        <w:rPr>
          <w:rFonts w:ascii="Times New Roman" w:eastAsia="Times New Roman" w:hAnsi="Times New Roman" w:cs="Times New Roman"/>
          <w:color w:val="000000"/>
          <w:kern w:val="0"/>
          <w:sz w:val="24"/>
          <w:szCs w:val="20"/>
          <w14:ligatures w14:val="none"/>
        </w:rPr>
        <w:t xml:space="preserve">or townhouse developments containing nine or fewer </w:t>
      </w:r>
      <w:r w:rsidR="00002C54" w:rsidRPr="008542C0">
        <w:rPr>
          <w:rFonts w:ascii="Times New Roman" w:eastAsia="Times New Roman" w:hAnsi="Times New Roman" w:cs="Times New Roman"/>
          <w:color w:val="000000"/>
          <w:kern w:val="0"/>
          <w:sz w:val="24"/>
          <w:szCs w:val="20"/>
          <w14:ligatures w14:val="none"/>
        </w:rPr>
        <w:lastRenderedPageBreak/>
        <w:t xml:space="preserve">dwelling units, the director may reduce the requirements </w:t>
      </w:r>
      <w:r w:rsidR="00957EE0">
        <w:rPr>
          <w:rFonts w:ascii="Times New Roman" w:eastAsia="Times New Roman" w:hAnsi="Times New Roman" w:cs="Times New Roman"/>
          <w:color w:val="000000"/>
          <w:kern w:val="0"/>
          <w:sz w:val="24"/>
          <w:szCs w:val="20"/>
          <w14:ligatures w14:val="none"/>
        </w:rPr>
        <w:t>of this section</w:t>
      </w:r>
      <w:r w:rsidR="00002C54" w:rsidRPr="008542C0">
        <w:rPr>
          <w:rFonts w:ascii="Times New Roman" w:eastAsia="Times New Roman" w:hAnsi="Times New Roman" w:cs="Times New Roman"/>
          <w:color w:val="000000"/>
          <w:kern w:val="0"/>
          <w:sz w:val="24"/>
          <w:szCs w:val="20"/>
          <w14:ligatures w14:val="none"/>
        </w:rPr>
        <w:t xml:space="preserve"> where the applicant can prove that the added electrical load to meet the requirements will require an on-site transformer that is pole-mounted, on a slab or in an underground vault.  The reductions shall occur as follows:</w:t>
      </w:r>
    </w:p>
    <w:p w14:paraId="5459F8A4" w14:textId="4D538811" w:rsidR="00002C54" w:rsidRPr="008542C0" w:rsidRDefault="00002C54" w:rsidP="0073496A">
      <w:pPr>
        <w:tabs>
          <w:tab w:val="left" w:pos="720"/>
        </w:tabs>
        <w:spacing w:after="0" w:line="480" w:lineRule="auto"/>
        <w:rPr>
          <w:rFonts w:ascii="Times New Roman" w:eastAsia="Times New Roman" w:hAnsi="Times New Roman" w:cs="Times New Roman"/>
          <w:color w:val="000000"/>
          <w:kern w:val="0"/>
          <w:sz w:val="24"/>
          <w:szCs w:val="20"/>
          <w14:ligatures w14:val="none"/>
        </w:rPr>
      </w:pPr>
      <w:r w:rsidRPr="008542C0">
        <w:rPr>
          <w:rFonts w:ascii="Times New Roman" w:eastAsia="Times New Roman" w:hAnsi="Times New Roman" w:cs="Times New Roman"/>
          <w:color w:val="000000"/>
          <w:kern w:val="0"/>
          <w:sz w:val="24"/>
          <w:szCs w:val="20"/>
          <w14:ligatures w14:val="none"/>
        </w:rPr>
        <w:t>1.  The maximum quantity of EV charging infrastructure required to be installed shall be reduced to the maximum service size that would not require the changes to transformation or electrical service; and</w:t>
      </w:r>
    </w:p>
    <w:p w14:paraId="3B71AA83" w14:textId="1897C64D" w:rsidR="00825C42" w:rsidRPr="00002C54" w:rsidRDefault="00871E6B" w:rsidP="0073496A">
      <w:pPr>
        <w:tabs>
          <w:tab w:val="left" w:pos="720"/>
        </w:tabs>
        <w:spacing w:after="0" w:line="480" w:lineRule="auto"/>
        <w:rPr>
          <w:rFonts w:ascii="Times New Roman" w:eastAsia="Times New Roman" w:hAnsi="Times New Roman" w:cs="Times New Roman"/>
          <w:color w:val="000000"/>
          <w:kern w:val="0"/>
          <w:sz w:val="24"/>
          <w:szCs w:val="20"/>
          <w14:ligatures w14:val="none"/>
        </w:rPr>
      </w:pPr>
      <w:r>
        <w:rPr>
          <w:rFonts w:ascii="Times New Roman" w:eastAsia="Times New Roman" w:hAnsi="Times New Roman" w:cs="Times New Roman"/>
          <w:color w:val="000000"/>
          <w:kern w:val="0"/>
          <w:sz w:val="24"/>
          <w:szCs w:val="20"/>
          <w14:ligatures w14:val="none"/>
        </w:rPr>
        <w:tab/>
      </w:r>
      <w:r w:rsidR="00002C54" w:rsidRPr="008542C0">
        <w:rPr>
          <w:rFonts w:ascii="Times New Roman" w:eastAsia="Times New Roman" w:hAnsi="Times New Roman" w:cs="Times New Roman"/>
          <w:color w:val="000000"/>
          <w:kern w:val="0"/>
          <w:sz w:val="24"/>
          <w:szCs w:val="20"/>
          <w14:ligatures w14:val="none"/>
        </w:rPr>
        <w:t>2.  The director may first reduce the number of required electric-vehicle-ready parking spaces.  If this is not sufficient, the director may also then reduce the required level of EV infrastructure at EV Ready parking spaces from 208/240 volt to 120-volt circuits.</w:t>
      </w:r>
    </w:p>
    <w:p w14:paraId="62FAAF5C" w14:textId="46F2DB5D"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42.</w:t>
      </w:r>
      <w:r w:rsidRPr="006B4A66">
        <w:rPr>
          <w:rFonts w:ascii="Times New Roman" w:eastAsia="Times New Roman" w:hAnsi="Times New Roman" w:cs="Times New Roman"/>
          <w:color w:val="000000"/>
          <w:kern w:val="0"/>
          <w:sz w:val="24"/>
          <w:szCs w:val="24"/>
          <w14:ligatures w14:val="none"/>
        </w:rPr>
        <w:t xml:space="preserve">  Ordinance 15802, Section 78, as amended, and K.C.C. 16.05.065 are hereby amended to read as follows:</w:t>
      </w:r>
    </w:p>
    <w:p w14:paraId="4626434C"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0"/>
          <w14:ligatures w14:val="none"/>
        </w:rPr>
        <w:t>Section R310.2.4 of the International Residential Code is not adopted and the following is substituted:</w:t>
      </w:r>
    </w:p>
    <w:p w14:paraId="44F0A382" w14:textId="05DF0FB6"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Emergency escape ((</w:t>
      </w:r>
      <w:r w:rsidRPr="006B4A66">
        <w:rPr>
          <w:rFonts w:ascii="Times New Roman" w:eastAsia="Calibri" w:hAnsi="Times New Roman" w:cs="Times New Roman"/>
          <w:b/>
          <w:bCs/>
          <w:strike/>
          <w:color w:val="000000"/>
          <w:kern w:val="0"/>
          <w:sz w:val="24"/>
          <w14:ligatures w14:val="none"/>
        </w:rPr>
        <w:t>windows</w:t>
      </w:r>
      <w:r w:rsidRPr="006B4A66">
        <w:rPr>
          <w:rFonts w:ascii="Times New Roman" w:eastAsia="Calibri" w:hAnsi="Times New Roman" w:cs="Times New Roman"/>
          <w:b/>
          <w:bCs/>
          <w:color w:val="000000"/>
          <w:kern w:val="0"/>
          <w:sz w:val="24"/>
          <w14:ligatures w14:val="none"/>
        </w:rPr>
        <w:t xml:space="preserve">)) </w:t>
      </w:r>
      <w:r w:rsidRPr="006B4A66">
        <w:rPr>
          <w:rFonts w:ascii="Times New Roman" w:eastAsia="Calibri" w:hAnsi="Times New Roman" w:cs="Times New Roman"/>
          <w:b/>
          <w:bCs/>
          <w:color w:val="000000"/>
          <w:kern w:val="0"/>
          <w:sz w:val="24"/>
          <w:u w:val="single"/>
          <w14:ligatures w14:val="none"/>
        </w:rPr>
        <w:t>and rescue openings</w:t>
      </w:r>
      <w:r w:rsidRPr="006B4A66">
        <w:rPr>
          <w:rFonts w:ascii="Times New Roman" w:eastAsia="Calibri" w:hAnsi="Times New Roman" w:cs="Times New Roman"/>
          <w:b/>
          <w:bCs/>
          <w:color w:val="000000"/>
          <w:kern w:val="0"/>
          <w:sz w:val="24"/>
          <w14:ligatures w14:val="none"/>
        </w:rPr>
        <w:t xml:space="preserve"> under decks ((</w:t>
      </w:r>
      <w:r w:rsidRPr="006B4A66">
        <w:rPr>
          <w:rFonts w:ascii="Times New Roman" w:eastAsia="Calibri" w:hAnsi="Times New Roman" w:cs="Times New Roman"/>
          <w:b/>
          <w:bCs/>
          <w:strike/>
          <w:color w:val="000000"/>
          <w:kern w:val="0"/>
          <w:sz w:val="24"/>
          <w14:ligatures w14:val="none"/>
        </w:rPr>
        <w:t>and</w:t>
      </w:r>
      <w:r w:rsidRPr="006B4A66">
        <w:rPr>
          <w:rFonts w:ascii="Times New Roman" w:eastAsia="Calibri" w:hAnsi="Times New Roman" w:cs="Times New Roman"/>
          <w:b/>
          <w:bCs/>
          <w:color w:val="000000"/>
          <w:kern w:val="0"/>
          <w:sz w:val="24"/>
          <w14:ligatures w14:val="none"/>
        </w:rPr>
        <w:t>))</w:t>
      </w:r>
      <w:r w:rsidRPr="006B4A66">
        <w:rPr>
          <w:rFonts w:ascii="Times New Roman" w:eastAsia="Calibri" w:hAnsi="Times New Roman" w:cs="Times New Roman"/>
          <w:b/>
          <w:bCs/>
          <w:color w:val="000000"/>
          <w:kern w:val="0"/>
          <w:sz w:val="24"/>
          <w:u w:val="single"/>
          <w14:ligatures w14:val="none"/>
        </w:rPr>
        <w:t>,</w:t>
      </w:r>
      <w:r w:rsidRPr="006B4A66">
        <w:rPr>
          <w:rFonts w:ascii="Times New Roman" w:eastAsia="Calibri" w:hAnsi="Times New Roman" w:cs="Times New Roman"/>
          <w:b/>
          <w:bCs/>
          <w:color w:val="000000"/>
          <w:kern w:val="0"/>
          <w:sz w:val="24"/>
          <w14:ligatures w14:val="none"/>
        </w:rPr>
        <w:t xml:space="preserve"> porches</w:t>
      </w:r>
      <w:r w:rsidRPr="006B4A66">
        <w:rPr>
          <w:rFonts w:ascii="Times New Roman" w:eastAsia="Calibri" w:hAnsi="Times New Roman" w:cs="Times New Roman"/>
          <w:b/>
          <w:bCs/>
          <w:color w:val="000000"/>
          <w:kern w:val="0"/>
          <w:sz w:val="24"/>
          <w:u w:val="single"/>
          <w14:ligatures w14:val="none"/>
        </w:rPr>
        <w:t>, and cantilevers</w:t>
      </w:r>
      <w:r w:rsidRPr="006B4A66">
        <w:rPr>
          <w:rFonts w:ascii="Times New Roman" w:eastAsia="Calibri" w:hAnsi="Times New Roman" w:cs="Times New Roman"/>
          <w:b/>
          <w:bCs/>
          <w:color w:val="000000"/>
          <w:kern w:val="0"/>
          <w:sz w:val="24"/>
          <w14:ligatures w14:val="none"/>
        </w:rPr>
        <w:t xml:space="preserve"> (IRC R310.2.4)</w:t>
      </w:r>
      <w:r w:rsidRPr="006B4A66">
        <w:rPr>
          <w:rFonts w:ascii="Times New Roman" w:eastAsia="Calibri" w:hAnsi="Times New Roman" w:cs="Times New Roman"/>
          <w:b/>
          <w:bCs/>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Emergency escape ((</w:t>
      </w:r>
      <w:r w:rsidRPr="006B4A66">
        <w:rPr>
          <w:rFonts w:ascii="Times New Roman" w:eastAsia="Calibri" w:hAnsi="Times New Roman" w:cs="Times New Roman"/>
          <w:strike/>
          <w:color w:val="000000"/>
          <w:kern w:val="0"/>
          <w:sz w:val="24"/>
          <w14:ligatures w14:val="none"/>
        </w:rPr>
        <w:t>windows are allowed to be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and rescue openings</w:t>
      </w:r>
      <w:r w:rsidRPr="006B4A66">
        <w:rPr>
          <w:rFonts w:ascii="Times New Roman" w:eastAsia="Calibri" w:hAnsi="Times New Roman" w:cs="Times New Roman"/>
          <w:color w:val="000000"/>
          <w:kern w:val="0"/>
          <w:sz w:val="24"/>
          <w14:ligatures w14:val="none"/>
        </w:rPr>
        <w:t xml:space="preserve"> installed under decks, porches, ((</w:t>
      </w:r>
      <w:r w:rsidRPr="006B4A66">
        <w:rPr>
          <w:rFonts w:ascii="Times New Roman" w:eastAsia="Calibri" w:hAnsi="Times New Roman" w:cs="Times New Roman"/>
          <w:strike/>
          <w:color w:val="000000"/>
          <w:kern w:val="0"/>
          <w:sz w:val="24"/>
          <w14:ligatures w14:val="none"/>
        </w:rPr>
        <w:t>roof overhangs, awnings or similar projections if the location allows the emergency escape window to be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and cantilevers shall be</w:t>
      </w:r>
      <w:r w:rsidRPr="006B4A66">
        <w:rPr>
          <w:rFonts w:ascii="Times New Roman" w:eastAsia="Calibri" w:hAnsi="Times New Roman" w:cs="Times New Roman"/>
          <w:color w:val="000000"/>
          <w:kern w:val="0"/>
          <w:sz w:val="24"/>
          <w14:ligatures w14:val="none"/>
        </w:rPr>
        <w:t xml:space="preserve"> fully ((</w:t>
      </w:r>
      <w:r w:rsidRPr="006B4A66">
        <w:rPr>
          <w:rFonts w:ascii="Times New Roman" w:eastAsia="Calibri" w:hAnsi="Times New Roman" w:cs="Times New Roman"/>
          <w:strike/>
          <w:color w:val="000000"/>
          <w:kern w:val="0"/>
          <w:sz w:val="24"/>
          <w14:ligatures w14:val="none"/>
        </w:rPr>
        <w:t>opened</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openable</w:t>
      </w:r>
      <w:r w:rsidRPr="006B4A66">
        <w:rPr>
          <w:rFonts w:ascii="Times New Roman" w:eastAsia="Calibri" w:hAnsi="Times New Roman" w:cs="Times New Roman"/>
          <w:color w:val="000000"/>
          <w:kern w:val="0"/>
          <w:sz w:val="24"/>
          <w14:ligatures w14:val="none"/>
        </w:rPr>
        <w:t xml:space="preserve"> and ((</w:t>
      </w:r>
      <w:r w:rsidRPr="006B4A66">
        <w:rPr>
          <w:rFonts w:ascii="Times New Roman" w:eastAsia="Calibri" w:hAnsi="Times New Roman" w:cs="Times New Roman"/>
          <w:strike/>
          <w:color w:val="000000"/>
          <w:kern w:val="0"/>
          <w:sz w:val="24"/>
          <w14:ligatures w14:val="none"/>
        </w:rPr>
        <w:t>provides a path</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provided with an unobstructed pathway of</w:t>
      </w:r>
      <w:r w:rsidRPr="006B4A66">
        <w:rPr>
          <w:rFonts w:ascii="Times New Roman" w:eastAsia="Calibri" w:hAnsi="Times New Roman" w:cs="Times New Roman"/>
          <w:color w:val="000000"/>
          <w:kern w:val="0"/>
          <w:sz w:val="24"/>
          <w14:ligatures w14:val="none"/>
        </w:rPr>
        <w:t xml:space="preserve"> not less than 36 inches (914 ((</w:t>
      </w:r>
      <w:r w:rsidRPr="006B4A66">
        <w:rPr>
          <w:rFonts w:ascii="Times New Roman" w:eastAsia="Calibri" w:hAnsi="Times New Roman" w:cs="Times New Roman"/>
          <w:strike/>
          <w:color w:val="000000"/>
          <w:kern w:val="0"/>
          <w:sz w:val="24"/>
          <w14:ligatures w14:val="none"/>
        </w:rPr>
        <w:t>mm</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millimeters</w:t>
      </w:r>
      <w:r w:rsidRPr="006B4A66">
        <w:rPr>
          <w:rFonts w:ascii="Times New Roman" w:eastAsia="Calibri" w:hAnsi="Times New Roman" w:cs="Times New Roman"/>
          <w:color w:val="000000"/>
          <w:kern w:val="0"/>
          <w:sz w:val="24"/>
          <w14:ligatures w14:val="none"/>
        </w:rPr>
        <w:t>) in height</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strike/>
          <w:color w:val="000000"/>
          <w:kern w:val="0"/>
          <w:sz w:val="24"/>
          <w14:ligatures w14:val="none"/>
        </w:rPr>
        <w:t>and not less than</w:t>
      </w:r>
      <w:r w:rsidRPr="006B4A66">
        <w:rPr>
          <w:rFonts w:ascii="Times New Roman" w:eastAsia="Calibri" w:hAnsi="Times New Roman" w:cs="Times New Roman"/>
          <w:color w:val="000000"/>
          <w:kern w:val="0"/>
          <w:sz w:val="24"/>
          <w14:ligatures w14:val="none"/>
        </w:rPr>
        <w:t>)) 36 inches (914 ((</w:t>
      </w:r>
      <w:r w:rsidRPr="006B4A66">
        <w:rPr>
          <w:rFonts w:ascii="Times New Roman" w:eastAsia="Calibri" w:hAnsi="Times New Roman" w:cs="Times New Roman"/>
          <w:strike/>
          <w:color w:val="000000"/>
          <w:kern w:val="0"/>
          <w:sz w:val="24"/>
          <w14:ligatures w14:val="none"/>
        </w:rPr>
        <w:t>mm</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millimeters</w:t>
      </w:r>
      <w:r w:rsidRPr="006B4A66">
        <w:rPr>
          <w:rFonts w:ascii="Times New Roman" w:eastAsia="Calibri" w:hAnsi="Times New Roman" w:cs="Times New Roman"/>
          <w:color w:val="000000"/>
          <w:kern w:val="0"/>
          <w:sz w:val="24"/>
          <w14:ligatures w14:val="none"/>
        </w:rPr>
        <w:t>) in width ((</w:t>
      </w:r>
      <w:r w:rsidRPr="006B4A66">
        <w:rPr>
          <w:rFonts w:ascii="Times New Roman" w:eastAsia="Calibri" w:hAnsi="Times New Roman" w:cs="Times New Roman"/>
          <w:strike/>
          <w:color w:val="000000"/>
          <w:kern w:val="0"/>
          <w:sz w:val="24"/>
          <w14:ligatures w14:val="none"/>
        </w:rPr>
        <w:t>with a maximum unobstructed travel length directly to a yard or court</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strike/>
          <w:color w:val="000000"/>
          <w:kern w:val="0"/>
          <w:sz w:val="24"/>
          <w14:ligatures w14:val="none"/>
        </w:rPr>
        <w:t xml:space="preserve">based on 3:1, length to height ratio </w:t>
      </w:r>
      <w:r w:rsidRPr="006B4A66">
        <w:rPr>
          <w:rFonts w:ascii="Times New Roman" w:eastAsia="Calibri" w:hAnsi="Times New Roman" w:cs="Times New Roman"/>
          <w:strike/>
          <w:color w:val="000000"/>
          <w:kern w:val="0"/>
          <w:sz w:val="24"/>
          <w14:ligatures w14:val="none"/>
        </w:rPr>
        <w:lastRenderedPageBreak/>
        <w:t>or as approved by the building official</w:t>
      </w:r>
      <w:r w:rsidRPr="006B4A66">
        <w:rPr>
          <w:rFonts w:ascii="Times New Roman" w:eastAsia="Calibri" w:hAnsi="Times New Roman" w:cs="Times New Roman"/>
          <w:color w:val="000000"/>
          <w:kern w:val="0"/>
          <w:sz w:val="24"/>
          <w14:ligatures w14:val="none"/>
        </w:rPr>
        <w:t>))</w:t>
      </w:r>
      <w:r w:rsidR="00F37CEF" w:rsidRPr="006B4A66">
        <w:rPr>
          <w:rFonts w:ascii="Times New Roman" w:eastAsia="Calibri" w:hAnsi="Times New Roman" w:cs="Times New Roman"/>
          <w:color w:val="000000"/>
          <w:kern w:val="0"/>
          <w:sz w:val="24"/>
          <w:u w:val="single"/>
          <w14:ligatures w14:val="none"/>
        </w:rPr>
        <w:t>, and no greater than</w:t>
      </w:r>
      <w:r w:rsidR="00A952EA">
        <w:rPr>
          <w:rFonts w:ascii="Times New Roman" w:eastAsia="Calibri" w:hAnsi="Times New Roman" w:cs="Times New Roman"/>
          <w:color w:val="000000"/>
          <w:kern w:val="0"/>
          <w:sz w:val="24"/>
          <w:u w:val="single"/>
          <w14:ligatures w14:val="none"/>
        </w:rPr>
        <w:t xml:space="preserve"> </w:t>
      </w:r>
      <w:r w:rsidR="00F37CEF" w:rsidRPr="006B4A66">
        <w:rPr>
          <w:rFonts w:ascii="Times New Roman" w:eastAsia="Calibri" w:hAnsi="Times New Roman" w:cs="Times New Roman"/>
          <w:color w:val="000000"/>
          <w:kern w:val="0"/>
          <w:sz w:val="24"/>
          <w:u w:val="single"/>
          <w14:ligatures w14:val="none"/>
        </w:rPr>
        <w:t>60 inches (1,524 millimeters in length)</w:t>
      </w:r>
      <w:r w:rsidRPr="006B4A66">
        <w:rPr>
          <w:rFonts w:ascii="Times New Roman" w:eastAsia="Calibri" w:hAnsi="Times New Roman" w:cs="Times New Roman"/>
          <w:color w:val="000000"/>
          <w:kern w:val="0"/>
          <w:sz w:val="24"/>
          <w:u w:val="single"/>
          <w14:ligatures w14:val="none"/>
        </w:rPr>
        <w:t xml:space="preserve"> that opens to a yard or court</w:t>
      </w:r>
      <w:r w:rsidRPr="006B4A66">
        <w:rPr>
          <w:rFonts w:ascii="Times New Roman" w:eastAsia="Calibri" w:hAnsi="Times New Roman" w:cs="Times New Roman"/>
          <w:color w:val="000000"/>
          <w:kern w:val="0"/>
          <w:sz w:val="24"/>
          <w14:ligatures w14:val="none"/>
        </w:rPr>
        <w:t>.  ((T</w:t>
      </w:r>
      <w:r w:rsidRPr="006B4A66">
        <w:rPr>
          <w:rFonts w:ascii="Times New Roman" w:eastAsia="Calibri" w:hAnsi="Times New Roman" w:cs="Times New Roman"/>
          <w:strike/>
          <w:color w:val="000000"/>
          <w:kern w:val="0"/>
          <w:sz w:val="24"/>
          <w14:ligatures w14:val="none"/>
        </w:rPr>
        <w:t>his distance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The pathway</w:t>
      </w:r>
      <w:r w:rsidRPr="006B4A66">
        <w:rPr>
          <w:rFonts w:ascii="Times New Roman" w:eastAsia="Calibri" w:hAnsi="Times New Roman" w:cs="Times New Roman"/>
          <w:color w:val="000000"/>
          <w:kern w:val="0"/>
          <w:sz w:val="24"/>
          <w14:ligatures w14:val="none"/>
        </w:rPr>
        <w:t xml:space="preserve"> shall be measured from the ((</w:t>
      </w:r>
      <w:r w:rsidRPr="006B4A66">
        <w:rPr>
          <w:rFonts w:ascii="Times New Roman" w:eastAsia="Calibri" w:hAnsi="Times New Roman" w:cs="Times New Roman"/>
          <w:strike/>
          <w:color w:val="000000"/>
          <w:kern w:val="0"/>
          <w:sz w:val="24"/>
          <w14:ligatures w14:val="none"/>
        </w:rPr>
        <w:t>edge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exterior face</w:t>
      </w:r>
      <w:r w:rsidRPr="006B4A66">
        <w:rPr>
          <w:rFonts w:ascii="Times New Roman" w:eastAsia="Calibri" w:hAnsi="Times New Roman" w:cs="Times New Roman"/>
          <w:color w:val="000000"/>
          <w:kern w:val="0"/>
          <w:sz w:val="24"/>
          <w14:ligatures w14:val="none"/>
        </w:rPr>
        <w:t xml:space="preserve"> of the ((</w:t>
      </w:r>
      <w:r w:rsidRPr="006B4A66">
        <w:rPr>
          <w:rFonts w:ascii="Times New Roman" w:eastAsia="Calibri" w:hAnsi="Times New Roman" w:cs="Times New Roman"/>
          <w:strike/>
          <w:color w:val="000000"/>
          <w:kern w:val="0"/>
          <w:sz w:val="24"/>
          <w14:ligatures w14:val="none"/>
        </w:rPr>
        <w:t>window</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glazed opening,</w:t>
      </w:r>
      <w:r w:rsidRPr="006B4A66">
        <w:rPr>
          <w:rFonts w:ascii="Times New Roman" w:eastAsia="Calibri" w:hAnsi="Times New Roman" w:cs="Times New Roman"/>
          <w:color w:val="000000"/>
          <w:kern w:val="0"/>
          <w:sz w:val="24"/>
          <w14:ligatures w14:val="none"/>
        </w:rPr>
        <w:t xml:space="preserve"> or if ((</w:t>
      </w:r>
      <w:r w:rsidRPr="006B4A66">
        <w:rPr>
          <w:rFonts w:ascii="Times New Roman" w:eastAsia="Calibri" w:hAnsi="Times New Roman" w:cs="Times New Roman"/>
          <w:strike/>
          <w:color w:val="000000"/>
          <w:kern w:val="0"/>
          <w:sz w:val="24"/>
          <w14:ligatures w14:val="none"/>
        </w:rPr>
        <w:t>served by)</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the glazed opening is in</w:t>
      </w:r>
      <w:r w:rsidRPr="006B4A66">
        <w:rPr>
          <w:rFonts w:ascii="Times New Roman" w:eastAsia="Calibri" w:hAnsi="Times New Roman" w:cs="Times New Roman"/>
          <w:color w:val="000000"/>
          <w:kern w:val="0"/>
          <w:sz w:val="24"/>
          <w14:ligatures w14:val="none"/>
        </w:rPr>
        <w:t xml:space="preserve"> a window well (</w:t>
      </w:r>
      <w:r w:rsidRPr="001216D4">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from the edge of that</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u w:val="single"/>
          <w14:ligatures w14:val="none"/>
        </w:rPr>
        <w:t>,</w:t>
      </w:r>
      <w:r w:rsidR="00255C40">
        <w:rPr>
          <w:rFonts w:ascii="Times New Roman" w:eastAsia="Calibri" w:hAnsi="Times New Roman" w:cs="Times New Roman"/>
          <w:color w:val="000000"/>
          <w:kern w:val="0"/>
          <w:sz w:val="24"/>
          <w:u w:val="single"/>
          <w14:ligatures w14:val="none"/>
        </w:rPr>
        <w:t xml:space="preserve"> </w:t>
      </w:r>
      <w:r w:rsidRPr="006B4A66">
        <w:rPr>
          <w:rFonts w:ascii="Times New Roman" w:eastAsia="Calibri" w:hAnsi="Times New Roman" w:cs="Times New Roman"/>
          <w:color w:val="000000"/>
          <w:kern w:val="0"/>
          <w:sz w:val="24"/>
          <w:u w:val="single"/>
          <w14:ligatures w14:val="none"/>
        </w:rPr>
        <w:t>at the</w:t>
      </w:r>
      <w:r w:rsidRPr="006B4A66">
        <w:rPr>
          <w:rFonts w:ascii="Times New Roman" w:eastAsia="Calibri" w:hAnsi="Times New Roman" w:cs="Times New Roman"/>
          <w:color w:val="000000"/>
          <w:kern w:val="0"/>
          <w:sz w:val="24"/>
          <w14:ligatures w14:val="none"/>
        </w:rPr>
        <w:t xml:space="preserve"> window well </w:t>
      </w:r>
      <w:r w:rsidRPr="006B4A66">
        <w:rPr>
          <w:rFonts w:ascii="Times New Roman" w:eastAsia="Calibri" w:hAnsi="Times New Roman" w:cs="Times New Roman"/>
          <w:color w:val="000000"/>
          <w:kern w:val="0"/>
          <w:sz w:val="24"/>
          <w:u w:val="single"/>
          <w14:ligatures w14:val="none"/>
        </w:rPr>
        <w:t>wall furthest from the exterior face of the glazed opening</w:t>
      </w:r>
      <w:r w:rsidRPr="006B4A66">
        <w:rPr>
          <w:rFonts w:ascii="Times New Roman" w:eastAsia="Calibri" w:hAnsi="Times New Roman" w:cs="Times New Roman"/>
          <w:color w:val="000000"/>
          <w:kern w:val="0"/>
          <w:sz w:val="24"/>
          <w14:ligatures w14:val="none"/>
        </w:rPr>
        <w:t>.</w:t>
      </w:r>
    </w:p>
    <w:p w14:paraId="5EBD977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w:t>
      </w:r>
      <w:r w:rsidRPr="006B4A66">
        <w:rPr>
          <w:rFonts w:ascii="Times New Roman" w:eastAsia="Calibri" w:hAnsi="Times New Roman" w:cs="Times New Roman"/>
          <w:color w:val="000000"/>
          <w:kern w:val="0"/>
          <w:sz w:val="24"/>
          <w14:ligatures w14:val="none"/>
        </w:rPr>
        <w:t xml:space="preserve">  When the vertical height is 6 feet 8 inches (2,032 ((</w:t>
      </w:r>
      <w:r w:rsidRPr="006B4A66">
        <w:rPr>
          <w:rFonts w:ascii="Times New Roman" w:eastAsia="Calibri" w:hAnsi="Times New Roman" w:cs="Times New Roman"/>
          <w:strike/>
          <w:color w:val="000000"/>
          <w:kern w:val="0"/>
          <w:sz w:val="24"/>
          <w14:ligatures w14:val="none"/>
        </w:rPr>
        <w:t>mm</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millimeters</w:t>
      </w:r>
      <w:r w:rsidRPr="006B4A66">
        <w:rPr>
          <w:rFonts w:ascii="Times New Roman" w:eastAsia="Calibri" w:hAnsi="Times New Roman" w:cs="Times New Roman"/>
          <w:color w:val="000000"/>
          <w:kern w:val="0"/>
          <w:sz w:val="24"/>
          <w14:ligatures w14:val="none"/>
        </w:rPr>
        <w:t>) or more, the travel distance or length is unlimited.</w:t>
      </w:r>
    </w:p>
    <w:p w14:paraId="2A682631" w14:textId="6DD65BC5"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43.</w:t>
      </w:r>
      <w:r w:rsidRPr="006B4A66">
        <w:rPr>
          <w:rFonts w:ascii="Times New Roman" w:eastAsia="Calibri" w:hAnsi="Times New Roman" w:cs="Times New Roman"/>
          <w:color w:val="000000"/>
          <w:kern w:val="0"/>
          <w:sz w:val="24"/>
          <w14:ligatures w14:val="none"/>
        </w:rPr>
        <w:t xml:space="preserve">  There is hereby added to K.C.C. chapter 16.05 a new section to read as follows:</w:t>
      </w:r>
    </w:p>
    <w:p w14:paraId="788DF299"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0"/>
          <w14:ligatures w14:val="none"/>
        </w:rPr>
        <w:tab/>
        <w:t>Table R311.2 of the International Residential Code is not adopted and the following is substituted:</w:t>
      </w:r>
    </w:p>
    <w:p w14:paraId="78A0DEC0" w14:textId="645EA32C"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 xml:space="preserve">Egress </w:t>
      </w:r>
      <w:r w:rsidR="003E791C">
        <w:rPr>
          <w:rFonts w:ascii="Times New Roman" w:eastAsia="Calibri" w:hAnsi="Times New Roman" w:cs="Times New Roman"/>
          <w:b/>
          <w:bCs/>
          <w:color w:val="000000"/>
          <w:kern w:val="0"/>
          <w:sz w:val="24"/>
          <w14:ligatures w14:val="none"/>
        </w:rPr>
        <w:t>d</w:t>
      </w:r>
      <w:r w:rsidRPr="006B4A66">
        <w:rPr>
          <w:rFonts w:ascii="Times New Roman" w:eastAsia="Calibri" w:hAnsi="Times New Roman" w:cs="Times New Roman"/>
          <w:b/>
          <w:bCs/>
          <w:color w:val="000000"/>
          <w:kern w:val="0"/>
          <w:sz w:val="24"/>
          <w14:ligatures w14:val="none"/>
        </w:rPr>
        <w:t>oor (IRC 311.2).</w:t>
      </w:r>
      <w:r w:rsidRPr="006B4A66">
        <w:rPr>
          <w:rFonts w:ascii="Times New Roman" w:eastAsia="Calibri" w:hAnsi="Times New Roman" w:cs="Times New Roman"/>
          <w:color w:val="000000"/>
          <w:kern w:val="0"/>
          <w:sz w:val="24"/>
          <w14:ligatures w14:val="none"/>
        </w:rPr>
        <w:t xml:space="preserve">  Not less than one egress door shall be provided for each dwelling unit, including from all habitable rooms and spaces within or above garages.  The egress door shall be side-hinged and shall provide a clear width of not less than 32 inches (813 millimeters) where measured between the face of the door and the stop, with the door open 90 degrees.  The clear height of the door opening shall be not less than 78 inches (1,981 millimeters) in height measured from the top of the threshold to the bottom of the stop.  Other doors shall not be required to comply with these minimum dimensions.  Egress doors shall be readily openable from inside the dwelling without the use of a key or special knowledge or effort.</w:t>
      </w:r>
    </w:p>
    <w:p w14:paraId="4E8E5FAA" w14:textId="538B7E5D"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0"/>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0"/>
          <w:u w:val="single"/>
          <w14:ligatures w14:val="none"/>
        </w:rPr>
        <w:t>NEW SECTION.  SECTION 44.</w:t>
      </w:r>
      <w:r w:rsidRPr="006B4A66">
        <w:rPr>
          <w:rFonts w:ascii="Times New Roman" w:eastAsia="Times New Roman" w:hAnsi="Times New Roman" w:cs="Times New Roman"/>
          <w:color w:val="000000"/>
          <w:kern w:val="0"/>
          <w:sz w:val="24"/>
          <w:szCs w:val="20"/>
          <w14:ligatures w14:val="none"/>
        </w:rPr>
        <w:t xml:space="preserve">  There is hereby added to K.C.C. chapter 16.07 a new section to read as follows:</w:t>
      </w:r>
    </w:p>
    <w:p w14:paraId="46F8D699"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lastRenderedPageBreak/>
        <w:tab/>
        <w:t>Section C101 of the Washington State Energy Code – Commercial Provisions is supplemented with the following:</w:t>
      </w:r>
    </w:p>
    <w:p w14:paraId="534D7D41" w14:textId="119F2E73"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b/>
          <w:bCs/>
          <w:color w:val="000000"/>
          <w:kern w:val="0"/>
          <w:sz w:val="24"/>
          <w:szCs w:val="24"/>
          <w14:ligatures w14:val="none"/>
        </w:rPr>
        <w:t>Vesting of initial tenant improvements (WSEC C101.7).</w:t>
      </w:r>
      <w:r w:rsidRPr="006B4A66">
        <w:rPr>
          <w:rFonts w:ascii="Times New Roman" w:eastAsia="Times New Roman" w:hAnsi="Times New Roman" w:cs="Times New Roman"/>
          <w:color w:val="000000"/>
          <w:kern w:val="0"/>
          <w:sz w:val="24"/>
          <w:szCs w:val="24"/>
          <w14:ligatures w14:val="none"/>
        </w:rPr>
        <w:t xml:space="preserve">  </w:t>
      </w:r>
      <w:r w:rsidR="004B43BA">
        <w:rPr>
          <w:rFonts w:ascii="Times New Roman" w:eastAsia="Times New Roman" w:hAnsi="Times New Roman" w:cs="Times New Roman"/>
          <w:color w:val="000000"/>
          <w:kern w:val="0"/>
          <w:sz w:val="24"/>
          <w:szCs w:val="24"/>
          <w14:ligatures w14:val="none"/>
        </w:rPr>
        <w:t xml:space="preserve">If permit applications are submitted within 18 months of the final inspection </w:t>
      </w:r>
      <w:r w:rsidR="00940570">
        <w:rPr>
          <w:rFonts w:ascii="Times New Roman" w:eastAsia="Times New Roman" w:hAnsi="Times New Roman" w:cs="Times New Roman"/>
          <w:color w:val="000000"/>
          <w:kern w:val="0"/>
          <w:sz w:val="24"/>
          <w:szCs w:val="24"/>
          <w14:ligatures w14:val="none"/>
        </w:rPr>
        <w:t>approval date of a building,</w:t>
      </w:r>
      <w:r w:rsidRPr="006B4A66">
        <w:rPr>
          <w:rFonts w:ascii="Times New Roman" w:eastAsia="Times New Roman" w:hAnsi="Times New Roman" w:cs="Times New Roman"/>
          <w:color w:val="000000"/>
          <w:kern w:val="0"/>
          <w:sz w:val="24"/>
          <w:szCs w:val="24"/>
          <w14:ligatures w14:val="none"/>
        </w:rPr>
        <w:t xml:space="preserve"> initial tenant improvements within </w:t>
      </w:r>
      <w:r w:rsidR="00940570">
        <w:rPr>
          <w:rFonts w:ascii="Times New Roman" w:eastAsia="Times New Roman" w:hAnsi="Times New Roman" w:cs="Times New Roman"/>
          <w:color w:val="000000"/>
          <w:kern w:val="0"/>
          <w:sz w:val="24"/>
          <w:szCs w:val="24"/>
          <w14:ligatures w14:val="none"/>
        </w:rPr>
        <w:t>the</w:t>
      </w:r>
      <w:r w:rsidRPr="006B4A66">
        <w:rPr>
          <w:rFonts w:ascii="Times New Roman" w:eastAsia="Times New Roman" w:hAnsi="Times New Roman" w:cs="Times New Roman"/>
          <w:color w:val="000000"/>
          <w:kern w:val="0"/>
          <w:sz w:val="24"/>
          <w:szCs w:val="24"/>
          <w14:ligatures w14:val="none"/>
        </w:rPr>
        <w:t xml:space="preserve"> building are permitted to comply with the</w:t>
      </w:r>
      <w:r w:rsidR="008C58C4">
        <w:rPr>
          <w:rFonts w:ascii="Times New Roman" w:eastAsia="Times New Roman" w:hAnsi="Times New Roman" w:cs="Times New Roman"/>
          <w:color w:val="000000"/>
          <w:kern w:val="0"/>
          <w:sz w:val="24"/>
          <w:szCs w:val="24"/>
          <w14:ligatures w14:val="none"/>
        </w:rPr>
        <w:t xml:space="preserve"> edition of</w:t>
      </w:r>
      <w:r w:rsidR="00712EF3">
        <w:rPr>
          <w:rFonts w:ascii="Times New Roman" w:eastAsia="Times New Roman" w:hAnsi="Times New Roman" w:cs="Times New Roman"/>
          <w:color w:val="000000"/>
          <w:kern w:val="0"/>
          <w:sz w:val="24"/>
          <w:szCs w:val="24"/>
          <w14:ligatures w14:val="none"/>
        </w:rPr>
        <w:t xml:space="preserve"> King County Building</w:t>
      </w:r>
      <w:r w:rsidRPr="006B4A66">
        <w:rPr>
          <w:rFonts w:ascii="Times New Roman" w:eastAsia="Times New Roman" w:hAnsi="Times New Roman" w:cs="Times New Roman"/>
          <w:color w:val="000000"/>
          <w:kern w:val="0"/>
          <w:sz w:val="24"/>
          <w:szCs w:val="24"/>
          <w14:ligatures w14:val="none"/>
        </w:rPr>
        <w:t xml:space="preserve"> </w:t>
      </w:r>
      <w:r w:rsidR="00712EF3">
        <w:rPr>
          <w:rFonts w:ascii="Times New Roman" w:eastAsia="Times New Roman" w:hAnsi="Times New Roman" w:cs="Times New Roman"/>
          <w:color w:val="000000"/>
          <w:kern w:val="0"/>
          <w:sz w:val="24"/>
          <w:szCs w:val="24"/>
          <w14:ligatures w14:val="none"/>
        </w:rPr>
        <w:t>Code</w:t>
      </w:r>
      <w:r w:rsidRPr="006B4A66">
        <w:rPr>
          <w:rFonts w:ascii="Times New Roman" w:eastAsia="Times New Roman" w:hAnsi="Times New Roman" w:cs="Times New Roman"/>
          <w:color w:val="000000"/>
          <w:kern w:val="0"/>
          <w:sz w:val="24"/>
          <w:szCs w:val="24"/>
          <w14:ligatures w14:val="none"/>
        </w:rPr>
        <w:t xml:space="preserve"> applicable to the building.</w:t>
      </w:r>
    </w:p>
    <w:p w14:paraId="5ECB0000" w14:textId="297BA1E9"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45.</w:t>
      </w:r>
      <w:r w:rsidRPr="006B4A66">
        <w:rPr>
          <w:rFonts w:ascii="Times New Roman" w:eastAsia="Times New Roman" w:hAnsi="Times New Roman" w:cs="Times New Roman"/>
          <w:color w:val="000000"/>
          <w:kern w:val="0"/>
          <w:sz w:val="24"/>
          <w:szCs w:val="24"/>
          <w14:ligatures w14:val="none"/>
        </w:rPr>
        <w:t xml:space="preserve">  Ordinance 19485, Section 72, and K.C.C. 16.07.040 are hereby amended to read as follows:</w:t>
      </w:r>
    </w:p>
    <w:p w14:paraId="2CCBF497"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The definitions in this section apply to this chapter and supplement the definitions contained in the ((</w:t>
      </w:r>
      <w:r w:rsidRPr="006B4A66">
        <w:rPr>
          <w:rFonts w:ascii="Times New Roman" w:eastAsia="Times New Roman" w:hAnsi="Times New Roman" w:cs="Times New Roman"/>
          <w:strike/>
          <w:color w:val="000000"/>
          <w:kern w:val="0"/>
          <w:sz w:val="24"/>
          <w:szCs w:val="24"/>
          <w14:ligatures w14:val="none"/>
        </w:rPr>
        <w:t>IECC</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WSEC</w:t>
      </w:r>
      <w:r w:rsidRPr="006B4A66">
        <w:rPr>
          <w:rFonts w:ascii="Times New Roman" w:eastAsia="Times New Roman" w:hAnsi="Times New Roman" w:cs="Times New Roman"/>
          <w:color w:val="000000"/>
          <w:kern w:val="0"/>
          <w:sz w:val="24"/>
          <w:szCs w:val="24"/>
          <w14:ligatures w14:val="none"/>
        </w:rPr>
        <w:t xml:space="preserve"> as adopted, amended</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 xml:space="preserve"> and supplemented by this title.  Where definitions in this section differ from the definitions in the International codes as amended and supplemented by K.C.C. chapter 16.03, the definitions in this section shall control.</w:t>
      </w:r>
    </w:p>
    <w:p w14:paraId="2773109C" w14:textId="77777777" w:rsidR="006B4A66" w:rsidRPr="006B4A66" w:rsidRDefault="006B4A66" w:rsidP="0073496A">
      <w:pPr>
        <w:widowControl w:val="0"/>
        <w:tabs>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A.  AAMA:  the American Architectural Manufacturers Association.</w:t>
      </w:r>
    </w:p>
    <w:p w14:paraId="0450FCA7" w14:textId="77777777" w:rsidR="006B4A66" w:rsidRPr="006B4A66" w:rsidRDefault="006B4A66" w:rsidP="0073496A">
      <w:pPr>
        <w:widowControl w:val="0"/>
        <w:tabs>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B.  Affordable housing:  buildings that:</w:t>
      </w:r>
    </w:p>
    <w:p w14:paraId="31F94D30" w14:textId="77777777" w:rsidR="006B4A66" w:rsidRPr="006B4A66" w:rsidRDefault="006B4A66" w:rsidP="0073496A">
      <w:pPr>
        <w:widowControl w:val="0"/>
        <w:tabs>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  1.  Are owned by a public housing authority for the purpose of providing housing ((</w:t>
      </w:r>
      <w:r w:rsidRPr="006B4A66">
        <w:rPr>
          <w:rFonts w:ascii="Times New Roman" w:eastAsia="Times New Roman" w:hAnsi="Times New Roman" w:cs="Times New Roman"/>
          <w:strike/>
          <w:color w:val="000000"/>
          <w:kern w:val="0"/>
          <w:sz w:val="24"/>
          <w:szCs w:val="24"/>
          <w14:ligatures w14:val="none"/>
        </w:rPr>
        <w:t>the</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that</w:t>
      </w:r>
      <w:r w:rsidRPr="006B4A66">
        <w:rPr>
          <w:rFonts w:ascii="Times New Roman" w:eastAsia="Times New Roman" w:hAnsi="Times New Roman" w:cs="Times New Roman"/>
          <w:color w:val="000000"/>
          <w:kern w:val="0"/>
          <w:sz w:val="24"/>
          <w:szCs w:val="24"/>
          <w14:ligatures w14:val="none"/>
        </w:rPr>
        <w:t xml:space="preserve"> restricts at least 51 percent of the units to be occupied by and </w:t>
      </w:r>
      <w:r w:rsidRPr="006B4A66">
        <w:rPr>
          <w:rFonts w:ascii="Times New Roman" w:eastAsia="Times New Roman" w:hAnsi="Times New Roman" w:cs="Times New Roman"/>
          <w:color w:val="000000"/>
          <w:kern w:val="0"/>
          <w:sz w:val="24"/>
          <w:szCs w:val="24"/>
          <w:u w:val="single"/>
          <w14:ligatures w14:val="none"/>
        </w:rPr>
        <w:t xml:space="preserve">made </w:t>
      </w:r>
      <w:r w:rsidRPr="006B4A66">
        <w:rPr>
          <w:rFonts w:ascii="Times New Roman" w:eastAsia="Times New Roman" w:hAnsi="Times New Roman" w:cs="Times New Roman"/>
          <w:color w:val="000000"/>
          <w:kern w:val="0"/>
          <w:sz w:val="24"/>
          <w:szCs w:val="24"/>
          <w14:ligatures w14:val="none"/>
        </w:rPr>
        <w:t>affordable to households with incomes no more than 80 percent of area median income;</w:t>
      </w:r>
    </w:p>
    <w:p w14:paraId="4412FEF5" w14:textId="77777777" w:rsidR="006B4A66" w:rsidRPr="006B4A66" w:rsidRDefault="006B4A66" w:rsidP="0073496A">
      <w:pPr>
        <w:widowControl w:val="0"/>
        <w:tabs>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  2.  Are owned by a government agency or nonprofit organization and operated as a shelter, including temporary and emergency shelter facilities providing day and warming centers that do not provide overnight accommodation, for people receiving support services from county-recognized assistance programs for homelessness; or</w:t>
      </w:r>
    </w:p>
    <w:p w14:paraId="27CBD2A6" w14:textId="77777777" w:rsidR="006B4A66" w:rsidRPr="006B4A66" w:rsidRDefault="006B4A66" w:rsidP="0073496A">
      <w:pPr>
        <w:widowControl w:val="0"/>
        <w:tabs>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  3.  Are subject to a regulatory agreement, covenant</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 xml:space="preserve"> or other legal instrument </w:t>
      </w:r>
      <w:r w:rsidRPr="006B4A66">
        <w:rPr>
          <w:rFonts w:ascii="Times New Roman" w:eastAsia="Times New Roman" w:hAnsi="Times New Roman" w:cs="Times New Roman"/>
          <w:color w:val="000000"/>
          <w:kern w:val="0"/>
          <w:sz w:val="24"/>
          <w:szCs w:val="24"/>
          <w14:ligatures w14:val="none"/>
        </w:rPr>
        <w:lastRenderedPageBreak/>
        <w:t>recorded on the property title for a minimum of 40 years that:</w:t>
      </w:r>
    </w:p>
    <w:p w14:paraId="515CF562" w14:textId="77777777" w:rsidR="006B4A66" w:rsidRPr="006B4A66" w:rsidRDefault="006B4A66" w:rsidP="0073496A">
      <w:pPr>
        <w:widowControl w:val="0"/>
        <w:tabs>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    a.  Restricts at least 51 percent of the units to be occupied by and </w:t>
      </w:r>
      <w:r w:rsidRPr="006B4A66">
        <w:rPr>
          <w:rFonts w:ascii="Times New Roman" w:eastAsia="Times New Roman" w:hAnsi="Times New Roman" w:cs="Times New Roman"/>
          <w:color w:val="000000"/>
          <w:kern w:val="0"/>
          <w:sz w:val="24"/>
          <w:szCs w:val="24"/>
          <w:u w:val="single"/>
          <w14:ligatures w14:val="none"/>
        </w:rPr>
        <w:t>made</w:t>
      </w:r>
      <w:r w:rsidRPr="006B4A66">
        <w:rPr>
          <w:rFonts w:ascii="Times New Roman" w:eastAsia="Times New Roman" w:hAnsi="Times New Roman" w:cs="Times New Roman"/>
          <w:color w:val="000000"/>
          <w:kern w:val="0"/>
          <w:sz w:val="24"/>
          <w:szCs w:val="24"/>
          <w14:ligatures w14:val="none"/>
        </w:rPr>
        <w:t xml:space="preserve"> affordable to households with incomes no more than 80 percent of area median income; or</w:t>
      </w:r>
    </w:p>
    <w:p w14:paraId="763E8A96" w14:textId="77777777" w:rsidR="006B4A66" w:rsidRPr="006B4A66" w:rsidRDefault="006B4A66" w:rsidP="0073496A">
      <w:pPr>
        <w:widowControl w:val="0"/>
        <w:tabs>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    b.  Restricts initial and subsequent sales of at least 51 percent of the residential units to households with incomes no more than 80 percent of area median income.</w:t>
      </w:r>
    </w:p>
    <w:p w14:paraId="5857A276" w14:textId="77777777" w:rsidR="006B4A66" w:rsidRPr="006B4A66" w:rsidRDefault="006B4A66" w:rsidP="0073496A">
      <w:pPr>
        <w:widowControl w:val="0"/>
        <w:tabs>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C.  </w:t>
      </w:r>
      <w:r w:rsidRPr="006B4A66">
        <w:rPr>
          <w:rFonts w:ascii="Times New Roman" w:eastAsia="Times New Roman" w:hAnsi="Times New Roman" w:cs="Times New Roman"/>
          <w:color w:val="000000"/>
          <w:kern w:val="0"/>
          <w:sz w:val="24"/>
          <w:szCs w:val="24"/>
          <w:u w:val="single"/>
          <w14:ligatures w14:val="none"/>
        </w:rPr>
        <w:t>AFUE: annual fuel utilization efficiency.</w:t>
      </w:r>
    </w:p>
    <w:p w14:paraId="35008061" w14:textId="77777777" w:rsidR="006B4A66" w:rsidRPr="006B4A66" w:rsidRDefault="006B4A66" w:rsidP="0073496A">
      <w:pPr>
        <w:widowControl w:val="0"/>
        <w:tabs>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D.</w:t>
      </w:r>
      <w:r w:rsidRPr="006B4A66">
        <w:rPr>
          <w:rFonts w:ascii="Times New Roman" w:eastAsia="Times New Roman" w:hAnsi="Times New Roman" w:cs="Times New Roman"/>
          <w:color w:val="000000"/>
          <w:kern w:val="0"/>
          <w:sz w:val="24"/>
          <w:szCs w:val="24"/>
          <w14:ligatures w14:val="none"/>
        </w:rPr>
        <w:t xml:space="preserve">  ASHRAE:  the American Society of Heating, Refrigerating and Air-Conditioning Engineers.</w:t>
      </w:r>
    </w:p>
    <w:p w14:paraId="6F49D836" w14:textId="77777777" w:rsidR="006B4A66" w:rsidRPr="006B4A66" w:rsidRDefault="006B4A66" w:rsidP="0073496A">
      <w:pPr>
        <w:widowControl w:val="0"/>
        <w:tabs>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D</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E</w:t>
      </w:r>
      <w:r w:rsidRPr="006B4A66">
        <w:rPr>
          <w:rFonts w:ascii="Times New Roman" w:eastAsia="Times New Roman" w:hAnsi="Times New Roman" w:cs="Times New Roman"/>
          <w:color w:val="000000"/>
          <w:kern w:val="0"/>
          <w:sz w:val="24"/>
          <w:szCs w:val="24"/>
          <w14:ligatures w14:val="none"/>
        </w:rPr>
        <w:t>.  ASTM:  the American Society for Testing and Materials.</w:t>
      </w:r>
    </w:p>
    <w:p w14:paraId="7EF87AB0" w14:textId="77777777" w:rsidR="006B4A66" w:rsidRPr="006B4A66" w:rsidRDefault="006B4A66" w:rsidP="0073496A">
      <w:pPr>
        <w:widowControl w:val="0"/>
        <w:tabs>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E.</w:t>
      </w:r>
      <w:r w:rsidRPr="006B4A66">
        <w:rPr>
          <w:rFonts w:ascii="Times New Roman" w:eastAsia="Times New Roman" w:hAnsi="Times New Roman" w:cs="Times New Roman"/>
          <w:color w:val="000000"/>
          <w:kern w:val="0"/>
          <w:sz w:val="24"/>
          <w:szCs w:val="24"/>
          <w14:ligatures w14:val="none"/>
        </w:rPr>
        <w:t>)  ((</w:t>
      </w:r>
      <w:r w:rsidRPr="006B4A66">
        <w:rPr>
          <w:rFonts w:ascii="Times New Roman" w:eastAsia="Times New Roman" w:hAnsi="Times New Roman" w:cs="Times New Roman"/>
          <w:strike/>
          <w:color w:val="000000"/>
          <w:kern w:val="0"/>
          <w:sz w:val="24"/>
          <w:szCs w:val="24"/>
          <w14:ligatures w14:val="none"/>
        </w:rPr>
        <w:t>Automatic control device:  a device capable of automatically turning electrical loads off and on without manual intervention</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F.  Best efficiency point (BEP): The pump hydraulic power operating point, consisting of both flow and head conditions, that results in the maximum efficiency</w:t>
      </w:r>
      <w:r w:rsidRPr="006B4A66">
        <w:rPr>
          <w:rFonts w:ascii="Times New Roman" w:eastAsia="Times New Roman" w:hAnsi="Times New Roman" w:cs="Times New Roman"/>
          <w:color w:val="000000"/>
          <w:kern w:val="0"/>
          <w:sz w:val="24"/>
          <w:szCs w:val="24"/>
          <w14:ligatures w14:val="none"/>
        </w:rPr>
        <w:t>.</w:t>
      </w:r>
    </w:p>
    <w:p w14:paraId="1D87A182" w14:textId="77777777" w:rsidR="006B4A66" w:rsidRPr="006B4A66" w:rsidRDefault="006B4A66" w:rsidP="0073496A">
      <w:pPr>
        <w:widowControl w:val="0"/>
        <w:tabs>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F.</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G.</w:t>
      </w:r>
      <w:r w:rsidRPr="006B4A66">
        <w:rPr>
          <w:rFonts w:ascii="Times New Roman" w:eastAsia="Times New Roman" w:hAnsi="Times New Roman" w:cs="Times New Roman"/>
          <w:color w:val="000000"/>
          <w:kern w:val="0"/>
          <w:sz w:val="24"/>
          <w:szCs w:val="24"/>
          <w14:ligatures w14:val="none"/>
        </w:rPr>
        <w:t xml:space="preserve">  Btu:  British thermal units.</w:t>
      </w:r>
    </w:p>
    <w:p w14:paraId="774BBD88" w14:textId="77777777" w:rsidR="006B4A66" w:rsidRPr="006B4A66" w:rsidRDefault="006B4A66" w:rsidP="0073496A">
      <w:pPr>
        <w:widowControl w:val="0"/>
        <w:tabs>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G.</w:t>
      </w:r>
      <w:r w:rsidRPr="006B4A66">
        <w:rPr>
          <w:rFonts w:ascii="Times New Roman" w:eastAsia="Times New Roman" w:hAnsi="Times New Roman" w:cs="Times New Roman"/>
          <w:color w:val="000000"/>
          <w:kern w:val="0"/>
          <w:sz w:val="24"/>
          <w:szCs w:val="24"/>
          <w14:ligatures w14:val="none"/>
        </w:rPr>
        <w:t>))  ((</w:t>
      </w:r>
      <w:r w:rsidRPr="006B4A66">
        <w:rPr>
          <w:rFonts w:ascii="Times New Roman" w:eastAsia="Times New Roman" w:hAnsi="Times New Roman" w:cs="Times New Roman"/>
          <w:strike/>
          <w:color w:val="000000"/>
          <w:kern w:val="0"/>
          <w:sz w:val="24"/>
          <w:szCs w:val="24"/>
          <w14:ligatures w14:val="none"/>
        </w:rPr>
        <w:t xml:space="preserve">Conditioned space:  an area, room or space enclosed within the building thermal envelope and that is directly or indirectly heated or cooled.  Spaces are indirectly heated or cooled where they communicate through openings with conditioned spaces, where they are separated from conditioned spaces by uninsulated walls, floors or ceilings, or where they contain uninsulated ducts, piping or other sources of heating or cooling.  Elevator shafts, stair enclosures, enclosed corridors connecting conditioned spaces and enclosed spaces through which conditioned air is transferred at a rate exceeding three air changes per hour are considered conditioned spaces for the purposes of the building </w:t>
      </w:r>
      <w:r w:rsidRPr="006B4A66">
        <w:rPr>
          <w:rFonts w:ascii="Times New Roman" w:eastAsia="Times New Roman" w:hAnsi="Times New Roman" w:cs="Times New Roman"/>
          <w:strike/>
          <w:color w:val="000000"/>
          <w:kern w:val="0"/>
          <w:sz w:val="24"/>
          <w:szCs w:val="24"/>
          <w14:ligatures w14:val="none"/>
        </w:rPr>
        <w:lastRenderedPageBreak/>
        <w:t>thermal envelope requirement</w:t>
      </w:r>
      <w:r w:rsidRPr="006B4A66">
        <w:rPr>
          <w:rFonts w:ascii="Times New Roman" w:eastAsia="Times New Roman" w:hAnsi="Times New Roman" w:cs="Times New Roman"/>
          <w:color w:val="000000"/>
          <w:kern w:val="0"/>
          <w:sz w:val="24"/>
          <w:szCs w:val="24"/>
          <w14:ligatures w14:val="none"/>
        </w:rPr>
        <w:t>s.</w:t>
      </w:r>
    </w:p>
    <w:p w14:paraId="2FB30B49" w14:textId="77777777" w:rsidR="006B4A66" w:rsidRPr="006B4A66" w:rsidRDefault="006B4A66" w:rsidP="0073496A">
      <w:pPr>
        <w:widowControl w:val="0"/>
        <w:tabs>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strike/>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H.</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strike/>
          <w:color w:val="000000"/>
          <w:kern w:val="0"/>
          <w:sz w:val="24"/>
          <w:szCs w:val="24"/>
          <w14:ligatures w14:val="none"/>
        </w:rPr>
        <w:t>Continuous insulation:  insulating material that is continuous across all structural members without metal thermal bridges other than fasteners that have a total cross-sectional area not more than 0.04 percent (0.12 percent where all metal thermal bridges are stainless steel) of the envelope surface through which they penetrate, and service openings.  It is installed on the interior or exterior or is integral to any opaque surface of the building envelope.</w:t>
      </w:r>
    </w:p>
    <w:p w14:paraId="02C4B32F" w14:textId="77777777" w:rsidR="006B4A66" w:rsidRPr="006B4A66" w:rsidRDefault="006B4A66" w:rsidP="0073496A">
      <w:pPr>
        <w:widowControl w:val="0"/>
        <w:tabs>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4"/>
          <w:u w:val="single"/>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I.  Controlled receptacle:  an electrical receptacle that is controlled by an automatic control device.</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H.  Btu/h:  British thermal units per hour.</w:t>
      </w:r>
    </w:p>
    <w:p w14:paraId="4F1AC660" w14:textId="77777777" w:rsidR="006B4A66" w:rsidRPr="006B4A66" w:rsidRDefault="006B4A66" w:rsidP="0073496A">
      <w:pPr>
        <w:widowControl w:val="0"/>
        <w:tabs>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4"/>
          <w:u w:val="single"/>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0"/>
          <w:u w:val="single"/>
          <w14:ligatures w14:val="none"/>
        </w:rPr>
        <w:t xml:space="preserve">I.  </w:t>
      </w:r>
      <w:r w:rsidRPr="006B4A66">
        <w:rPr>
          <w:rFonts w:ascii="Times New Roman" w:eastAsia="Times New Roman" w:hAnsi="Times New Roman" w:cs="Times New Roman"/>
          <w:color w:val="000000"/>
          <w:kern w:val="0"/>
          <w:sz w:val="24"/>
          <w:szCs w:val="24"/>
          <w:u w:val="single"/>
          <w14:ligatures w14:val="none"/>
        </w:rPr>
        <w:t>Clean water pump:  A device designed for use in pumping water with a maximum nonabsorbent free solid content of 0.016 pounds per cubic foot (0.256 kilograms per cubic meter) and with a maximum dissolved solid content of 3.1 pounds per cubic foot (49.66 kilograms per cubic meter), provided that the total gas content of the water does not exceed the saturation volume, and disregarding any additives necessary to prevent the water from freezing at a minimum of 14</w:t>
      </w:r>
      <w:r w:rsidRPr="006B4A66">
        <w:rPr>
          <w:rFonts w:ascii="Courier" w:eastAsia="Times New Roman" w:hAnsi="Courier" w:cs="Times New Roman"/>
          <w:color w:val="000000"/>
          <w:kern w:val="0"/>
          <w:sz w:val="24"/>
          <w:szCs w:val="20"/>
          <w:u w:val="single"/>
          <w14:ligatures w14:val="none"/>
        </w:rPr>
        <w:t>°</w:t>
      </w:r>
      <w:r w:rsidRPr="006B4A66">
        <w:rPr>
          <w:rFonts w:ascii="Times New Roman" w:eastAsia="Times New Roman" w:hAnsi="Times New Roman" w:cs="Times New Roman"/>
          <w:color w:val="000000"/>
          <w:kern w:val="0"/>
          <w:sz w:val="24"/>
          <w:szCs w:val="24"/>
          <w:u w:val="single"/>
          <w14:ligatures w14:val="none"/>
        </w:rPr>
        <w:t xml:space="preserve"> Fahrenheit (-10</w:t>
      </w:r>
      <w:r w:rsidRPr="006B4A66">
        <w:rPr>
          <w:rFonts w:ascii="Courier" w:eastAsia="Times New Roman" w:hAnsi="Courier" w:cs="Times New Roman"/>
          <w:color w:val="000000"/>
          <w:kern w:val="0"/>
          <w:sz w:val="24"/>
          <w:szCs w:val="20"/>
          <w:u w:val="single"/>
          <w14:ligatures w14:val="none"/>
        </w:rPr>
        <w:t>°</w:t>
      </w:r>
      <w:r w:rsidRPr="006B4A66">
        <w:rPr>
          <w:rFonts w:ascii="Times New Roman" w:eastAsia="Times New Roman" w:hAnsi="Times New Roman" w:cs="Times New Roman"/>
          <w:color w:val="000000"/>
          <w:kern w:val="0"/>
          <w:sz w:val="24"/>
          <w:szCs w:val="24"/>
          <w:u w:val="single"/>
          <w14:ligatures w14:val="none"/>
        </w:rPr>
        <w:t xml:space="preserve"> Celsius).</w:t>
      </w:r>
    </w:p>
    <w:p w14:paraId="51392279" w14:textId="77777777" w:rsidR="006B4A66" w:rsidRPr="006B4A66" w:rsidRDefault="006B4A66" w:rsidP="0073496A">
      <w:pPr>
        <w:widowControl w:val="0"/>
        <w:tabs>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4"/>
          <w:u w:val="single"/>
          <w14:ligatures w14:val="none"/>
        </w:rPr>
      </w:pPr>
      <w:r w:rsidRPr="006B4A66">
        <w:rPr>
          <w:rFonts w:ascii="Times New Roman" w:eastAsia="Times New Roman" w:hAnsi="Times New Roman" w:cs="Times New Roman"/>
          <w:color w:val="000000"/>
          <w:kern w:val="0"/>
          <w:sz w:val="24"/>
          <w:szCs w:val="24"/>
          <w14:ligatures w14:val="none"/>
        </w:rPr>
        <w:tab/>
        <w:t>J.  CSA:  the ((</w:t>
      </w:r>
      <w:r w:rsidRPr="006B4A66">
        <w:rPr>
          <w:rFonts w:ascii="Times New Roman" w:eastAsia="Times New Roman" w:hAnsi="Times New Roman" w:cs="Times New Roman"/>
          <w:strike/>
          <w:color w:val="000000"/>
          <w:kern w:val="0"/>
          <w:sz w:val="24"/>
          <w:szCs w:val="24"/>
          <w14:ligatures w14:val="none"/>
        </w:rPr>
        <w:t>CSA</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Canadian Standards Association</w:t>
      </w:r>
      <w:r w:rsidRPr="006B4A66">
        <w:rPr>
          <w:rFonts w:ascii="Times New Roman" w:eastAsia="Times New Roman" w:hAnsi="Times New Roman" w:cs="Times New Roman"/>
          <w:color w:val="000000"/>
          <w:kern w:val="0"/>
          <w:sz w:val="24"/>
          <w:szCs w:val="24"/>
          <w14:ligatures w14:val="none"/>
        </w:rPr>
        <w:t xml:space="preserve"> group.</w:t>
      </w:r>
    </w:p>
    <w:p w14:paraId="17EC6562" w14:textId="77777777" w:rsidR="006B4A66" w:rsidRPr="006B4A66" w:rsidRDefault="006B4A66" w:rsidP="0073496A">
      <w:pPr>
        <w:widowControl w:val="0"/>
        <w:tabs>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strike/>
          <w:color w:val="000000"/>
          <w:kern w:val="0"/>
          <w:sz w:val="24"/>
          <w:szCs w:val="20"/>
          <w14:ligatures w14:val="none"/>
        </w:rPr>
      </w:pPr>
      <w:r w:rsidRPr="006B4A66">
        <w:rPr>
          <w:rFonts w:ascii="Times New Roman" w:eastAsia="Times New Roman" w:hAnsi="Times New Roman" w:cs="Times New Roman"/>
          <w:color w:val="000000"/>
          <w:kern w:val="0"/>
          <w:sz w:val="24"/>
          <w:szCs w:val="20"/>
          <w14:ligatures w14:val="none"/>
        </w:rPr>
        <w:tab/>
        <w:t>K.  ((</w:t>
      </w:r>
      <w:r w:rsidRPr="006B4A66">
        <w:rPr>
          <w:rFonts w:ascii="Times New Roman" w:eastAsia="Times New Roman" w:hAnsi="Times New Roman" w:cs="Times New Roman"/>
          <w:strike/>
          <w:color w:val="000000"/>
          <w:kern w:val="0"/>
          <w:sz w:val="24"/>
          <w:szCs w:val="20"/>
          <w14:ligatures w14:val="none"/>
        </w:rPr>
        <w:t>DOAS:  dedicated outdoor air system.</w:t>
      </w:r>
    </w:p>
    <w:p w14:paraId="62FA29E1" w14:textId="77777777" w:rsidR="006B4A66" w:rsidRPr="006B4A66" w:rsidRDefault="006B4A66" w:rsidP="0073496A">
      <w:pPr>
        <w:widowControl w:val="0"/>
        <w:tabs>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0"/>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strike/>
          <w:color w:val="000000"/>
          <w:kern w:val="0"/>
          <w:sz w:val="24"/>
          <w:szCs w:val="20"/>
          <w14:ligatures w14:val="none"/>
        </w:rPr>
        <w:t>L.</w:t>
      </w:r>
      <w:r w:rsidRPr="006B4A66">
        <w:rPr>
          <w:rFonts w:ascii="Times New Roman" w:eastAsia="Times New Roman" w:hAnsi="Times New Roman" w:cs="Times New Roman"/>
          <w:color w:val="000000"/>
          <w:kern w:val="0"/>
          <w:sz w:val="24"/>
          <w:szCs w:val="20"/>
          <w14:ligatures w14:val="none"/>
        </w:rPr>
        <w:t xml:space="preserve">))  </w:t>
      </w:r>
      <w:r w:rsidRPr="006B4A66">
        <w:rPr>
          <w:rFonts w:ascii="Times New Roman" w:eastAsia="Times New Roman" w:hAnsi="Times New Roman" w:cs="Times New Roman"/>
          <w:color w:val="000000"/>
          <w:kern w:val="0"/>
          <w:sz w:val="24"/>
          <w:szCs w:val="20"/>
          <w:u w:val="single"/>
          <w14:ligatures w14:val="none"/>
        </w:rPr>
        <w:t>EER: energy efficiency ratio.</w:t>
      </w:r>
    </w:p>
    <w:p w14:paraId="32258F4E" w14:textId="77777777" w:rsidR="006B4A66" w:rsidRPr="006B4A66" w:rsidRDefault="006B4A66" w:rsidP="0073496A">
      <w:pPr>
        <w:widowControl w:val="0"/>
        <w:tabs>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0"/>
          <w14:ligatures w14:val="none"/>
        </w:rPr>
      </w:pPr>
      <w:r w:rsidRPr="006B4A66">
        <w:rPr>
          <w:rFonts w:ascii="Times New Roman" w:eastAsia="Times New Roman" w:hAnsi="Times New Roman" w:cs="Times New Roman"/>
          <w:color w:val="000000"/>
          <w:kern w:val="0"/>
          <w:sz w:val="24"/>
          <w:szCs w:val="20"/>
          <w14:ligatures w14:val="none"/>
        </w:rPr>
        <w:tab/>
      </w:r>
      <w:r w:rsidRPr="006B4A66">
        <w:rPr>
          <w:rFonts w:ascii="Times New Roman" w:eastAsia="Times New Roman" w:hAnsi="Times New Roman" w:cs="Times New Roman"/>
          <w:color w:val="000000"/>
          <w:kern w:val="0"/>
          <w:sz w:val="24"/>
          <w:szCs w:val="20"/>
          <w:u w:val="single"/>
          <w14:ligatures w14:val="none"/>
        </w:rPr>
        <w:t>L.</w:t>
      </w:r>
      <w:r w:rsidRPr="006B4A66">
        <w:rPr>
          <w:rFonts w:ascii="Times New Roman" w:eastAsia="Times New Roman" w:hAnsi="Times New Roman" w:cs="Times New Roman"/>
          <w:color w:val="000000"/>
          <w:kern w:val="0"/>
          <w:sz w:val="24"/>
          <w:szCs w:val="20"/>
          <w14:ligatures w14:val="none"/>
        </w:rPr>
        <w:t xml:space="preserve">  Fossil fuel:  a substance used to generate energy as defined in K.C.C. 21A.06.532C.</w:t>
      </w:r>
    </w:p>
    <w:p w14:paraId="65F772C2" w14:textId="77777777" w:rsidR="006B4A66" w:rsidRPr="006B4A66" w:rsidRDefault="006B4A66" w:rsidP="0073496A">
      <w:pPr>
        <w:widowControl w:val="0"/>
        <w:tabs>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4"/>
          <w:u w:val="single"/>
          <w14:ligatures w14:val="none"/>
        </w:rPr>
      </w:pPr>
      <w:r w:rsidRPr="006B4A66">
        <w:rPr>
          <w:rFonts w:ascii="Times New Roman" w:eastAsia="Times New Roman" w:hAnsi="Times New Roman" w:cs="Times New Roman"/>
          <w:color w:val="000000"/>
          <w:kern w:val="0"/>
          <w:sz w:val="24"/>
          <w:szCs w:val="24"/>
          <w14:ligatures w14:val="none"/>
        </w:rPr>
        <w:tab/>
        <w:t xml:space="preserve">M.  </w:t>
      </w:r>
      <w:r w:rsidRPr="006B4A66">
        <w:rPr>
          <w:rFonts w:ascii="Times New Roman" w:eastAsia="Times New Roman" w:hAnsi="Times New Roman" w:cs="Times New Roman"/>
          <w:color w:val="000000"/>
          <w:kern w:val="0"/>
          <w:sz w:val="24"/>
          <w:szCs w:val="24"/>
          <w:u w:val="single"/>
          <w14:ligatures w14:val="none"/>
        </w:rPr>
        <w:t>High-end trim:  a lighting control setting which limits the maximum power to individual luminaires or groups of luminaires in a space.</w:t>
      </w:r>
    </w:p>
    <w:p w14:paraId="60FA6AFE" w14:textId="77777777" w:rsidR="006B4A66" w:rsidRPr="006B4A66" w:rsidRDefault="006B4A66" w:rsidP="0073496A">
      <w:pPr>
        <w:widowControl w:val="0"/>
        <w:tabs>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lastRenderedPageBreak/>
        <w:tab/>
      </w:r>
      <w:r w:rsidRPr="006B4A66">
        <w:rPr>
          <w:rFonts w:ascii="Times New Roman" w:eastAsia="Times New Roman" w:hAnsi="Times New Roman" w:cs="Times New Roman"/>
          <w:color w:val="000000"/>
          <w:kern w:val="0"/>
          <w:sz w:val="24"/>
          <w:szCs w:val="24"/>
          <w:u w:val="single"/>
          <w14:ligatures w14:val="none"/>
        </w:rPr>
        <w:t>N</w:t>
      </w:r>
      <w:r w:rsidRPr="006B4A66">
        <w:rPr>
          <w:rFonts w:ascii="Times New Roman" w:eastAsia="Times New Roman" w:hAnsi="Times New Roman" w:cs="Times New Roman"/>
          <w:color w:val="000000"/>
          <w:kern w:val="0"/>
          <w:sz w:val="24"/>
          <w:szCs w:val="24"/>
          <w14:ligatures w14:val="none"/>
        </w:rPr>
        <w:t>.  HPWH:  heat pump water heater.</w:t>
      </w:r>
    </w:p>
    <w:p w14:paraId="01E78F68" w14:textId="77777777" w:rsidR="006B4A66" w:rsidRPr="006B4A66" w:rsidRDefault="006B4A66" w:rsidP="0073496A">
      <w:pPr>
        <w:widowControl w:val="0"/>
        <w:tabs>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N.</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O.</w:t>
      </w:r>
      <w:r w:rsidRPr="006B4A66">
        <w:rPr>
          <w:rFonts w:ascii="Times New Roman" w:eastAsia="Times New Roman" w:hAnsi="Times New Roman" w:cs="Times New Roman"/>
          <w:color w:val="000000"/>
          <w:kern w:val="0"/>
          <w:sz w:val="24"/>
          <w:szCs w:val="24"/>
          <w14:ligatures w14:val="none"/>
        </w:rPr>
        <w:t xml:space="preserve">  HVAC:  heating, ventilation</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 xml:space="preserve"> and air conditioning.</w:t>
      </w:r>
    </w:p>
    <w:p w14:paraId="2B75494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O.</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P.  IEER:  integrated energy efficiency ratio.</w:t>
      </w:r>
    </w:p>
    <w:p w14:paraId="4D89AB2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Q. IPLV:  integrated part-load value.</w:t>
      </w:r>
    </w:p>
    <w:p w14:paraId="3577A6AC" w14:textId="77777777" w:rsidR="006B4A66" w:rsidRPr="006B4A66" w:rsidRDefault="006B4A66" w:rsidP="0073496A">
      <w:pPr>
        <w:widowControl w:val="0"/>
        <w:tabs>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R</w:t>
      </w:r>
      <w:r w:rsidRPr="006B4A66">
        <w:rPr>
          <w:rFonts w:ascii="Times New Roman" w:eastAsia="Times New Roman" w:hAnsi="Times New Roman" w:cs="Times New Roman"/>
          <w:color w:val="000000"/>
          <w:kern w:val="0"/>
          <w:sz w:val="24"/>
          <w:szCs w:val="24"/>
          <w14:ligatures w14:val="none"/>
        </w:rPr>
        <w:t>.  LLLC:  luminaire-level lighting control((</w:t>
      </w:r>
      <w:r w:rsidRPr="006B4A66">
        <w:rPr>
          <w:rFonts w:ascii="Times New Roman" w:eastAsia="Times New Roman" w:hAnsi="Times New Roman" w:cs="Times New Roman"/>
          <w:strike/>
          <w:color w:val="000000"/>
          <w:kern w:val="0"/>
          <w:sz w:val="24"/>
          <w:szCs w:val="24"/>
          <w14:ligatures w14:val="none"/>
        </w:rPr>
        <w:t>s</w:t>
      </w:r>
      <w:r w:rsidRPr="006B4A66">
        <w:rPr>
          <w:rFonts w:ascii="Times New Roman" w:eastAsia="Times New Roman" w:hAnsi="Times New Roman" w:cs="Times New Roman"/>
          <w:color w:val="000000"/>
          <w:kern w:val="0"/>
          <w:sz w:val="24"/>
          <w:szCs w:val="24"/>
          <w14:ligatures w14:val="none"/>
        </w:rPr>
        <w:t>)).</w:t>
      </w:r>
    </w:p>
    <w:p w14:paraId="4A41F478" w14:textId="77777777" w:rsidR="006B4A66" w:rsidRPr="006B4A66" w:rsidRDefault="006B4A66" w:rsidP="0073496A">
      <w:pPr>
        <w:widowControl w:val="0"/>
        <w:tabs>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P</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S.</w:t>
      </w:r>
      <w:r w:rsidRPr="006B4A66">
        <w:rPr>
          <w:rFonts w:ascii="Times New Roman" w:eastAsia="Times New Roman" w:hAnsi="Times New Roman" w:cs="Times New Roman"/>
          <w:color w:val="000000"/>
          <w:kern w:val="0"/>
          <w:sz w:val="24"/>
          <w:szCs w:val="24"/>
          <w14:ligatures w14:val="none"/>
        </w:rPr>
        <w:t xml:space="preserve">  LPD:  lighting power density.</w:t>
      </w:r>
    </w:p>
    <w:p w14:paraId="5F4C6D38" w14:textId="77777777" w:rsidR="006B4A66" w:rsidRPr="006B4A66" w:rsidRDefault="006B4A66" w:rsidP="0073496A">
      <w:pPr>
        <w:widowControl w:val="0"/>
        <w:tabs>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Q.  Mass transfer deck slab:  a concrete slab designed to transfer structural load from the building perimeter wall or column line above, laterally to an offset wall or column line below, and which has conditioned or semi-heated space on the inside of the upper wall and exterior or unconditioned space on the outside of the upper wall, such as the transition from an above-grade structure to a below-grade structure or the transition from a tower to a podium.  The area of the slab edge shall be defined as the thickness of the slab multiplied by the length of the edge condition.  A cantilevered concrete balcony does not constitute a mass transfer deck slab.</w:t>
      </w:r>
    </w:p>
    <w:p w14:paraId="1206DE14" w14:textId="77777777" w:rsidR="006B4A66" w:rsidRPr="006B4A66" w:rsidRDefault="006B4A66" w:rsidP="0073496A">
      <w:pPr>
        <w:widowControl w:val="0"/>
        <w:tabs>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strike/>
          <w:color w:val="000000"/>
          <w:kern w:val="0"/>
          <w:sz w:val="24"/>
          <w:szCs w:val="24"/>
          <w14:ligatures w14:val="none"/>
        </w:rPr>
        <w:t>R.  Multi-pass:  a heat pump water heater control strategy requiring multiple passes of water through the heat pump to reach the final target storage water temperature.</w:t>
      </w:r>
    </w:p>
    <w:p w14:paraId="2C826BD9" w14:textId="77777777" w:rsidR="006B4A66" w:rsidRPr="006B4A66" w:rsidRDefault="006B4A66" w:rsidP="0073496A">
      <w:pPr>
        <w:widowControl w:val="0"/>
        <w:tabs>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strike/>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strike/>
          <w:color w:val="000000"/>
          <w:kern w:val="0"/>
          <w:sz w:val="24"/>
          <w:szCs w:val="24"/>
          <w14:ligatures w14:val="none"/>
        </w:rPr>
        <w:t>S.</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T.</w:t>
      </w:r>
      <w:r w:rsidRPr="006B4A66">
        <w:rPr>
          <w:rFonts w:ascii="Times New Roman" w:eastAsia="Times New Roman" w:hAnsi="Times New Roman" w:cs="Times New Roman"/>
          <w:color w:val="000000"/>
          <w:kern w:val="0"/>
          <w:sz w:val="24"/>
          <w:szCs w:val="24"/>
          <w14:ligatures w14:val="none"/>
        </w:rPr>
        <w:t xml:space="preserve">  NAECA:  the National Appliance Energy Conservation Act of 1987.</w:t>
      </w:r>
    </w:p>
    <w:p w14:paraId="227041B8" w14:textId="77777777" w:rsidR="006B4A66" w:rsidRPr="006B4A66" w:rsidRDefault="006B4A66" w:rsidP="0073496A">
      <w:pPr>
        <w:widowControl w:val="0"/>
        <w:tabs>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T.</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U.</w:t>
      </w:r>
      <w:r w:rsidRPr="006B4A66">
        <w:rPr>
          <w:rFonts w:ascii="Times New Roman" w:eastAsia="Times New Roman" w:hAnsi="Times New Roman" w:cs="Times New Roman"/>
          <w:color w:val="000000"/>
          <w:kern w:val="0"/>
          <w:sz w:val="24"/>
          <w:szCs w:val="24"/>
          <w14:ligatures w14:val="none"/>
        </w:rPr>
        <w:t xml:space="preserve">  NFRC:  the National Fenestration Rating Council</w:t>
      </w:r>
      <w:r w:rsidRPr="006B4A66">
        <w:rPr>
          <w:rFonts w:ascii="Times New Roman" w:eastAsia="Times New Roman" w:hAnsi="Times New Roman" w:cs="Times New Roman"/>
          <w:color w:val="000000"/>
          <w:kern w:val="0"/>
          <w:sz w:val="24"/>
          <w:szCs w:val="24"/>
          <w:u w:val="single"/>
          <w14:ligatures w14:val="none"/>
        </w:rPr>
        <w:t>, Inc</w:t>
      </w:r>
      <w:r w:rsidRPr="006B4A66">
        <w:rPr>
          <w:rFonts w:ascii="Times New Roman" w:eastAsia="Times New Roman" w:hAnsi="Times New Roman" w:cs="Times New Roman"/>
          <w:color w:val="000000"/>
          <w:kern w:val="0"/>
          <w:sz w:val="24"/>
          <w:szCs w:val="24"/>
          <w14:ligatures w14:val="none"/>
        </w:rPr>
        <w:t>.</w:t>
      </w:r>
    </w:p>
    <w:p w14:paraId="4795FA2C" w14:textId="77777777" w:rsidR="006B4A66" w:rsidRPr="006B4A66" w:rsidRDefault="006B4A66" w:rsidP="0073496A">
      <w:pPr>
        <w:widowControl w:val="0"/>
        <w:tabs>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U.</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V.  Occupied-standby mode:  mode of operation when an HVAC zone is scheduled to be occupied and an occupant sensor indicates no occupants are within the zone.</w:t>
      </w:r>
    </w:p>
    <w:p w14:paraId="5FAB4B04" w14:textId="77777777" w:rsidR="006B4A66" w:rsidRPr="006B4A66" w:rsidRDefault="006B4A66" w:rsidP="0073496A">
      <w:pPr>
        <w:shd w:val="clear" w:color="auto" w:fill="FFFFFF"/>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W.  REC: renewable energy certificate.</w:t>
      </w:r>
    </w:p>
    <w:p w14:paraId="4969BAE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color w:val="000000"/>
          <w:kern w:val="0"/>
          <w:sz w:val="24"/>
          <w:u w:val="single"/>
          <w14:ligatures w14:val="none"/>
        </w:rPr>
        <w:t>X.  Renewable energy investment fund (REIF):  a fund established by the local government or other entity to accept payment from building owners to construct or acquire qualifying renewable energy (along with the associated RECs) on their behalf.</w:t>
      </w:r>
    </w:p>
    <w:p w14:paraId="78344A0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Y. SEER: seasonal energy efficiency ratio.</w:t>
      </w:r>
    </w:p>
    <w:p w14:paraId="09097A3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Z.  Semi-heated space:  an enclosed space within a building, including adjacent connected spaces separated by an uninsulated component such as basements, utility rooms, garages, or corridors, which:</w:t>
      </w:r>
    </w:p>
    <w:p w14:paraId="4BA1566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color w:val="000000"/>
          <w:kern w:val="0"/>
          <w:sz w:val="24"/>
          <w:u w:val="single"/>
          <w14:ligatures w14:val="none"/>
        </w:rPr>
        <w:t>1.  Is heated but not cooled, and has an installed heating system output capacity greater than or equal to 3.4 Btu/h per square foot (38.612 kilojoule/h per square meter) but not greater than 8 Btu/h per square foot (90.852 kilojoule/h per square meter).  Heating is permitted to be provided by heat pumps complying with the exception to WSEC Section C402.1.1.2; and</w:t>
      </w:r>
    </w:p>
    <w:p w14:paraId="077BCA5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color w:val="000000"/>
          <w:kern w:val="0"/>
          <w:sz w:val="24"/>
          <w:u w:val="single"/>
          <w14:ligatures w14:val="none"/>
        </w:rPr>
        <w:t>2.  Is not a walk-in cooler, walk-in freezer, refrigerated warehouse cooler, or refrigerated warehouse freezer space.</w:t>
      </w:r>
    </w:p>
    <w:p w14:paraId="330F26AE" w14:textId="77777777" w:rsidR="006B4A66" w:rsidRPr="006B4A66" w:rsidRDefault="006B4A66" w:rsidP="0073496A">
      <w:pPr>
        <w:widowControl w:val="0"/>
        <w:tabs>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AA.</w:t>
      </w:r>
      <w:r w:rsidRPr="006B4A66">
        <w:rPr>
          <w:rFonts w:ascii="Times New Roman" w:eastAsia="Times New Roman" w:hAnsi="Times New Roman" w:cs="Times New Roman"/>
          <w:color w:val="000000"/>
          <w:kern w:val="0"/>
          <w:sz w:val="24"/>
          <w:szCs w:val="24"/>
          <w14:ligatures w14:val="none"/>
        </w:rPr>
        <w:t xml:space="preserve">  Single-pass </w:t>
      </w:r>
      <w:r w:rsidRPr="006B4A66">
        <w:rPr>
          <w:rFonts w:ascii="Times New Roman" w:eastAsia="Times New Roman" w:hAnsi="Times New Roman" w:cs="Times New Roman"/>
          <w:color w:val="000000"/>
          <w:kern w:val="0"/>
          <w:sz w:val="24"/>
          <w:szCs w:val="24"/>
          <w:u w:val="single"/>
          <w14:ligatures w14:val="none"/>
        </w:rPr>
        <w:t>heat pump water heater</w:t>
      </w:r>
      <w:r w:rsidRPr="006B4A66">
        <w:rPr>
          <w:rFonts w:ascii="Times New Roman" w:eastAsia="Times New Roman" w:hAnsi="Times New Roman" w:cs="Times New Roman"/>
          <w:color w:val="000000"/>
          <w:kern w:val="0"/>
          <w:sz w:val="24"/>
          <w:szCs w:val="24"/>
          <w14:ligatures w14:val="none"/>
        </w:rPr>
        <w:t>:  a heat pump water heater control strategy using variable flow or variable capacity to deliver water from the heat pump at the final target storage water temperature in a single pass through the heat exchanger with variable incoming water temperatures.</w:t>
      </w:r>
    </w:p>
    <w:p w14:paraId="674BB355" w14:textId="77777777" w:rsidR="006B4A66" w:rsidRPr="006B4A66" w:rsidRDefault="006B4A66" w:rsidP="0073496A">
      <w:pPr>
        <w:widowControl w:val="0"/>
        <w:tabs>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strike/>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V.  Solar zone:  a clear area or areas reserved solely for current or future installation of photovoltaic or solar hot water systems.</w:t>
      </w:r>
    </w:p>
    <w:p w14:paraId="5E2BA0B7" w14:textId="77777777" w:rsidR="006B4A66" w:rsidRPr="006B4A66" w:rsidRDefault="006B4A66" w:rsidP="0073496A">
      <w:pPr>
        <w:widowControl w:val="0"/>
        <w:tabs>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strike/>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strike/>
          <w:color w:val="000000"/>
          <w:kern w:val="0"/>
          <w:sz w:val="24"/>
          <w:szCs w:val="24"/>
          <w14:ligatures w14:val="none"/>
        </w:rPr>
        <w:t>W.  Temperature maintenance:  the system used to maintain the temperature of the building domestic hot water delivery system, typically by circulation and reheating or by a heat trace system.</w:t>
      </w:r>
      <w:r w:rsidRPr="006B4A66">
        <w:rPr>
          <w:rFonts w:ascii="Times New Roman" w:eastAsia="Times New Roman" w:hAnsi="Times New Roman" w:cs="Times New Roman"/>
          <w:color w:val="000000"/>
          <w:kern w:val="0"/>
          <w:sz w:val="24"/>
          <w:szCs w:val="24"/>
          <w14:ligatures w14:val="none"/>
        </w:rPr>
        <w:t>))</w:t>
      </w:r>
    </w:p>
    <w:p w14:paraId="4AC16858" w14:textId="77777777" w:rsidR="006B4A66" w:rsidRPr="006B4A66" w:rsidRDefault="006B4A66" w:rsidP="0073496A">
      <w:pPr>
        <w:widowControl w:val="0"/>
        <w:tabs>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lastRenderedPageBreak/>
        <w:tab/>
        <w:t>((</w:t>
      </w:r>
      <w:r w:rsidRPr="006B4A66">
        <w:rPr>
          <w:rFonts w:ascii="Times New Roman" w:eastAsia="Times New Roman" w:hAnsi="Times New Roman" w:cs="Times New Roman"/>
          <w:strike/>
          <w:color w:val="000000"/>
          <w:kern w:val="0"/>
          <w:sz w:val="24"/>
          <w:szCs w:val="24"/>
          <w14:ligatures w14:val="none"/>
        </w:rPr>
        <w:t>X.</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BB.</w:t>
      </w:r>
      <w:r w:rsidRPr="006B4A66">
        <w:rPr>
          <w:rFonts w:ascii="Times New Roman" w:eastAsia="Times New Roman" w:hAnsi="Times New Roman" w:cs="Times New Roman"/>
          <w:color w:val="000000"/>
          <w:kern w:val="0"/>
          <w:sz w:val="24"/>
          <w:szCs w:val="24"/>
          <w14:ligatures w14:val="none"/>
        </w:rPr>
        <w:t xml:space="preserve">  TSPR:  total system performance ratio.</w:t>
      </w:r>
    </w:p>
    <w:p w14:paraId="78CCC5F7"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Y.</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CC.</w:t>
      </w:r>
      <w:r w:rsidRPr="006B4A66">
        <w:rPr>
          <w:rFonts w:ascii="Times New Roman" w:eastAsia="Times New Roman" w:hAnsi="Times New Roman" w:cs="Times New Roman"/>
          <w:color w:val="000000"/>
          <w:kern w:val="0"/>
          <w:sz w:val="24"/>
          <w:szCs w:val="24"/>
          <w14:ligatures w14:val="none"/>
        </w:rPr>
        <w:t xml:space="preserve"> VAV:  variable air volume.</w:t>
      </w:r>
    </w:p>
    <w:p w14:paraId="62D3984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DD.  Wall, metal building:  a wall whose structure consists of metal spanning members supported by steel structural members and does not include spandrel glass or metal panels in curtain wall systems.</w:t>
      </w:r>
    </w:p>
    <w:p w14:paraId="6A86C0A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EE.  Wall, steel-framed:  a wall with a cavity, insulated or otherwise, whose exterior surfaces are separated by steel framing members or typical steel stud walls and curtain wall systems.</w:t>
      </w:r>
    </w:p>
    <w:p w14:paraId="4E9A8C9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FF.  Wall, wood-framed and other:  all other wall types, including wood stud walls.</w:t>
      </w:r>
    </w:p>
    <w:p w14:paraId="1A10F565" w14:textId="06FF1F3F"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46.</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17A2EA6D" w14:textId="3F36DDA6"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Section C402.1.3 of the Washington State Energy Code is not adopted and</w:t>
      </w:r>
      <w:r w:rsidR="00E96CEA">
        <w:rPr>
          <w:rFonts w:ascii="Times New Roman" w:eastAsia="Times New Roman" w:hAnsi="Times New Roman" w:cs="Times New Roman"/>
          <w:color w:val="000000"/>
          <w:kern w:val="0"/>
          <w:sz w:val="24"/>
          <w:szCs w:val="24"/>
          <w14:ligatures w14:val="none"/>
        </w:rPr>
        <w:t xml:space="preserve"> the following is </w:t>
      </w:r>
      <w:r w:rsidRPr="006B4A66">
        <w:rPr>
          <w:rFonts w:ascii="Times New Roman" w:eastAsia="Times New Roman" w:hAnsi="Times New Roman" w:cs="Times New Roman"/>
          <w:color w:val="000000"/>
          <w:kern w:val="0"/>
          <w:sz w:val="24"/>
          <w:szCs w:val="24"/>
          <w14:ligatures w14:val="none"/>
        </w:rPr>
        <w:t>substituted:</w:t>
      </w:r>
    </w:p>
    <w:p w14:paraId="60081D0E"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u w:val="single"/>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b/>
          <w:bCs/>
          <w:color w:val="000000"/>
          <w:kern w:val="0"/>
          <w:sz w:val="24"/>
          <w:szCs w:val="24"/>
          <w14:ligatures w14:val="none"/>
        </w:rPr>
        <w:t>Insulation component R-value based method (</w:t>
      </w:r>
      <w:r w:rsidRPr="006B4A66">
        <w:rPr>
          <w:rFonts w:ascii="Times New Roman" w:eastAsia="Times New Roman" w:hAnsi="Times New Roman" w:cs="Times New Roman"/>
          <w:b/>
          <w:color w:val="000000"/>
          <w:kern w:val="0"/>
          <w:sz w:val="24"/>
          <w:szCs w:val="24"/>
          <w14:ligatures w14:val="none"/>
        </w:rPr>
        <w:t>WSEC</w:t>
      </w:r>
      <w:r w:rsidRPr="006B4A66">
        <w:rPr>
          <w:rFonts w:ascii="Times New Roman" w:eastAsia="Times New Roman" w:hAnsi="Times New Roman" w:cs="Times New Roman"/>
          <w:b/>
          <w:bCs/>
          <w:color w:val="000000"/>
          <w:kern w:val="0"/>
          <w:sz w:val="24"/>
          <w:szCs w:val="24"/>
          <w14:ligatures w14:val="none"/>
        </w:rPr>
        <w:t xml:space="preserve"> C402.1.3).</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0"/>
          <w14:ligatures w14:val="none"/>
        </w:rPr>
        <w:t>Building thermal envelope opaque assemblies shall comply with the requirements of WSEC C402.2 based on the climate zone specified in Chapter 3.  For opaque portions of the building thermal envelope intended to comply on an insulation component R-value basis, the R-values for cavity insulation and continuous insulation shall not be less than that specified in WSEC Table C402.1.3.  Where cavity insulation is installed in multiple layers, the cavity insulation R-values shall be summed to determine compliance with the cavity insulation R-value requirements.</w:t>
      </w:r>
    </w:p>
    <w:p w14:paraId="324F8A8A" w14:textId="77777777" w:rsidR="006B4A66" w:rsidRPr="006B4A66" w:rsidRDefault="006B4A66" w:rsidP="0073496A">
      <w:pPr>
        <w:tabs>
          <w:tab w:val="left" w:pos="720"/>
        </w:tabs>
        <w:spacing w:after="0" w:line="480" w:lineRule="auto"/>
        <w:rPr>
          <w:rFonts w:ascii="Times New Roman" w:eastAsia="TimesNewRomanPSMT"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Where continuous insulation is installed in multiple layers, the continuous insulation R-values shall be summed to determine compliance with the continuous insulation R-value requirements.  Cavity insulation R-values shall not be used to determine compliance with the continuous insulation R-value requirements in WSEC Table C402.1.3.  Commercial buildings or portions of commercial buildings enclosing Group R occupancies shall use the R-values from the "Group R" column of WSEC Table C402.1.3.  Commercial buildings or portions of commercial buildings enclosing occupancies other than Group R shall use the R-val</w:t>
      </w:r>
      <w:r w:rsidRPr="006B4A66">
        <w:rPr>
          <w:rFonts w:ascii="Times New Roman" w:eastAsia="TimesNewRomanPSMT" w:hAnsi="Times New Roman" w:cs="Times New Roman"/>
          <w:color w:val="000000"/>
          <w:kern w:val="0"/>
          <w:sz w:val="24"/>
          <w14:ligatures w14:val="none"/>
        </w:rPr>
        <w:t xml:space="preserve">ues from the "All other" column of </w:t>
      </w:r>
      <w:r w:rsidRPr="006B4A66">
        <w:rPr>
          <w:rFonts w:ascii="Times New Roman" w:eastAsia="Calibri" w:hAnsi="Times New Roman" w:cs="Times New Roman"/>
          <w:color w:val="000000"/>
          <w:kern w:val="0"/>
          <w:sz w:val="24"/>
          <w14:ligatures w14:val="none"/>
        </w:rPr>
        <w:t>WSEC</w:t>
      </w:r>
      <w:r w:rsidRPr="006B4A66">
        <w:rPr>
          <w:rFonts w:ascii="Times New Roman" w:eastAsia="TimesNewRomanPSMT" w:hAnsi="Times New Roman" w:cs="Times New Roman"/>
          <w:color w:val="000000"/>
          <w:kern w:val="0"/>
          <w:sz w:val="24"/>
          <w14:ligatures w14:val="none"/>
        </w:rPr>
        <w:t xml:space="preserve"> Table C402.1.3.</w:t>
      </w:r>
    </w:p>
    <w:p w14:paraId="30828B8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w:t>
      </w:r>
      <w:r w:rsidRPr="006B4A66">
        <w:rPr>
          <w:rFonts w:ascii="Times New Roman" w:eastAsia="Calibri" w:hAnsi="Times New Roman" w:cs="Times New Roman"/>
          <w:color w:val="000000"/>
          <w:kern w:val="0"/>
          <w:sz w:val="24"/>
          <w14:ligatures w14:val="none"/>
        </w:rPr>
        <w:t xml:space="preserve">  For stair and elevator shafts that do not comply with WSEC C402.1.2.1 and that are located within enclosed garages or other enclosed non-conditioned spaces and without conditioned supply air or cooling or heating appliances rated higher than 2 kilowatts in any shaft, walls enclosing the shafts are permitted to be:</w:t>
      </w:r>
    </w:p>
    <w:p w14:paraId="1B307BA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Concrete or masonry with minimum R-5 continuous insulation;</w:t>
      </w:r>
    </w:p>
    <w:p w14:paraId="2E03E6C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Metal studs with R-15 cavity insulation and without continuous insulation; or</w:t>
      </w:r>
    </w:p>
    <w:p w14:paraId="66B8E32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3.  Other assemblies with a maximum U-value of 0.120.</w:t>
      </w:r>
    </w:p>
    <w:p w14:paraId="5DEEB22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Slab floors, intermediate mass floor edges, and elevator pits within shafts using this exception are excluded from envelope insulation requirements.  Shaft surfaces using this exception shall not be included in the gross exterior wall area for purposes of maximum fenestration area calculations in WSEC C402.4.1 component performance calculations in WSEC C402.1.5, or for the total building performance calculation of WSEC C407.</w:t>
      </w:r>
    </w:p>
    <w:p w14:paraId="29361083"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Table C402.1.3</w:t>
      </w:r>
    </w:p>
    <w:p w14:paraId="1A2432DB" w14:textId="77777777" w:rsidR="006B4A66" w:rsidRPr="006B4A66" w:rsidRDefault="006B4A66" w:rsidP="0073496A">
      <w:pPr>
        <w:spacing w:after="0" w:line="480" w:lineRule="auto"/>
        <w:jc w:val="center"/>
        <w:rPr>
          <w:rFonts w:ascii="Times New Roman" w:eastAsia="TimesNewRomanPSMT"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lastRenderedPageBreak/>
        <w:t>Opaque Thermal Envelope Insulation Component</w:t>
      </w:r>
      <w:r w:rsidRPr="006B4A66">
        <w:rPr>
          <w:rFonts w:ascii="Times New Roman" w:eastAsia="Calibri" w:hAnsi="Times New Roman" w:cs="Times New Roman"/>
          <w:b/>
          <w:bCs/>
          <w:color w:val="000000"/>
          <w:kern w:val="0"/>
          <w:sz w:val="24"/>
          <w14:ligatures w14:val="none"/>
        </w:rPr>
        <w:br/>
        <w:t>Minimum Requirements, R-value Method</w:t>
      </w:r>
      <w:r w:rsidRPr="006B4A66">
        <w:rPr>
          <w:rFonts w:ascii="Times New Roman" w:eastAsia="Calibri" w:hAnsi="Times New Roman" w:cs="Times New Roman"/>
          <w:b/>
          <w:bCs/>
          <w:color w:val="000000"/>
          <w:kern w:val="0"/>
          <w:sz w:val="24"/>
          <w:vertAlign w:val="superscript"/>
          <w14:ligatures w14:val="none"/>
        </w:rPr>
        <w:t>a, j</w:t>
      </w:r>
    </w:p>
    <w:tbl>
      <w:tblPr>
        <w:tblW w:w="0" w:type="auto"/>
        <w:tblBorders>
          <w:top w:val="single" w:sz="6" w:space="0" w:color="000000"/>
          <w:left w:val="single" w:sz="6" w:space="0" w:color="000000"/>
          <w:bottom w:val="single" w:sz="6" w:space="0" w:color="000000"/>
          <w:right w:val="single" w:sz="6" w:space="0" w:color="000000"/>
        </w:tblBorders>
        <w:shd w:val="clear" w:color="auto" w:fill="FFFFFF"/>
        <w:tblCellMar>
          <w:top w:w="15" w:type="dxa"/>
          <w:left w:w="15" w:type="dxa"/>
          <w:bottom w:w="15" w:type="dxa"/>
          <w:right w:w="15" w:type="dxa"/>
        </w:tblCellMar>
        <w:tblLook w:val="04A0" w:firstRow="1" w:lastRow="0" w:firstColumn="1" w:lastColumn="0" w:noHBand="0" w:noVBand="1"/>
      </w:tblPr>
      <w:tblGrid>
        <w:gridCol w:w="2187"/>
        <w:gridCol w:w="3221"/>
        <w:gridCol w:w="3221"/>
      </w:tblGrid>
      <w:tr w:rsidR="006B4A66" w:rsidRPr="006B4A66" w14:paraId="4DB3E251" w14:textId="77777777">
        <w:trPr>
          <w:trHeight w:val="240"/>
        </w:trPr>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79BFB70C" w14:textId="77777777" w:rsidR="006B4A66" w:rsidRPr="006B4A66" w:rsidRDefault="006B4A66" w:rsidP="0073496A">
            <w:pPr>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CLIMATE ZONE</w:t>
            </w:r>
          </w:p>
        </w:tc>
        <w:tc>
          <w:tcPr>
            <w:tcW w:w="0" w:type="auto"/>
            <w:gridSpan w:val="2"/>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4ADE501A" w14:textId="77777777" w:rsidR="006B4A66" w:rsidRPr="006B4A66" w:rsidRDefault="006B4A66" w:rsidP="0073496A">
            <w:pPr>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5 AND MARINE 4</w:t>
            </w:r>
          </w:p>
        </w:tc>
      </w:tr>
      <w:tr w:rsidR="006B4A66" w:rsidRPr="006B4A66" w14:paraId="61BC9805" w14:textId="77777777">
        <w:trPr>
          <w:trHeight w:val="240"/>
        </w:trPr>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08FE1459" w14:textId="77777777" w:rsidR="006B4A66" w:rsidRPr="006B4A66" w:rsidRDefault="006B4A66" w:rsidP="0073496A">
            <w:pPr>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 </w:t>
            </w:r>
          </w:p>
        </w:tc>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165F426C" w14:textId="77777777" w:rsidR="006B4A66" w:rsidRPr="006B4A66" w:rsidRDefault="006B4A66" w:rsidP="0073496A">
            <w:pPr>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All Other</w:t>
            </w:r>
          </w:p>
        </w:tc>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5F83E387" w14:textId="77777777" w:rsidR="006B4A66" w:rsidRPr="006B4A66" w:rsidRDefault="006B4A66" w:rsidP="0073496A">
            <w:pPr>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Group R</w:t>
            </w:r>
          </w:p>
        </w:tc>
      </w:tr>
      <w:tr w:rsidR="006B4A66" w:rsidRPr="006B4A66" w14:paraId="56513D9B" w14:textId="77777777">
        <w:trPr>
          <w:trHeight w:val="240"/>
        </w:trPr>
        <w:tc>
          <w:tcPr>
            <w:tcW w:w="0" w:type="auto"/>
            <w:gridSpan w:val="3"/>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1B20D9D3" w14:textId="77777777" w:rsidR="006B4A66" w:rsidRPr="006B4A66" w:rsidRDefault="006B4A66" w:rsidP="0073496A">
            <w:pPr>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Roofs</w:t>
            </w:r>
          </w:p>
        </w:tc>
      </w:tr>
      <w:tr w:rsidR="006B4A66" w:rsidRPr="006B4A66" w14:paraId="106FEA57" w14:textId="77777777">
        <w:trPr>
          <w:trHeight w:val="240"/>
        </w:trPr>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05B547D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Insulation entirely above deck</w:t>
            </w:r>
          </w:p>
        </w:tc>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1692B9F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R-38ci</w:t>
            </w:r>
          </w:p>
        </w:tc>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15F5C41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R-38ci</w:t>
            </w:r>
          </w:p>
        </w:tc>
      </w:tr>
      <w:tr w:rsidR="006B4A66" w:rsidRPr="006B4A66" w14:paraId="566E8387" w14:textId="77777777">
        <w:trPr>
          <w:trHeight w:val="240"/>
        </w:trPr>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307DD27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Metal buildings</w:t>
            </w:r>
            <w:r w:rsidRPr="006B4A66">
              <w:rPr>
                <w:rFonts w:ascii="Times New Roman" w:eastAsia="Calibri" w:hAnsi="Times New Roman" w:cs="Times New Roman"/>
                <w:color w:val="000000"/>
                <w:kern w:val="0"/>
                <w:sz w:val="24"/>
                <w:vertAlign w:val="superscript"/>
                <w14:ligatures w14:val="none"/>
              </w:rPr>
              <w:t>b</w:t>
            </w:r>
          </w:p>
        </w:tc>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6600D8C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R-25 + R-22 LS</w:t>
            </w:r>
          </w:p>
        </w:tc>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498A370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R-25 + R-22 LS</w:t>
            </w:r>
          </w:p>
        </w:tc>
      </w:tr>
      <w:tr w:rsidR="006B4A66" w:rsidRPr="006B4A66" w14:paraId="7A944836" w14:textId="77777777">
        <w:trPr>
          <w:trHeight w:val="240"/>
        </w:trPr>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68B8A669"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Attic and other</w:t>
            </w:r>
          </w:p>
        </w:tc>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0ED4F83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R-49</w:t>
            </w:r>
          </w:p>
        </w:tc>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1B43294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R-49</w:t>
            </w:r>
          </w:p>
        </w:tc>
      </w:tr>
      <w:tr w:rsidR="006B4A66" w:rsidRPr="006B4A66" w14:paraId="7EFFF935" w14:textId="77777777">
        <w:trPr>
          <w:trHeight w:val="240"/>
        </w:trPr>
        <w:tc>
          <w:tcPr>
            <w:tcW w:w="0" w:type="auto"/>
            <w:gridSpan w:val="3"/>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25A32645" w14:textId="77777777" w:rsidR="006B4A66" w:rsidRPr="006B4A66" w:rsidRDefault="006B4A66" w:rsidP="0073496A">
            <w:pPr>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Walls, Above Grade</w:t>
            </w:r>
            <w:r w:rsidRPr="006B4A66">
              <w:rPr>
                <w:rFonts w:ascii="Times New Roman" w:eastAsia="Calibri" w:hAnsi="Times New Roman" w:cs="Times New Roman"/>
                <w:b/>
                <w:bCs/>
                <w:color w:val="000000"/>
                <w:kern w:val="0"/>
                <w:sz w:val="24"/>
                <w:vertAlign w:val="superscript"/>
                <w14:ligatures w14:val="none"/>
              </w:rPr>
              <w:t>i</w:t>
            </w:r>
          </w:p>
        </w:tc>
      </w:tr>
      <w:tr w:rsidR="006B4A66" w:rsidRPr="006B4A66" w14:paraId="63900FE6" w14:textId="77777777">
        <w:trPr>
          <w:trHeight w:val="240"/>
        </w:trPr>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3D0865C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Mass</w:t>
            </w:r>
            <w:r w:rsidRPr="006B4A66">
              <w:rPr>
                <w:rFonts w:ascii="Times New Roman" w:eastAsia="Calibri" w:hAnsi="Times New Roman" w:cs="Times New Roman"/>
                <w:color w:val="000000"/>
                <w:kern w:val="0"/>
                <w:sz w:val="24"/>
                <w:vertAlign w:val="superscript"/>
                <w14:ligatures w14:val="none"/>
              </w:rPr>
              <w:t>h</w:t>
            </w:r>
          </w:p>
        </w:tc>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0635897E" w14:textId="36E2094A"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Exterior: R-16ci</w:t>
            </w:r>
          </w:p>
          <w:p w14:paraId="4EE86676" w14:textId="2DC440F6"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Interior: R-13+R-6ci wood stud, or R-13 + R-10ci metal stud</w:t>
            </w:r>
          </w:p>
        </w:tc>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44AFA5D7" w14:textId="5CFCE3F3"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Exterior: R-16ci</w:t>
            </w:r>
          </w:p>
          <w:p w14:paraId="217A154E" w14:textId="5FCF7896"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Interior: R-13+R-6ci wood stud, or R-13 + R-10ci metal stud</w:t>
            </w:r>
          </w:p>
        </w:tc>
      </w:tr>
      <w:tr w:rsidR="006B4A66" w:rsidRPr="006B4A66" w14:paraId="31D46F1F" w14:textId="77777777">
        <w:trPr>
          <w:trHeight w:val="240"/>
        </w:trPr>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28BEDE19"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Mass transfer deck slab edge</w:t>
            </w:r>
            <w:r w:rsidRPr="006B4A66">
              <w:rPr>
                <w:rFonts w:ascii="Times New Roman" w:eastAsia="Calibri" w:hAnsi="Times New Roman" w:cs="Times New Roman"/>
                <w:color w:val="000000"/>
                <w:kern w:val="0"/>
                <w:sz w:val="24"/>
                <w:vertAlign w:val="superscript"/>
                <w14:ligatures w14:val="none"/>
              </w:rPr>
              <w:t>g</w:t>
            </w:r>
          </w:p>
        </w:tc>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3D5B1C01" w14:textId="44954F30" w:rsidR="006B4A66" w:rsidRPr="006B4A66" w:rsidRDefault="00F71CBC" w:rsidP="0073496A">
            <w:pPr>
              <w:spacing w:after="0" w:line="480" w:lineRule="auto"/>
              <w:rPr>
                <w:rFonts w:ascii="Times New Roman" w:eastAsia="Calibri" w:hAnsi="Times New Roman" w:cs="Times New Roman"/>
                <w:color w:val="000000"/>
                <w:kern w:val="0"/>
                <w:sz w:val="24"/>
                <w14:ligatures w14:val="none"/>
              </w:rPr>
            </w:pPr>
            <w:r>
              <w:rPr>
                <w:rFonts w:ascii="Times New Roman" w:eastAsia="Calibri" w:hAnsi="Times New Roman" w:cs="Times New Roman"/>
                <w:color w:val="000000"/>
                <w:kern w:val="0"/>
                <w:sz w:val="24"/>
                <w14:ligatures w14:val="none"/>
              </w:rPr>
              <w:t>See Table C402.1.4</w:t>
            </w:r>
          </w:p>
        </w:tc>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6B4E31AB" w14:textId="65186360" w:rsidR="006B4A66" w:rsidRPr="006B4A66" w:rsidRDefault="00F71CBC" w:rsidP="0073496A">
            <w:pPr>
              <w:spacing w:after="0" w:line="480" w:lineRule="auto"/>
              <w:rPr>
                <w:rFonts w:ascii="Times New Roman" w:eastAsia="Calibri" w:hAnsi="Times New Roman" w:cs="Times New Roman"/>
                <w:color w:val="000000"/>
                <w:kern w:val="0"/>
                <w:sz w:val="24"/>
                <w14:ligatures w14:val="none"/>
              </w:rPr>
            </w:pPr>
            <w:r>
              <w:rPr>
                <w:rFonts w:ascii="Times New Roman" w:eastAsia="Calibri" w:hAnsi="Times New Roman" w:cs="Times New Roman"/>
                <w:color w:val="000000"/>
                <w:kern w:val="0"/>
                <w:sz w:val="24"/>
                <w14:ligatures w14:val="none"/>
              </w:rPr>
              <w:t>See Table C402.1.4</w:t>
            </w:r>
          </w:p>
        </w:tc>
      </w:tr>
      <w:tr w:rsidR="006B4A66" w:rsidRPr="006B4A66" w14:paraId="04FE7586" w14:textId="77777777">
        <w:trPr>
          <w:trHeight w:val="240"/>
        </w:trPr>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3DB7D7C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Metal buildings</w:t>
            </w:r>
          </w:p>
        </w:tc>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50DE774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R-13 + R-14ci</w:t>
            </w:r>
          </w:p>
        </w:tc>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019324F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R-13 + R-14ci</w:t>
            </w:r>
          </w:p>
        </w:tc>
      </w:tr>
      <w:tr w:rsidR="006B4A66" w:rsidRPr="006B4A66" w14:paraId="3BD5535B" w14:textId="77777777">
        <w:trPr>
          <w:trHeight w:val="240"/>
        </w:trPr>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30EF3BF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Steel framed</w:t>
            </w:r>
          </w:p>
        </w:tc>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64DC7776"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R-13 + R-10ci</w:t>
            </w:r>
          </w:p>
        </w:tc>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78DFC6A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R-19 + R-8.5ci</w:t>
            </w:r>
          </w:p>
        </w:tc>
      </w:tr>
      <w:tr w:rsidR="006B4A66" w:rsidRPr="006B4A66" w14:paraId="415AE510" w14:textId="77777777">
        <w:trPr>
          <w:trHeight w:val="240"/>
        </w:trPr>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hideMark/>
          </w:tcPr>
          <w:p w14:paraId="01EB9D9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Wood framed and other</w:t>
            </w:r>
          </w:p>
        </w:tc>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470A0B1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R-13 + R-7.5ci std or R-20 + R-3.8ci std</w:t>
            </w:r>
          </w:p>
        </w:tc>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67584BA5"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R-13 + R-7.5ci std or R-20 + R-3.8ci std or R-25 std</w:t>
            </w:r>
          </w:p>
        </w:tc>
      </w:tr>
      <w:tr w:rsidR="006B4A66" w:rsidRPr="006B4A66" w14:paraId="7A16A139" w14:textId="77777777">
        <w:trPr>
          <w:trHeight w:val="240"/>
        </w:trPr>
        <w:tc>
          <w:tcPr>
            <w:tcW w:w="0" w:type="auto"/>
            <w:gridSpan w:val="3"/>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571274C6" w14:textId="77777777" w:rsidR="006B4A66" w:rsidRPr="006B4A66" w:rsidRDefault="006B4A66" w:rsidP="0073496A">
            <w:pPr>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Walls, Below Grade</w:t>
            </w:r>
          </w:p>
        </w:tc>
      </w:tr>
      <w:tr w:rsidR="006B4A66" w:rsidRPr="006B4A66" w14:paraId="62151AE0" w14:textId="77777777">
        <w:trPr>
          <w:trHeight w:val="240"/>
        </w:trPr>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51340AF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Below-grade wall</w:t>
            </w:r>
            <w:r w:rsidRPr="006B4A66">
              <w:rPr>
                <w:rFonts w:ascii="Times New Roman" w:eastAsia="Calibri" w:hAnsi="Times New Roman" w:cs="Times New Roman"/>
                <w:color w:val="000000"/>
                <w:kern w:val="0"/>
                <w:sz w:val="24"/>
                <w:vertAlign w:val="superscript"/>
                <w14:ligatures w14:val="none"/>
              </w:rPr>
              <w:t>d, h</w:t>
            </w:r>
          </w:p>
        </w:tc>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54962203" w14:textId="3551F386"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Exterior: R-10ci</w:t>
            </w:r>
          </w:p>
          <w:p w14:paraId="1EA3BD56"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Interior: R-19 wood stud, or R-13 + R-6 metal stud</w:t>
            </w:r>
          </w:p>
        </w:tc>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0AA34378" w14:textId="23F83E23"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Exterior: R-10ci</w:t>
            </w:r>
          </w:p>
          <w:p w14:paraId="3460010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Interior: R-19 wood stud, or R-13 + R-6 metal stud</w:t>
            </w:r>
          </w:p>
        </w:tc>
      </w:tr>
      <w:tr w:rsidR="006B4A66" w:rsidRPr="006B4A66" w14:paraId="5CA86C5D" w14:textId="77777777">
        <w:trPr>
          <w:trHeight w:val="240"/>
        </w:trPr>
        <w:tc>
          <w:tcPr>
            <w:tcW w:w="0" w:type="auto"/>
            <w:gridSpan w:val="3"/>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5EB4E455" w14:textId="77777777" w:rsidR="006B4A66" w:rsidRPr="006B4A66" w:rsidRDefault="006B4A66" w:rsidP="0073496A">
            <w:pPr>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Floors</w:t>
            </w:r>
          </w:p>
        </w:tc>
      </w:tr>
      <w:tr w:rsidR="006B4A66" w:rsidRPr="006B4A66" w14:paraId="0D95F90A" w14:textId="77777777">
        <w:trPr>
          <w:trHeight w:val="240"/>
        </w:trPr>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445223A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Mass</w:t>
            </w:r>
            <w:r w:rsidRPr="006B4A66">
              <w:rPr>
                <w:rFonts w:ascii="Times New Roman" w:eastAsia="Calibri" w:hAnsi="Times New Roman" w:cs="Times New Roman"/>
                <w:color w:val="000000"/>
                <w:kern w:val="0"/>
                <w:sz w:val="24"/>
                <w:vertAlign w:val="superscript"/>
                <w14:ligatures w14:val="none"/>
              </w:rPr>
              <w:t>f</w:t>
            </w:r>
          </w:p>
        </w:tc>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1E2F48F1"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R-30ci</w:t>
            </w:r>
          </w:p>
        </w:tc>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170DF5A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R-30ci</w:t>
            </w:r>
          </w:p>
        </w:tc>
      </w:tr>
      <w:tr w:rsidR="006B4A66" w:rsidRPr="006B4A66" w14:paraId="47F4E1B2" w14:textId="77777777">
        <w:trPr>
          <w:trHeight w:val="240"/>
        </w:trPr>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4D7FA14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Joist/framing</w:t>
            </w:r>
          </w:p>
        </w:tc>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345B779D" w14:textId="69B44FAC"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R-30</w:t>
            </w:r>
            <w:r w:rsidRPr="001216D4">
              <w:rPr>
                <w:rFonts w:ascii="Times New Roman" w:eastAsia="Calibri" w:hAnsi="Times New Roman" w:cs="Times New Roman"/>
                <w:color w:val="000000"/>
                <w:kern w:val="0"/>
                <w:sz w:val="24"/>
                <w:vertAlign w:val="superscript"/>
                <w14:ligatures w14:val="none"/>
              </w:rPr>
              <w:t>e</w:t>
            </w:r>
          </w:p>
        </w:tc>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340892CF" w14:textId="68D60D0C"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R-30</w:t>
            </w:r>
            <w:r w:rsidRPr="001216D4">
              <w:rPr>
                <w:rFonts w:ascii="Times New Roman" w:eastAsia="Calibri" w:hAnsi="Times New Roman" w:cs="Times New Roman"/>
                <w:color w:val="000000"/>
                <w:kern w:val="0"/>
                <w:sz w:val="24"/>
                <w:vertAlign w:val="superscript"/>
                <w14:ligatures w14:val="none"/>
              </w:rPr>
              <w:t>e</w:t>
            </w:r>
          </w:p>
        </w:tc>
      </w:tr>
      <w:tr w:rsidR="006B4A66" w:rsidRPr="006B4A66" w14:paraId="7EAD5E70" w14:textId="77777777">
        <w:trPr>
          <w:trHeight w:val="240"/>
        </w:trPr>
        <w:tc>
          <w:tcPr>
            <w:tcW w:w="0" w:type="auto"/>
            <w:gridSpan w:val="3"/>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188342FB" w14:textId="77777777" w:rsidR="006B4A66" w:rsidRPr="006B4A66" w:rsidRDefault="006B4A66" w:rsidP="0073496A">
            <w:pPr>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Slab-on-Grade Floors</w:t>
            </w:r>
          </w:p>
        </w:tc>
      </w:tr>
      <w:tr w:rsidR="006B4A66" w:rsidRPr="006B4A66" w14:paraId="78E32F03" w14:textId="77777777">
        <w:trPr>
          <w:trHeight w:val="240"/>
        </w:trPr>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5C0CE4E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Unheated slabs</w:t>
            </w:r>
          </w:p>
        </w:tc>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75B723D9"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R-10 for 24" below</w:t>
            </w:r>
          </w:p>
        </w:tc>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vAlign w:val="center"/>
            <w:hideMark/>
          </w:tcPr>
          <w:p w14:paraId="0DE72E2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R-10 for 24" below</w:t>
            </w:r>
          </w:p>
        </w:tc>
      </w:tr>
      <w:tr w:rsidR="006B4A66" w:rsidRPr="006B4A66" w14:paraId="3B8B4E2A" w14:textId="77777777">
        <w:trPr>
          <w:trHeight w:val="240"/>
        </w:trPr>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hideMark/>
          </w:tcPr>
          <w:p w14:paraId="3E8F8EE9"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Heated slabs</w:t>
            </w:r>
          </w:p>
        </w:tc>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hideMark/>
          </w:tcPr>
          <w:p w14:paraId="246A4E3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R-10 perimeter &amp; under entire slab</w:t>
            </w:r>
          </w:p>
        </w:tc>
        <w:tc>
          <w:tcPr>
            <w:tcW w:w="0" w:type="auto"/>
            <w:tcBorders>
              <w:top w:val="single" w:sz="2" w:space="0" w:color="000000"/>
              <w:left w:val="single" w:sz="2" w:space="0" w:color="000000"/>
              <w:bottom w:val="single" w:sz="6" w:space="0" w:color="000000"/>
              <w:right w:val="single" w:sz="6" w:space="0" w:color="000000"/>
            </w:tcBorders>
            <w:shd w:val="clear" w:color="auto" w:fill="FFFFFF"/>
            <w:tcMar>
              <w:top w:w="90" w:type="dxa"/>
              <w:left w:w="120" w:type="dxa"/>
              <w:bottom w:w="90" w:type="dxa"/>
              <w:right w:w="120" w:type="dxa"/>
            </w:tcMar>
            <w:hideMark/>
          </w:tcPr>
          <w:p w14:paraId="1D46ADE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R-10 perimeter &amp; under entire slab</w:t>
            </w:r>
          </w:p>
        </w:tc>
      </w:tr>
    </w:tbl>
    <w:p w14:paraId="6A427EC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For SI: 1 inch = 25.4 mm. ci = Continuous insulation. NR = No requirement.</w:t>
      </w:r>
    </w:p>
    <w:p w14:paraId="1406196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LS = Liner system—A continuous membrane installed below the purlins and uninterrupted by framing members.  Uncompressed, unfaced insulation rests on top of the membrane between the purlins.</w:t>
      </w:r>
    </w:p>
    <w:p w14:paraId="4909ED2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Footnotes:</w:t>
      </w:r>
    </w:p>
    <w:p w14:paraId="1CDB8507" w14:textId="0574921F"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a.  Assembly descriptions can be found in </w:t>
      </w:r>
      <w:r w:rsidR="00AF0336">
        <w:rPr>
          <w:rFonts w:ascii="Times New Roman" w:eastAsia="Calibri" w:hAnsi="Times New Roman" w:cs="Times New Roman"/>
          <w:color w:val="000000"/>
          <w:kern w:val="0"/>
          <w:sz w:val="24"/>
          <w14:ligatures w14:val="none"/>
        </w:rPr>
        <w:t>C</w:t>
      </w:r>
      <w:r w:rsidRPr="006B4A66">
        <w:rPr>
          <w:rFonts w:ascii="Times New Roman" w:eastAsia="Calibri" w:hAnsi="Times New Roman" w:cs="Times New Roman"/>
          <w:color w:val="000000"/>
          <w:kern w:val="0"/>
          <w:sz w:val="24"/>
          <w14:ligatures w14:val="none"/>
        </w:rPr>
        <w:t>hapter 2 and Appendix A.</w:t>
      </w:r>
    </w:p>
    <w:p w14:paraId="2C8B1631" w14:textId="641654B9"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b.  Where using R-value compliance method, a thermal spacer block with minimum thickness of 1/2-inch  and minimum R-value of R-3.5 shall be provided, otherwise use the U-factor compliance method in WSEC Table C402.1.4.</w:t>
      </w:r>
    </w:p>
    <w:p w14:paraId="6EDF159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c.  Reserved.</w:t>
      </w:r>
    </w:p>
    <w:p w14:paraId="7F4B254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d.  Where heated slabs are below grade, they shall comply with the insulation requirements for heated slabs.</w:t>
      </w:r>
    </w:p>
    <w:p w14:paraId="00E116D8" w14:textId="47BD3684"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e.  </w:t>
      </w:r>
      <w:r w:rsidR="006E1C5B" w:rsidRPr="006E1C5B">
        <w:rPr>
          <w:rFonts w:ascii="Times New Roman" w:eastAsia="Calibri" w:hAnsi="Times New Roman" w:cs="Times New Roman"/>
          <w:color w:val="000000"/>
          <w:kern w:val="0"/>
          <w:sz w:val="24"/>
          <w14:ligatures w14:val="none"/>
        </w:rPr>
        <w:t>Steel floor joist systems shall be insulated to R-38 + R-10ci</w:t>
      </w:r>
      <w:r w:rsidRPr="006B4A66">
        <w:rPr>
          <w:rFonts w:ascii="Times New Roman" w:eastAsia="Calibri" w:hAnsi="Times New Roman" w:cs="Times New Roman"/>
          <w:color w:val="000000"/>
          <w:kern w:val="0"/>
          <w:sz w:val="24"/>
          <w14:ligatures w14:val="none"/>
        </w:rPr>
        <w:t>.</w:t>
      </w:r>
    </w:p>
    <w:p w14:paraId="5636030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  "Mass floors" shall include floors weighing not less than:</w:t>
      </w:r>
    </w:p>
    <w:p w14:paraId="71201ED4" w14:textId="1CC93B60"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  35 pounds per square foot of floor surface area; or</w:t>
      </w:r>
    </w:p>
    <w:p w14:paraId="784BA226" w14:textId="474E2929"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2.  25 pounds per square foot  of floor surface area where the material weight is not more than 120 pounds per cubic foot .</w:t>
      </w:r>
    </w:p>
    <w:p w14:paraId="089884D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g.  Component performance in accordance with WSEC C402.1.5 shall be required for buildings with a mass transfer deck slab.</w:t>
      </w:r>
    </w:p>
    <w:p w14:paraId="5E2C06E3" w14:textId="1C8DE2FD"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h.  Peripheral edges of intermediate concrete floors are included in the above-grade mass wall category and therefore must be insulated as above-grade mass walls unless they meet the definition of Mass Transfer Deck Slab Edge.  The area of the peripheral edges of concrete floors </w:t>
      </w:r>
      <w:r w:rsidR="006947D6" w:rsidRPr="009E1916">
        <w:rPr>
          <w:rFonts w:ascii="Times New Roman" w:eastAsia="Calibri" w:hAnsi="Times New Roman" w:cs="Times New Roman"/>
          <w:color w:val="000000"/>
          <w:kern w:val="0"/>
          <w:sz w:val="24"/>
          <w14:ligatures w14:val="none"/>
        </w:rPr>
        <w:t>is</w:t>
      </w:r>
      <w:r w:rsidRPr="006B4A66">
        <w:rPr>
          <w:rFonts w:ascii="Times New Roman" w:eastAsia="Calibri" w:hAnsi="Times New Roman" w:cs="Times New Roman"/>
          <w:color w:val="000000"/>
          <w:kern w:val="0"/>
          <w:sz w:val="24"/>
          <w14:ligatures w14:val="none"/>
        </w:rPr>
        <w:t xml:space="preserve"> defined as the thickness of the slab multiplied by the perimeter length of the edge condition.  See WSEC Table A103.3.7.2 for typical default U-factors for above-grade slab edges and foot-note c for typical conditions of above-grade slab edges.</w:t>
      </w:r>
    </w:p>
    <w:p w14:paraId="5A111EC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  Where the total area of through-wall mechanical equipment is greater than 1 percent of the opaque above-grade wall area, use of the R-value method is not permitted. See WSEC C402.1.4.3.</w:t>
      </w:r>
    </w:p>
    <w:p w14:paraId="5DD7DE10" w14:textId="0A49B644"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j.  For roof, wall, or floor assemblies where the proposed assembly would not be continuous insulation, alternate nominal R-value compliance options for assemblies with isolated metal fasteners that penetrate otherwise continuous insulation are as shown in columns B and C of WSEC Table C402.1.3(</w:t>
      </w:r>
      <w:r w:rsidR="00CD5AF4">
        <w:rPr>
          <w:rFonts w:ascii="Times New Roman" w:eastAsia="Calibri" w:hAnsi="Times New Roman" w:cs="Times New Roman"/>
          <w:color w:val="000000"/>
          <w:kern w:val="0"/>
          <w:sz w:val="24"/>
          <w14:ligatures w14:val="none"/>
        </w:rPr>
        <w:t>j</w:t>
      </w:r>
      <w:r w:rsidRPr="006B4A66">
        <w:rPr>
          <w:rFonts w:ascii="Times New Roman" w:eastAsia="Calibri" w:hAnsi="Times New Roman" w:cs="Times New Roman"/>
          <w:color w:val="000000"/>
          <w:kern w:val="0"/>
          <w:sz w:val="24"/>
          <w14:ligatures w14:val="none"/>
        </w:rPr>
        <w:t>):</w:t>
      </w:r>
    </w:p>
    <w:p w14:paraId="3D6EF71C" w14:textId="48E20494"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Table C402.1.3(</w:t>
      </w:r>
      <w:r w:rsidR="00CD5AF4">
        <w:rPr>
          <w:rFonts w:ascii="Times New Roman" w:eastAsia="Calibri" w:hAnsi="Times New Roman" w:cs="Times New Roman"/>
          <w:b/>
          <w:bCs/>
          <w:color w:val="000000"/>
          <w:kern w:val="0"/>
          <w:sz w:val="24"/>
          <w14:ligatures w14:val="none"/>
        </w:rPr>
        <w:t>j</w:t>
      </w:r>
      <w:r w:rsidRPr="006B4A66">
        <w:rPr>
          <w:rFonts w:ascii="Times New Roman" w:eastAsia="Calibri" w:hAnsi="Times New Roman" w:cs="Times New Roman"/>
          <w:b/>
          <w:bCs/>
          <w:color w:val="000000"/>
          <w:kern w:val="0"/>
          <w:sz w:val="24"/>
          <w14:ligatures w14:val="none"/>
        </w:rPr>
        <w:t>)</w:t>
      </w:r>
    </w:p>
    <w:p w14:paraId="650ACB34" w14:textId="77777777" w:rsidR="006B4A66" w:rsidRPr="006B4A66" w:rsidRDefault="006B4A66" w:rsidP="0073496A">
      <w:pPr>
        <w:spacing w:after="0" w:line="480" w:lineRule="auto"/>
        <w:jc w:val="center"/>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t>Continuous Insulation Equivalents</w:t>
      </w:r>
    </w:p>
    <w:tbl>
      <w:tblPr>
        <w:tblW w:w="91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1"/>
        <w:gridCol w:w="3061"/>
        <w:gridCol w:w="3061"/>
      </w:tblGrid>
      <w:tr w:rsidR="006B4A66" w:rsidRPr="006B4A66" w14:paraId="114219D0" w14:textId="77777777">
        <w:trPr>
          <w:trHeight w:val="65"/>
        </w:trPr>
        <w:tc>
          <w:tcPr>
            <w:tcW w:w="3061" w:type="dxa"/>
          </w:tcPr>
          <w:p w14:paraId="6A228884" w14:textId="77777777" w:rsidR="006B4A66" w:rsidRPr="006B4A66" w:rsidRDefault="006B4A66" w:rsidP="0073496A">
            <w:pPr>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Column A</w:t>
            </w:r>
          </w:p>
        </w:tc>
        <w:tc>
          <w:tcPr>
            <w:tcW w:w="3061" w:type="dxa"/>
          </w:tcPr>
          <w:p w14:paraId="49DC2F1B" w14:textId="77777777" w:rsidR="006B4A66" w:rsidRPr="006B4A66" w:rsidRDefault="006B4A66" w:rsidP="0073496A">
            <w:pPr>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 xml:space="preserve">Column B </w:t>
            </w:r>
          </w:p>
        </w:tc>
        <w:tc>
          <w:tcPr>
            <w:tcW w:w="3061" w:type="dxa"/>
          </w:tcPr>
          <w:p w14:paraId="1F080204" w14:textId="77777777" w:rsidR="006B4A66" w:rsidRPr="006B4A66" w:rsidRDefault="006B4A66" w:rsidP="0073496A">
            <w:pPr>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 xml:space="preserve">Column C </w:t>
            </w:r>
          </w:p>
        </w:tc>
      </w:tr>
      <w:tr w:rsidR="006B4A66" w:rsidRPr="006B4A66" w14:paraId="7319B9FD" w14:textId="77777777">
        <w:trPr>
          <w:trHeight w:val="226"/>
        </w:trPr>
        <w:tc>
          <w:tcPr>
            <w:tcW w:w="3061" w:type="dxa"/>
          </w:tcPr>
          <w:p w14:paraId="2FE5098B" w14:textId="77777777" w:rsidR="006B4A66" w:rsidRPr="006B4A66" w:rsidRDefault="006B4A66" w:rsidP="0073496A">
            <w:pPr>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Assemblies with continuous insulation (see definition)</w:t>
            </w:r>
          </w:p>
        </w:tc>
        <w:tc>
          <w:tcPr>
            <w:tcW w:w="3061" w:type="dxa"/>
          </w:tcPr>
          <w:p w14:paraId="00ABF031" w14:textId="77777777" w:rsidR="006B4A66" w:rsidRPr="006B4A66" w:rsidRDefault="006B4A66" w:rsidP="0073496A">
            <w:pPr>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Alternate option for assemblies with metal penetrations, greater than 0.04% but less than 0.08%</w:t>
            </w:r>
          </w:p>
        </w:tc>
        <w:tc>
          <w:tcPr>
            <w:tcW w:w="3061" w:type="dxa"/>
          </w:tcPr>
          <w:p w14:paraId="5F2A4158" w14:textId="77777777" w:rsidR="006B4A66" w:rsidRPr="006B4A66" w:rsidRDefault="006B4A66" w:rsidP="0073496A">
            <w:pPr>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Alternate option for assemblies with metal penetrations, greater than or equal to 0.08% but less than 0.12%</w:t>
            </w:r>
          </w:p>
        </w:tc>
      </w:tr>
      <w:tr w:rsidR="006B4A66" w:rsidRPr="006B4A66" w14:paraId="1B7C7E39" w14:textId="77777777">
        <w:trPr>
          <w:trHeight w:val="81"/>
        </w:trPr>
        <w:tc>
          <w:tcPr>
            <w:tcW w:w="3061" w:type="dxa"/>
          </w:tcPr>
          <w:p w14:paraId="3D010F3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R-9.5ci </w:t>
            </w:r>
          </w:p>
        </w:tc>
        <w:tc>
          <w:tcPr>
            <w:tcW w:w="3061" w:type="dxa"/>
          </w:tcPr>
          <w:p w14:paraId="6CB208B2"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R-11.9ci </w:t>
            </w:r>
          </w:p>
        </w:tc>
        <w:tc>
          <w:tcPr>
            <w:tcW w:w="3061" w:type="dxa"/>
          </w:tcPr>
          <w:p w14:paraId="050492B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R-13ci </w:t>
            </w:r>
          </w:p>
        </w:tc>
      </w:tr>
      <w:tr w:rsidR="006B4A66" w:rsidRPr="006B4A66" w14:paraId="467CE8FB" w14:textId="77777777">
        <w:trPr>
          <w:trHeight w:val="81"/>
        </w:trPr>
        <w:tc>
          <w:tcPr>
            <w:tcW w:w="3061" w:type="dxa"/>
          </w:tcPr>
          <w:p w14:paraId="1203161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R-11.4ci </w:t>
            </w:r>
          </w:p>
        </w:tc>
        <w:tc>
          <w:tcPr>
            <w:tcW w:w="3061" w:type="dxa"/>
          </w:tcPr>
          <w:p w14:paraId="1B7351D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R-14.3ci </w:t>
            </w:r>
          </w:p>
        </w:tc>
        <w:tc>
          <w:tcPr>
            <w:tcW w:w="3061" w:type="dxa"/>
          </w:tcPr>
          <w:p w14:paraId="321764A5"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R-15.7ci </w:t>
            </w:r>
          </w:p>
        </w:tc>
      </w:tr>
      <w:tr w:rsidR="006B4A66" w:rsidRPr="006B4A66" w14:paraId="749C76E1" w14:textId="77777777">
        <w:trPr>
          <w:trHeight w:val="81"/>
        </w:trPr>
        <w:tc>
          <w:tcPr>
            <w:tcW w:w="3061" w:type="dxa"/>
          </w:tcPr>
          <w:p w14:paraId="4102B342"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R-13.3ci </w:t>
            </w:r>
          </w:p>
        </w:tc>
        <w:tc>
          <w:tcPr>
            <w:tcW w:w="3061" w:type="dxa"/>
          </w:tcPr>
          <w:p w14:paraId="1FA3CF2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R-16.6ci </w:t>
            </w:r>
          </w:p>
        </w:tc>
        <w:tc>
          <w:tcPr>
            <w:tcW w:w="3061" w:type="dxa"/>
          </w:tcPr>
          <w:p w14:paraId="6A4F05C0"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R-18.3ci </w:t>
            </w:r>
          </w:p>
        </w:tc>
      </w:tr>
      <w:tr w:rsidR="006B4A66" w:rsidRPr="006B4A66" w14:paraId="550C79C0" w14:textId="77777777">
        <w:trPr>
          <w:trHeight w:val="81"/>
        </w:trPr>
        <w:tc>
          <w:tcPr>
            <w:tcW w:w="3061" w:type="dxa"/>
          </w:tcPr>
          <w:p w14:paraId="318997A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R-15.2ci </w:t>
            </w:r>
          </w:p>
        </w:tc>
        <w:tc>
          <w:tcPr>
            <w:tcW w:w="3061" w:type="dxa"/>
          </w:tcPr>
          <w:p w14:paraId="068C2D6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R-19ci </w:t>
            </w:r>
          </w:p>
        </w:tc>
        <w:tc>
          <w:tcPr>
            <w:tcW w:w="3061" w:type="dxa"/>
          </w:tcPr>
          <w:p w14:paraId="4AB6775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R-21ci </w:t>
            </w:r>
          </w:p>
        </w:tc>
      </w:tr>
      <w:tr w:rsidR="006B4A66" w:rsidRPr="006B4A66" w14:paraId="2590E2DE" w14:textId="77777777">
        <w:trPr>
          <w:trHeight w:val="81"/>
        </w:trPr>
        <w:tc>
          <w:tcPr>
            <w:tcW w:w="3061" w:type="dxa"/>
          </w:tcPr>
          <w:p w14:paraId="5AA7A95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R-30ci </w:t>
            </w:r>
          </w:p>
        </w:tc>
        <w:tc>
          <w:tcPr>
            <w:tcW w:w="3061" w:type="dxa"/>
          </w:tcPr>
          <w:p w14:paraId="6D1872B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R-38ci </w:t>
            </w:r>
          </w:p>
        </w:tc>
        <w:tc>
          <w:tcPr>
            <w:tcW w:w="3061" w:type="dxa"/>
          </w:tcPr>
          <w:p w14:paraId="5DF54625"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R-42ci </w:t>
            </w:r>
          </w:p>
        </w:tc>
      </w:tr>
      <w:tr w:rsidR="006B4A66" w:rsidRPr="006B4A66" w14:paraId="4041C13B" w14:textId="77777777">
        <w:trPr>
          <w:trHeight w:val="81"/>
        </w:trPr>
        <w:tc>
          <w:tcPr>
            <w:tcW w:w="3061" w:type="dxa"/>
          </w:tcPr>
          <w:p w14:paraId="425C27E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R-38ci </w:t>
            </w:r>
          </w:p>
        </w:tc>
        <w:tc>
          <w:tcPr>
            <w:tcW w:w="3061" w:type="dxa"/>
          </w:tcPr>
          <w:p w14:paraId="6474A1A9"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R-48ci </w:t>
            </w:r>
          </w:p>
        </w:tc>
        <w:tc>
          <w:tcPr>
            <w:tcW w:w="3061" w:type="dxa"/>
          </w:tcPr>
          <w:p w14:paraId="696AC62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R-53ci </w:t>
            </w:r>
          </w:p>
        </w:tc>
      </w:tr>
      <w:tr w:rsidR="006B4A66" w:rsidRPr="006B4A66" w14:paraId="37E71AA8" w14:textId="77777777">
        <w:trPr>
          <w:trHeight w:val="81"/>
        </w:trPr>
        <w:tc>
          <w:tcPr>
            <w:tcW w:w="3061" w:type="dxa"/>
          </w:tcPr>
          <w:p w14:paraId="359ECB3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R-13 + R-7.5ci </w:t>
            </w:r>
          </w:p>
        </w:tc>
        <w:tc>
          <w:tcPr>
            <w:tcW w:w="3061" w:type="dxa"/>
          </w:tcPr>
          <w:p w14:paraId="27E64A6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R-13 + R-9.4ci </w:t>
            </w:r>
          </w:p>
        </w:tc>
        <w:tc>
          <w:tcPr>
            <w:tcW w:w="3061" w:type="dxa"/>
          </w:tcPr>
          <w:p w14:paraId="48C13A51"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R-13 + R-10.3ci </w:t>
            </w:r>
          </w:p>
        </w:tc>
      </w:tr>
      <w:tr w:rsidR="006B4A66" w:rsidRPr="006B4A66" w14:paraId="151C014E" w14:textId="77777777">
        <w:trPr>
          <w:trHeight w:val="81"/>
        </w:trPr>
        <w:tc>
          <w:tcPr>
            <w:tcW w:w="3061" w:type="dxa"/>
          </w:tcPr>
          <w:p w14:paraId="37F661B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R-13 + R-10ci </w:t>
            </w:r>
          </w:p>
        </w:tc>
        <w:tc>
          <w:tcPr>
            <w:tcW w:w="3061" w:type="dxa"/>
          </w:tcPr>
          <w:p w14:paraId="020F9CA6"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R-13 + R-12.5ci </w:t>
            </w:r>
          </w:p>
        </w:tc>
        <w:tc>
          <w:tcPr>
            <w:tcW w:w="3061" w:type="dxa"/>
          </w:tcPr>
          <w:p w14:paraId="2BF946C0"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R-13 + R-13.8ci </w:t>
            </w:r>
          </w:p>
        </w:tc>
      </w:tr>
      <w:tr w:rsidR="006B4A66" w:rsidRPr="006B4A66" w14:paraId="018D5DB7" w14:textId="77777777">
        <w:trPr>
          <w:trHeight w:val="81"/>
        </w:trPr>
        <w:tc>
          <w:tcPr>
            <w:tcW w:w="3061" w:type="dxa"/>
          </w:tcPr>
          <w:p w14:paraId="6E6AD7B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R-13 + R-12.5ci </w:t>
            </w:r>
          </w:p>
        </w:tc>
        <w:tc>
          <w:tcPr>
            <w:tcW w:w="3061" w:type="dxa"/>
          </w:tcPr>
          <w:p w14:paraId="13E355A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R-13 + R-15.6ci </w:t>
            </w:r>
          </w:p>
        </w:tc>
        <w:tc>
          <w:tcPr>
            <w:tcW w:w="3061" w:type="dxa"/>
          </w:tcPr>
          <w:p w14:paraId="135A12B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R-13 + R-17.2ci </w:t>
            </w:r>
          </w:p>
        </w:tc>
      </w:tr>
      <w:tr w:rsidR="006B4A66" w:rsidRPr="006B4A66" w14:paraId="4CA81D20" w14:textId="77777777">
        <w:trPr>
          <w:trHeight w:val="81"/>
        </w:trPr>
        <w:tc>
          <w:tcPr>
            <w:tcW w:w="3061" w:type="dxa"/>
          </w:tcPr>
          <w:p w14:paraId="2750D76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R-13 + R-13ci </w:t>
            </w:r>
          </w:p>
        </w:tc>
        <w:tc>
          <w:tcPr>
            <w:tcW w:w="3061" w:type="dxa"/>
          </w:tcPr>
          <w:p w14:paraId="63652EF0"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R-13 + R-16.3ci </w:t>
            </w:r>
          </w:p>
        </w:tc>
        <w:tc>
          <w:tcPr>
            <w:tcW w:w="3061" w:type="dxa"/>
          </w:tcPr>
          <w:p w14:paraId="3BC6975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R-13 + R-17.9ci </w:t>
            </w:r>
          </w:p>
        </w:tc>
      </w:tr>
      <w:tr w:rsidR="006B4A66" w:rsidRPr="006B4A66" w14:paraId="13445E66" w14:textId="77777777">
        <w:trPr>
          <w:trHeight w:val="81"/>
        </w:trPr>
        <w:tc>
          <w:tcPr>
            <w:tcW w:w="3061" w:type="dxa"/>
          </w:tcPr>
          <w:p w14:paraId="68722386"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R-19 + R-8.5ci </w:t>
            </w:r>
          </w:p>
        </w:tc>
        <w:tc>
          <w:tcPr>
            <w:tcW w:w="3061" w:type="dxa"/>
          </w:tcPr>
          <w:p w14:paraId="7DC9AFC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R-19 + R-10.6ci </w:t>
            </w:r>
          </w:p>
        </w:tc>
        <w:tc>
          <w:tcPr>
            <w:tcW w:w="3061" w:type="dxa"/>
          </w:tcPr>
          <w:p w14:paraId="3D697F45"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R-19 + R-11.7ci </w:t>
            </w:r>
          </w:p>
        </w:tc>
      </w:tr>
      <w:tr w:rsidR="006B4A66" w:rsidRPr="006B4A66" w14:paraId="29D4EEC4" w14:textId="77777777">
        <w:trPr>
          <w:trHeight w:val="81"/>
        </w:trPr>
        <w:tc>
          <w:tcPr>
            <w:tcW w:w="3061" w:type="dxa"/>
          </w:tcPr>
          <w:p w14:paraId="40E62AD9"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 xml:space="preserve">R-19 + R-14ci </w:t>
            </w:r>
          </w:p>
        </w:tc>
        <w:tc>
          <w:tcPr>
            <w:tcW w:w="3061" w:type="dxa"/>
          </w:tcPr>
          <w:p w14:paraId="59069EB9"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R-19 + R-17.5ci </w:t>
            </w:r>
          </w:p>
        </w:tc>
        <w:tc>
          <w:tcPr>
            <w:tcW w:w="3061" w:type="dxa"/>
          </w:tcPr>
          <w:p w14:paraId="6E03FB8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R-19 + R-19.2ci </w:t>
            </w:r>
          </w:p>
        </w:tc>
      </w:tr>
      <w:tr w:rsidR="006B4A66" w:rsidRPr="006B4A66" w14:paraId="4C91453B" w14:textId="77777777">
        <w:trPr>
          <w:trHeight w:val="81"/>
        </w:trPr>
        <w:tc>
          <w:tcPr>
            <w:tcW w:w="3061" w:type="dxa"/>
          </w:tcPr>
          <w:p w14:paraId="68D899C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R-19 + R-16ci </w:t>
            </w:r>
          </w:p>
        </w:tc>
        <w:tc>
          <w:tcPr>
            <w:tcW w:w="3061" w:type="dxa"/>
          </w:tcPr>
          <w:p w14:paraId="588FAF65"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R-19 + R-20ci </w:t>
            </w:r>
          </w:p>
        </w:tc>
        <w:tc>
          <w:tcPr>
            <w:tcW w:w="3061" w:type="dxa"/>
          </w:tcPr>
          <w:p w14:paraId="1B48A291"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R-19 + R-22ci </w:t>
            </w:r>
          </w:p>
        </w:tc>
      </w:tr>
      <w:tr w:rsidR="006B4A66" w:rsidRPr="006B4A66" w14:paraId="54DCD7E3" w14:textId="77777777">
        <w:trPr>
          <w:trHeight w:val="81"/>
        </w:trPr>
        <w:tc>
          <w:tcPr>
            <w:tcW w:w="3061" w:type="dxa"/>
          </w:tcPr>
          <w:p w14:paraId="7C19B6E1"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R-20 + R-3.8ci </w:t>
            </w:r>
          </w:p>
        </w:tc>
        <w:tc>
          <w:tcPr>
            <w:tcW w:w="3061" w:type="dxa"/>
          </w:tcPr>
          <w:p w14:paraId="0189DCC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R-20 + R-4.8ci </w:t>
            </w:r>
          </w:p>
        </w:tc>
        <w:tc>
          <w:tcPr>
            <w:tcW w:w="3061" w:type="dxa"/>
          </w:tcPr>
          <w:p w14:paraId="20E6E49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R-20 + R-5.3ci </w:t>
            </w:r>
          </w:p>
        </w:tc>
      </w:tr>
      <w:tr w:rsidR="006B4A66" w:rsidRPr="006B4A66" w14:paraId="44E3DCB8" w14:textId="77777777">
        <w:trPr>
          <w:trHeight w:val="81"/>
        </w:trPr>
        <w:tc>
          <w:tcPr>
            <w:tcW w:w="3061" w:type="dxa"/>
          </w:tcPr>
          <w:p w14:paraId="3753130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R-21 + R-5ci </w:t>
            </w:r>
          </w:p>
        </w:tc>
        <w:tc>
          <w:tcPr>
            <w:tcW w:w="3061" w:type="dxa"/>
          </w:tcPr>
          <w:p w14:paraId="090E5AA0"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R-21 + R-6.3ci </w:t>
            </w:r>
          </w:p>
        </w:tc>
        <w:tc>
          <w:tcPr>
            <w:tcW w:w="3061" w:type="dxa"/>
          </w:tcPr>
          <w:p w14:paraId="06B7667F"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R-21 + R-6.9ci </w:t>
            </w:r>
          </w:p>
        </w:tc>
      </w:tr>
    </w:tbl>
    <w:p w14:paraId="74975CBA" w14:textId="21D66C3F"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Notes for Table C402.1.3(</w:t>
      </w:r>
      <w:r w:rsidR="0068035F">
        <w:rPr>
          <w:rFonts w:ascii="Times New Roman" w:eastAsia="Calibri" w:hAnsi="Times New Roman" w:cs="Times New Roman"/>
          <w:color w:val="000000"/>
          <w:kern w:val="0"/>
          <w:sz w:val="24"/>
          <w14:ligatures w14:val="none"/>
        </w:rPr>
        <w:t>j</w:t>
      </w:r>
      <w:r w:rsidRPr="006B4A66">
        <w:rPr>
          <w:rFonts w:ascii="Times New Roman" w:eastAsia="Calibri" w:hAnsi="Times New Roman" w:cs="Times New Roman"/>
          <w:color w:val="000000"/>
          <w:kern w:val="0"/>
          <w:sz w:val="24"/>
          <w14:ligatures w14:val="none"/>
        </w:rPr>
        <w:t>):</w:t>
      </w:r>
    </w:p>
    <w:p w14:paraId="6DCD3C4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1.  These alternate nominal R-value compliance options are allowed for projects complying with all of the following: </w:t>
      </w:r>
    </w:p>
    <w:p w14:paraId="758DB75E" w14:textId="10938410"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a</w:t>
      </w:r>
      <w:r w:rsidR="0068035F">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The ratio of the cross-sectional area, as measured in the plane of the surface, of metal penetrations of otherwise continuous insulation to the opaque surface area of the assembly is greater than 0.0004 (0.04 percent), but less than 0.0008 (0.08 percent</w:t>
      </w:r>
      <w:r w:rsidR="0068035F">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for use of Column B equivalents, and greater than or equal to 0.008 (0.08) percent, but less than 0.0012 (0.12 percent</w:t>
      </w:r>
      <w:r w:rsidR="0068035F">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for use of Column C equivalents. </w:t>
      </w:r>
    </w:p>
    <w:p w14:paraId="58C09A0B" w14:textId="063E1E9A"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b.  Where all metal penetrations are stainless steel, Column B is permitted to be used for penetrations greater than 0.12 percent, but less than 0.24 percent of opaque surface area, and Column C is permitted to be used for penetrations greater than or equal to 0.24 percent, but less than 0.48 percent of opaque surface area.</w:t>
      </w:r>
    </w:p>
    <w:p w14:paraId="6FE26C7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2.  The metal penetrations of otherwise continuous insulation are isolated or discontinuous (e.g., brick ties or other discontinuous metal attachments, offset brackets supporting shelf angles that allow insulation to go between the shelf angle and the primary portions of the wall structure).  No continuous metal elements (e.g., metal studs, z-girts, z-channels, shelf angles) penetrate the otherwise continuous portion of the insulation. </w:t>
      </w:r>
    </w:p>
    <w:p w14:paraId="5C66F9B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3.  Building permit drawings shall contain details showing the locations and dimensions of all the metal penetrations (e.g., brick ties or other discontinuous metal attachments, offset brackets, etc.) of otherwise continuous insulation.  In addition, calculations shall be provided showing the ratio of the cross- sectional area of metal penetrations of otherwise continuous insulation to the overall opaque wall area.</w:t>
      </w:r>
    </w:p>
    <w:p w14:paraId="758723EB" w14:textId="7791C09C"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00DC55CA">
        <w:rPr>
          <w:rFonts w:ascii="Times New Roman" w:eastAsia="Calibri" w:hAnsi="Times New Roman" w:cs="Times New Roman"/>
          <w:color w:val="000000"/>
          <w:kern w:val="0"/>
          <w:sz w:val="24"/>
          <w14:ligatures w14:val="none"/>
        </w:rPr>
        <w:t xml:space="preserve">4.  </w:t>
      </w:r>
      <w:r w:rsidRPr="006B4A66">
        <w:rPr>
          <w:rFonts w:ascii="Times New Roman" w:eastAsia="Calibri" w:hAnsi="Times New Roman" w:cs="Times New Roman"/>
          <w:color w:val="000000"/>
          <w:kern w:val="0"/>
          <w:sz w:val="24"/>
          <w14:ligatures w14:val="none"/>
        </w:rPr>
        <w:t>For other cases where the proposed assembly is not continuous insulation, see WSEC C402.1.4 for determination of U-factors for assemblies that include metal other than screws and nails.</w:t>
      </w:r>
    </w:p>
    <w:p w14:paraId="5C79D5EC" w14:textId="045E5ED3"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47.</w:t>
      </w:r>
      <w:r w:rsidRPr="006B4A66">
        <w:rPr>
          <w:rFonts w:ascii="Times New Roman" w:eastAsia="Calibri" w:hAnsi="Times New Roman" w:cs="Times New Roman"/>
          <w:color w:val="000000"/>
          <w:kern w:val="0"/>
          <w:sz w:val="24"/>
          <w14:ligatures w14:val="none"/>
        </w:rPr>
        <w:t xml:space="preserve">  Ordinance 19485, Section 74, and K.C.C. 16.07.060 are hereby amended to read as follows:</w:t>
      </w:r>
    </w:p>
    <w:p w14:paraId="491099C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Table C402.1.4 of the ((</w:t>
      </w:r>
      <w:r w:rsidRPr="006B4A66">
        <w:rPr>
          <w:rFonts w:ascii="Times New Roman" w:eastAsia="Calibri" w:hAnsi="Times New Roman" w:cs="Times New Roman"/>
          <w:strike/>
          <w:color w:val="000000"/>
          <w:kern w:val="0"/>
          <w:sz w:val="24"/>
          <w14:ligatures w14:val="none"/>
        </w:rPr>
        <w:t>International Energy Conservation</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Washington State Energy</w:t>
      </w:r>
      <w:r w:rsidRPr="006B4A66">
        <w:rPr>
          <w:rFonts w:ascii="Times New Roman" w:eastAsia="Calibri" w:hAnsi="Times New Roman" w:cs="Times New Roman"/>
          <w:color w:val="000000"/>
          <w:kern w:val="0"/>
          <w:sz w:val="24"/>
          <w14:ligatures w14:val="none"/>
        </w:rPr>
        <w:t xml:space="preserve"> Code is not adopted and the following is substituted:</w:t>
      </w:r>
    </w:p>
    <w:p w14:paraId="1CE80F02"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TABLE C402.1.4</w:t>
      </w:r>
    </w:p>
    <w:p w14:paraId="0D947D8C"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u w:val="single"/>
          <w14:ligatures w14:val="none"/>
        </w:rPr>
      </w:pPr>
      <w:r w:rsidRPr="006B4A66">
        <w:rPr>
          <w:rFonts w:ascii="Times New Roman" w:eastAsia="Calibri" w:hAnsi="Times New Roman" w:cs="Times New Roman"/>
          <w:b/>
          <w:bCs/>
          <w:color w:val="000000"/>
          <w:kern w:val="0"/>
          <w:sz w:val="24"/>
          <w14:ligatures w14:val="none"/>
        </w:rPr>
        <w:t>OPAQUE THERMAL ENVELOPE ASSEMBLY MAXIMUM REQUIREMENTS, U-FACTOR METHOD ((</w:t>
      </w:r>
      <w:r w:rsidRPr="006B4A66">
        <w:rPr>
          <w:rFonts w:ascii="Times New Roman" w:eastAsia="Calibri" w:hAnsi="Times New Roman" w:cs="Times New Roman"/>
          <w:b/>
          <w:bCs/>
          <w:strike/>
          <w:color w:val="000000"/>
          <w:kern w:val="0"/>
          <w:sz w:val="24"/>
          <w14:ligatures w14:val="none"/>
        </w:rPr>
        <w:t>a,f</w:t>
      </w:r>
      <w:r w:rsidRPr="006B4A66">
        <w:rPr>
          <w:rFonts w:ascii="Times New Roman" w:eastAsia="Calibri" w:hAnsi="Times New Roman" w:cs="Times New Roman"/>
          <w:b/>
          <w:bCs/>
          <w:color w:val="000000"/>
          <w:kern w:val="0"/>
          <w:sz w:val="24"/>
          <w14:ligatures w14:val="none"/>
        </w:rPr>
        <w:t>))</w:t>
      </w:r>
      <w:r w:rsidRPr="006B4A66">
        <w:rPr>
          <w:rFonts w:ascii="Times New Roman" w:eastAsia="Calibri" w:hAnsi="Times New Roman" w:cs="Times New Roman"/>
          <w:b/>
          <w:bCs/>
          <w:color w:val="000000"/>
          <w:kern w:val="0"/>
          <w:sz w:val="24"/>
          <w:u w:val="single"/>
          <w:vertAlign w:val="superscript"/>
          <w14:ligatures w14:val="none"/>
        </w:rPr>
        <w:t>a, f</w:t>
      </w:r>
    </w:p>
    <w:tbl>
      <w:tblPr>
        <w:tblW w:w="981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0" w:type="dxa"/>
          <w:right w:w="100" w:type="dxa"/>
        </w:tblCellMar>
        <w:tblLook w:val="04A0" w:firstRow="1" w:lastRow="0" w:firstColumn="1" w:lastColumn="0" w:noHBand="0" w:noVBand="1"/>
      </w:tblPr>
      <w:tblGrid>
        <w:gridCol w:w="5267"/>
        <w:gridCol w:w="2340"/>
        <w:gridCol w:w="2206"/>
      </w:tblGrid>
      <w:tr w:rsidR="006B4A66" w:rsidRPr="006B4A66" w14:paraId="3F135799" w14:textId="77777777">
        <w:trPr>
          <w:cantSplit/>
          <w:jc w:val="center"/>
        </w:trPr>
        <w:tc>
          <w:tcPr>
            <w:tcW w:w="5267" w:type="dxa"/>
            <w:vMerge w:val="restart"/>
            <w:tcBorders>
              <w:top w:val="single" w:sz="4" w:space="0" w:color="auto"/>
              <w:left w:val="single" w:sz="6" w:space="0" w:color="auto"/>
              <w:right w:val="single" w:sz="6" w:space="0" w:color="auto"/>
            </w:tcBorders>
          </w:tcPr>
          <w:p w14:paraId="14A111B8" w14:textId="77777777" w:rsidR="006B4A66" w:rsidRPr="006B4A66" w:rsidRDefault="006B4A66" w:rsidP="0073496A">
            <w:pPr>
              <w:spacing w:after="0" w:line="480" w:lineRule="auto"/>
              <w:jc w:val="center"/>
              <w:rPr>
                <w:rFonts w:ascii="Times New Roman" w:eastAsia="Calibri" w:hAnsi="Times New Roman" w:cs="Times New Roman"/>
                <w:color w:val="000000"/>
                <w:kern w:val="0"/>
                <w:sz w:val="24"/>
                <w14:ligatures w14:val="none"/>
              </w:rPr>
            </w:pPr>
          </w:p>
        </w:tc>
        <w:tc>
          <w:tcPr>
            <w:tcW w:w="4546" w:type="dxa"/>
            <w:gridSpan w:val="2"/>
            <w:tcBorders>
              <w:top w:val="single" w:sz="6" w:space="0" w:color="auto"/>
              <w:left w:val="single" w:sz="6" w:space="0" w:color="auto"/>
              <w:bottom w:val="single" w:sz="6" w:space="0" w:color="auto"/>
              <w:right w:val="single" w:sz="6" w:space="0" w:color="auto"/>
            </w:tcBorders>
            <w:hideMark/>
          </w:tcPr>
          <w:p w14:paraId="0231799E"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u w:val="single"/>
                <w14:ligatures w14:val="none"/>
              </w:rPr>
            </w:pPr>
            <w:r w:rsidRPr="006B4A66">
              <w:rPr>
                <w:rFonts w:ascii="Times New Roman" w:eastAsia="Calibri" w:hAnsi="Times New Roman" w:cs="Times New Roman"/>
                <w:b/>
                <w:bCs/>
                <w:color w:val="000000"/>
                <w:kern w:val="0"/>
                <w:sz w:val="24"/>
                <w14:ligatures w14:val="none"/>
              </w:rPr>
              <w:t>CLIMATE ZONE 5 AND MARINE 4</w:t>
            </w:r>
          </w:p>
        </w:tc>
      </w:tr>
      <w:tr w:rsidR="006B4A66" w:rsidRPr="006B4A66" w14:paraId="698EE0A4" w14:textId="77777777">
        <w:trPr>
          <w:cantSplit/>
          <w:jc w:val="center"/>
        </w:trPr>
        <w:tc>
          <w:tcPr>
            <w:tcW w:w="5267" w:type="dxa"/>
            <w:vMerge/>
            <w:vAlign w:val="center"/>
            <w:hideMark/>
          </w:tcPr>
          <w:p w14:paraId="6414611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c>
          <w:tcPr>
            <w:tcW w:w="2340" w:type="dxa"/>
            <w:tcBorders>
              <w:top w:val="single" w:sz="6" w:space="0" w:color="auto"/>
              <w:left w:val="single" w:sz="6" w:space="0" w:color="auto"/>
              <w:bottom w:val="single" w:sz="6" w:space="0" w:color="auto"/>
              <w:right w:val="single" w:sz="6" w:space="0" w:color="auto"/>
            </w:tcBorders>
            <w:hideMark/>
          </w:tcPr>
          <w:p w14:paraId="7CDCF43C"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All Other</w:t>
            </w:r>
          </w:p>
        </w:tc>
        <w:tc>
          <w:tcPr>
            <w:tcW w:w="2206" w:type="dxa"/>
            <w:tcBorders>
              <w:top w:val="single" w:sz="6" w:space="0" w:color="auto"/>
              <w:left w:val="single" w:sz="6" w:space="0" w:color="auto"/>
              <w:bottom w:val="single" w:sz="6" w:space="0" w:color="auto"/>
              <w:right w:val="single" w:sz="6" w:space="0" w:color="auto"/>
            </w:tcBorders>
            <w:hideMark/>
          </w:tcPr>
          <w:p w14:paraId="439295F0"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Group R</w:t>
            </w:r>
          </w:p>
        </w:tc>
      </w:tr>
      <w:tr w:rsidR="006B4A66" w:rsidRPr="006B4A66" w14:paraId="0628C8BD" w14:textId="77777777">
        <w:trPr>
          <w:cantSplit/>
          <w:trHeight w:val="403"/>
          <w:jc w:val="center"/>
        </w:trPr>
        <w:tc>
          <w:tcPr>
            <w:tcW w:w="9813" w:type="dxa"/>
            <w:gridSpan w:val="3"/>
            <w:tcBorders>
              <w:top w:val="single" w:sz="6" w:space="0" w:color="auto"/>
              <w:left w:val="single" w:sz="6" w:space="0" w:color="auto"/>
              <w:bottom w:val="single" w:sz="6" w:space="0" w:color="auto"/>
              <w:right w:val="single" w:sz="6" w:space="0" w:color="auto"/>
            </w:tcBorders>
            <w:vAlign w:val="center"/>
            <w:hideMark/>
          </w:tcPr>
          <w:p w14:paraId="294CE638"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Roofs</w:t>
            </w:r>
          </w:p>
        </w:tc>
      </w:tr>
      <w:tr w:rsidR="006B4A66" w:rsidRPr="006B4A66" w14:paraId="66433718" w14:textId="77777777">
        <w:trPr>
          <w:cantSplit/>
          <w:trHeight w:val="403"/>
          <w:jc w:val="center"/>
        </w:trPr>
        <w:tc>
          <w:tcPr>
            <w:tcW w:w="5267" w:type="dxa"/>
            <w:tcBorders>
              <w:top w:val="single" w:sz="6" w:space="0" w:color="auto"/>
              <w:left w:val="single" w:sz="6" w:space="0" w:color="auto"/>
              <w:bottom w:val="single" w:sz="6" w:space="0" w:color="auto"/>
              <w:right w:val="single" w:sz="4" w:space="0" w:color="auto"/>
            </w:tcBorders>
            <w:vAlign w:val="center"/>
            <w:hideMark/>
          </w:tcPr>
          <w:p w14:paraId="65A9BEB1"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Insulation entirely above deck</w:t>
            </w:r>
          </w:p>
        </w:tc>
        <w:tc>
          <w:tcPr>
            <w:tcW w:w="2340" w:type="dxa"/>
            <w:tcBorders>
              <w:top w:val="single" w:sz="4" w:space="0" w:color="auto"/>
              <w:left w:val="single" w:sz="4" w:space="0" w:color="auto"/>
              <w:bottom w:val="single" w:sz="4" w:space="0" w:color="auto"/>
              <w:right w:val="single" w:sz="4" w:space="0" w:color="auto"/>
            </w:tcBorders>
            <w:vAlign w:val="center"/>
            <w:hideMark/>
          </w:tcPr>
          <w:p w14:paraId="3C0589C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U-0.027</w:t>
            </w:r>
          </w:p>
        </w:tc>
        <w:tc>
          <w:tcPr>
            <w:tcW w:w="2206" w:type="dxa"/>
            <w:tcBorders>
              <w:top w:val="single" w:sz="4" w:space="0" w:color="auto"/>
              <w:left w:val="single" w:sz="4" w:space="0" w:color="auto"/>
              <w:bottom w:val="single" w:sz="4" w:space="0" w:color="auto"/>
              <w:right w:val="single" w:sz="4" w:space="0" w:color="auto"/>
            </w:tcBorders>
            <w:vAlign w:val="center"/>
            <w:hideMark/>
          </w:tcPr>
          <w:p w14:paraId="3B848731"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U-0.027</w:t>
            </w:r>
          </w:p>
        </w:tc>
      </w:tr>
      <w:tr w:rsidR="006B4A66" w:rsidRPr="006B4A66" w14:paraId="06A08B49" w14:textId="77777777">
        <w:trPr>
          <w:cantSplit/>
          <w:trHeight w:val="403"/>
          <w:jc w:val="center"/>
        </w:trPr>
        <w:tc>
          <w:tcPr>
            <w:tcW w:w="5267" w:type="dxa"/>
            <w:tcBorders>
              <w:top w:val="single" w:sz="6" w:space="0" w:color="auto"/>
              <w:left w:val="single" w:sz="6" w:space="0" w:color="auto"/>
              <w:bottom w:val="single" w:sz="6" w:space="0" w:color="auto"/>
              <w:right w:val="single" w:sz="4" w:space="0" w:color="auto"/>
            </w:tcBorders>
            <w:vAlign w:val="center"/>
            <w:hideMark/>
          </w:tcPr>
          <w:p w14:paraId="3BA57AD2"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Metal buildings</w:t>
            </w:r>
          </w:p>
        </w:tc>
        <w:tc>
          <w:tcPr>
            <w:tcW w:w="2340" w:type="dxa"/>
            <w:tcBorders>
              <w:top w:val="single" w:sz="4" w:space="0" w:color="auto"/>
              <w:left w:val="single" w:sz="4" w:space="0" w:color="auto"/>
              <w:bottom w:val="single" w:sz="4" w:space="0" w:color="auto"/>
              <w:right w:val="single" w:sz="4" w:space="0" w:color="auto"/>
            </w:tcBorders>
            <w:vAlign w:val="center"/>
            <w:hideMark/>
          </w:tcPr>
          <w:p w14:paraId="5665A1B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U-0.027</w:t>
            </w:r>
          </w:p>
        </w:tc>
        <w:tc>
          <w:tcPr>
            <w:tcW w:w="2206" w:type="dxa"/>
            <w:tcBorders>
              <w:top w:val="single" w:sz="4" w:space="0" w:color="auto"/>
              <w:left w:val="single" w:sz="4" w:space="0" w:color="auto"/>
              <w:bottom w:val="single" w:sz="4" w:space="0" w:color="auto"/>
              <w:right w:val="single" w:sz="4" w:space="0" w:color="auto"/>
            </w:tcBorders>
            <w:vAlign w:val="center"/>
            <w:hideMark/>
          </w:tcPr>
          <w:p w14:paraId="13FA5BC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U-0.027</w:t>
            </w:r>
          </w:p>
        </w:tc>
      </w:tr>
      <w:tr w:rsidR="006B4A66" w:rsidRPr="006B4A66" w14:paraId="5FA7DA86" w14:textId="77777777">
        <w:trPr>
          <w:cantSplit/>
          <w:trHeight w:val="403"/>
          <w:jc w:val="center"/>
        </w:trPr>
        <w:tc>
          <w:tcPr>
            <w:tcW w:w="5267" w:type="dxa"/>
            <w:tcBorders>
              <w:top w:val="single" w:sz="6" w:space="0" w:color="auto"/>
              <w:left w:val="single" w:sz="6" w:space="0" w:color="auto"/>
              <w:bottom w:val="single" w:sz="6" w:space="0" w:color="auto"/>
              <w:right w:val="single" w:sz="4" w:space="0" w:color="auto"/>
            </w:tcBorders>
            <w:vAlign w:val="center"/>
            <w:hideMark/>
          </w:tcPr>
          <w:p w14:paraId="580C31C1"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Attic and other</w:t>
            </w:r>
          </w:p>
        </w:tc>
        <w:tc>
          <w:tcPr>
            <w:tcW w:w="2340" w:type="dxa"/>
            <w:tcBorders>
              <w:top w:val="single" w:sz="4" w:space="0" w:color="auto"/>
              <w:left w:val="single" w:sz="4" w:space="0" w:color="auto"/>
              <w:bottom w:val="single" w:sz="4" w:space="0" w:color="auto"/>
              <w:right w:val="single" w:sz="4" w:space="0" w:color="auto"/>
            </w:tcBorders>
            <w:vAlign w:val="center"/>
            <w:hideMark/>
          </w:tcPr>
          <w:p w14:paraId="66DDA8D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U-0.021</w:t>
            </w:r>
          </w:p>
        </w:tc>
        <w:tc>
          <w:tcPr>
            <w:tcW w:w="2206" w:type="dxa"/>
            <w:tcBorders>
              <w:top w:val="single" w:sz="4" w:space="0" w:color="auto"/>
              <w:left w:val="single" w:sz="4" w:space="0" w:color="auto"/>
              <w:bottom w:val="single" w:sz="4" w:space="0" w:color="auto"/>
              <w:right w:val="single" w:sz="4" w:space="0" w:color="auto"/>
            </w:tcBorders>
            <w:vAlign w:val="center"/>
            <w:hideMark/>
          </w:tcPr>
          <w:p w14:paraId="60A2C68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U-0.021</w:t>
            </w:r>
          </w:p>
        </w:tc>
      </w:tr>
      <w:tr w:rsidR="006B4A66" w:rsidRPr="006B4A66" w14:paraId="6B4BCF2C" w14:textId="77777777">
        <w:trPr>
          <w:cantSplit/>
          <w:trHeight w:val="403"/>
          <w:jc w:val="center"/>
        </w:trPr>
        <w:tc>
          <w:tcPr>
            <w:tcW w:w="5267" w:type="dxa"/>
            <w:tcBorders>
              <w:top w:val="single" w:sz="6" w:space="0" w:color="auto"/>
              <w:left w:val="single" w:sz="6" w:space="0" w:color="auto"/>
              <w:bottom w:val="single" w:sz="6" w:space="0" w:color="auto"/>
              <w:right w:val="single" w:sz="4" w:space="0" w:color="auto"/>
            </w:tcBorders>
            <w:vAlign w:val="center"/>
            <w:hideMark/>
          </w:tcPr>
          <w:p w14:paraId="4577359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Joist or single rafter</w:t>
            </w:r>
          </w:p>
        </w:tc>
        <w:tc>
          <w:tcPr>
            <w:tcW w:w="2340" w:type="dxa"/>
            <w:tcBorders>
              <w:top w:val="single" w:sz="4" w:space="0" w:color="auto"/>
              <w:left w:val="single" w:sz="4" w:space="0" w:color="auto"/>
              <w:bottom w:val="single" w:sz="4" w:space="0" w:color="auto"/>
              <w:right w:val="single" w:sz="4" w:space="0" w:color="auto"/>
            </w:tcBorders>
            <w:vAlign w:val="center"/>
            <w:hideMark/>
          </w:tcPr>
          <w:p w14:paraId="094F1BA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U-0.027</w:t>
            </w:r>
          </w:p>
        </w:tc>
        <w:tc>
          <w:tcPr>
            <w:tcW w:w="2206" w:type="dxa"/>
            <w:tcBorders>
              <w:top w:val="single" w:sz="4" w:space="0" w:color="auto"/>
              <w:left w:val="single" w:sz="4" w:space="0" w:color="auto"/>
              <w:bottom w:val="single" w:sz="4" w:space="0" w:color="auto"/>
              <w:right w:val="single" w:sz="4" w:space="0" w:color="auto"/>
            </w:tcBorders>
            <w:vAlign w:val="center"/>
            <w:hideMark/>
          </w:tcPr>
          <w:p w14:paraId="3AE4819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U-0.027</w:t>
            </w:r>
          </w:p>
        </w:tc>
      </w:tr>
      <w:tr w:rsidR="006B4A66" w:rsidRPr="006B4A66" w14:paraId="002C2CD9" w14:textId="77777777">
        <w:trPr>
          <w:cantSplit/>
          <w:trHeight w:val="403"/>
          <w:jc w:val="center"/>
        </w:trPr>
        <w:tc>
          <w:tcPr>
            <w:tcW w:w="9813" w:type="dxa"/>
            <w:gridSpan w:val="3"/>
            <w:tcBorders>
              <w:top w:val="single" w:sz="6" w:space="0" w:color="auto"/>
              <w:left w:val="single" w:sz="6" w:space="0" w:color="auto"/>
              <w:bottom w:val="single" w:sz="6" w:space="0" w:color="auto"/>
              <w:right w:val="single" w:sz="4" w:space="0" w:color="auto"/>
            </w:tcBorders>
            <w:vAlign w:val="center"/>
            <w:hideMark/>
          </w:tcPr>
          <w:p w14:paraId="5657C4F7"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Walls, Above Grade</w:t>
            </w:r>
            <w:r w:rsidRPr="006B4A66">
              <w:rPr>
                <w:rFonts w:ascii="Times New Roman" w:eastAsia="Calibri" w:hAnsi="Times New Roman" w:cs="Times New Roman"/>
                <w:b/>
                <w:bCs/>
                <w:color w:val="000000"/>
                <w:kern w:val="0"/>
                <w:sz w:val="24"/>
                <w:u w:val="single"/>
                <w:vertAlign w:val="superscript"/>
                <w14:ligatures w14:val="none"/>
              </w:rPr>
              <w:t>k</w:t>
            </w:r>
          </w:p>
        </w:tc>
      </w:tr>
      <w:tr w:rsidR="006B4A66" w:rsidRPr="006B4A66" w14:paraId="197A8661" w14:textId="77777777">
        <w:trPr>
          <w:cantSplit/>
          <w:trHeight w:val="403"/>
          <w:jc w:val="center"/>
        </w:trPr>
        <w:tc>
          <w:tcPr>
            <w:tcW w:w="5267" w:type="dxa"/>
            <w:tcBorders>
              <w:top w:val="single" w:sz="6" w:space="0" w:color="auto"/>
              <w:left w:val="single" w:sz="6" w:space="0" w:color="auto"/>
              <w:bottom w:val="single" w:sz="6" w:space="0" w:color="auto"/>
              <w:right w:val="single" w:sz="4" w:space="0" w:color="auto"/>
            </w:tcBorders>
            <w:vAlign w:val="center"/>
            <w:hideMark/>
          </w:tcPr>
          <w:p w14:paraId="39C130A3" w14:textId="77777777"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lastRenderedPageBreak/>
              <w:t>Mass((</w:t>
            </w:r>
            <w:r w:rsidRPr="006B4A66">
              <w:rPr>
                <w:rFonts w:ascii="Times New Roman" w:eastAsia="Calibri" w:hAnsi="Times New Roman" w:cs="Times New Roman"/>
                <w:strike/>
                <w:color w:val="000000"/>
                <w:kern w:val="0"/>
                <w:sz w:val="24"/>
                <w14:ligatures w14:val="none"/>
              </w:rPr>
              <w:t>g,b</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u w:val="single"/>
                <w:vertAlign w:val="superscript"/>
                <w14:ligatures w14:val="none"/>
              </w:rPr>
              <w:t>g</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373B2B6"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U-0.057</w:t>
            </w:r>
          </w:p>
        </w:tc>
        <w:tc>
          <w:tcPr>
            <w:tcW w:w="2206" w:type="dxa"/>
            <w:tcBorders>
              <w:top w:val="single" w:sz="4" w:space="0" w:color="auto"/>
              <w:left w:val="single" w:sz="4" w:space="0" w:color="auto"/>
              <w:bottom w:val="single" w:sz="4" w:space="0" w:color="auto"/>
              <w:right w:val="single" w:sz="4" w:space="0" w:color="auto"/>
            </w:tcBorders>
            <w:vAlign w:val="center"/>
            <w:hideMark/>
          </w:tcPr>
          <w:p w14:paraId="489BBBA5"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U-0.057</w:t>
            </w:r>
          </w:p>
        </w:tc>
      </w:tr>
      <w:tr w:rsidR="006B4A66" w:rsidRPr="006B4A66" w14:paraId="731FEDB0" w14:textId="77777777">
        <w:trPr>
          <w:cantSplit/>
          <w:trHeight w:val="403"/>
          <w:jc w:val="center"/>
        </w:trPr>
        <w:tc>
          <w:tcPr>
            <w:tcW w:w="5267" w:type="dxa"/>
            <w:tcBorders>
              <w:top w:val="single" w:sz="6" w:space="0" w:color="auto"/>
              <w:left w:val="single" w:sz="6" w:space="0" w:color="auto"/>
              <w:bottom w:val="single" w:sz="6" w:space="0" w:color="auto"/>
              <w:right w:val="single" w:sz="4" w:space="0" w:color="auto"/>
            </w:tcBorders>
            <w:vAlign w:val="center"/>
            <w:hideMark/>
          </w:tcPr>
          <w:p w14:paraId="0C81FE20" w14:textId="6A1C2AB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Mass transfer deck slab edge((</w:t>
            </w:r>
            <w:r w:rsidRPr="006B4A66">
              <w:rPr>
                <w:rFonts w:ascii="Times New Roman" w:eastAsia="Calibri" w:hAnsi="Times New Roman" w:cs="Times New Roman"/>
                <w:strike/>
                <w:color w:val="000000"/>
                <w:kern w:val="0"/>
                <w:sz w:val="24"/>
                <w14:ligatures w14:val="none"/>
              </w:rPr>
              <w:t>d</w:t>
            </w:r>
            <w:r w:rsidRPr="006B4A66">
              <w:rPr>
                <w:rFonts w:ascii="Times New Roman" w:eastAsia="Calibri" w:hAnsi="Times New Roman" w:cs="Times New Roman"/>
                <w:color w:val="000000"/>
                <w:kern w:val="0"/>
                <w:sz w:val="24"/>
                <w14:ligatures w14:val="none"/>
              </w:rPr>
              <w:t>))</w:t>
            </w:r>
            <w:r w:rsidR="00BC6858">
              <w:rPr>
                <w:rFonts w:ascii="Times New Roman" w:eastAsia="Calibri" w:hAnsi="Times New Roman" w:cs="Times New Roman"/>
                <w:color w:val="000000"/>
                <w:kern w:val="0"/>
                <w:sz w:val="24"/>
                <w:u w:val="single"/>
                <w:vertAlign w:val="superscript"/>
                <w14:ligatures w14:val="none"/>
              </w:rPr>
              <w:t>i</w:t>
            </w:r>
          </w:p>
        </w:tc>
        <w:tc>
          <w:tcPr>
            <w:tcW w:w="2340" w:type="dxa"/>
            <w:tcBorders>
              <w:top w:val="single" w:sz="4" w:space="0" w:color="auto"/>
              <w:left w:val="single" w:sz="4" w:space="0" w:color="auto"/>
              <w:bottom w:val="single" w:sz="4" w:space="0" w:color="auto"/>
              <w:right w:val="single" w:sz="4" w:space="0" w:color="auto"/>
            </w:tcBorders>
            <w:vAlign w:val="center"/>
            <w:hideMark/>
          </w:tcPr>
          <w:p w14:paraId="71FEBEA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U-0.20</w:t>
            </w:r>
          </w:p>
        </w:tc>
        <w:tc>
          <w:tcPr>
            <w:tcW w:w="2206" w:type="dxa"/>
            <w:tcBorders>
              <w:top w:val="single" w:sz="4" w:space="0" w:color="auto"/>
              <w:left w:val="single" w:sz="4" w:space="0" w:color="auto"/>
              <w:bottom w:val="single" w:sz="4" w:space="0" w:color="auto"/>
              <w:right w:val="single" w:sz="4" w:space="0" w:color="auto"/>
            </w:tcBorders>
            <w:vAlign w:val="center"/>
            <w:hideMark/>
          </w:tcPr>
          <w:p w14:paraId="54E5133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U-0.20</w:t>
            </w:r>
          </w:p>
        </w:tc>
      </w:tr>
      <w:tr w:rsidR="006B4A66" w:rsidRPr="006B4A66" w14:paraId="6FEFAE48" w14:textId="77777777">
        <w:trPr>
          <w:cantSplit/>
          <w:trHeight w:val="403"/>
          <w:jc w:val="center"/>
        </w:trPr>
        <w:tc>
          <w:tcPr>
            <w:tcW w:w="5267" w:type="dxa"/>
            <w:tcBorders>
              <w:top w:val="single" w:sz="6" w:space="0" w:color="auto"/>
              <w:left w:val="single" w:sz="6" w:space="0" w:color="auto"/>
              <w:bottom w:val="single" w:sz="6" w:space="0" w:color="auto"/>
              <w:right w:val="single" w:sz="4" w:space="0" w:color="auto"/>
            </w:tcBorders>
            <w:hideMark/>
          </w:tcPr>
          <w:p w14:paraId="2AEE73AC" w14:textId="77777777"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Slab penetrating thermal envelope wall((</w:t>
            </w:r>
            <w:r w:rsidRPr="006B4A66">
              <w:rPr>
                <w:rFonts w:ascii="Times New Roman" w:eastAsia="Calibri" w:hAnsi="Times New Roman" w:cs="Times New Roman"/>
                <w:strike/>
                <w:color w:val="000000"/>
                <w:kern w:val="0"/>
                <w:sz w:val="24"/>
                <w14:ligatures w14:val="none"/>
              </w:rPr>
              <w:t>h</w:t>
            </w:r>
            <w:r w:rsidRPr="006B4A66">
              <w:rPr>
                <w:rFonts w:ascii="Times New Roman" w:eastAsia="Calibri" w:hAnsi="Times New Roman" w:cs="Times New Roman"/>
                <w:color w:val="000000"/>
                <w:kern w:val="0"/>
                <w:sz w:val="24"/>
                <w14:ligatures w14:val="none"/>
              </w:rPr>
              <w:t>))</w:t>
            </w:r>
          </w:p>
        </w:tc>
        <w:tc>
          <w:tcPr>
            <w:tcW w:w="2340" w:type="dxa"/>
            <w:tcBorders>
              <w:top w:val="single" w:sz="4" w:space="0" w:color="auto"/>
              <w:left w:val="single" w:sz="4" w:space="0" w:color="auto"/>
              <w:bottom w:val="single" w:sz="4" w:space="0" w:color="auto"/>
              <w:right w:val="single" w:sz="4" w:space="0" w:color="auto"/>
            </w:tcBorders>
            <w:hideMark/>
          </w:tcPr>
          <w:p w14:paraId="18D8555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U-0.10</w:t>
            </w:r>
          </w:p>
        </w:tc>
        <w:tc>
          <w:tcPr>
            <w:tcW w:w="2206" w:type="dxa"/>
            <w:tcBorders>
              <w:top w:val="single" w:sz="4" w:space="0" w:color="auto"/>
              <w:left w:val="single" w:sz="4" w:space="0" w:color="auto"/>
              <w:bottom w:val="single" w:sz="4" w:space="0" w:color="auto"/>
              <w:right w:val="single" w:sz="4" w:space="0" w:color="auto"/>
            </w:tcBorders>
            <w:hideMark/>
          </w:tcPr>
          <w:p w14:paraId="3E4ECBD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U-0.10</w:t>
            </w:r>
          </w:p>
        </w:tc>
      </w:tr>
      <w:tr w:rsidR="006B4A66" w:rsidRPr="006B4A66" w14:paraId="5B936A48" w14:textId="77777777">
        <w:trPr>
          <w:cantSplit/>
          <w:trHeight w:val="403"/>
          <w:jc w:val="center"/>
        </w:trPr>
        <w:tc>
          <w:tcPr>
            <w:tcW w:w="5267" w:type="dxa"/>
            <w:tcBorders>
              <w:top w:val="single" w:sz="6" w:space="0" w:color="auto"/>
              <w:left w:val="single" w:sz="6" w:space="0" w:color="auto"/>
              <w:bottom w:val="single" w:sz="6" w:space="0" w:color="auto"/>
              <w:right w:val="single" w:sz="4" w:space="0" w:color="auto"/>
            </w:tcBorders>
            <w:vAlign w:val="center"/>
            <w:hideMark/>
          </w:tcPr>
          <w:p w14:paraId="58FDE78E" w14:textId="77777777"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Metal building((</w:t>
            </w:r>
            <w:r w:rsidRPr="006B4A66">
              <w:rPr>
                <w:rFonts w:ascii="Times New Roman" w:eastAsia="Calibri" w:hAnsi="Times New Roman" w:cs="Times New Roman"/>
                <w:strike/>
                <w:color w:val="000000"/>
                <w:kern w:val="0"/>
                <w:sz w:val="24"/>
                <w14:ligatures w14:val="none"/>
              </w:rPr>
              <w:t>b</w:t>
            </w:r>
            <w:r w:rsidRPr="006B4A66">
              <w:rPr>
                <w:rFonts w:ascii="Times New Roman" w:eastAsia="Calibri" w:hAnsi="Times New Roman" w:cs="Times New Roman"/>
                <w:color w:val="000000"/>
                <w:kern w:val="0"/>
                <w:sz w:val="24"/>
                <w14:ligatures w14:val="none"/>
              </w:rPr>
              <w:t>))</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FA925E7" w14:textId="77777777" w:rsidR="006B4A66" w:rsidRPr="006B4A66" w:rsidRDefault="006B4A66" w:rsidP="0073496A">
            <w:pPr>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strike/>
                <w:color w:val="000000"/>
                <w:kern w:val="0"/>
                <w:sz w:val="24"/>
                <w14:ligatures w14:val="none"/>
              </w:rPr>
              <w:t>((U-0.052))</w:t>
            </w:r>
            <w:r w:rsidRPr="006B4A66">
              <w:rPr>
                <w:rFonts w:ascii="Times New Roman" w:eastAsia="Calibri" w:hAnsi="Times New Roman" w:cs="Times New Roman"/>
                <w:color w:val="000000"/>
                <w:kern w:val="0"/>
                <w:sz w:val="24"/>
                <w:u w:val="single"/>
                <w14:ligatures w14:val="none"/>
              </w:rPr>
              <w:t xml:space="preserve"> U-0.050</w:t>
            </w:r>
          </w:p>
        </w:tc>
        <w:tc>
          <w:tcPr>
            <w:tcW w:w="2206" w:type="dxa"/>
            <w:tcBorders>
              <w:top w:val="single" w:sz="4" w:space="0" w:color="auto"/>
              <w:left w:val="single" w:sz="4" w:space="0" w:color="auto"/>
              <w:bottom w:val="single" w:sz="4" w:space="0" w:color="auto"/>
              <w:right w:val="single" w:sz="4" w:space="0" w:color="auto"/>
            </w:tcBorders>
            <w:vAlign w:val="center"/>
            <w:hideMark/>
          </w:tcPr>
          <w:p w14:paraId="371FD74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strike/>
                <w:color w:val="000000"/>
                <w:kern w:val="0"/>
                <w:sz w:val="24"/>
                <w14:ligatures w14:val="none"/>
              </w:rPr>
              <w:t>((U-0.052))</w:t>
            </w:r>
            <w:r w:rsidRPr="006B4A66">
              <w:rPr>
                <w:rFonts w:ascii="Times New Roman" w:eastAsia="Calibri" w:hAnsi="Times New Roman" w:cs="Times New Roman"/>
                <w:color w:val="000000"/>
                <w:kern w:val="0"/>
                <w:sz w:val="24"/>
                <w:u w:val="single"/>
                <w14:ligatures w14:val="none"/>
              </w:rPr>
              <w:t xml:space="preserve"> U-0.050</w:t>
            </w:r>
          </w:p>
        </w:tc>
      </w:tr>
      <w:tr w:rsidR="006B4A66" w:rsidRPr="006B4A66" w14:paraId="659E0367" w14:textId="77777777">
        <w:trPr>
          <w:cantSplit/>
          <w:trHeight w:val="403"/>
          <w:jc w:val="center"/>
        </w:trPr>
        <w:tc>
          <w:tcPr>
            <w:tcW w:w="5267" w:type="dxa"/>
            <w:tcBorders>
              <w:top w:val="single" w:sz="6" w:space="0" w:color="auto"/>
              <w:left w:val="single" w:sz="6" w:space="0" w:color="auto"/>
              <w:bottom w:val="single" w:sz="6" w:space="0" w:color="auto"/>
              <w:right w:val="single" w:sz="4" w:space="0" w:color="auto"/>
            </w:tcBorders>
            <w:vAlign w:val="center"/>
            <w:hideMark/>
          </w:tcPr>
          <w:p w14:paraId="416126A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Steel framed((</w:t>
            </w:r>
            <w:r w:rsidRPr="006B4A66">
              <w:rPr>
                <w:rFonts w:ascii="Times New Roman" w:eastAsia="Calibri" w:hAnsi="Times New Roman" w:cs="Times New Roman"/>
                <w:strike/>
                <w:color w:val="000000"/>
                <w:kern w:val="0"/>
                <w:sz w:val="24"/>
                <w14:ligatures w14:val="none"/>
              </w:rPr>
              <w:t>b</w:t>
            </w:r>
            <w:r w:rsidRPr="006B4A66">
              <w:rPr>
                <w:rFonts w:ascii="Times New Roman" w:eastAsia="Calibri" w:hAnsi="Times New Roman" w:cs="Times New Roman"/>
                <w:color w:val="000000"/>
                <w:kern w:val="0"/>
                <w:sz w:val="24"/>
                <w14:ligatures w14:val="none"/>
              </w:rPr>
              <w:t>))</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7155825"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U-0.055</w:t>
            </w:r>
          </w:p>
        </w:tc>
        <w:tc>
          <w:tcPr>
            <w:tcW w:w="2206" w:type="dxa"/>
            <w:tcBorders>
              <w:top w:val="single" w:sz="4" w:space="0" w:color="auto"/>
              <w:left w:val="single" w:sz="4" w:space="0" w:color="auto"/>
              <w:bottom w:val="single" w:sz="4" w:space="0" w:color="auto"/>
              <w:right w:val="single" w:sz="4" w:space="0" w:color="auto"/>
            </w:tcBorders>
            <w:vAlign w:val="center"/>
            <w:hideMark/>
          </w:tcPr>
          <w:p w14:paraId="18E35E1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U-0.055</w:t>
            </w:r>
          </w:p>
        </w:tc>
      </w:tr>
      <w:tr w:rsidR="006B4A66" w:rsidRPr="006B4A66" w14:paraId="2BB1F081" w14:textId="77777777">
        <w:trPr>
          <w:cantSplit/>
          <w:trHeight w:val="403"/>
          <w:jc w:val="center"/>
        </w:trPr>
        <w:tc>
          <w:tcPr>
            <w:tcW w:w="5267" w:type="dxa"/>
            <w:tcBorders>
              <w:top w:val="single" w:sz="6" w:space="0" w:color="auto"/>
              <w:left w:val="single" w:sz="6" w:space="0" w:color="auto"/>
              <w:bottom w:val="single" w:sz="6" w:space="0" w:color="auto"/>
              <w:right w:val="single" w:sz="4" w:space="0" w:color="auto"/>
            </w:tcBorders>
            <w:vAlign w:val="center"/>
            <w:hideMark/>
          </w:tcPr>
          <w:p w14:paraId="79F57F3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Wood framed and other((</w:t>
            </w:r>
            <w:r w:rsidRPr="006B4A66">
              <w:rPr>
                <w:rFonts w:ascii="Times New Roman" w:eastAsia="Calibri" w:hAnsi="Times New Roman" w:cs="Times New Roman"/>
                <w:strike/>
                <w:color w:val="000000"/>
                <w:kern w:val="0"/>
                <w:sz w:val="24"/>
                <w14:ligatures w14:val="none"/>
              </w:rPr>
              <w:t>b</w:t>
            </w:r>
            <w:r w:rsidRPr="006B4A66">
              <w:rPr>
                <w:rFonts w:ascii="Times New Roman" w:eastAsia="Calibri" w:hAnsi="Times New Roman" w:cs="Times New Roman"/>
                <w:color w:val="000000"/>
                <w:kern w:val="0"/>
                <w:sz w:val="24"/>
                <w14:ligatures w14:val="none"/>
              </w:rPr>
              <w:t>))</w:t>
            </w:r>
          </w:p>
        </w:tc>
        <w:tc>
          <w:tcPr>
            <w:tcW w:w="2340" w:type="dxa"/>
            <w:tcBorders>
              <w:top w:val="single" w:sz="4" w:space="0" w:color="auto"/>
              <w:left w:val="single" w:sz="4" w:space="0" w:color="auto"/>
              <w:bottom w:val="single" w:sz="4" w:space="0" w:color="auto"/>
              <w:right w:val="single" w:sz="4" w:space="0" w:color="auto"/>
            </w:tcBorders>
            <w:vAlign w:val="center"/>
            <w:hideMark/>
          </w:tcPr>
          <w:p w14:paraId="5A1DC03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U-0.051</w:t>
            </w:r>
          </w:p>
        </w:tc>
        <w:tc>
          <w:tcPr>
            <w:tcW w:w="2206" w:type="dxa"/>
            <w:tcBorders>
              <w:top w:val="single" w:sz="4" w:space="0" w:color="auto"/>
              <w:left w:val="single" w:sz="4" w:space="0" w:color="auto"/>
              <w:bottom w:val="single" w:sz="4" w:space="0" w:color="auto"/>
              <w:right w:val="single" w:sz="4" w:space="0" w:color="auto"/>
            </w:tcBorders>
            <w:vAlign w:val="center"/>
            <w:hideMark/>
          </w:tcPr>
          <w:p w14:paraId="4264AF9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U-0.051</w:t>
            </w:r>
          </w:p>
        </w:tc>
      </w:tr>
      <w:tr w:rsidR="006B4A66" w:rsidRPr="006B4A66" w14:paraId="7758CAAA" w14:textId="77777777">
        <w:trPr>
          <w:cantSplit/>
          <w:trHeight w:val="403"/>
          <w:jc w:val="center"/>
        </w:trPr>
        <w:tc>
          <w:tcPr>
            <w:tcW w:w="9813" w:type="dxa"/>
            <w:gridSpan w:val="3"/>
            <w:tcBorders>
              <w:top w:val="single" w:sz="6" w:space="0" w:color="auto"/>
              <w:left w:val="single" w:sz="6" w:space="0" w:color="auto"/>
              <w:bottom w:val="single" w:sz="6" w:space="0" w:color="auto"/>
              <w:right w:val="single" w:sz="4" w:space="0" w:color="auto"/>
            </w:tcBorders>
            <w:vAlign w:val="center"/>
            <w:hideMark/>
          </w:tcPr>
          <w:p w14:paraId="64644FDD"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Walls, Below Grade</w:t>
            </w:r>
          </w:p>
        </w:tc>
      </w:tr>
      <w:tr w:rsidR="006B4A66" w:rsidRPr="006B4A66" w14:paraId="055A7C11" w14:textId="77777777">
        <w:trPr>
          <w:cantSplit/>
          <w:trHeight w:val="403"/>
          <w:jc w:val="center"/>
        </w:trPr>
        <w:tc>
          <w:tcPr>
            <w:tcW w:w="5267" w:type="dxa"/>
            <w:tcBorders>
              <w:top w:val="single" w:sz="6" w:space="0" w:color="auto"/>
              <w:left w:val="single" w:sz="6" w:space="0" w:color="auto"/>
              <w:bottom w:val="single" w:sz="6" w:space="0" w:color="auto"/>
              <w:right w:val="single" w:sz="4" w:space="0" w:color="auto"/>
            </w:tcBorders>
            <w:vAlign w:val="center"/>
            <w:hideMark/>
          </w:tcPr>
          <w:p w14:paraId="2463E5DA" w14:textId="77777777" w:rsidR="006B4A66" w:rsidRPr="006B4A66" w:rsidRDefault="006B4A66" w:rsidP="0073496A">
            <w:pPr>
              <w:spacing w:after="0" w:line="480" w:lineRule="auto"/>
              <w:rPr>
                <w:rFonts w:ascii="Times New Roman" w:eastAsia="Calibri" w:hAnsi="Times New Roman" w:cs="Times New Roman"/>
                <w:color w:val="000000"/>
                <w:kern w:val="0"/>
                <w:sz w:val="24"/>
                <w:u w:val="single"/>
                <w:vertAlign w:val="superscript"/>
                <w14:ligatures w14:val="none"/>
              </w:rPr>
            </w:pPr>
            <w:r w:rsidRPr="006B4A66">
              <w:rPr>
                <w:rFonts w:ascii="Times New Roman" w:eastAsia="Calibri" w:hAnsi="Times New Roman" w:cs="Times New Roman"/>
                <w:color w:val="000000"/>
                <w:kern w:val="0"/>
                <w:sz w:val="24"/>
                <w14:ligatures w14:val="none"/>
              </w:rPr>
              <w:t>Below-grade wall((</w:t>
            </w:r>
            <w:r w:rsidRPr="006B4A66">
              <w:rPr>
                <w:rFonts w:ascii="Times New Roman" w:eastAsia="Calibri" w:hAnsi="Times New Roman" w:cs="Times New Roman"/>
                <w:strike/>
                <w:color w:val="000000"/>
                <w:kern w:val="0"/>
                <w:sz w:val="24"/>
                <w14:ligatures w14:val="none"/>
              </w:rPr>
              <w:t>g</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u w:val="single"/>
                <w:vertAlign w:val="superscript"/>
                <w14:ligatures w14:val="none"/>
              </w:rPr>
              <w:t>g</w:t>
            </w:r>
          </w:p>
        </w:tc>
        <w:tc>
          <w:tcPr>
            <w:tcW w:w="2340" w:type="dxa"/>
            <w:tcBorders>
              <w:top w:val="single" w:sz="4" w:space="0" w:color="auto"/>
              <w:left w:val="single" w:sz="4" w:space="0" w:color="auto"/>
              <w:bottom w:val="single" w:sz="4" w:space="0" w:color="auto"/>
              <w:right w:val="single" w:sz="4" w:space="0" w:color="auto"/>
            </w:tcBorders>
            <w:hideMark/>
          </w:tcPr>
          <w:p w14:paraId="2775AD0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U-0.070</w:t>
            </w:r>
          </w:p>
        </w:tc>
        <w:tc>
          <w:tcPr>
            <w:tcW w:w="2206" w:type="dxa"/>
            <w:tcBorders>
              <w:top w:val="single" w:sz="4" w:space="0" w:color="auto"/>
              <w:left w:val="single" w:sz="4" w:space="0" w:color="auto"/>
              <w:bottom w:val="single" w:sz="4" w:space="0" w:color="auto"/>
              <w:right w:val="single" w:sz="4" w:space="0" w:color="auto"/>
            </w:tcBorders>
            <w:hideMark/>
          </w:tcPr>
          <w:p w14:paraId="687C5875"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U-0.070</w:t>
            </w:r>
          </w:p>
        </w:tc>
      </w:tr>
      <w:tr w:rsidR="006B4A66" w:rsidRPr="006B4A66" w14:paraId="35E696C4" w14:textId="77777777">
        <w:trPr>
          <w:cantSplit/>
          <w:trHeight w:val="403"/>
          <w:jc w:val="center"/>
        </w:trPr>
        <w:tc>
          <w:tcPr>
            <w:tcW w:w="9813" w:type="dxa"/>
            <w:gridSpan w:val="3"/>
            <w:tcBorders>
              <w:top w:val="single" w:sz="6" w:space="0" w:color="auto"/>
              <w:left w:val="single" w:sz="6" w:space="0" w:color="auto"/>
              <w:bottom w:val="single" w:sz="6" w:space="0" w:color="auto"/>
              <w:right w:val="single" w:sz="4" w:space="0" w:color="auto"/>
            </w:tcBorders>
            <w:vAlign w:val="center"/>
            <w:hideMark/>
          </w:tcPr>
          <w:p w14:paraId="7B563971" w14:textId="77777777" w:rsidR="006B4A66" w:rsidRPr="006B4A66" w:rsidRDefault="006B4A66" w:rsidP="0073496A">
            <w:pPr>
              <w:spacing w:after="0" w:line="480" w:lineRule="auto"/>
              <w:jc w:val="center"/>
              <w:rPr>
                <w:rFonts w:ascii="Times New Roman" w:eastAsia="Calibri" w:hAnsi="Times New Roman" w:cs="Times New Roman"/>
                <w:b/>
                <w:color w:val="000000"/>
                <w:kern w:val="0"/>
                <w:sz w:val="24"/>
                <w14:ligatures w14:val="none"/>
              </w:rPr>
            </w:pPr>
            <w:r w:rsidRPr="006B4A66">
              <w:rPr>
                <w:rFonts w:ascii="Times New Roman" w:eastAsia="Calibri" w:hAnsi="Times New Roman" w:cs="Times New Roman"/>
                <w:b/>
                <w:color w:val="000000"/>
                <w:kern w:val="0"/>
                <w:sz w:val="24"/>
                <w14:ligatures w14:val="none"/>
              </w:rPr>
              <w:t>Floors</w:t>
            </w:r>
          </w:p>
        </w:tc>
      </w:tr>
      <w:tr w:rsidR="006B4A66" w:rsidRPr="006B4A66" w14:paraId="088B708D" w14:textId="77777777">
        <w:trPr>
          <w:cantSplit/>
          <w:trHeight w:val="403"/>
          <w:jc w:val="center"/>
        </w:trPr>
        <w:tc>
          <w:tcPr>
            <w:tcW w:w="5267" w:type="dxa"/>
            <w:tcBorders>
              <w:top w:val="single" w:sz="6" w:space="0" w:color="auto"/>
              <w:left w:val="single" w:sz="6" w:space="0" w:color="auto"/>
              <w:bottom w:val="single" w:sz="6" w:space="0" w:color="auto"/>
              <w:right w:val="single" w:sz="4" w:space="0" w:color="auto"/>
            </w:tcBorders>
            <w:vAlign w:val="center"/>
            <w:hideMark/>
          </w:tcPr>
          <w:p w14:paraId="6A32BAA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Mass((</w:t>
            </w:r>
            <w:r w:rsidRPr="006B4A66">
              <w:rPr>
                <w:rFonts w:ascii="Times New Roman" w:eastAsia="Calibri" w:hAnsi="Times New Roman" w:cs="Times New Roman"/>
                <w:strike/>
                <w:color w:val="000000"/>
                <w:kern w:val="0"/>
                <w:sz w:val="24"/>
                <w14:ligatures w14:val="none"/>
              </w:rPr>
              <w:t>e</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u w:val="single"/>
                <w:vertAlign w:val="superscript"/>
                <w14:ligatures w14:val="none"/>
              </w:rPr>
              <w:t>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372EEC76"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U-0.031</w:t>
            </w:r>
          </w:p>
        </w:tc>
        <w:tc>
          <w:tcPr>
            <w:tcW w:w="2206" w:type="dxa"/>
            <w:tcBorders>
              <w:top w:val="single" w:sz="4" w:space="0" w:color="auto"/>
              <w:left w:val="single" w:sz="4" w:space="0" w:color="auto"/>
              <w:bottom w:val="single" w:sz="4" w:space="0" w:color="auto"/>
              <w:right w:val="single" w:sz="4" w:space="0" w:color="auto"/>
            </w:tcBorders>
            <w:vAlign w:val="center"/>
            <w:hideMark/>
          </w:tcPr>
          <w:p w14:paraId="1E323E4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U-0.031</w:t>
            </w:r>
          </w:p>
        </w:tc>
      </w:tr>
      <w:tr w:rsidR="006B4A66" w:rsidRPr="006B4A66" w14:paraId="777F93DD" w14:textId="77777777">
        <w:trPr>
          <w:cantSplit/>
          <w:trHeight w:val="403"/>
          <w:jc w:val="center"/>
        </w:trPr>
        <w:tc>
          <w:tcPr>
            <w:tcW w:w="5267" w:type="dxa"/>
            <w:tcBorders>
              <w:top w:val="single" w:sz="6" w:space="0" w:color="auto"/>
              <w:left w:val="single" w:sz="6" w:space="0" w:color="auto"/>
              <w:bottom w:val="single" w:sz="6" w:space="0" w:color="auto"/>
              <w:right w:val="single" w:sz="4" w:space="0" w:color="auto"/>
            </w:tcBorders>
            <w:vAlign w:val="center"/>
            <w:hideMark/>
          </w:tcPr>
          <w:p w14:paraId="68698D6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Joist/framing</w:t>
            </w:r>
          </w:p>
        </w:tc>
        <w:tc>
          <w:tcPr>
            <w:tcW w:w="2340" w:type="dxa"/>
            <w:tcBorders>
              <w:top w:val="single" w:sz="4" w:space="0" w:color="auto"/>
              <w:left w:val="single" w:sz="4" w:space="0" w:color="auto"/>
              <w:bottom w:val="single" w:sz="4" w:space="0" w:color="auto"/>
              <w:right w:val="single" w:sz="4" w:space="0" w:color="auto"/>
            </w:tcBorders>
            <w:vAlign w:val="center"/>
            <w:hideMark/>
          </w:tcPr>
          <w:p w14:paraId="346209B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U-0.029 steel joist </w:t>
            </w:r>
          </w:p>
          <w:p w14:paraId="301ADFB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U-0.025 wood joist</w:t>
            </w:r>
          </w:p>
        </w:tc>
        <w:tc>
          <w:tcPr>
            <w:tcW w:w="2206" w:type="dxa"/>
            <w:tcBorders>
              <w:top w:val="single" w:sz="4" w:space="0" w:color="auto"/>
              <w:left w:val="single" w:sz="4" w:space="0" w:color="auto"/>
              <w:bottom w:val="single" w:sz="4" w:space="0" w:color="auto"/>
              <w:right w:val="single" w:sz="4" w:space="0" w:color="auto"/>
            </w:tcBorders>
            <w:vAlign w:val="center"/>
            <w:hideMark/>
          </w:tcPr>
          <w:p w14:paraId="1206029F"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U-0.029 steel joist </w:t>
            </w:r>
          </w:p>
          <w:p w14:paraId="0B9F40A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U-0.025 wood joist</w:t>
            </w:r>
          </w:p>
        </w:tc>
      </w:tr>
      <w:tr w:rsidR="006B4A66" w:rsidRPr="006B4A66" w14:paraId="134158FE" w14:textId="77777777">
        <w:trPr>
          <w:cantSplit/>
          <w:trHeight w:val="403"/>
          <w:jc w:val="center"/>
        </w:trPr>
        <w:tc>
          <w:tcPr>
            <w:tcW w:w="5267" w:type="dxa"/>
            <w:tcBorders>
              <w:top w:val="single" w:sz="6" w:space="0" w:color="auto"/>
              <w:left w:val="single" w:sz="6" w:space="0" w:color="auto"/>
              <w:bottom w:val="single" w:sz="6" w:space="0" w:color="auto"/>
              <w:right w:val="single" w:sz="4" w:space="0" w:color="auto"/>
            </w:tcBorders>
            <w:hideMark/>
          </w:tcPr>
          <w:p w14:paraId="74587FA4" w14:textId="559FACE2"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Concrete column or wall penetrating thermal envelope floor((</w:t>
            </w:r>
            <w:r w:rsidRPr="006B4A66">
              <w:rPr>
                <w:rFonts w:ascii="Times New Roman" w:eastAsia="Calibri" w:hAnsi="Times New Roman" w:cs="Times New Roman"/>
                <w:strike/>
                <w:color w:val="000000"/>
                <w:kern w:val="0"/>
                <w:sz w:val="24"/>
                <w14:ligatures w14:val="none"/>
              </w:rPr>
              <w:t>i</w:t>
            </w:r>
            <w:r w:rsidRPr="006B4A66">
              <w:rPr>
                <w:rFonts w:ascii="Times New Roman" w:eastAsia="Calibri" w:hAnsi="Times New Roman" w:cs="Times New Roman"/>
                <w:color w:val="000000"/>
                <w:kern w:val="0"/>
                <w:sz w:val="24"/>
                <w14:ligatures w14:val="none"/>
              </w:rPr>
              <w:t>))</w:t>
            </w:r>
            <w:r w:rsidR="00D60BBF">
              <w:rPr>
                <w:rFonts w:ascii="Times New Roman" w:eastAsia="Calibri" w:hAnsi="Times New Roman" w:cs="Times New Roman"/>
                <w:color w:val="000000"/>
                <w:kern w:val="0"/>
                <w:sz w:val="24"/>
                <w:u w:val="single"/>
                <w:vertAlign w:val="superscript"/>
                <w14:ligatures w14:val="none"/>
              </w:rPr>
              <w:t>l</w:t>
            </w:r>
          </w:p>
        </w:tc>
        <w:tc>
          <w:tcPr>
            <w:tcW w:w="2340" w:type="dxa"/>
            <w:tcBorders>
              <w:top w:val="single" w:sz="4" w:space="0" w:color="auto"/>
              <w:left w:val="single" w:sz="4" w:space="0" w:color="auto"/>
              <w:bottom w:val="single" w:sz="4" w:space="0" w:color="auto"/>
              <w:right w:val="single" w:sz="4" w:space="0" w:color="auto"/>
            </w:tcBorders>
            <w:hideMark/>
          </w:tcPr>
          <w:p w14:paraId="0225A840"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U-0.55</w:t>
            </w:r>
          </w:p>
        </w:tc>
        <w:tc>
          <w:tcPr>
            <w:tcW w:w="2206" w:type="dxa"/>
            <w:tcBorders>
              <w:top w:val="single" w:sz="4" w:space="0" w:color="auto"/>
              <w:left w:val="single" w:sz="4" w:space="0" w:color="auto"/>
              <w:bottom w:val="single" w:sz="4" w:space="0" w:color="auto"/>
              <w:right w:val="single" w:sz="4" w:space="0" w:color="auto"/>
            </w:tcBorders>
            <w:hideMark/>
          </w:tcPr>
          <w:p w14:paraId="79B4417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U-0.55</w:t>
            </w:r>
          </w:p>
        </w:tc>
      </w:tr>
      <w:tr w:rsidR="006B4A66" w:rsidRPr="006B4A66" w14:paraId="5669852B" w14:textId="77777777">
        <w:trPr>
          <w:cantSplit/>
          <w:trHeight w:val="403"/>
          <w:jc w:val="center"/>
        </w:trPr>
        <w:tc>
          <w:tcPr>
            <w:tcW w:w="5267" w:type="dxa"/>
            <w:tcBorders>
              <w:top w:val="single" w:sz="6" w:space="0" w:color="auto"/>
              <w:left w:val="single" w:sz="6" w:space="0" w:color="auto"/>
              <w:bottom w:val="single" w:sz="6" w:space="0" w:color="auto"/>
              <w:right w:val="single" w:sz="4" w:space="0" w:color="auto"/>
            </w:tcBorders>
            <w:hideMark/>
          </w:tcPr>
          <w:p w14:paraId="4CFFC72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Concrete slab floor directly above an electrical utility vault</w:t>
            </w:r>
          </w:p>
        </w:tc>
        <w:tc>
          <w:tcPr>
            <w:tcW w:w="2340" w:type="dxa"/>
            <w:tcBorders>
              <w:top w:val="single" w:sz="4" w:space="0" w:color="auto"/>
              <w:left w:val="single" w:sz="4" w:space="0" w:color="auto"/>
              <w:bottom w:val="single" w:sz="4" w:space="0" w:color="auto"/>
              <w:right w:val="single" w:sz="4" w:space="0" w:color="auto"/>
            </w:tcBorders>
            <w:hideMark/>
          </w:tcPr>
          <w:p w14:paraId="0B8772C5"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N.R.</w:t>
            </w:r>
          </w:p>
        </w:tc>
        <w:tc>
          <w:tcPr>
            <w:tcW w:w="2206" w:type="dxa"/>
            <w:tcBorders>
              <w:top w:val="single" w:sz="4" w:space="0" w:color="auto"/>
              <w:left w:val="single" w:sz="4" w:space="0" w:color="auto"/>
              <w:bottom w:val="single" w:sz="4" w:space="0" w:color="auto"/>
              <w:right w:val="single" w:sz="4" w:space="0" w:color="auto"/>
            </w:tcBorders>
            <w:hideMark/>
          </w:tcPr>
          <w:p w14:paraId="664A9601"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N.R.</w:t>
            </w:r>
          </w:p>
        </w:tc>
      </w:tr>
      <w:tr w:rsidR="006B4A66" w:rsidRPr="006B4A66" w14:paraId="4D357F88" w14:textId="77777777">
        <w:trPr>
          <w:cantSplit/>
          <w:trHeight w:val="403"/>
          <w:jc w:val="center"/>
        </w:trPr>
        <w:tc>
          <w:tcPr>
            <w:tcW w:w="9813" w:type="dxa"/>
            <w:gridSpan w:val="3"/>
            <w:tcBorders>
              <w:top w:val="single" w:sz="6" w:space="0" w:color="auto"/>
              <w:left w:val="single" w:sz="6" w:space="0" w:color="auto"/>
              <w:bottom w:val="single" w:sz="6" w:space="0" w:color="auto"/>
              <w:right w:val="single" w:sz="4" w:space="0" w:color="auto"/>
            </w:tcBorders>
            <w:vAlign w:val="center"/>
            <w:hideMark/>
          </w:tcPr>
          <w:p w14:paraId="2926B689"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Slab-on-Grade Floors</w:t>
            </w:r>
          </w:p>
        </w:tc>
      </w:tr>
      <w:tr w:rsidR="006B4A66" w:rsidRPr="006B4A66" w14:paraId="0A3869B1" w14:textId="77777777">
        <w:trPr>
          <w:cantSplit/>
          <w:trHeight w:val="403"/>
          <w:jc w:val="center"/>
        </w:trPr>
        <w:tc>
          <w:tcPr>
            <w:tcW w:w="5267" w:type="dxa"/>
            <w:tcBorders>
              <w:top w:val="single" w:sz="6" w:space="0" w:color="auto"/>
              <w:left w:val="single" w:sz="6" w:space="0" w:color="auto"/>
              <w:bottom w:val="single" w:sz="6" w:space="0" w:color="auto"/>
              <w:right w:val="single" w:sz="4" w:space="0" w:color="auto"/>
            </w:tcBorders>
            <w:vAlign w:val="center"/>
            <w:hideMark/>
          </w:tcPr>
          <w:p w14:paraId="186A757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Unheated slabs</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729807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F-0.54</w:t>
            </w:r>
          </w:p>
        </w:tc>
        <w:tc>
          <w:tcPr>
            <w:tcW w:w="2206" w:type="dxa"/>
            <w:tcBorders>
              <w:top w:val="single" w:sz="4" w:space="0" w:color="auto"/>
              <w:left w:val="single" w:sz="4" w:space="0" w:color="auto"/>
              <w:bottom w:val="single" w:sz="4" w:space="0" w:color="auto"/>
              <w:right w:val="single" w:sz="4" w:space="0" w:color="auto"/>
            </w:tcBorders>
            <w:vAlign w:val="center"/>
            <w:hideMark/>
          </w:tcPr>
          <w:p w14:paraId="1E324972"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F-0.54</w:t>
            </w:r>
          </w:p>
        </w:tc>
      </w:tr>
      <w:tr w:rsidR="006B4A66" w:rsidRPr="006B4A66" w14:paraId="493ABFBC" w14:textId="77777777">
        <w:trPr>
          <w:cantSplit/>
          <w:trHeight w:val="403"/>
          <w:jc w:val="center"/>
        </w:trPr>
        <w:tc>
          <w:tcPr>
            <w:tcW w:w="5267" w:type="dxa"/>
            <w:tcBorders>
              <w:top w:val="single" w:sz="6" w:space="0" w:color="auto"/>
              <w:left w:val="single" w:sz="6" w:space="0" w:color="auto"/>
              <w:bottom w:val="single" w:sz="6" w:space="0" w:color="auto"/>
              <w:right w:val="single" w:sz="4" w:space="0" w:color="auto"/>
            </w:tcBorders>
            <w:vAlign w:val="center"/>
            <w:hideMark/>
          </w:tcPr>
          <w:p w14:paraId="313B6585"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Heated slabs((</w:t>
            </w:r>
            <w:r w:rsidRPr="006B4A66">
              <w:rPr>
                <w:rFonts w:ascii="Times New Roman" w:eastAsia="Calibri" w:hAnsi="Times New Roman" w:cs="Times New Roman"/>
                <w:strike/>
                <w:color w:val="000000"/>
                <w:kern w:val="0"/>
                <w:sz w:val="24"/>
                <w14:ligatures w14:val="none"/>
              </w:rPr>
              <w:t>c</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u w:val="single"/>
                <w:vertAlign w:val="superscript"/>
                <w14:ligatures w14:val="none"/>
              </w:rPr>
              <w:t>c</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EB27E5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F-0.55</w:t>
            </w:r>
          </w:p>
        </w:tc>
        <w:tc>
          <w:tcPr>
            <w:tcW w:w="2206" w:type="dxa"/>
            <w:tcBorders>
              <w:top w:val="single" w:sz="4" w:space="0" w:color="auto"/>
              <w:left w:val="single" w:sz="4" w:space="0" w:color="auto"/>
              <w:bottom w:val="single" w:sz="4" w:space="0" w:color="auto"/>
              <w:right w:val="single" w:sz="4" w:space="0" w:color="auto"/>
            </w:tcBorders>
            <w:vAlign w:val="center"/>
            <w:hideMark/>
          </w:tcPr>
          <w:p w14:paraId="30A51C4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F-0.55</w:t>
            </w:r>
          </w:p>
        </w:tc>
      </w:tr>
      <w:tr w:rsidR="006B4A66" w:rsidRPr="006B4A66" w14:paraId="71225CD0" w14:textId="77777777">
        <w:trPr>
          <w:cantSplit/>
          <w:trHeight w:val="403"/>
          <w:jc w:val="center"/>
        </w:trPr>
        <w:tc>
          <w:tcPr>
            <w:tcW w:w="9813" w:type="dxa"/>
            <w:gridSpan w:val="3"/>
            <w:tcBorders>
              <w:top w:val="single" w:sz="6" w:space="0" w:color="auto"/>
              <w:left w:val="single" w:sz="6" w:space="0" w:color="auto"/>
              <w:bottom w:val="single" w:sz="6" w:space="0" w:color="auto"/>
              <w:right w:val="single" w:sz="4" w:space="0" w:color="auto"/>
            </w:tcBorders>
            <w:vAlign w:val="center"/>
            <w:hideMark/>
          </w:tcPr>
          <w:p w14:paraId="6DDA775F"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Opaque Doors</w:t>
            </w:r>
          </w:p>
        </w:tc>
      </w:tr>
      <w:tr w:rsidR="006B4A66" w:rsidRPr="006B4A66" w14:paraId="78BB1085" w14:textId="77777777">
        <w:trPr>
          <w:cantSplit/>
          <w:trHeight w:val="403"/>
          <w:jc w:val="center"/>
        </w:trPr>
        <w:tc>
          <w:tcPr>
            <w:tcW w:w="5267" w:type="dxa"/>
            <w:tcBorders>
              <w:top w:val="single" w:sz="6" w:space="0" w:color="auto"/>
              <w:left w:val="single" w:sz="6" w:space="0" w:color="auto"/>
              <w:bottom w:val="single" w:sz="6" w:space="0" w:color="auto"/>
              <w:right w:val="single" w:sz="4" w:space="0" w:color="auto"/>
            </w:tcBorders>
            <w:vAlign w:val="center"/>
            <w:hideMark/>
          </w:tcPr>
          <w:p w14:paraId="4E4F8794" w14:textId="77777777" w:rsidR="006B4A66" w:rsidRPr="006B4A66" w:rsidRDefault="006B4A66" w:rsidP="0073496A">
            <w:pPr>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Swinging door</w:t>
            </w:r>
            <w:r w:rsidRPr="006B4A66">
              <w:rPr>
                <w:rFonts w:ascii="Times New Roman" w:eastAsia="Calibri" w:hAnsi="Times New Roman" w:cs="Times New Roman"/>
                <w:color w:val="000000"/>
                <w:kern w:val="0"/>
                <w:sz w:val="24"/>
                <w14:ligatures w14:val="none"/>
              </w:rPr>
              <w:t>))</w:t>
            </w:r>
          </w:p>
        </w:tc>
        <w:tc>
          <w:tcPr>
            <w:tcW w:w="2340" w:type="dxa"/>
            <w:tcBorders>
              <w:top w:val="single" w:sz="4" w:space="0" w:color="auto"/>
              <w:left w:val="single" w:sz="4" w:space="0" w:color="auto"/>
              <w:bottom w:val="single" w:sz="4" w:space="0" w:color="auto"/>
              <w:right w:val="single" w:sz="4" w:space="0" w:color="auto"/>
            </w:tcBorders>
            <w:vAlign w:val="center"/>
            <w:hideMark/>
          </w:tcPr>
          <w:p w14:paraId="5C1127E2" w14:textId="77777777" w:rsidR="006B4A66" w:rsidRPr="006B4A66" w:rsidRDefault="006B4A66" w:rsidP="0073496A">
            <w:pPr>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U-0.37</w:t>
            </w:r>
            <w:r w:rsidRPr="006B4A66">
              <w:rPr>
                <w:rFonts w:ascii="Times New Roman" w:eastAsia="Calibri" w:hAnsi="Times New Roman" w:cs="Times New Roman"/>
                <w:color w:val="000000"/>
                <w:kern w:val="0"/>
                <w:sz w:val="24"/>
                <w14:ligatures w14:val="none"/>
              </w:rPr>
              <w:t>))</w:t>
            </w:r>
          </w:p>
        </w:tc>
        <w:tc>
          <w:tcPr>
            <w:tcW w:w="2206" w:type="dxa"/>
            <w:tcBorders>
              <w:top w:val="single" w:sz="4" w:space="0" w:color="auto"/>
              <w:left w:val="single" w:sz="4" w:space="0" w:color="auto"/>
              <w:bottom w:val="single" w:sz="4" w:space="0" w:color="auto"/>
              <w:right w:val="single" w:sz="4" w:space="0" w:color="auto"/>
            </w:tcBorders>
            <w:vAlign w:val="center"/>
            <w:hideMark/>
          </w:tcPr>
          <w:p w14:paraId="1933F141" w14:textId="77777777" w:rsidR="006B4A66" w:rsidRPr="006B4A66" w:rsidRDefault="006B4A66" w:rsidP="0073496A">
            <w:pPr>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U-0.37</w:t>
            </w:r>
            <w:r w:rsidRPr="006B4A66">
              <w:rPr>
                <w:rFonts w:ascii="Times New Roman" w:eastAsia="Calibri" w:hAnsi="Times New Roman" w:cs="Times New Roman"/>
                <w:color w:val="000000"/>
                <w:kern w:val="0"/>
                <w:sz w:val="24"/>
                <w14:ligatures w14:val="none"/>
              </w:rPr>
              <w:t>))</w:t>
            </w:r>
          </w:p>
        </w:tc>
      </w:tr>
      <w:tr w:rsidR="006B4A66" w:rsidRPr="006B4A66" w14:paraId="4227F540" w14:textId="77777777">
        <w:trPr>
          <w:cantSplit/>
          <w:trHeight w:val="403"/>
          <w:jc w:val="center"/>
        </w:trPr>
        <w:tc>
          <w:tcPr>
            <w:tcW w:w="5267" w:type="dxa"/>
            <w:tcBorders>
              <w:top w:val="single" w:sz="6" w:space="0" w:color="auto"/>
              <w:left w:val="single" w:sz="6" w:space="0" w:color="auto"/>
              <w:bottom w:val="single" w:sz="6" w:space="0" w:color="auto"/>
              <w:right w:val="single" w:sz="4" w:space="0" w:color="auto"/>
            </w:tcBorders>
            <w:vAlign w:val="center"/>
            <w:hideMark/>
          </w:tcPr>
          <w:p w14:paraId="3B75AA3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Nonswinging door</w:t>
            </w:r>
          </w:p>
        </w:tc>
        <w:tc>
          <w:tcPr>
            <w:tcW w:w="2340" w:type="dxa"/>
            <w:tcBorders>
              <w:top w:val="single" w:sz="4" w:space="0" w:color="auto"/>
              <w:left w:val="single" w:sz="4" w:space="0" w:color="auto"/>
              <w:bottom w:val="single" w:sz="4" w:space="0" w:color="auto"/>
              <w:right w:val="single" w:sz="4" w:space="0" w:color="auto"/>
            </w:tcBorders>
            <w:vAlign w:val="center"/>
            <w:hideMark/>
          </w:tcPr>
          <w:p w14:paraId="2C0FC909" w14:textId="77777777" w:rsidR="006B4A66" w:rsidRPr="006B4A66" w:rsidRDefault="006B4A66" w:rsidP="0073496A">
            <w:pPr>
              <w:spacing w:after="0" w:line="480" w:lineRule="auto"/>
              <w:rPr>
                <w:rFonts w:ascii="Times New Roman" w:eastAsia="Calibri" w:hAnsi="Times New Roman" w:cs="Times New Roman"/>
                <w:strike/>
                <w:color w:val="000000"/>
                <w:kern w:val="0"/>
                <w:sz w:val="24"/>
                <w:u w:val="single"/>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U-0.34</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U-0.31</w:t>
            </w:r>
          </w:p>
        </w:tc>
        <w:tc>
          <w:tcPr>
            <w:tcW w:w="2206" w:type="dxa"/>
            <w:tcBorders>
              <w:top w:val="single" w:sz="4" w:space="0" w:color="auto"/>
              <w:left w:val="single" w:sz="4" w:space="0" w:color="auto"/>
              <w:bottom w:val="single" w:sz="4" w:space="0" w:color="auto"/>
              <w:right w:val="single" w:sz="4" w:space="0" w:color="auto"/>
            </w:tcBorders>
            <w:vAlign w:val="center"/>
            <w:hideMark/>
          </w:tcPr>
          <w:p w14:paraId="74A03BE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U-0.34</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U-0.31</w:t>
            </w:r>
          </w:p>
        </w:tc>
      </w:tr>
      <w:tr w:rsidR="006B4A66" w:rsidRPr="006B4A66" w14:paraId="2D981B5C" w14:textId="77777777">
        <w:trPr>
          <w:cantSplit/>
          <w:trHeight w:val="403"/>
          <w:jc w:val="center"/>
        </w:trPr>
        <w:tc>
          <w:tcPr>
            <w:tcW w:w="5267" w:type="dxa"/>
            <w:tcBorders>
              <w:top w:val="single" w:sz="6" w:space="0" w:color="auto"/>
              <w:left w:val="single" w:sz="6" w:space="0" w:color="auto"/>
              <w:bottom w:val="single" w:sz="6" w:space="0" w:color="auto"/>
              <w:right w:val="single" w:sz="4" w:space="0" w:color="auto"/>
            </w:tcBorders>
            <w:vAlign w:val="center"/>
          </w:tcPr>
          <w:p w14:paraId="11F85F5C" w14:textId="6ACE315D"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lastRenderedPageBreak/>
              <w:t>Swinging door</w:t>
            </w:r>
            <w:r w:rsidR="00D26755" w:rsidRPr="00F75178">
              <w:rPr>
                <w:rFonts w:ascii="Times New Roman" w:eastAsia="Calibri" w:hAnsi="Times New Roman" w:cs="Times New Roman"/>
                <w:color w:val="000000"/>
                <w:kern w:val="0"/>
                <w:sz w:val="24"/>
                <w:u w:val="single"/>
                <w:vertAlign w:val="superscript"/>
                <w14:ligatures w14:val="none"/>
              </w:rPr>
              <w:t>h</w:t>
            </w:r>
          </w:p>
        </w:tc>
        <w:tc>
          <w:tcPr>
            <w:tcW w:w="2340" w:type="dxa"/>
            <w:tcBorders>
              <w:top w:val="single" w:sz="4" w:space="0" w:color="auto"/>
              <w:left w:val="single" w:sz="4" w:space="0" w:color="auto"/>
              <w:bottom w:val="single" w:sz="4" w:space="0" w:color="auto"/>
              <w:right w:val="single" w:sz="4" w:space="0" w:color="auto"/>
            </w:tcBorders>
            <w:vAlign w:val="center"/>
          </w:tcPr>
          <w:p w14:paraId="006F0E5D" w14:textId="77777777"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U-0.37</w:t>
            </w:r>
          </w:p>
        </w:tc>
        <w:tc>
          <w:tcPr>
            <w:tcW w:w="2206" w:type="dxa"/>
            <w:tcBorders>
              <w:top w:val="single" w:sz="4" w:space="0" w:color="auto"/>
              <w:left w:val="single" w:sz="4" w:space="0" w:color="auto"/>
              <w:bottom w:val="single" w:sz="4" w:space="0" w:color="auto"/>
              <w:right w:val="single" w:sz="4" w:space="0" w:color="auto"/>
            </w:tcBorders>
            <w:vAlign w:val="center"/>
          </w:tcPr>
          <w:p w14:paraId="3F86B344" w14:textId="77777777"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U-0.37</w:t>
            </w:r>
          </w:p>
        </w:tc>
      </w:tr>
      <w:tr w:rsidR="006B4A66" w:rsidRPr="006B4A66" w14:paraId="6453B28A" w14:textId="77777777">
        <w:trPr>
          <w:cantSplit/>
          <w:trHeight w:val="403"/>
          <w:jc w:val="center"/>
        </w:trPr>
        <w:tc>
          <w:tcPr>
            <w:tcW w:w="5267" w:type="dxa"/>
            <w:tcBorders>
              <w:top w:val="single" w:sz="6" w:space="0" w:color="auto"/>
              <w:left w:val="single" w:sz="6" w:space="0" w:color="auto"/>
              <w:bottom w:val="single" w:sz="6" w:space="0" w:color="auto"/>
              <w:right w:val="single" w:sz="4" w:space="0" w:color="auto"/>
            </w:tcBorders>
            <w:vAlign w:val="center"/>
            <w:hideMark/>
          </w:tcPr>
          <w:p w14:paraId="3F5E6DB1"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Garage door &lt;14% glazing</w:t>
            </w:r>
          </w:p>
        </w:tc>
        <w:tc>
          <w:tcPr>
            <w:tcW w:w="2340" w:type="dxa"/>
            <w:tcBorders>
              <w:top w:val="single" w:sz="4" w:space="0" w:color="auto"/>
              <w:left w:val="single" w:sz="4" w:space="0" w:color="auto"/>
              <w:bottom w:val="single" w:sz="4" w:space="0" w:color="auto"/>
              <w:right w:val="single" w:sz="4" w:space="0" w:color="auto"/>
            </w:tcBorders>
            <w:vAlign w:val="center"/>
            <w:hideMark/>
          </w:tcPr>
          <w:p w14:paraId="24A2EDE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U-0.31</w:t>
            </w:r>
          </w:p>
        </w:tc>
        <w:tc>
          <w:tcPr>
            <w:tcW w:w="2206" w:type="dxa"/>
            <w:tcBorders>
              <w:top w:val="single" w:sz="4" w:space="0" w:color="auto"/>
              <w:left w:val="single" w:sz="4" w:space="0" w:color="auto"/>
              <w:bottom w:val="single" w:sz="4" w:space="0" w:color="auto"/>
              <w:right w:val="single" w:sz="4" w:space="0" w:color="auto"/>
            </w:tcBorders>
            <w:vAlign w:val="center"/>
            <w:hideMark/>
          </w:tcPr>
          <w:p w14:paraId="198D7F2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U-0.31</w:t>
            </w:r>
          </w:p>
        </w:tc>
      </w:tr>
      <w:tr w:rsidR="006B4A66" w:rsidRPr="006B4A66" w14:paraId="2BB8E577" w14:textId="77777777">
        <w:trPr>
          <w:cantSplit/>
          <w:trHeight w:val="403"/>
          <w:jc w:val="center"/>
        </w:trPr>
        <w:tc>
          <w:tcPr>
            <w:tcW w:w="5267" w:type="dxa"/>
            <w:tcBorders>
              <w:top w:val="single" w:sz="6" w:space="0" w:color="auto"/>
              <w:left w:val="single" w:sz="6" w:space="0" w:color="auto"/>
              <w:bottom w:val="single" w:sz="6" w:space="0" w:color="auto"/>
              <w:right w:val="single" w:sz="4" w:space="0" w:color="auto"/>
            </w:tcBorders>
            <w:vAlign w:val="center"/>
          </w:tcPr>
          <w:p w14:paraId="79F53AE3" w14:textId="77777777"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Garage door ≥14% glazing and &lt;50% glazing</w:t>
            </w:r>
            <w:r w:rsidRPr="006B4A66">
              <w:rPr>
                <w:rFonts w:ascii="Times New Roman" w:eastAsia="Calibri" w:hAnsi="Times New Roman" w:cs="Times New Roman"/>
                <w:color w:val="000000"/>
                <w:kern w:val="0"/>
                <w:sz w:val="24"/>
                <w:u w:val="single"/>
                <w:vertAlign w:val="superscript"/>
                <w14:ligatures w14:val="none"/>
              </w:rPr>
              <w:t>i</w:t>
            </w:r>
          </w:p>
        </w:tc>
        <w:tc>
          <w:tcPr>
            <w:tcW w:w="2340" w:type="dxa"/>
            <w:tcBorders>
              <w:top w:val="single" w:sz="4" w:space="0" w:color="auto"/>
              <w:left w:val="single" w:sz="4" w:space="0" w:color="auto"/>
              <w:bottom w:val="single" w:sz="4" w:space="0" w:color="auto"/>
              <w:right w:val="single" w:sz="4" w:space="0" w:color="auto"/>
            </w:tcBorders>
            <w:vAlign w:val="center"/>
          </w:tcPr>
          <w:p w14:paraId="4FE0FFBD" w14:textId="77777777"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U-0.34</w:t>
            </w:r>
          </w:p>
        </w:tc>
        <w:tc>
          <w:tcPr>
            <w:tcW w:w="2206" w:type="dxa"/>
            <w:tcBorders>
              <w:top w:val="single" w:sz="4" w:space="0" w:color="auto"/>
              <w:left w:val="single" w:sz="4" w:space="0" w:color="auto"/>
              <w:bottom w:val="single" w:sz="4" w:space="0" w:color="auto"/>
              <w:right w:val="single" w:sz="4" w:space="0" w:color="auto"/>
            </w:tcBorders>
            <w:vAlign w:val="center"/>
          </w:tcPr>
          <w:p w14:paraId="05BFD772" w14:textId="77777777"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U-0.34</w:t>
            </w:r>
          </w:p>
        </w:tc>
      </w:tr>
    </w:tbl>
    <w:p w14:paraId="6F47D0C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Footnotes:</w:t>
      </w:r>
    </w:p>
    <w:p w14:paraId="31217E9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a.  Use of opaque assembly U-factors, C-factors, and F-factors from ((</w:t>
      </w:r>
      <w:r w:rsidRPr="006B4A66">
        <w:rPr>
          <w:rFonts w:ascii="Times New Roman" w:eastAsia="Calibri" w:hAnsi="Times New Roman" w:cs="Times New Roman"/>
          <w:strike/>
          <w:color w:val="000000"/>
          <w:kern w:val="0"/>
          <w:sz w:val="24"/>
          <w14:ligatures w14:val="none"/>
        </w:rPr>
        <w:t>IECC</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WSEC</w:t>
      </w:r>
      <w:r w:rsidRPr="006B4A66">
        <w:rPr>
          <w:rFonts w:ascii="Times New Roman" w:eastAsia="Calibri" w:hAnsi="Times New Roman" w:cs="Times New Roman"/>
          <w:color w:val="000000"/>
          <w:kern w:val="0"/>
          <w:sz w:val="24"/>
          <w14:ligatures w14:val="none"/>
        </w:rPr>
        <w:t xml:space="preserve"> Appendix A is required unless otherwise allowed by (</w:t>
      </w:r>
      <w:r w:rsidRPr="006B4A66">
        <w:rPr>
          <w:rFonts w:ascii="Times New Roman" w:eastAsia="Calibri" w:hAnsi="Times New Roman" w:cs="Times New Roman"/>
          <w:strike/>
          <w:color w:val="000000"/>
          <w:kern w:val="0"/>
          <w:sz w:val="24"/>
          <w14:ligatures w14:val="none"/>
        </w:rPr>
        <w:t>(IECC</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WSEC</w:t>
      </w:r>
      <w:r w:rsidRPr="006B4A66">
        <w:rPr>
          <w:rFonts w:ascii="Times New Roman" w:eastAsia="Calibri" w:hAnsi="Times New Roman" w:cs="Times New Roman"/>
          <w:color w:val="000000"/>
          <w:kern w:val="0"/>
          <w:sz w:val="24"/>
          <w14:ligatures w14:val="none"/>
        </w:rPr>
        <w:t xml:space="preserve"> C402.1.4.</w:t>
      </w:r>
    </w:p>
    <w:p w14:paraId="6D026375" w14:textId="21D9D82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b.  ((</w:t>
      </w:r>
      <w:r w:rsidRPr="006B4A66">
        <w:rPr>
          <w:rFonts w:ascii="Times New Roman" w:eastAsia="Calibri" w:hAnsi="Times New Roman" w:cs="Times New Roman"/>
          <w:strike/>
          <w:color w:val="000000"/>
          <w:kern w:val="0"/>
          <w:sz w:val="24"/>
          <w14:ligatures w14:val="none"/>
        </w:rPr>
        <w:t>Through-wall mechanical equipment subject to IECC C402.1.4.2 shall be calculated at the U-factor defined in IECC C402.1.4.2.  The area-weighted U-value of the wall, including through-wall mechanical equipment, shall not exceed the value in the table</w:t>
      </w:r>
      <w:r w:rsidR="00E5346D" w:rsidRPr="001216D4">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w:t>
      </w:r>
      <w:r w:rsidR="00936B82" w:rsidRPr="00936B82">
        <w:rPr>
          <w:rFonts w:ascii="Times New Roman" w:eastAsia="Calibri" w:hAnsi="Times New Roman" w:cs="Times New Roman"/>
          <w:color w:val="000000"/>
          <w:kern w:val="0"/>
          <w:sz w:val="24"/>
          <w:u w:val="single"/>
          <w14:ligatures w14:val="none"/>
        </w:rPr>
        <w:t>Where heated slabs are below grade, they shall comply with the F-factor requirements for heated slabs</w:t>
      </w:r>
      <w:r w:rsidRPr="001216D4">
        <w:rPr>
          <w:rFonts w:ascii="Times New Roman" w:eastAsia="Calibri" w:hAnsi="Times New Roman" w:cs="Times New Roman"/>
          <w:color w:val="000000"/>
          <w:kern w:val="0"/>
          <w:sz w:val="24"/>
          <w14:ligatures w14:val="none"/>
        </w:rPr>
        <w:t>.</w:t>
      </w:r>
    </w:p>
    <w:p w14:paraId="0FAE825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c.  Heated slab F-factors shall be determined specifically for heated slabs.  Unheated slab factors shall not be used.</w:t>
      </w:r>
    </w:p>
    <w:p w14:paraId="3DDFD576" w14:textId="2E945890" w:rsidR="00B52B65" w:rsidRPr="001216D4"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d.  ((</w:t>
      </w:r>
      <w:r w:rsidRPr="006B4A66">
        <w:rPr>
          <w:rFonts w:ascii="Times New Roman" w:eastAsia="Calibri" w:hAnsi="Times New Roman" w:cs="Times New Roman"/>
          <w:strike/>
          <w:color w:val="000000"/>
          <w:kern w:val="0"/>
          <w:sz w:val="24"/>
          <w14:ligatures w14:val="none"/>
        </w:rPr>
        <w:t>A mass transfer deck, due to its configuration, is not insulated.  The table value (U-0.20) shall be used as the baseline value for component performance or total building performance path calculations.  For the proposed value, the appropriate value from the top line of IECC Table A104.3.7.2 shall be used</w:t>
      </w:r>
      <w:r w:rsidRPr="006B4A66">
        <w:rPr>
          <w:rFonts w:ascii="Times New Roman" w:eastAsia="Calibri" w:hAnsi="Times New Roman" w:cs="Times New Roman"/>
          <w:color w:val="000000"/>
          <w:kern w:val="0"/>
          <w:sz w:val="24"/>
          <w14:ligatures w14:val="none"/>
        </w:rPr>
        <w:t xml:space="preserve">)) </w:t>
      </w:r>
      <w:r w:rsidR="00B52B65" w:rsidRPr="001216D4">
        <w:rPr>
          <w:rFonts w:ascii="Times New Roman" w:eastAsia="Calibri" w:hAnsi="Times New Roman" w:cs="Times New Roman"/>
          <w:color w:val="000000"/>
          <w:kern w:val="0"/>
          <w:sz w:val="24"/>
          <w:u w:val="single"/>
          <w14:ligatures w14:val="none"/>
        </w:rPr>
        <w:t xml:space="preserve">Exception: </w:t>
      </w:r>
      <w:r w:rsidR="00A8229E">
        <w:rPr>
          <w:rFonts w:ascii="Times New Roman" w:eastAsia="Calibri" w:hAnsi="Times New Roman" w:cs="Times New Roman"/>
          <w:color w:val="000000"/>
          <w:kern w:val="0"/>
          <w:sz w:val="24"/>
          <w:u w:val="single"/>
          <w14:ligatures w14:val="none"/>
        </w:rPr>
        <w:t xml:space="preserve"> </w:t>
      </w:r>
      <w:r w:rsidR="00B52B65" w:rsidRPr="001216D4">
        <w:rPr>
          <w:rFonts w:ascii="Times New Roman" w:eastAsia="Calibri" w:hAnsi="Times New Roman" w:cs="Times New Roman"/>
          <w:color w:val="000000"/>
          <w:kern w:val="0"/>
          <w:sz w:val="24"/>
          <w:u w:val="single"/>
          <w14:ligatures w14:val="none"/>
        </w:rPr>
        <w:t>Integral insulated concrete block walls complying with ASTM C90 with all cores filled and meeting both of the following:</w:t>
      </w:r>
    </w:p>
    <w:p w14:paraId="2D27508B" w14:textId="6188E611" w:rsidR="00B52B65" w:rsidRPr="001216D4" w:rsidRDefault="0002554D"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BD15DC">
        <w:rPr>
          <w:rFonts w:ascii="Times New Roman" w:eastAsia="Calibri" w:hAnsi="Times New Roman" w:cs="Times New Roman"/>
          <w:color w:val="000000"/>
          <w:kern w:val="0"/>
          <w:sz w:val="24"/>
          <w14:ligatures w14:val="none"/>
        </w:rPr>
        <w:tab/>
        <w:t xml:space="preserve">  </w:t>
      </w:r>
      <w:r>
        <w:rPr>
          <w:rFonts w:ascii="Times New Roman" w:eastAsia="Calibri" w:hAnsi="Times New Roman" w:cs="Times New Roman"/>
          <w:color w:val="000000"/>
          <w:kern w:val="0"/>
          <w:sz w:val="24"/>
          <w:u w:val="single"/>
          <w14:ligatures w14:val="none"/>
        </w:rPr>
        <w:t>(</w:t>
      </w:r>
      <w:r w:rsidR="00B52B65" w:rsidRPr="001216D4">
        <w:rPr>
          <w:rFonts w:ascii="Times New Roman" w:eastAsia="Calibri" w:hAnsi="Times New Roman" w:cs="Times New Roman"/>
          <w:color w:val="000000"/>
          <w:kern w:val="0"/>
          <w:sz w:val="24"/>
          <w:u w:val="single"/>
          <w14:ligatures w14:val="none"/>
        </w:rPr>
        <w:t>1</w:t>
      </w:r>
      <w:r>
        <w:rPr>
          <w:rFonts w:ascii="Times New Roman" w:eastAsia="Calibri" w:hAnsi="Times New Roman" w:cs="Times New Roman"/>
          <w:color w:val="000000"/>
          <w:kern w:val="0"/>
          <w:sz w:val="24"/>
          <w:u w:val="single"/>
          <w14:ligatures w14:val="none"/>
        </w:rPr>
        <w:t>)</w:t>
      </w:r>
      <w:r w:rsidR="00B52B65" w:rsidRPr="001216D4">
        <w:rPr>
          <w:rFonts w:ascii="Times New Roman" w:eastAsia="Calibri" w:hAnsi="Times New Roman" w:cs="Times New Roman"/>
          <w:color w:val="000000"/>
          <w:kern w:val="0"/>
          <w:sz w:val="24"/>
          <w:u w:val="single"/>
          <w14:ligatures w14:val="none"/>
        </w:rPr>
        <w:t xml:space="preserve"> </w:t>
      </w:r>
      <w:r w:rsidR="00A8229E">
        <w:rPr>
          <w:rFonts w:ascii="Times New Roman" w:eastAsia="Calibri" w:hAnsi="Times New Roman" w:cs="Times New Roman"/>
          <w:color w:val="000000"/>
          <w:kern w:val="0"/>
          <w:sz w:val="24"/>
          <w:u w:val="single"/>
          <w14:ligatures w14:val="none"/>
        </w:rPr>
        <w:t xml:space="preserve"> </w:t>
      </w:r>
      <w:r w:rsidR="00B52B65" w:rsidRPr="001216D4">
        <w:rPr>
          <w:rFonts w:ascii="Times New Roman" w:eastAsia="Calibri" w:hAnsi="Times New Roman" w:cs="Times New Roman"/>
          <w:color w:val="000000"/>
          <w:kern w:val="0"/>
          <w:sz w:val="24"/>
          <w:u w:val="single"/>
          <w14:ligatures w14:val="none"/>
        </w:rPr>
        <w:t>At least 50 percent of cores must be filled with vermiculite or equivalent fill insulation; and</w:t>
      </w:r>
    </w:p>
    <w:p w14:paraId="34CAB00D" w14:textId="0ECF2769" w:rsidR="006B4A66" w:rsidRPr="006B4A66" w:rsidRDefault="0002554D"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BD15DC">
        <w:rPr>
          <w:rFonts w:ascii="Times New Roman" w:eastAsia="Calibri" w:hAnsi="Times New Roman" w:cs="Times New Roman"/>
          <w:color w:val="000000"/>
          <w:kern w:val="0"/>
          <w:sz w:val="24"/>
          <w14:ligatures w14:val="none"/>
        </w:rPr>
        <w:tab/>
        <w:t xml:space="preserve">  </w:t>
      </w:r>
      <w:r>
        <w:rPr>
          <w:rFonts w:ascii="Times New Roman" w:eastAsia="Calibri" w:hAnsi="Times New Roman" w:cs="Times New Roman"/>
          <w:color w:val="000000"/>
          <w:kern w:val="0"/>
          <w:sz w:val="24"/>
          <w:u w:val="single"/>
          <w14:ligatures w14:val="none"/>
        </w:rPr>
        <w:t>(</w:t>
      </w:r>
      <w:r w:rsidR="00B52B65" w:rsidRPr="001216D4">
        <w:rPr>
          <w:rFonts w:ascii="Times New Roman" w:eastAsia="Calibri" w:hAnsi="Times New Roman" w:cs="Times New Roman"/>
          <w:color w:val="000000"/>
          <w:kern w:val="0"/>
          <w:sz w:val="24"/>
          <w:u w:val="single"/>
          <w14:ligatures w14:val="none"/>
        </w:rPr>
        <w:t>2</w:t>
      </w:r>
      <w:r>
        <w:rPr>
          <w:rFonts w:ascii="Times New Roman" w:eastAsia="Calibri" w:hAnsi="Times New Roman" w:cs="Times New Roman"/>
          <w:color w:val="000000"/>
          <w:kern w:val="0"/>
          <w:sz w:val="24"/>
          <w:u w:val="single"/>
          <w14:ligatures w14:val="none"/>
        </w:rPr>
        <w:t>)</w:t>
      </w:r>
      <w:r w:rsidR="00B52B65" w:rsidRPr="001216D4">
        <w:rPr>
          <w:rFonts w:ascii="Times New Roman" w:eastAsia="Calibri" w:hAnsi="Times New Roman" w:cs="Times New Roman"/>
          <w:color w:val="000000"/>
          <w:kern w:val="0"/>
          <w:sz w:val="24"/>
          <w:u w:val="single"/>
          <w14:ligatures w14:val="none"/>
        </w:rPr>
        <w:t xml:space="preserve"> </w:t>
      </w:r>
      <w:r w:rsidR="00B71642">
        <w:rPr>
          <w:rFonts w:ascii="Times New Roman" w:eastAsia="Calibri" w:hAnsi="Times New Roman" w:cs="Times New Roman"/>
          <w:color w:val="000000"/>
          <w:kern w:val="0"/>
          <w:sz w:val="24"/>
          <w:u w:val="single"/>
          <w14:ligatures w14:val="none"/>
        </w:rPr>
        <w:t xml:space="preserve"> </w:t>
      </w:r>
      <w:r w:rsidR="00B52B65" w:rsidRPr="001216D4">
        <w:rPr>
          <w:rFonts w:ascii="Times New Roman" w:eastAsia="Calibri" w:hAnsi="Times New Roman" w:cs="Times New Roman"/>
          <w:color w:val="000000"/>
          <w:kern w:val="0"/>
          <w:sz w:val="24"/>
          <w:u w:val="single"/>
          <w14:ligatures w14:val="none"/>
        </w:rPr>
        <w:t xml:space="preserve">The building thermal envelope encloses one or more of the following uses: Warehouse (storage and retail), gymnasium, auditorium, church chapel, arena, kennel, </w:t>
      </w:r>
      <w:r w:rsidR="00B52B65" w:rsidRPr="001216D4">
        <w:rPr>
          <w:rFonts w:ascii="Times New Roman" w:eastAsia="Calibri" w:hAnsi="Times New Roman" w:cs="Times New Roman"/>
          <w:color w:val="000000"/>
          <w:kern w:val="0"/>
          <w:sz w:val="24"/>
          <w:u w:val="single"/>
          <w14:ligatures w14:val="none"/>
        </w:rPr>
        <w:lastRenderedPageBreak/>
        <w:t>manufacturing plant, indoor swimming pool, pump station, water and waste water treatment facility, storage facility, storage area, motor vehicle service facility. Where additional uses not listed (such as office, retail, etc.) are contained within the building, the exterior walls that enclose these areas may not utilize this exception and must comply with the appropriate mass wall R-value from Table C402.1.3/U-factor from Table C402.1.4</w:t>
      </w:r>
      <w:r w:rsidR="00B52B65" w:rsidRPr="00B52B65">
        <w:rPr>
          <w:rFonts w:ascii="Times New Roman" w:eastAsia="Calibri" w:hAnsi="Times New Roman" w:cs="Times New Roman"/>
          <w:color w:val="000000"/>
          <w:kern w:val="0"/>
          <w:sz w:val="24"/>
          <w14:ligatures w14:val="none"/>
        </w:rPr>
        <w:t>.</w:t>
      </w:r>
    </w:p>
    <w:p w14:paraId="5ED0ACE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e.  "Mass floors" shall include floors weighing not less than:</w:t>
      </w:r>
    </w:p>
    <w:p w14:paraId="0685ED04" w14:textId="715243A0"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w:t>
      </w:r>
      <w:r w:rsidRPr="006B4A66">
        <w:rPr>
          <w:rFonts w:ascii="Times New Roman" w:eastAsia="Calibri" w:hAnsi="Times New Roman" w:cs="Times New Roman"/>
          <w:color w:val="000000"/>
          <w:kern w:val="0"/>
          <w:sz w:val="24"/>
          <w14:ligatures w14:val="none"/>
        </w:rPr>
        <w:t>1</w:t>
      </w:r>
      <w:r w:rsidRPr="006B4A66">
        <w:rPr>
          <w:rFonts w:ascii="Times New Roman" w:eastAsia="Calibri" w:hAnsi="Times New Roman" w:cs="Times New Roman"/>
          <w:strike/>
          <w:color w:val="000000"/>
          <w:kern w:val="0"/>
          <w:sz w:val="24"/>
          <w14:ligatures w14:val="none"/>
        </w:rPr>
        <w:t>)</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35 pounds per square foot of floor surface area; or</w:t>
      </w:r>
    </w:p>
    <w:p w14:paraId="5AE276C9" w14:textId="6BF85CCA"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00713401">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w:t>
      </w:r>
      <w:r w:rsidRPr="006B4A66">
        <w:rPr>
          <w:rFonts w:ascii="Times New Roman" w:eastAsia="Calibri" w:hAnsi="Times New Roman" w:cs="Times New Roman"/>
          <w:color w:val="000000"/>
          <w:kern w:val="0"/>
          <w:sz w:val="24"/>
          <w14:ligatures w14:val="none"/>
        </w:rPr>
        <w:t>2</w:t>
      </w:r>
      <w:r w:rsidRPr="006B4A66">
        <w:rPr>
          <w:rFonts w:ascii="Times New Roman" w:eastAsia="Calibri" w:hAnsi="Times New Roman" w:cs="Times New Roman"/>
          <w:strike/>
          <w:color w:val="000000"/>
          <w:kern w:val="0"/>
          <w:sz w:val="24"/>
          <w14:ligatures w14:val="none"/>
        </w:rPr>
        <w:t>)</w:t>
      </w:r>
      <w:r w:rsidRPr="006B4A66">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25 pounds per square foot of floor surface area where the material weight is not more than 120 pounds per cubic foot .</w:t>
      </w:r>
    </w:p>
    <w:p w14:paraId="3CF3F009" w14:textId="3E23ABE2"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f.  Opaque assembly U-factors based on designs tested in accordance with ASTM C1363 </w:t>
      </w:r>
      <w:r w:rsidRPr="001216D4">
        <w:rPr>
          <w:rFonts w:ascii="Times New Roman" w:eastAsia="Calibri" w:hAnsi="Times New Roman" w:cs="Times New Roman"/>
          <w:color w:val="000000"/>
          <w:kern w:val="0"/>
          <w:sz w:val="24"/>
          <w14:ligatures w14:val="none"/>
        </w:rPr>
        <w:t>is allowed</w:t>
      </w:r>
      <w:r w:rsidRPr="006B4A66">
        <w:rPr>
          <w:rFonts w:ascii="Times New Roman" w:eastAsia="Calibri" w:hAnsi="Times New Roman" w:cs="Times New Roman"/>
          <w:color w:val="000000"/>
          <w:kern w:val="0"/>
          <w:sz w:val="24"/>
          <w14:ligatures w14:val="none"/>
        </w:rPr>
        <w:t xml:space="preserve">.  The R-value of continuous insulation </w:t>
      </w:r>
      <w:r w:rsidRPr="001216D4">
        <w:rPr>
          <w:rFonts w:ascii="Times New Roman" w:eastAsia="Calibri" w:hAnsi="Times New Roman" w:cs="Times New Roman"/>
          <w:color w:val="000000"/>
          <w:kern w:val="0"/>
          <w:sz w:val="24"/>
          <w14:ligatures w14:val="none"/>
        </w:rPr>
        <w:t>is allowed</w:t>
      </w:r>
      <w:r w:rsidRPr="006B4A66">
        <w:rPr>
          <w:rFonts w:ascii="Times New Roman" w:eastAsia="Calibri" w:hAnsi="Times New Roman" w:cs="Times New Roman"/>
          <w:color w:val="000000"/>
          <w:kern w:val="0"/>
          <w:sz w:val="24"/>
          <w14:ligatures w14:val="none"/>
        </w:rPr>
        <w:t xml:space="preserve">  to be added or subtracted from the original test design.</w:t>
      </w:r>
    </w:p>
    <w:p w14:paraId="754C5C2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g.  Peripheral edges of intermediate concrete floors are included in the above grade mass wall category and therefore must be insulated as above grade mass walls unless they meet the definition of a ((</w:t>
      </w:r>
      <w:r w:rsidRPr="006B4A66">
        <w:rPr>
          <w:rFonts w:ascii="Times New Roman" w:eastAsia="Calibri" w:hAnsi="Times New Roman" w:cs="Times New Roman"/>
          <w:strike/>
          <w:color w:val="000000"/>
          <w:kern w:val="0"/>
          <w:sz w:val="24"/>
          <w14:ligatures w14:val="none"/>
        </w:rPr>
        <w:t>m</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u w:val="single"/>
          <w14:ligatures w14:val="none"/>
        </w:rPr>
        <w:t>M</w:t>
      </w:r>
      <w:r w:rsidRPr="006B4A66">
        <w:rPr>
          <w:rFonts w:ascii="Times New Roman" w:eastAsia="Calibri" w:hAnsi="Times New Roman" w:cs="Times New Roman"/>
          <w:color w:val="000000"/>
          <w:kern w:val="0"/>
          <w:sz w:val="24"/>
          <w14:ligatures w14:val="none"/>
        </w:rPr>
        <w:t>ass ((</w:t>
      </w:r>
      <w:r w:rsidRPr="006B4A66">
        <w:rPr>
          <w:rFonts w:ascii="Times New Roman" w:eastAsia="Calibri" w:hAnsi="Times New Roman" w:cs="Times New Roman"/>
          <w:strike/>
          <w:color w:val="000000"/>
          <w:kern w:val="0"/>
          <w:sz w:val="24"/>
          <w14:ligatures w14:val="none"/>
        </w:rPr>
        <w:t>t</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u w:val="single"/>
          <w14:ligatures w14:val="none"/>
        </w:rPr>
        <w:t>T</w:t>
      </w:r>
      <w:r w:rsidRPr="006B4A66">
        <w:rPr>
          <w:rFonts w:ascii="Times New Roman" w:eastAsia="Calibri" w:hAnsi="Times New Roman" w:cs="Times New Roman"/>
          <w:color w:val="000000"/>
          <w:kern w:val="0"/>
          <w:sz w:val="24"/>
          <w14:ligatures w14:val="none"/>
        </w:rPr>
        <w:t>ransfer ((</w:t>
      </w:r>
      <w:r w:rsidRPr="006B4A66">
        <w:rPr>
          <w:rFonts w:ascii="Times New Roman" w:eastAsia="Calibri" w:hAnsi="Times New Roman" w:cs="Times New Roman"/>
          <w:strike/>
          <w:color w:val="000000"/>
          <w:kern w:val="0"/>
          <w:sz w:val="24"/>
          <w14:ligatures w14:val="none"/>
        </w:rPr>
        <w:t>d</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u w:val="single"/>
          <w14:ligatures w14:val="none"/>
        </w:rPr>
        <w:t>D</w:t>
      </w:r>
      <w:r w:rsidRPr="006B4A66">
        <w:rPr>
          <w:rFonts w:ascii="Times New Roman" w:eastAsia="Calibri" w:hAnsi="Times New Roman" w:cs="Times New Roman"/>
          <w:color w:val="000000"/>
          <w:kern w:val="0"/>
          <w:sz w:val="24"/>
          <w14:ligatures w14:val="none"/>
        </w:rPr>
        <w:t>eck ((</w:t>
      </w:r>
      <w:r w:rsidRPr="006B4A66">
        <w:rPr>
          <w:rFonts w:ascii="Times New Roman" w:eastAsia="Calibri" w:hAnsi="Times New Roman" w:cs="Times New Roman"/>
          <w:strike/>
          <w:color w:val="000000"/>
          <w:kern w:val="0"/>
          <w:sz w:val="24"/>
          <w14:ligatures w14:val="none"/>
        </w:rPr>
        <w:t>s</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u w:val="single"/>
          <w14:ligatures w14:val="none"/>
        </w:rPr>
        <w:t>S</w:t>
      </w:r>
      <w:r w:rsidRPr="006B4A66">
        <w:rPr>
          <w:rFonts w:ascii="Times New Roman" w:eastAsia="Calibri" w:hAnsi="Times New Roman" w:cs="Times New Roman"/>
          <w:color w:val="000000"/>
          <w:kern w:val="0"/>
          <w:sz w:val="24"/>
          <w14:ligatures w14:val="none"/>
        </w:rPr>
        <w:t>lab ((</w:t>
      </w:r>
      <w:r w:rsidRPr="006B4A66">
        <w:rPr>
          <w:rFonts w:ascii="Times New Roman" w:eastAsia="Calibri" w:hAnsi="Times New Roman" w:cs="Times New Roman"/>
          <w:strike/>
          <w:color w:val="000000"/>
          <w:kern w:val="0"/>
          <w:sz w:val="24"/>
          <w14:ligatures w14:val="none"/>
        </w:rPr>
        <w:t>edge</w:t>
      </w:r>
      <w:r w:rsidRPr="006B4A66">
        <w:rPr>
          <w:rFonts w:ascii="Times New Roman" w:eastAsia="Calibri" w:hAnsi="Times New Roman" w:cs="Times New Roman"/>
          <w:color w:val="000000"/>
          <w:kern w:val="0"/>
          <w:sz w:val="24"/>
          <w14:ligatures w14:val="none"/>
        </w:rPr>
        <w:t>)).  The area of the peripheral edges of concrete floors shall be defined as the thickness of the slab multiplied by the perimeter length of the edge condition.  See ((</w:t>
      </w:r>
      <w:r w:rsidRPr="006B4A66">
        <w:rPr>
          <w:rFonts w:ascii="Times New Roman" w:eastAsia="Calibri" w:hAnsi="Times New Roman" w:cs="Times New Roman"/>
          <w:strike/>
          <w:color w:val="000000"/>
          <w:kern w:val="0"/>
          <w:sz w:val="24"/>
          <w14:ligatures w14:val="none"/>
        </w:rPr>
        <w:t>IECC</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WSEC</w:t>
      </w:r>
      <w:r w:rsidRPr="006B4A66">
        <w:rPr>
          <w:rFonts w:ascii="Times New Roman" w:eastAsia="Calibri" w:hAnsi="Times New Roman" w:cs="Times New Roman"/>
          <w:color w:val="000000"/>
          <w:kern w:val="0"/>
          <w:sz w:val="24"/>
          <w14:ligatures w14:val="none"/>
        </w:rPr>
        <w:t xml:space="preserve"> Table A103.3.7.2 for typical default U-factors for above</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grade slab edges and footnote c for typical conditions of above grade slab edges.</w:t>
      </w:r>
    </w:p>
    <w:p w14:paraId="0D77A6E0" w14:textId="22C5A74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h.  ((</w:t>
      </w:r>
      <w:r w:rsidRPr="006B4A66">
        <w:rPr>
          <w:rFonts w:ascii="Times New Roman" w:eastAsia="Calibri" w:hAnsi="Times New Roman" w:cs="Times New Roman"/>
          <w:strike/>
          <w:color w:val="000000"/>
          <w:kern w:val="0"/>
          <w:sz w:val="24"/>
          <w14:ligatures w14:val="none"/>
        </w:rPr>
        <w:t xml:space="preserve">Intermediate concrete floor slabs penetrating the building thermal envelope shall comply with IECC C402.2.9.  The area of such penetrating concrete floor slabs shall be defined as the thickness of the slab multiplied by the length of the penetration.  The </w:t>
      </w:r>
      <w:r w:rsidRPr="006B4A66">
        <w:rPr>
          <w:rFonts w:ascii="Times New Roman" w:eastAsia="Calibri" w:hAnsi="Times New Roman" w:cs="Times New Roman"/>
          <w:strike/>
          <w:color w:val="000000"/>
          <w:kern w:val="0"/>
          <w:sz w:val="24"/>
          <w14:ligatures w14:val="none"/>
        </w:rPr>
        <w:lastRenderedPageBreak/>
        <w:t>"exposed concrete" row in IECC Table A103.3.7.2 shall be used for typical default U-factors for the penetrating concrete slab</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Swinging door U-factors shall be determined in accordance with NFRC-100</w:t>
      </w:r>
      <w:r w:rsidRPr="00BD15DC">
        <w:rPr>
          <w:rFonts w:ascii="Times New Roman" w:eastAsia="Calibri" w:hAnsi="Times New Roman" w:cs="Times New Roman"/>
          <w:color w:val="000000"/>
          <w:kern w:val="0"/>
          <w:sz w:val="24"/>
          <w14:ligatures w14:val="none"/>
        </w:rPr>
        <w:t>.</w:t>
      </w:r>
    </w:p>
    <w:p w14:paraId="4249921A" w14:textId="3FF074F5"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strike/>
          <w:color w:val="000000"/>
          <w:kern w:val="0"/>
          <w:sz w:val="24"/>
          <w14:ligatures w14:val="none"/>
        </w:rPr>
        <w:t>Value applies to concrete columns and concrete walls that interrupt mass floor insulation, but not to perimeter walls or columns separating interior conditioned space from exterior space.</w:t>
      </w:r>
      <w:r w:rsidRPr="006B4A66">
        <w:rPr>
          <w:rFonts w:ascii="Times New Roman" w:eastAsia="Calibri" w:hAnsi="Times New Roman" w:cs="Times New Roman"/>
          <w:color w:val="000000"/>
          <w:kern w:val="0"/>
          <w:sz w:val="24"/>
          <w14:ligatures w14:val="none"/>
        </w:rPr>
        <w:t xml:space="preserve">)) </w:t>
      </w:r>
      <w:r w:rsidR="00B71642">
        <w:rPr>
          <w:rFonts w:ascii="Times New Roman" w:eastAsia="Calibri" w:hAnsi="Times New Roman" w:cs="Times New Roman"/>
          <w:color w:val="000000"/>
          <w:kern w:val="0"/>
          <w:sz w:val="24"/>
          <w:u w:val="single"/>
          <w14:ligatures w14:val="none"/>
        </w:rPr>
        <w:t xml:space="preserve">i.  </w:t>
      </w:r>
      <w:r w:rsidRPr="006B4A66">
        <w:rPr>
          <w:rFonts w:ascii="Times New Roman" w:eastAsia="Calibri" w:hAnsi="Times New Roman" w:cs="Times New Roman"/>
          <w:color w:val="000000"/>
          <w:kern w:val="0"/>
          <w:sz w:val="24"/>
          <w:u w:val="single"/>
          <w14:ligatures w14:val="none"/>
        </w:rPr>
        <w:t>Garage doors having a single row of fenestration shall have an assembly U-factor less than or equal to 0.44, provided that the fenestration area is not less than 14 percent and not more than 50 percent of the total door area.</w:t>
      </w:r>
    </w:p>
    <w:p w14:paraId="1B76C82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j.  Component performance in accordance with WSEC C402.1.5 shall be required for buildings with a mass transfer deck slab.  A mass transfer deck, due to its configuration, is not insulation.  The table value (U-0.20) shall be used as the baseline value for component performance or total building performance path calculations.  For the proposed value, the appropriate value from WSEC Table A103.3.7.2 shall be used.</w:t>
      </w:r>
    </w:p>
    <w:p w14:paraId="36E9A92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k.  Through-wall mechanical equipment subject to WSEC C402.1.4.3 shall be calculated at the U-factor defined in WSEC C402.1.4.3.  The area-weighted U-factor of the wall, including through-wall mechanical equipment, shall not exceed the value in the table.</w:t>
      </w:r>
    </w:p>
    <w:p w14:paraId="3D0A47D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l.  Value applies to concrete columns and concrete walls that interrupt mass floor insulation, but not to perimeter walls or columns separating interior conditioned space from exterior space.</w:t>
      </w:r>
    </w:p>
    <w:p w14:paraId="4E727EFC" w14:textId="4A4B365C"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48.</w:t>
      </w:r>
      <w:r w:rsidRPr="006B4A66">
        <w:rPr>
          <w:rFonts w:ascii="Times New Roman" w:eastAsia="Calibri" w:hAnsi="Times New Roman" w:cs="Times New Roman"/>
          <w:color w:val="000000"/>
          <w:kern w:val="0"/>
          <w:sz w:val="24"/>
          <w14:ligatures w14:val="none"/>
        </w:rPr>
        <w:t>There is hereby added to K.C.C. chapter 16.07 a new section to read as follows:</w:t>
      </w:r>
    </w:p>
    <w:p w14:paraId="6B7C98A9" w14:textId="1AC1E0CE" w:rsidR="00F61B3D" w:rsidRPr="00F61B3D" w:rsidRDefault="00F61B3D"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 xml:space="preserve">Section </w:t>
      </w:r>
      <w:r>
        <w:rPr>
          <w:rFonts w:ascii="Times New Roman" w:eastAsia="Calibri" w:hAnsi="Times New Roman" w:cs="Times New Roman"/>
          <w:color w:val="000000"/>
          <w:kern w:val="0"/>
          <w:sz w:val="24"/>
          <w14:ligatures w14:val="none"/>
        </w:rPr>
        <w:t xml:space="preserve">402.1.5 </w:t>
      </w:r>
      <w:r w:rsidRPr="006B4A66">
        <w:rPr>
          <w:rFonts w:ascii="Times New Roman" w:eastAsia="Calibri" w:hAnsi="Times New Roman" w:cs="Times New Roman"/>
          <w:color w:val="000000"/>
          <w:kern w:val="0"/>
          <w:sz w:val="24"/>
          <w14:ligatures w14:val="none"/>
        </w:rPr>
        <w:t xml:space="preserve">of the </w:t>
      </w:r>
      <w:r>
        <w:rPr>
          <w:rFonts w:ascii="Times New Roman" w:eastAsia="Calibri" w:hAnsi="Times New Roman" w:cs="Times New Roman"/>
          <w:color w:val="000000"/>
          <w:kern w:val="0"/>
          <w:sz w:val="24"/>
          <w14:ligatures w14:val="none"/>
        </w:rPr>
        <w:t xml:space="preserve">Washington State Energy </w:t>
      </w:r>
      <w:r w:rsidRPr="006B4A66">
        <w:rPr>
          <w:rFonts w:ascii="Times New Roman" w:eastAsia="Calibri" w:hAnsi="Times New Roman" w:cs="Times New Roman"/>
          <w:color w:val="000000"/>
          <w:kern w:val="0"/>
          <w:sz w:val="24"/>
          <w14:ligatures w14:val="none"/>
        </w:rPr>
        <w:t>Code is not adopted and the following is substituted:</w:t>
      </w:r>
    </w:p>
    <w:p w14:paraId="197E63C3" w14:textId="0DB4C880"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tab/>
        <w:t>Component performance alternative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b/>
          <w:bCs/>
          <w:color w:val="000000"/>
          <w:kern w:val="0"/>
          <w:sz w:val="24"/>
          <w14:ligatures w14:val="none"/>
        </w:rPr>
        <w:t>(</w:t>
      </w:r>
      <w:r w:rsidRPr="006B4A66">
        <w:rPr>
          <w:rFonts w:ascii="Times New Roman" w:eastAsia="Calibri" w:hAnsi="Times New Roman" w:cs="Times New Roman"/>
          <w:b/>
          <w:color w:val="000000"/>
          <w:kern w:val="0"/>
          <w:sz w:val="24"/>
          <w14:ligatures w14:val="none"/>
        </w:rPr>
        <w:t>WSEC</w:t>
      </w:r>
      <w:r w:rsidRPr="006B4A66">
        <w:rPr>
          <w:rFonts w:ascii="Times New Roman" w:eastAsia="Calibri" w:hAnsi="Times New Roman" w:cs="Times New Roman"/>
          <w:b/>
          <w:bCs/>
          <w:color w:val="000000"/>
          <w:kern w:val="0"/>
          <w:sz w:val="24"/>
          <w14:ligatures w14:val="none"/>
        </w:rPr>
        <w:t xml:space="preserve"> C402.1.5)</w:t>
      </w:r>
      <w:r w:rsidRPr="006B4A66">
        <w:rPr>
          <w:rFonts w:ascii="Times New Roman" w:eastAsia="Calibri" w:hAnsi="Times New Roman" w:cs="Times New Roman"/>
          <w:color w:val="000000"/>
          <w:kern w:val="0"/>
          <w:sz w:val="24"/>
          <w14:ligatures w14:val="none"/>
        </w:rPr>
        <w:t>.  Building envelope values and fenestration areas determined in accordance with Equation 4-2 shall be permitted in lieu of compliance with the U-factors and F-factors in WSEC Table C402.1.4 and WSEC C402.4 and the maximum allowable fenestration areas in WSEC C402.4.1.</w:t>
      </w:r>
    </w:p>
    <w:p w14:paraId="20C5FDF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For buildings with more than one space conditioning category, component performance compliance shall be demonstrated separately for each space conditioning category.  Interior partition ceilings, walls, fenestration, and floors that separate space conditioning areas shall be applied to the component performance calculations for the space conditioning category with the highest level of space conditioning. </w:t>
      </w:r>
    </w:p>
    <w:p w14:paraId="3E52C06F" w14:textId="77777777" w:rsidR="00D67618"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High-performance vertical fenestration types required by Column B of WSEC Table C402.4 shall be calculated separately from other vertical fenestration types in Equation 4-2.</w:t>
      </w:r>
    </w:p>
    <w:p w14:paraId="51847C5E" w14:textId="31FC7CF6"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Equation 4-2:</w:t>
      </w:r>
    </w:p>
    <w:p w14:paraId="62A3FA3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Proposed Total UA ≤ Allowable Total UA</w:t>
      </w:r>
    </w:p>
    <w:p w14:paraId="47C1EDB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Where: </w:t>
      </w:r>
    </w:p>
    <w:p w14:paraId="75C8422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Proposed Total UA = UA-glaz-prop + UA sky-prop + UA-opaque-prop + FL-slab-prop.</w:t>
      </w:r>
    </w:p>
    <w:p w14:paraId="2D8AEC42" w14:textId="088AB9F1" w:rsidR="00AB2B0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Allowable Total UA = UA-glaz-allow + UA-glaz-excess + UA sky-allow + UA-sky-excess + UA-opaque-allow + FL-slab-allow</w:t>
      </w:r>
      <w:r w:rsidR="008D4C84">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w:t>
      </w:r>
    </w:p>
    <w:p w14:paraId="39A3A265" w14:textId="70212CA6" w:rsidR="006B4A66" w:rsidRPr="006B4A66" w:rsidRDefault="00AB2B0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r>
      <w:r w:rsidR="006B4A66" w:rsidRPr="006B4A66">
        <w:rPr>
          <w:rFonts w:ascii="Times New Roman" w:eastAsia="Calibri" w:hAnsi="Times New Roman" w:cs="Times New Roman"/>
          <w:color w:val="000000"/>
          <w:kern w:val="0"/>
          <w:sz w:val="24"/>
          <w14:ligatures w14:val="none"/>
        </w:rPr>
        <w:t>UA-glaz-prop = Sum of (proposed U-value × proposed area) for each distinct vertical fenestration type, up to code maximum area.</w:t>
      </w:r>
    </w:p>
    <w:p w14:paraId="74360653" w14:textId="17FD9D65" w:rsidR="008D4C84"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UA-sky-prop = Sum of (proposed U-value × proposed area) for each distinct skylight type, up to the code maximum area</w:t>
      </w:r>
      <w:r w:rsidR="008D4C84">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w:t>
      </w:r>
    </w:p>
    <w:p w14:paraId="5599C479" w14:textId="5F2A1202" w:rsidR="006B4A66" w:rsidRPr="006B4A66" w:rsidRDefault="008D4C84"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006B4A66" w:rsidRPr="006B4A66">
        <w:rPr>
          <w:rFonts w:ascii="Times New Roman" w:eastAsia="Calibri" w:hAnsi="Times New Roman" w:cs="Times New Roman"/>
          <w:color w:val="000000"/>
          <w:kern w:val="0"/>
          <w:sz w:val="24"/>
          <w14:ligatures w14:val="none"/>
        </w:rPr>
        <w:t>UA-opaque-prop = Sum of (proposed U-value × proposed area) for each distinct opaque thermal envelope type.</w:t>
      </w:r>
    </w:p>
    <w:p w14:paraId="0713304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FL-slab-prop = Sum of (proposed F-value × proposed length) for each distinct slab on grade perimeter assembly.</w:t>
      </w:r>
    </w:p>
    <w:p w14:paraId="062EB602" w14:textId="43BAE2CD"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UA-glaz-allow = Sum of (code maximum vertical fenestration U-value from WSEC Table C402.4, or WSEC C402.4.1.1.2 if applicable, × proposed area) for each distinct vertical fenestration type, not to exceed the code maximum area</w:t>
      </w:r>
      <w:r w:rsidR="001C474A">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vertAlign w:val="superscript"/>
          <w14:ligatures w14:val="none"/>
        </w:rPr>
        <w:t>1</w:t>
      </w:r>
    </w:p>
    <w:p w14:paraId="49092B6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UA-glaz-excess = U-value for the proposed wall type from WSEC Table C402.4</w:t>
      </w:r>
      <w:r w:rsidRPr="006B4A66">
        <w:rPr>
          <w:rFonts w:ascii="Times New Roman" w:eastAsia="Calibri" w:hAnsi="Times New Roman" w:cs="Times New Roman"/>
          <w:color w:val="000000"/>
          <w:kern w:val="0"/>
          <w:sz w:val="24"/>
          <w:vertAlign w:val="superscript"/>
          <w14:ligatures w14:val="none"/>
        </w:rPr>
        <w:t>2</w:t>
      </w:r>
      <w:r w:rsidRPr="006B4A66">
        <w:rPr>
          <w:rFonts w:ascii="Times New Roman" w:eastAsia="Calibri" w:hAnsi="Times New Roman" w:cs="Times New Roman"/>
          <w:color w:val="000000"/>
          <w:kern w:val="0"/>
          <w:sz w:val="24"/>
          <w14:ligatures w14:val="none"/>
        </w:rPr>
        <w:t xml:space="preserve"> × vertical fenestration area in excess of the code maximum area.</w:t>
      </w:r>
    </w:p>
    <w:p w14:paraId="7FD26BC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UA-sky-allow = Sum of (code maximum skylight U-value from WSEC Table C402.4 × proposed area) for each distinct skylight type proposed, not to exceed the code maximum area.</w:t>
      </w:r>
    </w:p>
    <w:p w14:paraId="467E747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UA-sky-excess = U-value for the proposed roof type from WSEC Table C402.4</w:t>
      </w:r>
      <w:r w:rsidRPr="006B4A66">
        <w:rPr>
          <w:rFonts w:ascii="Times New Roman" w:eastAsia="Calibri" w:hAnsi="Times New Roman" w:cs="Times New Roman"/>
          <w:color w:val="000000"/>
          <w:kern w:val="0"/>
          <w:sz w:val="24"/>
          <w:vertAlign w:val="superscript"/>
          <w14:ligatures w14:val="none"/>
        </w:rPr>
        <w:t>3</w:t>
      </w:r>
      <w:r w:rsidRPr="006B4A66">
        <w:rPr>
          <w:rFonts w:ascii="Times New Roman" w:eastAsia="Calibri" w:hAnsi="Times New Roman" w:cs="Times New Roman"/>
          <w:color w:val="000000"/>
          <w:kern w:val="0"/>
          <w:sz w:val="24"/>
          <w14:ligatures w14:val="none"/>
        </w:rPr>
        <w:t xml:space="preserve"> × skylight area in excess of the code maximum area.</w:t>
      </w:r>
    </w:p>
    <w:p w14:paraId="7C46966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UA-opaque-allow = Code maximum opaque envelope U-value from WSEC Table C402.1.4 for each opaque door, wall, roof, and floor assembly × proposed area.</w:t>
      </w:r>
    </w:p>
    <w:p w14:paraId="3B03D3F7" w14:textId="0EBF0F82" w:rsidR="006B4A66" w:rsidRPr="006B4A66" w:rsidRDefault="00242D9B"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006B4A66" w:rsidRPr="006B4A66">
        <w:rPr>
          <w:rFonts w:ascii="Times New Roman" w:eastAsia="Calibri" w:hAnsi="Times New Roman" w:cs="Times New Roman"/>
          <w:color w:val="000000"/>
          <w:kern w:val="0"/>
          <w:sz w:val="24"/>
          <w14:ligatures w14:val="none"/>
        </w:rPr>
        <w:t>FL-slab-allow = Code maximum F-value for each slab-on-grade perimeter assembly × proposed length.</w:t>
      </w:r>
    </w:p>
    <w:p w14:paraId="1CE7849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Footnotes:</w:t>
      </w:r>
    </w:p>
    <w:p w14:paraId="78D5A6B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1.  Where multiple vertical fenestration types are proposed and the code maximum area is exceeded, the U-value shall be the average WSEC Table C402.1.4 U-value weighted by the proposed vertical fenestration area of each type.</w:t>
      </w:r>
    </w:p>
    <w:p w14:paraId="37696D8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Where multiple wall types are proposed the U-value shall be the average</w:t>
      </w:r>
      <w:r w:rsidRPr="006B4A66">
        <w:rPr>
          <w:rFonts w:ascii="Times New Roman" w:eastAsia="Calibri" w:hAnsi="Times New Roman" w:cs="Times New Roman"/>
          <w:color w:val="000000"/>
          <w:kern w:val="0"/>
          <w:sz w:val="24"/>
          <w:highlight w:val="yellow"/>
          <w14:ligatures w14:val="none"/>
        </w:rPr>
        <w:t xml:space="preserve"> </w:t>
      </w:r>
      <w:r w:rsidRPr="006B4A66">
        <w:rPr>
          <w:rFonts w:ascii="Times New Roman" w:eastAsia="Calibri" w:hAnsi="Times New Roman" w:cs="Times New Roman"/>
          <w:color w:val="000000"/>
          <w:kern w:val="0"/>
          <w:sz w:val="24"/>
          <w14:ligatures w14:val="none"/>
        </w:rPr>
        <w:t>WSEC Table C402.1.4 U-value weighted by the proposed above grade wall area of each type.</w:t>
      </w:r>
    </w:p>
    <w:p w14:paraId="629AE28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3.  Where multiple roof types are proposed the U-value shall be the average WSEC Table C402.1.4 U-value weighted by the proposed roof area of each type.</w:t>
      </w:r>
    </w:p>
    <w:p w14:paraId="6AF127C3" w14:textId="4271314D"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49.</w:t>
      </w:r>
      <w:r w:rsidRPr="006B4A66">
        <w:rPr>
          <w:rFonts w:ascii="Times New Roman" w:eastAsia="Times New Roman" w:hAnsi="Times New Roman" w:cs="Times New Roman"/>
          <w:color w:val="000000"/>
          <w:kern w:val="0"/>
          <w:sz w:val="24"/>
          <w:szCs w:val="24"/>
          <w14:ligatures w14:val="none"/>
        </w:rPr>
        <w:t xml:space="preserve">  Ordinance 19485, Section 78, and K.C.C. 16.07.100 are hereby amended to read as follows:</w:t>
      </w:r>
    </w:p>
    <w:p w14:paraId="408F520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color w:val="000000"/>
          <w:kern w:val="0"/>
          <w:sz w:val="24"/>
          <w14:ligatures w14:val="none"/>
        </w:rPr>
        <w:t>Section C402.4 of the ((</w:t>
      </w:r>
      <w:r w:rsidRPr="006B4A66">
        <w:rPr>
          <w:rFonts w:ascii="Times New Roman" w:eastAsia="Calibri" w:hAnsi="Times New Roman" w:cs="Times New Roman"/>
          <w:strike/>
          <w:color w:val="000000"/>
          <w:kern w:val="0"/>
          <w:sz w:val="24"/>
          <w14:ligatures w14:val="none"/>
        </w:rPr>
        <w:t>International Energy Conservation</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Washington State Energy</w:t>
      </w:r>
      <w:r w:rsidRPr="006B4A66">
        <w:rPr>
          <w:rFonts w:ascii="Times New Roman" w:eastAsia="Calibri" w:hAnsi="Times New Roman" w:cs="Times New Roman"/>
          <w:color w:val="000000"/>
          <w:kern w:val="0"/>
          <w:sz w:val="24"/>
          <w14:ligatures w14:val="none"/>
        </w:rPr>
        <w:t xml:space="preserve"> Code is not adopted and the following is substituted:</w:t>
      </w:r>
    </w:p>
    <w:p w14:paraId="554BEAC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color w:val="000000"/>
          <w:kern w:val="0"/>
          <w:sz w:val="24"/>
          <w14:ligatures w14:val="none"/>
        </w:rPr>
        <w:t xml:space="preserve">Fenestration – prescriptive </w:t>
      </w:r>
      <w:r w:rsidRPr="006B4A66">
        <w:rPr>
          <w:rFonts w:ascii="Times New Roman" w:eastAsia="Calibri" w:hAnsi="Times New Roman" w:cs="Times New Roman"/>
          <w:b/>
          <w:bCs/>
          <w:iCs/>
          <w:color w:val="000000"/>
          <w:kern w:val="0"/>
          <w:sz w:val="24"/>
          <w14:ligatures w14:val="none"/>
        </w:rPr>
        <w:t>(</w:t>
      </w:r>
      <w:r w:rsidRPr="006B4A66">
        <w:rPr>
          <w:rFonts w:ascii="Times New Roman" w:eastAsia="Calibri" w:hAnsi="Times New Roman" w:cs="Times New Roman"/>
          <w:b/>
          <w:color w:val="000000"/>
          <w:kern w:val="0"/>
          <w:sz w:val="24"/>
          <w14:ligatures w14:val="none"/>
        </w:rPr>
        <w:t>((</w:t>
      </w:r>
      <w:r w:rsidRPr="006B4A66">
        <w:rPr>
          <w:rFonts w:ascii="Times New Roman" w:eastAsia="Calibri" w:hAnsi="Times New Roman" w:cs="Times New Roman"/>
          <w:b/>
          <w:strike/>
          <w:color w:val="000000"/>
          <w:kern w:val="0"/>
          <w:sz w:val="24"/>
          <w:lang w:val="en"/>
          <w14:ligatures w14:val="none"/>
        </w:rPr>
        <w:t>IECC</w:t>
      </w:r>
      <w:r w:rsidRPr="006B4A66">
        <w:rPr>
          <w:rFonts w:ascii="Times New Roman" w:eastAsia="Calibri" w:hAnsi="Times New Roman" w:cs="Times New Roman"/>
          <w:b/>
          <w:color w:val="000000"/>
          <w:kern w:val="0"/>
          <w:sz w:val="24"/>
          <w:lang w:val="en"/>
          <w14:ligatures w14:val="none"/>
        </w:rPr>
        <w:t xml:space="preserve">)) </w:t>
      </w:r>
      <w:r w:rsidRPr="006B4A66">
        <w:rPr>
          <w:rFonts w:ascii="Times New Roman" w:eastAsia="Calibri" w:hAnsi="Times New Roman" w:cs="Times New Roman"/>
          <w:b/>
          <w:color w:val="000000"/>
          <w:kern w:val="0"/>
          <w:sz w:val="24"/>
          <w:u w:val="single"/>
          <w:lang w:val="en"/>
          <w14:ligatures w14:val="none"/>
        </w:rPr>
        <w:t>WSEC</w:t>
      </w:r>
      <w:r w:rsidRPr="006B4A66">
        <w:rPr>
          <w:rFonts w:ascii="Times New Roman" w:eastAsia="Calibri" w:hAnsi="Times New Roman" w:cs="Times New Roman"/>
          <w:b/>
          <w:bCs/>
          <w:color w:val="000000"/>
          <w:kern w:val="0"/>
          <w:sz w:val="24"/>
          <w:lang w:val="en"/>
          <w14:ligatures w14:val="none"/>
        </w:rPr>
        <w:t xml:space="preserve"> </w:t>
      </w:r>
      <w:r w:rsidRPr="006B4A66">
        <w:rPr>
          <w:rFonts w:ascii="Times New Roman" w:eastAsia="Calibri" w:hAnsi="Times New Roman" w:cs="Times New Roman"/>
          <w:b/>
          <w:bCs/>
          <w:color w:val="000000"/>
          <w:kern w:val="0"/>
          <w:sz w:val="24"/>
          <w14:ligatures w14:val="none"/>
        </w:rPr>
        <w:t xml:space="preserve">C402.4).  </w:t>
      </w:r>
      <w:r w:rsidRPr="006B4A66">
        <w:rPr>
          <w:rFonts w:ascii="Times New Roman" w:eastAsia="Calibri" w:hAnsi="Times New Roman" w:cs="Times New Roman"/>
          <w:color w:val="000000"/>
          <w:kern w:val="0"/>
          <w:sz w:val="24"/>
          <w14:ligatures w14:val="none"/>
        </w:rPr>
        <w:t>Fenestration shall comply with ((</w:t>
      </w:r>
      <w:r w:rsidRPr="006B4A66">
        <w:rPr>
          <w:rFonts w:ascii="Times New Roman" w:eastAsia="Calibri" w:hAnsi="Times New Roman" w:cs="Times New Roman"/>
          <w:strike/>
          <w:color w:val="000000"/>
          <w:kern w:val="0"/>
          <w:sz w:val="24"/>
          <w14:ligatures w14:val="none"/>
        </w:rPr>
        <w:t>IECC</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WSEC</w:t>
      </w:r>
      <w:r w:rsidRPr="006B4A66">
        <w:rPr>
          <w:rFonts w:ascii="Times New Roman" w:eastAsia="Calibri" w:hAnsi="Times New Roman" w:cs="Times New Roman"/>
          <w:color w:val="000000"/>
          <w:kern w:val="0"/>
          <w:sz w:val="24"/>
          <w14:ligatures w14:val="none"/>
        </w:rPr>
        <w:t xml:space="preserve"> C402.4 through C402.4.4 and IECC Table C402.4.  </w:t>
      </w:r>
      <w:r w:rsidRPr="006B4A66">
        <w:rPr>
          <w:rFonts w:ascii="Times New Roman" w:eastAsia="Calibri" w:hAnsi="Times New Roman" w:cs="Times New Roman"/>
          <w:color w:val="000000"/>
          <w:kern w:val="0"/>
          <w:sz w:val="24"/>
          <w:u w:val="single"/>
          <w14:ligatures w14:val="none"/>
        </w:rPr>
        <w:t>Column A values in WSEC Table C402.4 apply to a maximum of 80 percent of the total building vertical fenestration area, or 65 percent to comply with Exception 1 to WSEC C402.4.1.  The minimum 20 percent of fenestration required to meet the Column B high-performance U-factors, or 35 percent to comply with Exception 1 to WSEC C402.4.1, is permitted to be met using any combination of vertical fenestration types with Column B values listed, and those maximum U-factors must be maintained when using the component performance alternative in WSEC C402.1.5.  An area-weighted average of Column B U-factors is permitted, in compliance with the exception to WSEC C402.1.5</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iCs/>
          <w:color w:val="000000"/>
          <w:kern w:val="0"/>
          <w:sz w:val="24"/>
          <w14:ligatures w14:val="none"/>
        </w:rPr>
        <w:lastRenderedPageBreak/>
        <w:t xml:space="preserve">Daylight responsive controls </w:t>
      </w:r>
      <w:r w:rsidRPr="006B4A66">
        <w:rPr>
          <w:rFonts w:ascii="Times New Roman" w:eastAsia="Calibri" w:hAnsi="Times New Roman" w:cs="Times New Roman"/>
          <w:color w:val="000000"/>
          <w:kern w:val="0"/>
          <w:sz w:val="24"/>
          <w14:ligatures w14:val="none"/>
        </w:rPr>
        <w:t>shall comply with this section and ((</w:t>
      </w:r>
      <w:r w:rsidRPr="006B4A66">
        <w:rPr>
          <w:rFonts w:ascii="Times New Roman" w:eastAsia="Calibri" w:hAnsi="Times New Roman" w:cs="Times New Roman"/>
          <w:strike/>
          <w:color w:val="000000"/>
          <w:kern w:val="0"/>
          <w:sz w:val="24"/>
          <w14:ligatures w14:val="none"/>
        </w:rPr>
        <w:t>IECC C405.2.4</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WSEC C405.2.5</w:t>
      </w:r>
      <w:r w:rsidRPr="006B4A66">
        <w:rPr>
          <w:rFonts w:ascii="Times New Roman" w:eastAsia="Calibri" w:hAnsi="Times New Roman" w:cs="Times New Roman"/>
          <w:color w:val="000000"/>
          <w:kern w:val="0"/>
          <w:sz w:val="24"/>
          <w14:ligatures w14:val="none"/>
        </w:rPr>
        <w:t>.</w:t>
      </w:r>
    </w:p>
    <w:p w14:paraId="5C7AD29F" w14:textId="77777777" w:rsidR="006B4A66" w:rsidRPr="006B4A66" w:rsidRDefault="006B4A66" w:rsidP="0073496A">
      <w:pPr>
        <w:tabs>
          <w:tab w:val="left" w:pos="720"/>
        </w:tabs>
        <w:spacing w:after="0" w:line="480" w:lineRule="auto"/>
        <w:rPr>
          <w:rFonts w:ascii="Times New Roman" w:eastAsia="Calibri" w:hAnsi="Times New Roman" w:cs="Times New Roman"/>
          <w:b/>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color w:val="000000"/>
          <w:kern w:val="0"/>
          <w:sz w:val="24"/>
          <w14:ligatures w14:val="none"/>
        </w:rPr>
        <w:t>EXCEPTION</w:t>
      </w:r>
      <w:r w:rsidRPr="006B4A66">
        <w:rPr>
          <w:rFonts w:ascii="Times New Roman" w:eastAsia="Calibri" w:hAnsi="Times New Roman" w:cs="Times New Roman"/>
          <w:b/>
          <w:color w:val="000000"/>
          <w:kern w:val="0"/>
          <w:sz w:val="24"/>
          <w:u w:val="single"/>
          <w14:ligatures w14:val="none"/>
        </w:rPr>
        <w:t>S</w:t>
      </w:r>
      <w:r w:rsidRPr="006B4A66">
        <w:rPr>
          <w:rFonts w:ascii="Times New Roman" w:eastAsia="Calibri" w:hAnsi="Times New Roman" w:cs="Times New Roman"/>
          <w:b/>
          <w:color w:val="000000"/>
          <w:kern w:val="0"/>
          <w:sz w:val="24"/>
          <w14:ligatures w14:val="none"/>
        </w:rPr>
        <w:t>:</w:t>
      </w:r>
    </w:p>
    <w:p w14:paraId="6EEF010A" w14:textId="77777777" w:rsidR="006B4A66" w:rsidRPr="006B4A66" w:rsidRDefault="006B4A66" w:rsidP="0073496A">
      <w:pPr>
        <w:tabs>
          <w:tab w:val="left" w:pos="720"/>
        </w:tabs>
        <w:spacing w:after="0" w:line="480" w:lineRule="auto"/>
        <w:rPr>
          <w:rFonts w:ascii="Times New Roman" w:eastAsia="Calibri" w:hAnsi="Times New Roman" w:cs="Times New Roman"/>
          <w:b/>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1.  Buildings or additions with less than 5,000 square feet (464.5 square meters) of conditioned floor area are not required to provide the Column B high performance fenestration.</w:t>
      </w:r>
    </w:p>
    <w:p w14:paraId="6207D052" w14:textId="77777777" w:rsidR="006B4A66" w:rsidRPr="006B4A66" w:rsidRDefault="006B4A66" w:rsidP="0073496A">
      <w:pPr>
        <w:tabs>
          <w:tab w:val="left" w:pos="720"/>
        </w:tabs>
        <w:spacing w:after="0" w:line="480" w:lineRule="auto"/>
        <w:rPr>
          <w:rFonts w:ascii="Times New Roman" w:eastAsia="Calibri" w:hAnsi="Times New Roman" w:cs="Times New Roman"/>
          <w:b/>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2.</w:t>
      </w:r>
      <w:r w:rsidRPr="006B4A66">
        <w:rPr>
          <w:rFonts w:ascii="Times New Roman" w:eastAsia="Calibri" w:hAnsi="Times New Roman" w:cs="Times New Roman"/>
          <w:color w:val="000000"/>
          <w:kern w:val="0"/>
          <w:sz w:val="24"/>
          <w14:ligatures w14:val="none"/>
        </w:rPr>
        <w:t xml:space="preserve">  For prescriptive envelope compliance, single-pane glazing is allowed for security purposes and for revolving doors, not to exceed ((</w:t>
      </w:r>
      <w:r w:rsidRPr="006B4A66">
        <w:rPr>
          <w:rFonts w:ascii="Times New Roman" w:eastAsia="Calibri" w:hAnsi="Times New Roman" w:cs="Times New Roman"/>
          <w:strike/>
          <w:color w:val="000000"/>
          <w:kern w:val="0"/>
          <w:sz w:val="24"/>
          <w14:ligatures w14:val="none"/>
        </w:rPr>
        <w:t>one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1</w:t>
      </w:r>
      <w:r w:rsidRPr="006B4A66">
        <w:rPr>
          <w:rFonts w:ascii="Times New Roman" w:eastAsia="Calibri" w:hAnsi="Times New Roman" w:cs="Times New Roman"/>
          <w:color w:val="000000"/>
          <w:kern w:val="0"/>
          <w:sz w:val="24"/>
          <w14:ligatures w14:val="none"/>
        </w:rPr>
        <w:t xml:space="preserve"> percent of the gross exterior wall area.  Where ((</w:t>
      </w:r>
      <w:r w:rsidRPr="006B4A66">
        <w:rPr>
          <w:rFonts w:ascii="Times New Roman" w:eastAsia="Calibri" w:hAnsi="Times New Roman" w:cs="Times New Roman"/>
          <w:strike/>
          <w:color w:val="000000"/>
          <w:kern w:val="0"/>
          <w:sz w:val="24"/>
          <w14:ligatures w14:val="none"/>
        </w:rPr>
        <w:t>IECC</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WSEC</w:t>
      </w:r>
      <w:r w:rsidRPr="006B4A66">
        <w:rPr>
          <w:rFonts w:ascii="Times New Roman" w:eastAsia="Calibri" w:hAnsi="Times New Roman" w:cs="Times New Roman"/>
          <w:color w:val="000000"/>
          <w:kern w:val="0"/>
          <w:sz w:val="24"/>
          <w14:ligatures w14:val="none"/>
        </w:rPr>
        <w:t xml:space="preserve"> C402.1.5, component performance alternative, is used, the single</w:t>
      </w:r>
      <w:r w:rsidRPr="006B4A66">
        <w:rPr>
          <w:rFonts w:ascii="Times New Roman" w:eastAsia="Calibri" w:hAnsi="Times New Roman" w:cs="Times New Roman"/>
          <w:color w:val="000000"/>
          <w:kern w:val="0"/>
          <w:sz w:val="24"/>
          <w:u w:val="single"/>
          <w14:ligatures w14:val="none"/>
        </w:rPr>
        <w:t>-pane</w:t>
      </w:r>
      <w:r w:rsidRPr="006B4A66">
        <w:rPr>
          <w:rFonts w:ascii="Times New Roman" w:eastAsia="Calibri" w:hAnsi="Times New Roman" w:cs="Times New Roman"/>
          <w:color w:val="000000"/>
          <w:kern w:val="0"/>
          <w:sz w:val="24"/>
          <w14:ligatures w14:val="none"/>
        </w:rPr>
        <w:t xml:space="preserve"> glazing shall be included in the percentage of the total glazing area, U-factor</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and SHGC requirements.</w:t>
      </w:r>
    </w:p>
    <w:p w14:paraId="60CFC503" w14:textId="77777777" w:rsidR="006B4A66" w:rsidRPr="006B4A66" w:rsidRDefault="006B4A66" w:rsidP="0073496A">
      <w:pPr>
        <w:spacing w:after="0" w:line="480" w:lineRule="auto"/>
        <w:jc w:val="center"/>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Table C402.4</w:t>
      </w:r>
    </w:p>
    <w:p w14:paraId="1DC5DB29" w14:textId="77777777" w:rsidR="006B4A66" w:rsidRPr="006B4A66" w:rsidRDefault="006B4A66" w:rsidP="0073496A">
      <w:pPr>
        <w:spacing w:after="0" w:line="480" w:lineRule="auto"/>
        <w:jc w:val="center"/>
        <w:rPr>
          <w:rFonts w:ascii="Times New Roman" w:eastAsia="Calibri" w:hAnsi="Times New Roman" w:cs="Times New Roman"/>
          <w:b/>
          <w:color w:val="000000"/>
          <w:kern w:val="0"/>
          <w:sz w:val="24"/>
          <w14:ligatures w14:val="none"/>
        </w:rPr>
      </w:pPr>
      <w:r w:rsidRPr="006B4A66">
        <w:rPr>
          <w:rFonts w:ascii="Times New Roman" w:eastAsia="Calibri" w:hAnsi="Times New Roman" w:cs="Times New Roman"/>
          <w:b/>
          <w:color w:val="000000"/>
          <w:kern w:val="0"/>
          <w:sz w:val="24"/>
          <w14:ligatures w14:val="none"/>
        </w:rPr>
        <w:t>Building Envelope Fenestration Maximum U-factor and SHGC Requirements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0" w:type="dxa"/>
          <w:right w:w="100" w:type="dxa"/>
        </w:tblCellMar>
        <w:tblLook w:val="04A0" w:firstRow="1" w:lastRow="0" w:firstColumn="1" w:lastColumn="0" w:noHBand="0" w:noVBand="1"/>
      </w:tblPr>
      <w:tblGrid>
        <w:gridCol w:w="2067"/>
        <w:gridCol w:w="1415"/>
        <w:gridCol w:w="1842"/>
        <w:gridCol w:w="3306"/>
      </w:tblGrid>
      <w:tr w:rsidR="00667EC2" w:rsidRPr="006B4A66" w14:paraId="0B8186CE" w14:textId="77777777" w:rsidTr="00A0459D">
        <w:trPr>
          <w:cantSplit/>
          <w:jc w:val="center"/>
        </w:trPr>
        <w:tc>
          <w:tcPr>
            <w:tcW w:w="2080" w:type="dxa"/>
            <w:tcBorders>
              <w:top w:val="single" w:sz="4" w:space="0" w:color="auto"/>
              <w:left w:val="single" w:sz="4" w:space="0" w:color="auto"/>
              <w:bottom w:val="single" w:sz="4" w:space="0" w:color="auto"/>
              <w:right w:val="single" w:sz="4" w:space="0" w:color="auto"/>
            </w:tcBorders>
            <w:hideMark/>
          </w:tcPr>
          <w:p w14:paraId="4A7569EB" w14:textId="3EAC46D0" w:rsidR="009D05D2" w:rsidRPr="006B4A66" w:rsidRDefault="009D05D2"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w:t>
            </w:r>
            <w:r w:rsidRPr="006B4A66">
              <w:rPr>
                <w:rFonts w:ascii="Times New Roman" w:eastAsia="Calibri" w:hAnsi="Times New Roman" w:cs="Times New Roman"/>
                <w:b/>
                <w:strike/>
                <w:color w:val="000000"/>
                <w:kern w:val="0"/>
                <w:sz w:val="24"/>
                <w14:ligatures w14:val="none"/>
              </w:rPr>
              <w:t>CLIMATE ZONEs 5 AND MARINE 4</w:t>
            </w:r>
            <w:r w:rsidRPr="006B4A66">
              <w:rPr>
                <w:rFonts w:ascii="Times New Roman" w:eastAsia="Calibri" w:hAnsi="Times New Roman" w:cs="Times New Roman"/>
                <w:b/>
                <w:color w:val="000000"/>
                <w:kern w:val="0"/>
                <w:sz w:val="24"/>
                <w14:ligatures w14:val="none"/>
              </w:rPr>
              <w:t>))</w:t>
            </w:r>
          </w:p>
          <w:p w14:paraId="156D34CA" w14:textId="7FDBF794" w:rsidR="009D05D2" w:rsidRPr="006B4A66" w:rsidRDefault="009D05D2" w:rsidP="00BD15DC">
            <w:pPr>
              <w:spacing w:after="0" w:line="480" w:lineRule="auto"/>
              <w:rPr>
                <w:rFonts w:ascii="Times New Roman" w:eastAsia="Calibri" w:hAnsi="Times New Roman" w:cs="Times New Roman"/>
                <w:color w:val="000000"/>
                <w:kern w:val="0"/>
                <w:sz w:val="24"/>
                <w14:ligatures w14:val="none"/>
              </w:rPr>
            </w:pPr>
          </w:p>
        </w:tc>
        <w:tc>
          <w:tcPr>
            <w:tcW w:w="3330" w:type="dxa"/>
            <w:gridSpan w:val="2"/>
            <w:tcBorders>
              <w:top w:val="single" w:sz="4" w:space="0" w:color="auto"/>
              <w:left w:val="single" w:sz="4" w:space="0" w:color="auto"/>
              <w:bottom w:val="single" w:sz="4" w:space="0" w:color="auto"/>
              <w:right w:val="single" w:sz="4" w:space="0" w:color="auto"/>
            </w:tcBorders>
          </w:tcPr>
          <w:p w14:paraId="72257738" w14:textId="06C3B359" w:rsidR="009D05D2" w:rsidRPr="006B4A66" w:rsidRDefault="009D05D2" w:rsidP="0073496A">
            <w:pPr>
              <w:spacing w:after="0" w:line="480" w:lineRule="auto"/>
              <w:rPr>
                <w:rFonts w:ascii="Times New Roman" w:eastAsia="Calibri" w:hAnsi="Times New Roman" w:cs="Times New Roman"/>
                <w:b/>
                <w:color w:val="000000"/>
                <w:kern w:val="0"/>
                <w:sz w:val="24"/>
                <w:u w:val="single"/>
                <w14:ligatures w14:val="none"/>
              </w:rPr>
            </w:pPr>
            <w:r w:rsidRPr="006B4A66">
              <w:rPr>
                <w:rFonts w:ascii="Times New Roman" w:eastAsia="Calibri" w:hAnsi="Times New Roman" w:cs="Times New Roman"/>
                <w:b/>
                <w:color w:val="000000"/>
                <w:kern w:val="0"/>
                <w:sz w:val="24"/>
                <w:u w:val="single"/>
                <w14:ligatures w14:val="none"/>
              </w:rPr>
              <w:t>Column A</w:t>
            </w:r>
          </w:p>
          <w:p w14:paraId="7B7AD30C" w14:textId="6855C77D" w:rsidR="009D05D2" w:rsidRPr="006B4A66" w:rsidRDefault="009D05D2" w:rsidP="00BD15DC">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u w:val="single"/>
                <w14:ligatures w14:val="none"/>
              </w:rPr>
              <w:t>Standard performance portion, applicable to no more than 80 percent of vertical fenestration area, or 65 percent for compliance with Exception 1 to WSEC Section C402.4.1</w:t>
            </w:r>
          </w:p>
        </w:tc>
        <w:tc>
          <w:tcPr>
            <w:tcW w:w="3430" w:type="dxa"/>
            <w:tcBorders>
              <w:top w:val="single" w:sz="4" w:space="0" w:color="auto"/>
              <w:left w:val="single" w:sz="4" w:space="0" w:color="auto"/>
              <w:bottom w:val="single" w:sz="4" w:space="0" w:color="auto"/>
              <w:right w:val="single" w:sz="4" w:space="0" w:color="auto"/>
            </w:tcBorders>
          </w:tcPr>
          <w:p w14:paraId="198EE9C0" w14:textId="727E89D6" w:rsidR="009D05D2" w:rsidRPr="006B4A66" w:rsidRDefault="009D05D2" w:rsidP="0073496A">
            <w:pPr>
              <w:spacing w:after="0" w:line="480" w:lineRule="auto"/>
              <w:rPr>
                <w:rFonts w:ascii="Times New Roman" w:eastAsia="Calibri" w:hAnsi="Times New Roman" w:cs="Times New Roman"/>
                <w:b/>
                <w:color w:val="000000"/>
                <w:kern w:val="0"/>
                <w:sz w:val="24"/>
                <w:u w:val="single"/>
                <w14:ligatures w14:val="none"/>
              </w:rPr>
            </w:pPr>
            <w:r w:rsidRPr="006B4A66">
              <w:rPr>
                <w:rFonts w:ascii="Times New Roman" w:eastAsia="Calibri" w:hAnsi="Times New Roman" w:cs="Times New Roman"/>
                <w:b/>
                <w:color w:val="000000"/>
                <w:kern w:val="0"/>
                <w:sz w:val="24"/>
                <w:u w:val="single"/>
                <w14:ligatures w14:val="none"/>
              </w:rPr>
              <w:t>Column B</w:t>
            </w:r>
          </w:p>
          <w:p w14:paraId="1AAA1F5A" w14:textId="593C46DB" w:rsidR="009D05D2" w:rsidRPr="006B4A66" w:rsidRDefault="009D05D2" w:rsidP="00BD15DC">
            <w:pPr>
              <w:spacing w:after="0" w:line="480" w:lineRule="auto"/>
              <w:rPr>
                <w:rFonts w:ascii="Times New Roman" w:eastAsia="Calibri" w:hAnsi="Times New Roman" w:cs="Times New Roman"/>
                <w:b/>
                <w:color w:val="000000"/>
                <w:kern w:val="0"/>
                <w:sz w:val="24"/>
                <w14:ligatures w14:val="none"/>
              </w:rPr>
            </w:pPr>
            <w:r w:rsidRPr="006B4A66">
              <w:rPr>
                <w:rFonts w:ascii="Times New Roman" w:eastAsia="Calibri" w:hAnsi="Times New Roman" w:cs="Times New Roman"/>
                <w:b/>
                <w:color w:val="000000"/>
                <w:kern w:val="0"/>
                <w:sz w:val="24"/>
                <w:u w:val="single"/>
                <w14:ligatures w14:val="none"/>
              </w:rPr>
              <w:t>High performance portion, applicable to no less than 20 percent of vertical fenestration area, or 35 percent for compliance with Exception 1 to WSEC Section C402.4.1</w:t>
            </w:r>
          </w:p>
        </w:tc>
      </w:tr>
      <w:tr w:rsidR="006B4A66" w:rsidRPr="006B4A66" w14:paraId="1663D5C7" w14:textId="77777777">
        <w:trPr>
          <w:cantSplit/>
          <w:trHeight w:val="403"/>
          <w:jc w:val="center"/>
        </w:trPr>
        <w:tc>
          <w:tcPr>
            <w:tcW w:w="8840" w:type="dxa"/>
            <w:gridSpan w:val="4"/>
            <w:tcBorders>
              <w:top w:val="single" w:sz="4" w:space="0" w:color="auto"/>
              <w:left w:val="single" w:sz="4" w:space="0" w:color="auto"/>
              <w:bottom w:val="single" w:sz="4" w:space="0" w:color="auto"/>
              <w:right w:val="single" w:sz="4" w:space="0" w:color="auto"/>
            </w:tcBorders>
            <w:vAlign w:val="center"/>
            <w:hideMark/>
          </w:tcPr>
          <w:p w14:paraId="031D4EC7" w14:textId="77777777" w:rsidR="006B4A66" w:rsidRPr="006B4A66" w:rsidRDefault="006B4A66" w:rsidP="00BD15DC">
            <w:pPr>
              <w:spacing w:after="0" w:line="480" w:lineRule="auto"/>
              <w:rPr>
                <w:rFonts w:ascii="Times New Roman" w:eastAsia="Calibri" w:hAnsi="Times New Roman" w:cs="Times New Roman"/>
                <w:b/>
                <w:color w:val="000000"/>
                <w:kern w:val="0"/>
                <w:sz w:val="24"/>
                <w14:ligatures w14:val="none"/>
              </w:rPr>
            </w:pPr>
            <w:r w:rsidRPr="006B4A66">
              <w:rPr>
                <w:rFonts w:ascii="Times New Roman" w:eastAsia="Calibri" w:hAnsi="Times New Roman" w:cs="Times New Roman"/>
                <w:b/>
                <w:color w:val="000000"/>
                <w:kern w:val="0"/>
                <w:sz w:val="24"/>
                <w14:ligatures w14:val="none"/>
              </w:rPr>
              <w:lastRenderedPageBreak/>
              <w:t>U-factor for Class AW windows rated in accordance with AAMA/CSA101/I.S.2/A440, vertical curtain walls and site-built fenestration products</w:t>
            </w:r>
            <w:r w:rsidRPr="006B4A66">
              <w:rPr>
                <w:rFonts w:ascii="Times New Roman" w:eastAsia="Calibri" w:hAnsi="Times New Roman" w:cs="Times New Roman"/>
                <w:b/>
                <w:color w:val="000000"/>
                <w:kern w:val="0"/>
                <w:sz w:val="24"/>
                <w:vertAlign w:val="superscript"/>
                <w14:ligatures w14:val="none"/>
              </w:rPr>
              <w:t>a</w:t>
            </w:r>
          </w:p>
        </w:tc>
      </w:tr>
      <w:tr w:rsidR="00667EC2" w:rsidRPr="006B4A66" w14:paraId="1494AC86" w14:textId="77777777" w:rsidTr="00A0459D">
        <w:trPr>
          <w:cantSplit/>
          <w:trHeight w:val="403"/>
          <w:jc w:val="center"/>
        </w:trPr>
        <w:tc>
          <w:tcPr>
            <w:tcW w:w="2080" w:type="dxa"/>
            <w:tcBorders>
              <w:top w:val="single" w:sz="4" w:space="0" w:color="auto"/>
              <w:left w:val="single" w:sz="4" w:space="0" w:color="auto"/>
              <w:bottom w:val="single" w:sz="4" w:space="0" w:color="auto"/>
              <w:right w:val="single" w:sz="4" w:space="0" w:color="auto"/>
            </w:tcBorders>
            <w:hideMark/>
          </w:tcPr>
          <w:p w14:paraId="0F0CF097" w14:textId="77777777" w:rsidR="006B4A66" w:rsidRPr="006B4A66" w:rsidRDefault="006B4A66" w:rsidP="00BD15DC">
            <w:pPr>
              <w:spacing w:after="0" w:line="480" w:lineRule="auto"/>
              <w:ind w:left="154"/>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Fixed</w:t>
            </w:r>
            <w:r w:rsidRPr="006B4A66">
              <w:rPr>
                <w:rFonts w:ascii="Times New Roman" w:eastAsia="Calibri" w:hAnsi="Times New Roman" w:cs="Times New Roman"/>
                <w:color w:val="000000"/>
                <w:kern w:val="0"/>
                <w:sz w:val="24"/>
                <w:vertAlign w:val="superscript"/>
                <w14:ligatures w14:val="none"/>
              </w:rPr>
              <w:t>b</w:t>
            </w:r>
            <w:r w:rsidRPr="006B4A66">
              <w:rPr>
                <w:rFonts w:ascii="Times New Roman" w:eastAsia="Calibri" w:hAnsi="Times New Roman" w:cs="Times New Roman"/>
                <w:color w:val="000000"/>
                <w:kern w:val="0"/>
                <w:sz w:val="24"/>
                <w14:ligatures w14:val="none"/>
              </w:rPr>
              <w:t xml:space="preserve"> U-factor</w:t>
            </w:r>
          </w:p>
        </w:tc>
        <w:tc>
          <w:tcPr>
            <w:tcW w:w="3330" w:type="dxa"/>
            <w:gridSpan w:val="2"/>
            <w:tcBorders>
              <w:top w:val="single" w:sz="4" w:space="0" w:color="auto"/>
              <w:left w:val="single" w:sz="4" w:space="0" w:color="auto"/>
              <w:bottom w:val="single" w:sz="4" w:space="0" w:color="auto"/>
              <w:right w:val="single" w:sz="4" w:space="0" w:color="auto"/>
            </w:tcBorders>
            <w:hideMark/>
          </w:tcPr>
          <w:p w14:paraId="7E768B4C" w14:textId="77777777" w:rsidR="006B4A66" w:rsidRPr="006B4A66" w:rsidRDefault="006B4A66" w:rsidP="00BD15DC">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U-0.34</w:t>
            </w:r>
          </w:p>
        </w:tc>
        <w:tc>
          <w:tcPr>
            <w:tcW w:w="3430" w:type="dxa"/>
            <w:tcBorders>
              <w:top w:val="single" w:sz="4" w:space="0" w:color="auto"/>
              <w:left w:val="single" w:sz="4" w:space="0" w:color="auto"/>
              <w:bottom w:val="single" w:sz="4" w:space="0" w:color="auto"/>
              <w:right w:val="single" w:sz="4" w:space="0" w:color="auto"/>
            </w:tcBorders>
          </w:tcPr>
          <w:p w14:paraId="24CAD687" w14:textId="77777777" w:rsidR="006B4A66" w:rsidRPr="006B4A66" w:rsidRDefault="006B4A66" w:rsidP="00BD15DC">
            <w:pPr>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U-0.22</w:t>
            </w:r>
          </w:p>
        </w:tc>
      </w:tr>
      <w:tr w:rsidR="00667EC2" w:rsidRPr="006B4A66" w14:paraId="0A3EAA49" w14:textId="77777777" w:rsidTr="00A0459D">
        <w:trPr>
          <w:cantSplit/>
          <w:trHeight w:val="403"/>
          <w:jc w:val="center"/>
        </w:trPr>
        <w:tc>
          <w:tcPr>
            <w:tcW w:w="2080" w:type="dxa"/>
            <w:tcBorders>
              <w:top w:val="single" w:sz="4" w:space="0" w:color="auto"/>
              <w:left w:val="single" w:sz="4" w:space="0" w:color="auto"/>
              <w:bottom w:val="single" w:sz="4" w:space="0" w:color="auto"/>
              <w:right w:val="single" w:sz="4" w:space="0" w:color="auto"/>
            </w:tcBorders>
            <w:hideMark/>
          </w:tcPr>
          <w:p w14:paraId="26AB3BFD" w14:textId="77777777" w:rsidR="006B4A66" w:rsidRPr="006B4A66" w:rsidRDefault="006B4A66" w:rsidP="00BD15DC">
            <w:pPr>
              <w:spacing w:after="0" w:line="480" w:lineRule="auto"/>
              <w:ind w:left="154"/>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Operable</w:t>
            </w:r>
            <w:r w:rsidRPr="006B4A66">
              <w:rPr>
                <w:rFonts w:ascii="Times New Roman" w:eastAsia="Calibri" w:hAnsi="Times New Roman" w:cs="Times New Roman"/>
                <w:color w:val="000000"/>
                <w:kern w:val="0"/>
                <w:sz w:val="24"/>
                <w:vertAlign w:val="superscript"/>
                <w14:ligatures w14:val="none"/>
              </w:rPr>
              <w:t xml:space="preserve">c </w:t>
            </w:r>
            <w:r w:rsidRPr="006B4A66">
              <w:rPr>
                <w:rFonts w:ascii="Times New Roman" w:eastAsia="Calibri" w:hAnsi="Times New Roman" w:cs="Times New Roman"/>
                <w:color w:val="000000"/>
                <w:kern w:val="0"/>
                <w:sz w:val="24"/>
                <w14:ligatures w14:val="none"/>
              </w:rPr>
              <w:t>U-factor</w:t>
            </w:r>
          </w:p>
        </w:tc>
        <w:tc>
          <w:tcPr>
            <w:tcW w:w="3330" w:type="dxa"/>
            <w:gridSpan w:val="2"/>
            <w:tcBorders>
              <w:top w:val="single" w:sz="4" w:space="0" w:color="auto"/>
              <w:left w:val="single" w:sz="4" w:space="0" w:color="auto"/>
              <w:bottom w:val="single" w:sz="4" w:space="0" w:color="auto"/>
              <w:right w:val="single" w:sz="4" w:space="0" w:color="auto"/>
            </w:tcBorders>
            <w:hideMark/>
          </w:tcPr>
          <w:p w14:paraId="1229324D" w14:textId="77777777" w:rsidR="006B4A66" w:rsidRPr="006B4A66" w:rsidRDefault="006B4A66" w:rsidP="00BD15DC">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U-0.36</w:t>
            </w:r>
          </w:p>
        </w:tc>
        <w:tc>
          <w:tcPr>
            <w:tcW w:w="3430" w:type="dxa"/>
            <w:tcBorders>
              <w:top w:val="single" w:sz="4" w:space="0" w:color="auto"/>
              <w:left w:val="single" w:sz="4" w:space="0" w:color="auto"/>
              <w:bottom w:val="single" w:sz="4" w:space="0" w:color="auto"/>
              <w:right w:val="single" w:sz="4" w:space="0" w:color="auto"/>
            </w:tcBorders>
          </w:tcPr>
          <w:p w14:paraId="517B8232" w14:textId="77777777" w:rsidR="006B4A66" w:rsidRPr="006B4A66" w:rsidRDefault="006B4A66" w:rsidP="00BD15DC">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u w:val="single"/>
                <w14:ligatures w14:val="none"/>
              </w:rPr>
              <w:t>U-0.26</w:t>
            </w:r>
          </w:p>
        </w:tc>
      </w:tr>
      <w:tr w:rsidR="00FD2ACC" w:rsidRPr="006B4A66" w14:paraId="7ADF5F50" w14:textId="77777777" w:rsidTr="00A0459D">
        <w:trPr>
          <w:cantSplit/>
          <w:trHeight w:val="403"/>
          <w:jc w:val="center"/>
        </w:trPr>
        <w:tc>
          <w:tcPr>
            <w:tcW w:w="5410" w:type="dxa"/>
            <w:gridSpan w:val="3"/>
            <w:tcBorders>
              <w:top w:val="single" w:sz="4" w:space="0" w:color="auto"/>
              <w:left w:val="single" w:sz="4" w:space="0" w:color="auto"/>
              <w:bottom w:val="single" w:sz="4" w:space="0" w:color="auto"/>
              <w:right w:val="single" w:sz="4" w:space="0" w:color="auto"/>
            </w:tcBorders>
            <w:vAlign w:val="center"/>
            <w:hideMark/>
          </w:tcPr>
          <w:p w14:paraId="21175823" w14:textId="5FCAC169" w:rsidR="006B4A66" w:rsidRPr="006B4A66" w:rsidRDefault="00555FA1" w:rsidP="00BD15DC">
            <w:pPr>
              <w:spacing w:after="0" w:line="480" w:lineRule="auto"/>
              <w:jc w:val="both"/>
              <w:rPr>
                <w:rFonts w:ascii="Times New Roman" w:eastAsia="Calibri" w:hAnsi="Times New Roman" w:cs="Times New Roman"/>
                <w:b/>
                <w:color w:val="000000"/>
                <w:kern w:val="0"/>
                <w:sz w:val="24"/>
                <w:u w:val="single"/>
                <w14:ligatures w14:val="none"/>
              </w:rPr>
            </w:pPr>
            <w:r w:rsidRPr="00BD15DC">
              <w:rPr>
                <w:rFonts w:ascii="Times New Roman" w:eastAsia="Calibri" w:hAnsi="Times New Roman" w:cs="Times New Roman"/>
                <w:b/>
                <w:color w:val="000000"/>
                <w:kern w:val="0"/>
                <w:sz w:val="24"/>
                <w:u w:val="single"/>
                <w14:ligatures w14:val="none"/>
              </w:rPr>
              <w:t>U-factor for</w:t>
            </w:r>
            <w:r>
              <w:rPr>
                <w:rFonts w:ascii="Times New Roman" w:eastAsia="Calibri" w:hAnsi="Times New Roman" w:cs="Times New Roman"/>
                <w:b/>
                <w:color w:val="000000"/>
                <w:kern w:val="0"/>
                <w:sz w:val="24"/>
                <w14:ligatures w14:val="none"/>
              </w:rPr>
              <w:t xml:space="preserve"> </w:t>
            </w:r>
            <w:r w:rsidR="000710A9">
              <w:rPr>
                <w:rFonts w:ascii="Times New Roman" w:eastAsia="Calibri" w:hAnsi="Times New Roman" w:cs="Times New Roman"/>
                <w:b/>
                <w:color w:val="000000"/>
                <w:kern w:val="0"/>
                <w:sz w:val="24"/>
                <w14:ligatures w14:val="none"/>
              </w:rPr>
              <w:t>((</w:t>
            </w:r>
            <w:r w:rsidR="006B4A66" w:rsidRPr="00BD15DC">
              <w:rPr>
                <w:rFonts w:ascii="Times New Roman" w:eastAsia="Calibri" w:hAnsi="Times New Roman" w:cs="Times New Roman"/>
                <w:b/>
                <w:strike/>
                <w:color w:val="000000"/>
                <w:kern w:val="0"/>
                <w:sz w:val="24"/>
                <w14:ligatures w14:val="none"/>
              </w:rPr>
              <w:t>E</w:t>
            </w:r>
            <w:r w:rsidR="000710A9">
              <w:rPr>
                <w:rFonts w:ascii="Times New Roman" w:eastAsia="Calibri" w:hAnsi="Times New Roman" w:cs="Times New Roman"/>
                <w:b/>
                <w:color w:val="000000"/>
                <w:kern w:val="0"/>
                <w:sz w:val="24"/>
                <w14:ligatures w14:val="none"/>
              </w:rPr>
              <w:t>))</w:t>
            </w:r>
            <w:r w:rsidR="000710A9">
              <w:rPr>
                <w:rFonts w:ascii="Times New Roman" w:eastAsia="Calibri" w:hAnsi="Times New Roman" w:cs="Times New Roman"/>
                <w:b/>
                <w:color w:val="000000"/>
                <w:kern w:val="0"/>
                <w:sz w:val="24"/>
                <w:u w:val="single"/>
                <w14:ligatures w14:val="none"/>
              </w:rPr>
              <w:t>e</w:t>
            </w:r>
            <w:r w:rsidR="006B4A66" w:rsidRPr="006B4A66">
              <w:rPr>
                <w:rFonts w:ascii="Times New Roman" w:eastAsia="Calibri" w:hAnsi="Times New Roman" w:cs="Times New Roman"/>
                <w:b/>
                <w:color w:val="000000"/>
                <w:kern w:val="0"/>
                <w:sz w:val="24"/>
                <w14:ligatures w14:val="none"/>
              </w:rPr>
              <w:t>ntrance doors</w:t>
            </w:r>
            <w:r w:rsidR="006B4A66" w:rsidRPr="006B4A66">
              <w:rPr>
                <w:rFonts w:ascii="Times New Roman" w:eastAsia="Calibri" w:hAnsi="Times New Roman" w:cs="Times New Roman"/>
                <w:b/>
                <w:color w:val="000000"/>
                <w:kern w:val="0"/>
                <w:sz w:val="24"/>
                <w:vertAlign w:val="superscript"/>
                <w14:ligatures w14:val="none"/>
              </w:rPr>
              <w:t>d</w:t>
            </w:r>
          </w:p>
        </w:tc>
        <w:tc>
          <w:tcPr>
            <w:tcW w:w="3430" w:type="dxa"/>
            <w:tcBorders>
              <w:top w:val="single" w:sz="4" w:space="0" w:color="auto"/>
              <w:left w:val="single" w:sz="4" w:space="0" w:color="auto"/>
              <w:bottom w:val="single" w:sz="4" w:space="0" w:color="auto"/>
              <w:right w:val="single" w:sz="4" w:space="0" w:color="auto"/>
            </w:tcBorders>
          </w:tcPr>
          <w:p w14:paraId="179CF13D" w14:textId="77777777" w:rsidR="006B4A66" w:rsidRPr="006B4A66" w:rsidRDefault="006B4A66" w:rsidP="00BD15DC">
            <w:pPr>
              <w:spacing w:after="0" w:line="480" w:lineRule="auto"/>
              <w:rPr>
                <w:rFonts w:ascii="Times New Roman" w:eastAsia="Calibri" w:hAnsi="Times New Roman" w:cs="Times New Roman"/>
                <w:b/>
                <w:i/>
                <w:color w:val="000000"/>
                <w:kern w:val="0"/>
                <w:sz w:val="24"/>
                <w14:ligatures w14:val="none"/>
              </w:rPr>
            </w:pPr>
          </w:p>
        </w:tc>
      </w:tr>
      <w:tr w:rsidR="00A21FD8" w:rsidRPr="006B4A66" w14:paraId="17BDBB9E" w14:textId="77777777" w:rsidTr="00A0459D">
        <w:trPr>
          <w:cantSplit/>
          <w:trHeight w:val="403"/>
          <w:jc w:val="center"/>
        </w:trPr>
        <w:tc>
          <w:tcPr>
            <w:tcW w:w="2080" w:type="dxa"/>
            <w:tcBorders>
              <w:top w:val="single" w:sz="4" w:space="0" w:color="auto"/>
              <w:left w:val="single" w:sz="4" w:space="0" w:color="auto"/>
              <w:bottom w:val="single" w:sz="4" w:space="0" w:color="auto"/>
              <w:right w:val="single" w:sz="4" w:space="0" w:color="auto"/>
            </w:tcBorders>
            <w:hideMark/>
          </w:tcPr>
          <w:p w14:paraId="66587C11" w14:textId="77777777" w:rsidR="006B4A66" w:rsidRPr="006B4A66" w:rsidRDefault="006B4A66" w:rsidP="00BD15DC">
            <w:pPr>
              <w:spacing w:after="0" w:line="480" w:lineRule="auto"/>
              <w:ind w:left="154"/>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U-factor</w:t>
            </w:r>
          </w:p>
        </w:tc>
        <w:tc>
          <w:tcPr>
            <w:tcW w:w="3330" w:type="dxa"/>
            <w:gridSpan w:val="2"/>
            <w:tcBorders>
              <w:top w:val="single" w:sz="4" w:space="0" w:color="auto"/>
              <w:left w:val="single" w:sz="4" w:space="0" w:color="auto"/>
              <w:bottom w:val="single" w:sz="4" w:space="0" w:color="auto"/>
              <w:right w:val="single" w:sz="4" w:space="0" w:color="auto"/>
            </w:tcBorders>
            <w:vAlign w:val="center"/>
            <w:hideMark/>
          </w:tcPr>
          <w:p w14:paraId="6B9C89B1" w14:textId="77777777" w:rsidR="006B4A66" w:rsidRPr="006B4A66" w:rsidRDefault="006B4A66" w:rsidP="00BD15DC">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U-0.60</w:t>
            </w:r>
          </w:p>
        </w:tc>
        <w:tc>
          <w:tcPr>
            <w:tcW w:w="3430" w:type="dxa"/>
            <w:tcBorders>
              <w:top w:val="single" w:sz="4" w:space="0" w:color="auto"/>
              <w:left w:val="single" w:sz="4" w:space="0" w:color="auto"/>
              <w:bottom w:val="single" w:sz="4" w:space="0" w:color="auto"/>
              <w:right w:val="single" w:sz="4" w:space="0" w:color="auto"/>
            </w:tcBorders>
          </w:tcPr>
          <w:p w14:paraId="6F5B2C41" w14:textId="77777777" w:rsidR="006B4A66" w:rsidRPr="006B4A66" w:rsidRDefault="006B4A66" w:rsidP="00BD15DC">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n/a</w:t>
            </w:r>
          </w:p>
        </w:tc>
      </w:tr>
      <w:tr w:rsidR="006B4A66" w:rsidRPr="006B4A66" w14:paraId="1A868C38" w14:textId="77777777">
        <w:trPr>
          <w:cantSplit/>
          <w:trHeight w:val="403"/>
          <w:jc w:val="center"/>
        </w:trPr>
        <w:tc>
          <w:tcPr>
            <w:tcW w:w="8840" w:type="dxa"/>
            <w:gridSpan w:val="4"/>
            <w:tcBorders>
              <w:top w:val="single" w:sz="4" w:space="0" w:color="auto"/>
              <w:left w:val="single" w:sz="4" w:space="0" w:color="auto"/>
              <w:bottom w:val="single" w:sz="4" w:space="0" w:color="auto"/>
              <w:right w:val="single" w:sz="4" w:space="0" w:color="auto"/>
            </w:tcBorders>
            <w:vAlign w:val="center"/>
            <w:hideMark/>
          </w:tcPr>
          <w:p w14:paraId="64D35591" w14:textId="0FD5A05A" w:rsidR="006B4A66" w:rsidRPr="006B4A66" w:rsidRDefault="006B4A66" w:rsidP="00BD15DC">
            <w:pPr>
              <w:spacing w:after="0" w:line="480" w:lineRule="auto"/>
              <w:rPr>
                <w:rFonts w:ascii="Times New Roman" w:eastAsia="Calibri" w:hAnsi="Times New Roman" w:cs="Times New Roman"/>
                <w:b/>
                <w:color w:val="000000"/>
                <w:kern w:val="0"/>
                <w:sz w:val="24"/>
                <w14:ligatures w14:val="none"/>
              </w:rPr>
            </w:pPr>
            <w:r w:rsidRPr="00F53562">
              <w:rPr>
                <w:rFonts w:ascii="Times New Roman" w:eastAsia="Calibri" w:hAnsi="Times New Roman" w:cs="Times New Roman"/>
                <w:b/>
                <w:color w:val="000000"/>
                <w:kern w:val="0"/>
                <w:sz w:val="24"/>
                <w14:ligatures w14:val="none"/>
              </w:rPr>
              <w:t>U-factor for a</w:t>
            </w:r>
            <w:r w:rsidRPr="006B4A66">
              <w:rPr>
                <w:rFonts w:ascii="Times New Roman" w:eastAsia="Calibri" w:hAnsi="Times New Roman" w:cs="Times New Roman"/>
                <w:b/>
                <w:color w:val="000000"/>
                <w:kern w:val="0"/>
                <w:sz w:val="24"/>
                <w14:ligatures w14:val="none"/>
              </w:rPr>
              <w:t>ll other vertical fenestration</w:t>
            </w:r>
          </w:p>
        </w:tc>
      </w:tr>
      <w:tr w:rsidR="00A21FD8" w:rsidRPr="006B4A66" w14:paraId="0C414446" w14:textId="77777777" w:rsidTr="00A0459D">
        <w:trPr>
          <w:cantSplit/>
          <w:trHeight w:val="403"/>
          <w:jc w:val="center"/>
        </w:trPr>
        <w:tc>
          <w:tcPr>
            <w:tcW w:w="2080" w:type="dxa"/>
            <w:tcBorders>
              <w:top w:val="single" w:sz="4" w:space="0" w:color="auto"/>
              <w:left w:val="single" w:sz="4" w:space="0" w:color="auto"/>
              <w:bottom w:val="single" w:sz="4" w:space="0" w:color="auto"/>
              <w:right w:val="single" w:sz="4" w:space="0" w:color="auto"/>
            </w:tcBorders>
            <w:hideMark/>
          </w:tcPr>
          <w:p w14:paraId="36BE1371" w14:textId="77777777" w:rsidR="006B4A66" w:rsidRPr="006B4A66" w:rsidRDefault="006B4A66" w:rsidP="00BD15DC">
            <w:pPr>
              <w:spacing w:after="0" w:line="480" w:lineRule="auto"/>
              <w:ind w:left="154"/>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Fixed U-factor</w:t>
            </w:r>
          </w:p>
        </w:tc>
        <w:tc>
          <w:tcPr>
            <w:tcW w:w="3330" w:type="dxa"/>
            <w:gridSpan w:val="2"/>
            <w:tcBorders>
              <w:top w:val="single" w:sz="4" w:space="0" w:color="auto"/>
              <w:left w:val="single" w:sz="4" w:space="0" w:color="auto"/>
              <w:bottom w:val="single" w:sz="4" w:space="0" w:color="auto"/>
              <w:right w:val="single" w:sz="4" w:space="0" w:color="auto"/>
            </w:tcBorders>
            <w:vAlign w:val="center"/>
            <w:hideMark/>
          </w:tcPr>
          <w:p w14:paraId="34FC9A63" w14:textId="77777777" w:rsidR="006B4A66" w:rsidRPr="006B4A66" w:rsidRDefault="006B4A66" w:rsidP="00BD15DC">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U-0.26</w:t>
            </w:r>
          </w:p>
        </w:tc>
        <w:tc>
          <w:tcPr>
            <w:tcW w:w="3430" w:type="dxa"/>
            <w:tcBorders>
              <w:top w:val="single" w:sz="4" w:space="0" w:color="auto"/>
              <w:left w:val="single" w:sz="4" w:space="0" w:color="auto"/>
              <w:bottom w:val="single" w:sz="4" w:space="0" w:color="auto"/>
              <w:right w:val="single" w:sz="4" w:space="0" w:color="auto"/>
            </w:tcBorders>
          </w:tcPr>
          <w:p w14:paraId="59BB949E" w14:textId="77777777" w:rsidR="006B4A66" w:rsidRPr="006B4A66" w:rsidRDefault="006B4A66" w:rsidP="00BD15DC">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u w:val="single"/>
                <w14:ligatures w14:val="none"/>
              </w:rPr>
              <w:t>U-0.20</w:t>
            </w:r>
          </w:p>
        </w:tc>
      </w:tr>
      <w:tr w:rsidR="00667EC2" w:rsidRPr="006B4A66" w14:paraId="7C61FA0C" w14:textId="77777777" w:rsidTr="001F791F">
        <w:trPr>
          <w:cantSplit/>
          <w:trHeight w:val="403"/>
          <w:jc w:val="center"/>
        </w:trPr>
        <w:tc>
          <w:tcPr>
            <w:tcW w:w="2080" w:type="dxa"/>
            <w:tcBorders>
              <w:top w:val="single" w:sz="4" w:space="0" w:color="auto"/>
              <w:left w:val="single" w:sz="4" w:space="0" w:color="auto"/>
              <w:bottom w:val="single" w:sz="4" w:space="0" w:color="auto"/>
              <w:right w:val="single" w:sz="4" w:space="0" w:color="auto"/>
            </w:tcBorders>
            <w:hideMark/>
          </w:tcPr>
          <w:p w14:paraId="3EE4E0DC" w14:textId="77777777" w:rsidR="006B4A66" w:rsidRPr="006B4A66" w:rsidRDefault="006B4A66" w:rsidP="00BD15DC">
            <w:pPr>
              <w:spacing w:after="0" w:line="480" w:lineRule="auto"/>
              <w:ind w:left="154"/>
              <w:rPr>
                <w:rFonts w:ascii="Times New Roman" w:eastAsia="Calibri" w:hAnsi="Times New Roman" w:cs="Times New Roman"/>
                <w:strike/>
                <w:color w:val="000000"/>
                <w:kern w:val="0"/>
                <w:sz w:val="24"/>
                <w:vertAlign w:val="superscript"/>
                <w14:ligatures w14:val="none"/>
              </w:rPr>
            </w:pPr>
            <w:r w:rsidRPr="006B4A66">
              <w:rPr>
                <w:rFonts w:ascii="Times New Roman" w:eastAsia="Calibri" w:hAnsi="Times New Roman" w:cs="Times New Roman"/>
                <w:color w:val="000000"/>
                <w:kern w:val="0"/>
                <w:sz w:val="24"/>
                <w14:ligatures w14:val="none"/>
              </w:rPr>
              <w:t>Operable</w:t>
            </w:r>
            <w:r w:rsidRPr="006B4A66">
              <w:rPr>
                <w:rFonts w:ascii="Times New Roman" w:eastAsia="Calibri" w:hAnsi="Times New Roman" w:cs="Times New Roman"/>
                <w:color w:val="000000"/>
                <w:kern w:val="0"/>
                <w:sz w:val="24"/>
                <w:vertAlign w:val="superscript"/>
                <w14:ligatures w14:val="none"/>
              </w:rPr>
              <w:t>c</w:t>
            </w:r>
          </w:p>
          <w:p w14:paraId="6D9330EF" w14:textId="77777777" w:rsidR="006B4A66" w:rsidRPr="006B4A66" w:rsidRDefault="006B4A66" w:rsidP="00BD15DC">
            <w:pPr>
              <w:spacing w:after="0" w:line="480" w:lineRule="auto"/>
              <w:ind w:left="154"/>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 U-factor</w:t>
            </w:r>
          </w:p>
        </w:tc>
        <w:tc>
          <w:tcPr>
            <w:tcW w:w="3330" w:type="dxa"/>
            <w:gridSpan w:val="2"/>
            <w:tcBorders>
              <w:top w:val="single" w:sz="4" w:space="0" w:color="auto"/>
              <w:left w:val="single" w:sz="4" w:space="0" w:color="auto"/>
              <w:bottom w:val="single" w:sz="4" w:space="0" w:color="auto"/>
              <w:right w:val="single" w:sz="4" w:space="0" w:color="auto"/>
            </w:tcBorders>
            <w:hideMark/>
          </w:tcPr>
          <w:p w14:paraId="42C938EF" w14:textId="77777777" w:rsidR="006B4A66" w:rsidRPr="006B4A66" w:rsidRDefault="006B4A66" w:rsidP="00BD15DC">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U-0.28</w:t>
            </w:r>
          </w:p>
        </w:tc>
        <w:tc>
          <w:tcPr>
            <w:tcW w:w="3430" w:type="dxa"/>
            <w:tcBorders>
              <w:top w:val="single" w:sz="4" w:space="0" w:color="auto"/>
              <w:left w:val="single" w:sz="4" w:space="0" w:color="auto"/>
              <w:bottom w:val="single" w:sz="4" w:space="0" w:color="auto"/>
              <w:right w:val="single" w:sz="4" w:space="0" w:color="auto"/>
            </w:tcBorders>
          </w:tcPr>
          <w:p w14:paraId="3C9A0942" w14:textId="77777777" w:rsidR="006B4A66" w:rsidRPr="006B4A66" w:rsidRDefault="006B4A66" w:rsidP="00BD15DC">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u w:val="single"/>
                <w14:ligatures w14:val="none"/>
              </w:rPr>
              <w:t>U-0.20</w:t>
            </w:r>
          </w:p>
        </w:tc>
      </w:tr>
      <w:tr w:rsidR="00A0459D" w:rsidRPr="006B4A66" w14:paraId="72AFC9D4" w14:textId="77777777">
        <w:trPr>
          <w:cantSplit/>
          <w:trHeight w:val="403"/>
          <w:jc w:val="center"/>
        </w:trPr>
        <w:tc>
          <w:tcPr>
            <w:tcW w:w="8840" w:type="dxa"/>
            <w:gridSpan w:val="4"/>
            <w:tcBorders>
              <w:top w:val="single" w:sz="4" w:space="0" w:color="auto"/>
              <w:left w:val="single" w:sz="4" w:space="0" w:color="auto"/>
              <w:bottom w:val="single" w:sz="4" w:space="0" w:color="auto"/>
              <w:right w:val="single" w:sz="4" w:space="0" w:color="auto"/>
            </w:tcBorders>
            <w:vAlign w:val="center"/>
            <w:hideMark/>
          </w:tcPr>
          <w:p w14:paraId="239DAAD7" w14:textId="1BFA3E37" w:rsidR="00A0459D" w:rsidRPr="006B4A66" w:rsidRDefault="00A0459D" w:rsidP="00BD15DC">
            <w:pPr>
              <w:spacing w:after="0" w:line="480" w:lineRule="auto"/>
              <w:rPr>
                <w:rFonts w:ascii="Times New Roman" w:eastAsia="Calibri" w:hAnsi="Times New Roman" w:cs="Times New Roman"/>
                <w:b/>
                <w:color w:val="000000"/>
                <w:kern w:val="0"/>
                <w:sz w:val="24"/>
                <w14:ligatures w14:val="none"/>
              </w:rPr>
            </w:pPr>
            <w:r w:rsidRPr="006B4A66">
              <w:rPr>
                <w:rFonts w:ascii="Times New Roman" w:eastAsia="Calibri" w:hAnsi="Times New Roman" w:cs="Times New Roman"/>
                <w:b/>
                <w:color w:val="000000"/>
                <w:kern w:val="0"/>
                <w:sz w:val="24"/>
                <w14:ligatures w14:val="none"/>
              </w:rPr>
              <w:t>SHGC for all vertical fenestration</w:t>
            </w:r>
          </w:p>
        </w:tc>
      </w:tr>
      <w:tr w:rsidR="00A21FD8" w:rsidRPr="006B4A66" w14:paraId="4E9CDD65" w14:textId="77777777" w:rsidTr="00A0459D">
        <w:trPr>
          <w:cantSplit/>
          <w:trHeight w:val="403"/>
          <w:jc w:val="center"/>
        </w:trPr>
        <w:tc>
          <w:tcPr>
            <w:tcW w:w="2080" w:type="dxa"/>
            <w:tcBorders>
              <w:top w:val="single" w:sz="4" w:space="0" w:color="auto"/>
              <w:left w:val="single" w:sz="4" w:space="0" w:color="auto"/>
              <w:bottom w:val="single" w:sz="4" w:space="0" w:color="auto"/>
              <w:right w:val="single" w:sz="4" w:space="0" w:color="auto"/>
            </w:tcBorders>
            <w:vAlign w:val="center"/>
            <w:hideMark/>
          </w:tcPr>
          <w:p w14:paraId="65C7C8B7" w14:textId="05200977" w:rsidR="006B4A66" w:rsidRPr="00A0459D" w:rsidRDefault="006B4A66" w:rsidP="00BD15DC">
            <w:pPr>
              <w:spacing w:after="0" w:line="480" w:lineRule="auto"/>
              <w:ind w:left="154"/>
              <w:rPr>
                <w:rFonts w:ascii="Times New Roman" w:eastAsia="Calibri" w:hAnsi="Times New Roman" w:cs="Times New Roman"/>
                <w:b/>
                <w:bCs/>
                <w:color w:val="000000"/>
                <w:kern w:val="0"/>
                <w:sz w:val="24"/>
                <w:vertAlign w:val="superscript"/>
                <w14:ligatures w14:val="none"/>
              </w:rPr>
            </w:pPr>
            <w:r w:rsidRPr="006B4A66">
              <w:rPr>
                <w:rFonts w:ascii="Times New Roman" w:eastAsia="Calibri" w:hAnsi="Times New Roman" w:cs="Times New Roman"/>
                <w:b/>
                <w:color w:val="000000"/>
                <w:kern w:val="0"/>
                <w:sz w:val="24"/>
                <w14:ligatures w14:val="none"/>
              </w:rPr>
              <w:t>Orientation</w:t>
            </w:r>
            <w:r w:rsidR="001F791F">
              <w:rPr>
                <w:rFonts w:ascii="Times New Roman" w:eastAsia="Calibri" w:hAnsi="Times New Roman" w:cs="Times New Roman"/>
                <w:b/>
                <w:color w:val="000000"/>
                <w:kern w:val="0"/>
                <w:sz w:val="24"/>
                <w:vertAlign w:val="superscript"/>
                <w14:ligatures w14:val="none"/>
              </w:rPr>
              <w:t>((</w:t>
            </w:r>
            <w:r w:rsidRPr="001216D4">
              <w:rPr>
                <w:rFonts w:ascii="Times New Roman" w:eastAsia="Calibri" w:hAnsi="Times New Roman" w:cs="Times New Roman"/>
                <w:b/>
                <w:bCs/>
                <w:strike/>
                <w:color w:val="000000"/>
                <w:kern w:val="0"/>
                <w:sz w:val="24"/>
                <w:vertAlign w:val="superscript"/>
                <w14:ligatures w14:val="none"/>
              </w:rPr>
              <w:t>e,</w:t>
            </w:r>
            <w:r w:rsidR="001F791F">
              <w:rPr>
                <w:rFonts w:ascii="Times New Roman" w:eastAsia="Calibri" w:hAnsi="Times New Roman" w:cs="Times New Roman"/>
                <w:b/>
                <w:bCs/>
                <w:color w:val="000000"/>
                <w:kern w:val="0"/>
                <w:sz w:val="24"/>
                <w:vertAlign w:val="superscript"/>
                <w14:ligatures w14:val="none"/>
              </w:rPr>
              <w:t>))</w:t>
            </w:r>
            <w:r w:rsidR="00A0459D">
              <w:rPr>
                <w:rFonts w:ascii="Times New Roman" w:eastAsia="Calibri" w:hAnsi="Times New Roman" w:cs="Times New Roman"/>
                <w:b/>
                <w:bCs/>
                <w:color w:val="000000"/>
                <w:kern w:val="0"/>
                <w:sz w:val="24"/>
                <w:vertAlign w:val="superscript"/>
                <w14:ligatures w14:val="none"/>
              </w:rPr>
              <w:t xml:space="preserve"> </w:t>
            </w:r>
            <w:r w:rsidRPr="006B4A66">
              <w:rPr>
                <w:rFonts w:ascii="Times New Roman" w:eastAsia="Calibri" w:hAnsi="Times New Roman" w:cs="Times New Roman"/>
                <w:b/>
                <w:bCs/>
                <w:color w:val="000000"/>
                <w:kern w:val="0"/>
                <w:sz w:val="24"/>
                <w:vertAlign w:val="superscript"/>
                <w14:ligatures w14:val="none"/>
              </w:rPr>
              <w:t>f</w:t>
            </w:r>
          </w:p>
        </w:tc>
        <w:tc>
          <w:tcPr>
            <w:tcW w:w="1440" w:type="dxa"/>
            <w:tcBorders>
              <w:top w:val="single" w:sz="4" w:space="0" w:color="auto"/>
              <w:left w:val="single" w:sz="4" w:space="0" w:color="auto"/>
              <w:bottom w:val="single" w:sz="4" w:space="0" w:color="auto"/>
              <w:right w:val="single" w:sz="4" w:space="0" w:color="auto"/>
            </w:tcBorders>
            <w:vAlign w:val="center"/>
            <w:hideMark/>
          </w:tcPr>
          <w:p w14:paraId="3C6C03D3" w14:textId="77777777" w:rsidR="006B4A66" w:rsidRPr="006B4A66" w:rsidRDefault="006B4A66" w:rsidP="00BD15DC">
            <w:pPr>
              <w:spacing w:after="0" w:line="480" w:lineRule="auto"/>
              <w:rPr>
                <w:rFonts w:ascii="Times New Roman" w:eastAsia="Calibri" w:hAnsi="Times New Roman" w:cs="Times New Roman"/>
                <w:b/>
                <w:color w:val="000000"/>
                <w:kern w:val="0"/>
                <w:sz w:val="24"/>
                <w14:ligatures w14:val="none"/>
              </w:rPr>
            </w:pPr>
            <w:r w:rsidRPr="006B4A66">
              <w:rPr>
                <w:rFonts w:ascii="Times New Roman" w:eastAsia="Calibri" w:hAnsi="Times New Roman" w:cs="Times New Roman"/>
                <w:b/>
                <w:color w:val="000000"/>
                <w:kern w:val="0"/>
                <w:sz w:val="24"/>
                <w14:ligatures w14:val="none"/>
              </w:rPr>
              <w:t>((</w:t>
            </w:r>
            <w:r w:rsidRPr="006B4A66">
              <w:rPr>
                <w:rFonts w:ascii="Times New Roman" w:eastAsia="Calibri" w:hAnsi="Times New Roman" w:cs="Times New Roman"/>
                <w:b/>
                <w:strike/>
                <w:color w:val="000000"/>
                <w:kern w:val="0"/>
                <w:sz w:val="24"/>
                <w14:ligatures w14:val="none"/>
              </w:rPr>
              <w:t>SEW</w:t>
            </w:r>
            <w:r w:rsidRPr="006B4A66">
              <w:rPr>
                <w:rFonts w:ascii="Times New Roman" w:eastAsia="Calibri" w:hAnsi="Times New Roman" w:cs="Times New Roman"/>
                <w:b/>
                <w:color w:val="000000"/>
                <w:kern w:val="0"/>
                <w:sz w:val="24"/>
                <w14:ligatures w14:val="none"/>
              </w:rPr>
              <w:t>)) Fixed</w:t>
            </w:r>
          </w:p>
        </w:tc>
        <w:tc>
          <w:tcPr>
            <w:tcW w:w="1890" w:type="dxa"/>
            <w:tcBorders>
              <w:top w:val="single" w:sz="4" w:space="0" w:color="auto"/>
              <w:left w:val="single" w:sz="4" w:space="0" w:color="auto"/>
              <w:bottom w:val="single" w:sz="4" w:space="0" w:color="auto"/>
              <w:right w:val="single" w:sz="4" w:space="0" w:color="auto"/>
            </w:tcBorders>
            <w:vAlign w:val="center"/>
            <w:hideMark/>
          </w:tcPr>
          <w:p w14:paraId="16DB8C59" w14:textId="77777777" w:rsidR="006B4A66" w:rsidRPr="006B4A66" w:rsidRDefault="006B4A66" w:rsidP="00BD15DC">
            <w:pPr>
              <w:spacing w:after="0" w:line="480" w:lineRule="auto"/>
              <w:rPr>
                <w:rFonts w:ascii="Times New Roman" w:eastAsia="Calibri" w:hAnsi="Times New Roman" w:cs="Times New Roman"/>
                <w:b/>
                <w:color w:val="000000"/>
                <w:kern w:val="0"/>
                <w:sz w:val="24"/>
                <w14:ligatures w14:val="none"/>
              </w:rPr>
            </w:pPr>
            <w:r w:rsidRPr="006B4A66">
              <w:rPr>
                <w:rFonts w:ascii="Times New Roman" w:eastAsia="Calibri" w:hAnsi="Times New Roman" w:cs="Times New Roman"/>
                <w:b/>
                <w:color w:val="000000"/>
                <w:kern w:val="0"/>
                <w:sz w:val="24"/>
                <w14:ligatures w14:val="none"/>
              </w:rPr>
              <w:t>((</w:t>
            </w:r>
            <w:r w:rsidRPr="006B4A66">
              <w:rPr>
                <w:rFonts w:ascii="Times New Roman" w:eastAsia="Calibri" w:hAnsi="Times New Roman" w:cs="Times New Roman"/>
                <w:b/>
                <w:strike/>
                <w:color w:val="000000"/>
                <w:kern w:val="0"/>
                <w:sz w:val="24"/>
                <w14:ligatures w14:val="none"/>
              </w:rPr>
              <w:t>N</w:t>
            </w:r>
            <w:r w:rsidRPr="006B4A66">
              <w:rPr>
                <w:rFonts w:ascii="Times New Roman" w:eastAsia="Calibri" w:hAnsi="Times New Roman" w:cs="Times New Roman"/>
                <w:b/>
                <w:color w:val="000000"/>
                <w:kern w:val="0"/>
                <w:sz w:val="24"/>
                <w14:ligatures w14:val="none"/>
              </w:rPr>
              <w:t>)) Operable</w:t>
            </w:r>
          </w:p>
        </w:tc>
        <w:tc>
          <w:tcPr>
            <w:tcW w:w="3430" w:type="dxa"/>
            <w:tcBorders>
              <w:top w:val="single" w:sz="4" w:space="0" w:color="auto"/>
              <w:left w:val="single" w:sz="4" w:space="0" w:color="auto"/>
              <w:bottom w:val="single" w:sz="4" w:space="0" w:color="auto"/>
              <w:right w:val="single" w:sz="4" w:space="0" w:color="auto"/>
            </w:tcBorders>
          </w:tcPr>
          <w:p w14:paraId="7FA3EBE0" w14:textId="77777777" w:rsidR="006B4A66" w:rsidRPr="006B4A66" w:rsidRDefault="006B4A66" w:rsidP="00BD15DC">
            <w:pPr>
              <w:spacing w:after="0" w:line="480" w:lineRule="auto"/>
              <w:rPr>
                <w:rFonts w:ascii="Times New Roman" w:eastAsia="Calibri" w:hAnsi="Times New Roman" w:cs="Times New Roman"/>
                <w:b/>
                <w:color w:val="000000"/>
                <w:kern w:val="0"/>
                <w:sz w:val="24"/>
                <w14:ligatures w14:val="none"/>
              </w:rPr>
            </w:pPr>
          </w:p>
        </w:tc>
      </w:tr>
      <w:tr w:rsidR="00A21FD8" w:rsidRPr="006B4A66" w14:paraId="7AD6211E" w14:textId="77777777" w:rsidTr="00A0459D">
        <w:trPr>
          <w:cantSplit/>
          <w:trHeight w:val="403"/>
          <w:jc w:val="center"/>
        </w:trPr>
        <w:tc>
          <w:tcPr>
            <w:tcW w:w="2080" w:type="dxa"/>
            <w:tcBorders>
              <w:top w:val="single" w:sz="4" w:space="0" w:color="auto"/>
              <w:left w:val="single" w:sz="4" w:space="0" w:color="auto"/>
              <w:bottom w:val="single" w:sz="4" w:space="0" w:color="auto"/>
              <w:right w:val="single" w:sz="4" w:space="0" w:color="auto"/>
            </w:tcBorders>
            <w:vAlign w:val="center"/>
            <w:hideMark/>
          </w:tcPr>
          <w:p w14:paraId="72E6509E" w14:textId="77777777" w:rsidR="006B4A66" w:rsidRPr="006B4A66" w:rsidRDefault="006B4A66" w:rsidP="00BD15DC">
            <w:pPr>
              <w:spacing w:after="0" w:line="480" w:lineRule="auto"/>
              <w:ind w:left="154"/>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PF &lt; 0.2</w:t>
            </w:r>
          </w:p>
        </w:tc>
        <w:tc>
          <w:tcPr>
            <w:tcW w:w="1440" w:type="dxa"/>
            <w:tcBorders>
              <w:top w:val="single" w:sz="4" w:space="0" w:color="auto"/>
              <w:left w:val="single" w:sz="4" w:space="0" w:color="auto"/>
              <w:bottom w:val="single" w:sz="4" w:space="0" w:color="auto"/>
              <w:right w:val="single" w:sz="4" w:space="0" w:color="auto"/>
            </w:tcBorders>
            <w:vAlign w:val="center"/>
            <w:hideMark/>
          </w:tcPr>
          <w:p w14:paraId="08AFB0F1" w14:textId="77777777" w:rsidR="006B4A66" w:rsidRPr="006B4A66" w:rsidRDefault="006B4A66" w:rsidP="00BD15DC">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0.38</w:t>
            </w:r>
          </w:p>
        </w:tc>
        <w:tc>
          <w:tcPr>
            <w:tcW w:w="1890" w:type="dxa"/>
            <w:tcBorders>
              <w:top w:val="single" w:sz="4" w:space="0" w:color="auto"/>
              <w:left w:val="single" w:sz="4" w:space="0" w:color="auto"/>
              <w:bottom w:val="single" w:sz="4" w:space="0" w:color="auto"/>
              <w:right w:val="single" w:sz="4" w:space="0" w:color="auto"/>
            </w:tcBorders>
            <w:vAlign w:val="center"/>
            <w:hideMark/>
          </w:tcPr>
          <w:p w14:paraId="5723C49F" w14:textId="77777777" w:rsidR="006B4A66" w:rsidRPr="006B4A66" w:rsidRDefault="006B4A66" w:rsidP="00BD15DC">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0.51</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0.33</w:t>
            </w:r>
          </w:p>
        </w:tc>
        <w:tc>
          <w:tcPr>
            <w:tcW w:w="3430" w:type="dxa"/>
            <w:tcBorders>
              <w:top w:val="single" w:sz="4" w:space="0" w:color="auto"/>
              <w:left w:val="single" w:sz="4" w:space="0" w:color="auto"/>
              <w:bottom w:val="single" w:sz="4" w:space="0" w:color="auto"/>
              <w:right w:val="single" w:sz="4" w:space="0" w:color="auto"/>
            </w:tcBorders>
          </w:tcPr>
          <w:p w14:paraId="123AF503" w14:textId="77777777" w:rsidR="006B4A66" w:rsidRPr="006B4A66" w:rsidRDefault="006B4A66" w:rsidP="00BD15DC">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n/a</w:t>
            </w:r>
          </w:p>
        </w:tc>
      </w:tr>
      <w:tr w:rsidR="00A21FD8" w:rsidRPr="006B4A66" w14:paraId="3DE0984A" w14:textId="77777777" w:rsidTr="00A0459D">
        <w:trPr>
          <w:cantSplit/>
          <w:trHeight w:val="403"/>
          <w:jc w:val="center"/>
        </w:trPr>
        <w:tc>
          <w:tcPr>
            <w:tcW w:w="2080" w:type="dxa"/>
            <w:tcBorders>
              <w:top w:val="single" w:sz="4" w:space="0" w:color="auto"/>
              <w:left w:val="single" w:sz="4" w:space="0" w:color="auto"/>
              <w:bottom w:val="single" w:sz="4" w:space="0" w:color="auto"/>
              <w:right w:val="single" w:sz="4" w:space="0" w:color="auto"/>
            </w:tcBorders>
            <w:vAlign w:val="center"/>
            <w:hideMark/>
          </w:tcPr>
          <w:p w14:paraId="03C18279" w14:textId="77777777" w:rsidR="006B4A66" w:rsidRPr="006B4A66" w:rsidRDefault="006B4A66" w:rsidP="00BD15DC">
            <w:pPr>
              <w:spacing w:after="0" w:line="480" w:lineRule="auto"/>
              <w:ind w:left="154"/>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0.2 ≤ PF &lt; 0.5</w:t>
            </w:r>
          </w:p>
        </w:tc>
        <w:tc>
          <w:tcPr>
            <w:tcW w:w="1440" w:type="dxa"/>
            <w:tcBorders>
              <w:top w:val="single" w:sz="4" w:space="0" w:color="auto"/>
              <w:left w:val="single" w:sz="4" w:space="0" w:color="auto"/>
              <w:bottom w:val="single" w:sz="4" w:space="0" w:color="auto"/>
              <w:right w:val="single" w:sz="4" w:space="0" w:color="auto"/>
            </w:tcBorders>
            <w:vAlign w:val="center"/>
            <w:hideMark/>
          </w:tcPr>
          <w:p w14:paraId="31B71820" w14:textId="77777777" w:rsidR="006B4A66" w:rsidRPr="006B4A66" w:rsidRDefault="006B4A66" w:rsidP="00BD15DC">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0.46</w:t>
            </w:r>
          </w:p>
        </w:tc>
        <w:tc>
          <w:tcPr>
            <w:tcW w:w="1890" w:type="dxa"/>
            <w:tcBorders>
              <w:top w:val="single" w:sz="4" w:space="0" w:color="auto"/>
              <w:left w:val="single" w:sz="4" w:space="0" w:color="auto"/>
              <w:bottom w:val="single" w:sz="4" w:space="0" w:color="auto"/>
              <w:right w:val="single" w:sz="4" w:space="0" w:color="auto"/>
            </w:tcBorders>
            <w:vAlign w:val="center"/>
            <w:hideMark/>
          </w:tcPr>
          <w:p w14:paraId="582557FE" w14:textId="77777777" w:rsidR="006B4A66" w:rsidRPr="006B4A66" w:rsidRDefault="006B4A66" w:rsidP="00BD15DC">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0.56</w:t>
            </w:r>
            <w:r w:rsidRPr="006B4A66">
              <w:rPr>
                <w:rFonts w:ascii="Times New Roman" w:eastAsia="Calibri" w:hAnsi="Times New Roman" w:cs="Times New Roman"/>
                <w:color w:val="000000"/>
                <w:kern w:val="0"/>
                <w:sz w:val="24"/>
                <w14:ligatures w14:val="none"/>
              </w:rPr>
              <w:t>)) 0.</w:t>
            </w:r>
            <w:r w:rsidRPr="006B4A66">
              <w:rPr>
                <w:rFonts w:ascii="Times New Roman" w:eastAsia="Calibri" w:hAnsi="Times New Roman" w:cs="Times New Roman"/>
                <w:color w:val="000000"/>
                <w:kern w:val="0"/>
                <w:sz w:val="24"/>
                <w:u w:val="single"/>
                <w14:ligatures w14:val="none"/>
              </w:rPr>
              <w:t>40</w:t>
            </w:r>
          </w:p>
        </w:tc>
        <w:tc>
          <w:tcPr>
            <w:tcW w:w="3430" w:type="dxa"/>
            <w:tcBorders>
              <w:top w:val="single" w:sz="4" w:space="0" w:color="auto"/>
              <w:left w:val="single" w:sz="4" w:space="0" w:color="auto"/>
              <w:bottom w:val="single" w:sz="4" w:space="0" w:color="auto"/>
              <w:right w:val="single" w:sz="4" w:space="0" w:color="auto"/>
            </w:tcBorders>
          </w:tcPr>
          <w:p w14:paraId="2BAD9958" w14:textId="77777777" w:rsidR="006B4A66" w:rsidRPr="006B4A66" w:rsidRDefault="006B4A66" w:rsidP="00BD15DC">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n/a</w:t>
            </w:r>
          </w:p>
        </w:tc>
      </w:tr>
      <w:tr w:rsidR="00A21FD8" w:rsidRPr="006B4A66" w14:paraId="5C6D1590" w14:textId="77777777" w:rsidTr="00A0459D">
        <w:trPr>
          <w:cantSplit/>
          <w:trHeight w:val="403"/>
          <w:jc w:val="center"/>
        </w:trPr>
        <w:tc>
          <w:tcPr>
            <w:tcW w:w="2080" w:type="dxa"/>
            <w:tcBorders>
              <w:top w:val="single" w:sz="4" w:space="0" w:color="auto"/>
              <w:left w:val="single" w:sz="4" w:space="0" w:color="auto"/>
              <w:bottom w:val="single" w:sz="4" w:space="0" w:color="auto"/>
              <w:right w:val="single" w:sz="4" w:space="0" w:color="auto"/>
            </w:tcBorders>
            <w:vAlign w:val="center"/>
            <w:hideMark/>
          </w:tcPr>
          <w:p w14:paraId="6C3F281F" w14:textId="77777777" w:rsidR="006B4A66" w:rsidRPr="006B4A66" w:rsidRDefault="006B4A66" w:rsidP="00BD15DC">
            <w:pPr>
              <w:spacing w:after="0" w:line="480" w:lineRule="auto"/>
              <w:ind w:left="154"/>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PF ≥ 0.5</w:t>
            </w:r>
          </w:p>
        </w:tc>
        <w:tc>
          <w:tcPr>
            <w:tcW w:w="1440" w:type="dxa"/>
            <w:tcBorders>
              <w:top w:val="single" w:sz="4" w:space="0" w:color="auto"/>
              <w:left w:val="single" w:sz="4" w:space="0" w:color="auto"/>
              <w:bottom w:val="single" w:sz="4" w:space="0" w:color="auto"/>
              <w:right w:val="single" w:sz="4" w:space="0" w:color="auto"/>
            </w:tcBorders>
            <w:vAlign w:val="center"/>
            <w:hideMark/>
          </w:tcPr>
          <w:p w14:paraId="4DF313EA" w14:textId="77777777" w:rsidR="006B4A66" w:rsidRPr="006B4A66" w:rsidRDefault="006B4A66" w:rsidP="00BD15DC">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0.61</w:t>
            </w:r>
          </w:p>
        </w:tc>
        <w:tc>
          <w:tcPr>
            <w:tcW w:w="1890" w:type="dxa"/>
            <w:tcBorders>
              <w:top w:val="single" w:sz="4" w:space="0" w:color="auto"/>
              <w:left w:val="single" w:sz="4" w:space="0" w:color="auto"/>
              <w:bottom w:val="single" w:sz="4" w:space="0" w:color="auto"/>
              <w:right w:val="single" w:sz="4" w:space="0" w:color="auto"/>
            </w:tcBorders>
            <w:vAlign w:val="center"/>
            <w:hideMark/>
          </w:tcPr>
          <w:p w14:paraId="014FCC28" w14:textId="77777777" w:rsidR="006B4A66" w:rsidRPr="006B4A66" w:rsidRDefault="006B4A66" w:rsidP="00BD15DC">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0.61</w:t>
            </w:r>
            <w:r w:rsidRPr="006B4A66">
              <w:rPr>
                <w:rFonts w:ascii="Times New Roman" w:eastAsia="Calibri" w:hAnsi="Times New Roman" w:cs="Times New Roman"/>
                <w:color w:val="000000"/>
                <w:kern w:val="0"/>
                <w:sz w:val="24"/>
                <w14:ligatures w14:val="none"/>
              </w:rPr>
              <w:t>)) 0.</w:t>
            </w:r>
            <w:r w:rsidRPr="006B4A66">
              <w:rPr>
                <w:rFonts w:ascii="Times New Roman" w:eastAsia="Calibri" w:hAnsi="Times New Roman" w:cs="Times New Roman"/>
                <w:color w:val="000000"/>
                <w:kern w:val="0"/>
                <w:sz w:val="24"/>
                <w:u w:val="single"/>
                <w14:ligatures w14:val="none"/>
              </w:rPr>
              <w:t>53</w:t>
            </w:r>
          </w:p>
        </w:tc>
        <w:tc>
          <w:tcPr>
            <w:tcW w:w="3430" w:type="dxa"/>
            <w:tcBorders>
              <w:top w:val="single" w:sz="4" w:space="0" w:color="auto"/>
              <w:left w:val="single" w:sz="4" w:space="0" w:color="auto"/>
              <w:bottom w:val="single" w:sz="4" w:space="0" w:color="auto"/>
              <w:right w:val="single" w:sz="4" w:space="0" w:color="auto"/>
            </w:tcBorders>
          </w:tcPr>
          <w:p w14:paraId="6D57CD55" w14:textId="77777777" w:rsidR="006B4A66" w:rsidRPr="006B4A66" w:rsidRDefault="006B4A66" w:rsidP="00BD15DC">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n/a</w:t>
            </w:r>
          </w:p>
        </w:tc>
      </w:tr>
      <w:tr w:rsidR="00A0459D" w:rsidRPr="006B4A66" w14:paraId="3320D710" w14:textId="77777777">
        <w:trPr>
          <w:cantSplit/>
          <w:trHeight w:val="403"/>
          <w:jc w:val="center"/>
        </w:trPr>
        <w:tc>
          <w:tcPr>
            <w:tcW w:w="8840" w:type="dxa"/>
            <w:gridSpan w:val="4"/>
            <w:tcBorders>
              <w:top w:val="single" w:sz="4" w:space="0" w:color="auto"/>
              <w:left w:val="single" w:sz="4" w:space="0" w:color="auto"/>
              <w:bottom w:val="single" w:sz="4" w:space="0" w:color="auto"/>
              <w:right w:val="single" w:sz="4" w:space="0" w:color="auto"/>
            </w:tcBorders>
            <w:vAlign w:val="center"/>
            <w:hideMark/>
          </w:tcPr>
          <w:p w14:paraId="598A8BC4" w14:textId="377039AC" w:rsidR="00A0459D" w:rsidRPr="006B4A66" w:rsidRDefault="00A0459D" w:rsidP="00BD15DC">
            <w:pPr>
              <w:spacing w:after="0" w:line="480" w:lineRule="auto"/>
              <w:rPr>
                <w:rFonts w:ascii="Times New Roman" w:eastAsia="Calibri" w:hAnsi="Times New Roman" w:cs="Times New Roman"/>
                <w:b/>
                <w:color w:val="000000"/>
                <w:kern w:val="0"/>
                <w:sz w:val="24"/>
                <w14:ligatures w14:val="none"/>
              </w:rPr>
            </w:pPr>
            <w:r w:rsidRPr="006B4A66">
              <w:rPr>
                <w:rFonts w:ascii="Times New Roman" w:eastAsia="Calibri" w:hAnsi="Times New Roman" w:cs="Times New Roman"/>
                <w:b/>
                <w:color w:val="000000"/>
                <w:kern w:val="0"/>
                <w:sz w:val="24"/>
                <w:u w:val="single"/>
                <w14:ligatures w14:val="none"/>
              </w:rPr>
              <w:t>All</w:t>
            </w:r>
            <w:r w:rsidRPr="006B4A66">
              <w:rPr>
                <w:rFonts w:ascii="Times New Roman" w:eastAsia="Calibri" w:hAnsi="Times New Roman" w:cs="Times New Roman"/>
                <w:b/>
                <w:color w:val="000000"/>
                <w:kern w:val="0"/>
                <w:sz w:val="24"/>
                <w14:ligatures w14:val="none"/>
              </w:rPr>
              <w:t xml:space="preserve"> Skylights</w:t>
            </w:r>
          </w:p>
        </w:tc>
      </w:tr>
      <w:tr w:rsidR="00A21FD8" w:rsidRPr="006B4A66" w14:paraId="4F134797" w14:textId="77777777" w:rsidTr="00A0459D">
        <w:trPr>
          <w:cantSplit/>
          <w:trHeight w:val="403"/>
          <w:jc w:val="center"/>
        </w:trPr>
        <w:tc>
          <w:tcPr>
            <w:tcW w:w="2080" w:type="dxa"/>
            <w:tcBorders>
              <w:top w:val="single" w:sz="4" w:space="0" w:color="auto"/>
              <w:left w:val="single" w:sz="4" w:space="0" w:color="auto"/>
              <w:bottom w:val="single" w:sz="4" w:space="0" w:color="auto"/>
              <w:right w:val="single" w:sz="4" w:space="0" w:color="auto"/>
            </w:tcBorders>
            <w:vAlign w:val="center"/>
            <w:hideMark/>
          </w:tcPr>
          <w:p w14:paraId="0DE75A21" w14:textId="77777777" w:rsidR="006B4A66" w:rsidRPr="006B4A66" w:rsidRDefault="006B4A66" w:rsidP="00BD15DC">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U-factor</w:t>
            </w:r>
          </w:p>
        </w:tc>
        <w:tc>
          <w:tcPr>
            <w:tcW w:w="3330" w:type="dxa"/>
            <w:gridSpan w:val="2"/>
            <w:tcBorders>
              <w:top w:val="single" w:sz="4" w:space="0" w:color="auto"/>
              <w:left w:val="single" w:sz="4" w:space="0" w:color="auto"/>
              <w:bottom w:val="single" w:sz="4" w:space="0" w:color="auto"/>
              <w:right w:val="single" w:sz="4" w:space="0" w:color="auto"/>
            </w:tcBorders>
            <w:vAlign w:val="center"/>
            <w:hideMark/>
          </w:tcPr>
          <w:p w14:paraId="7F796B3E" w14:textId="77777777" w:rsidR="006B4A66" w:rsidRPr="006B4A66" w:rsidRDefault="006B4A66" w:rsidP="00BD15DC">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U-0.45</w:t>
            </w:r>
          </w:p>
        </w:tc>
        <w:tc>
          <w:tcPr>
            <w:tcW w:w="3430" w:type="dxa"/>
            <w:tcBorders>
              <w:top w:val="single" w:sz="4" w:space="0" w:color="auto"/>
              <w:left w:val="single" w:sz="4" w:space="0" w:color="auto"/>
              <w:bottom w:val="single" w:sz="4" w:space="0" w:color="auto"/>
              <w:right w:val="single" w:sz="4" w:space="0" w:color="auto"/>
            </w:tcBorders>
          </w:tcPr>
          <w:p w14:paraId="70141FC2" w14:textId="77777777" w:rsidR="006B4A66" w:rsidRPr="006B4A66" w:rsidRDefault="006B4A66" w:rsidP="00BD15DC">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n/a</w:t>
            </w:r>
          </w:p>
        </w:tc>
      </w:tr>
      <w:tr w:rsidR="00A21FD8" w:rsidRPr="006B4A66" w14:paraId="78846A95" w14:textId="77777777" w:rsidTr="00A0459D">
        <w:trPr>
          <w:cantSplit/>
          <w:trHeight w:val="403"/>
          <w:jc w:val="center"/>
        </w:trPr>
        <w:tc>
          <w:tcPr>
            <w:tcW w:w="2080" w:type="dxa"/>
            <w:tcBorders>
              <w:top w:val="single" w:sz="4" w:space="0" w:color="auto"/>
              <w:left w:val="single" w:sz="4" w:space="0" w:color="auto"/>
              <w:bottom w:val="single" w:sz="4" w:space="0" w:color="auto"/>
              <w:right w:val="single" w:sz="4" w:space="0" w:color="auto"/>
            </w:tcBorders>
            <w:vAlign w:val="center"/>
            <w:hideMark/>
          </w:tcPr>
          <w:p w14:paraId="31AE5E46" w14:textId="77777777" w:rsidR="006B4A66" w:rsidRPr="006B4A66" w:rsidRDefault="006B4A66" w:rsidP="00BD15DC">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SHGC</w:t>
            </w:r>
          </w:p>
        </w:tc>
        <w:tc>
          <w:tcPr>
            <w:tcW w:w="3330" w:type="dxa"/>
            <w:gridSpan w:val="2"/>
            <w:tcBorders>
              <w:top w:val="single" w:sz="4" w:space="0" w:color="auto"/>
              <w:left w:val="single" w:sz="4" w:space="0" w:color="auto"/>
              <w:bottom w:val="single" w:sz="4" w:space="0" w:color="auto"/>
              <w:right w:val="single" w:sz="4" w:space="0" w:color="auto"/>
            </w:tcBorders>
            <w:vAlign w:val="center"/>
            <w:hideMark/>
          </w:tcPr>
          <w:p w14:paraId="096364EC" w14:textId="77777777" w:rsidR="006B4A66" w:rsidRPr="006B4A66" w:rsidRDefault="006B4A66" w:rsidP="00BD15DC">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0.32</w:t>
            </w:r>
          </w:p>
        </w:tc>
        <w:tc>
          <w:tcPr>
            <w:tcW w:w="3430" w:type="dxa"/>
            <w:tcBorders>
              <w:top w:val="single" w:sz="4" w:space="0" w:color="auto"/>
              <w:left w:val="single" w:sz="4" w:space="0" w:color="auto"/>
              <w:bottom w:val="single" w:sz="4" w:space="0" w:color="auto"/>
              <w:right w:val="single" w:sz="4" w:space="0" w:color="auto"/>
            </w:tcBorders>
          </w:tcPr>
          <w:p w14:paraId="45235BC5" w14:textId="77777777" w:rsidR="006B4A66" w:rsidRPr="006B4A66" w:rsidRDefault="006B4A66" w:rsidP="00BD15DC">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n/a</w:t>
            </w:r>
          </w:p>
        </w:tc>
      </w:tr>
    </w:tbl>
    <w:p w14:paraId="0AF9C40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Footnotes:</w:t>
      </w:r>
    </w:p>
    <w:p w14:paraId="2AE2EC2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a.  U-factor and SHGC shall be rated in accordance with NFRC 100.  This category includes curtain wall, storefront, ribbon wall, window wall</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and similar site-assembled systems.  This category does not include punched-opening manufactured windows except for "Class AW" windows as designated by AAMA.</w:t>
      </w:r>
    </w:p>
    <w:p w14:paraId="5E8B892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b.  "Fixed" includes curtain wall, storefront, picture windows</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and other fixed windows.</w:t>
      </w:r>
    </w:p>
    <w:p w14:paraId="2A19CBA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c.  "Operable" includes openable fenestration products other than "entrance doors((</w:t>
      </w:r>
      <w:r w:rsidRPr="006B4A66">
        <w:rPr>
          <w:rFonts w:ascii="Times New Roman" w:eastAsia="Calibri" w:hAnsi="Times New Roman" w:cs="Times New Roman"/>
          <w:strike/>
          <w:color w:val="000000"/>
          <w:kern w:val="0"/>
          <w:sz w:val="24"/>
          <w14:ligatures w14:val="none"/>
        </w:rPr>
        <w:t>.</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and includes only the operable portions of multi-pane assemblies.</w:t>
      </w:r>
    </w:p>
    <w:p w14:paraId="3AA7874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d.  "Entrance door" includes glazed swinging entrance doors and glazed automatic sliding entrance doors.  Other doors which are not entrance doors, including manually operated sliding glass doors, are considered "operable."</w:t>
      </w:r>
    </w:p>
    <w:p w14:paraId="47FCDFE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e.  ((</w:t>
      </w:r>
      <w:r w:rsidRPr="006B4A66">
        <w:rPr>
          <w:rFonts w:ascii="Times New Roman" w:eastAsia="Calibri" w:hAnsi="Times New Roman" w:cs="Times New Roman"/>
          <w:strike/>
          <w:color w:val="000000"/>
          <w:kern w:val="0"/>
          <w:sz w:val="24"/>
          <w14:ligatures w14:val="none"/>
        </w:rPr>
        <w:t>"N" indicates vertical fenestration oriented within 30 degrees of true north.  "SEW" indicates orientations other than "N."</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Reserved.</w:t>
      </w:r>
    </w:p>
    <w:p w14:paraId="4B2623C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  Fenestration that is entirely within the conditioned space or is between conditioned and other enclosed space is exempt from solar heat gain coefficient requirements and not included in the SHGC calculation.</w:t>
      </w:r>
    </w:p>
    <w:p w14:paraId="1136EC4D" w14:textId="0B7D3490"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50.</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0313EE23"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Section C402.4.1 of the Washington State Energy Code is not adopted and the following is substituted:</w:t>
      </w:r>
    </w:p>
    <w:p w14:paraId="2EA375F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color w:val="000000"/>
          <w:kern w:val="0"/>
          <w:sz w:val="24"/>
          <w14:ligatures w14:val="none"/>
        </w:rPr>
        <w:t>Fenestration – Maximum area (WSEC C402.4.1).</w:t>
      </w:r>
      <w:r w:rsidRPr="006B4A66">
        <w:rPr>
          <w:rFonts w:ascii="Times New Roman" w:eastAsia="Calibri" w:hAnsi="Times New Roman" w:cs="Times New Roman"/>
          <w:color w:val="000000"/>
          <w:kern w:val="0"/>
          <w:sz w:val="24"/>
          <w14:ligatures w14:val="none"/>
        </w:rPr>
        <w:t xml:space="preserve">  The total building vertical fenestration area (not including opaque doors and opaque spandrel panels) shall not exceed the percentage of above-grade wall area permitted by WSEC Table C402.4.1.  </w:t>
      </w:r>
      <w:r w:rsidRPr="006B4A66">
        <w:rPr>
          <w:rFonts w:ascii="Times New Roman" w:eastAsia="Calibri" w:hAnsi="Times New Roman" w:cs="Times New Roman"/>
          <w:color w:val="000000"/>
          <w:kern w:val="0"/>
          <w:sz w:val="24"/>
          <w14:ligatures w14:val="none"/>
        </w:rPr>
        <w:lastRenderedPageBreak/>
        <w:t>The skylight area shall not exceed 5 percent of the total building gross roof area (skylight-to-roof ratio).</w:t>
      </w:r>
    </w:p>
    <w:p w14:paraId="4FF1D9AE" w14:textId="7F8FD535"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For buildings with more than one space conditioning category, compliance with the maximum allowed window-to-wall ratio and skylight-to-roof ratio shall be demonstrated separately for each space conditioning category.  Interior partition ceiling, wall, fenestration, and floor areas that separate space conditioning areas shall not be applied to the window-to-wall ratio and skylight-to-roof ratio calculations.</w:t>
      </w:r>
    </w:p>
    <w:p w14:paraId="0C38BB3C" w14:textId="77777777" w:rsidR="006B4A66" w:rsidRPr="006B4A66" w:rsidRDefault="006B4A66" w:rsidP="0073496A">
      <w:pPr>
        <w:tabs>
          <w:tab w:val="left" w:pos="720"/>
        </w:tabs>
        <w:spacing w:after="0" w:line="480" w:lineRule="auto"/>
        <w:rPr>
          <w:rFonts w:ascii="Times New Roman" w:eastAsia="Calibri" w:hAnsi="Times New Roman" w:cs="Times New Roman"/>
          <w:b/>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color w:val="000000"/>
          <w:kern w:val="0"/>
          <w:sz w:val="24"/>
          <w14:ligatures w14:val="none"/>
        </w:rPr>
        <w:t>EXCEPTIONS:</w:t>
      </w:r>
    </w:p>
    <w:p w14:paraId="7773AA2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The allowable total building vertical fenestration area in WSEC Table C402.4.1 is permitted to be increased by 5 percent where a minimum of 35 percent of all vertical fenestration complies with the high-performance fenestration required in Column B of WSEC Table C402.4.</w:t>
      </w:r>
    </w:p>
    <w:p w14:paraId="2B53DE0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For vertical fenestration at street level retail, the vertical fenestration area shall not exceed 75 percent of the area of the street-level wall that faces the street or that adjoins other pedestrian areas used for retail access.  For the purposes of this exception, the street-level wall shall be measured from the street-level floor to the interior ceiling level or to 20 feet (6,096 millimeters) above floor level, whichever is lowest.  When this exception is used, separate calculations shall be performed for these sections of the building envelope, and these values shall not be averaged with any others for compliance purposes.  On the street level the 75 percent vertical fenestration area is permitted to be exceeded if the additional fenestration area is deducted from fenestration allowances from other areas of the building.</w:t>
      </w:r>
    </w:p>
    <w:p w14:paraId="4B79AB8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3.  Accessory occupancy areas that comprise less than 10 percent of the conditioned floor area of any floor are permitted to be included in the primary occupancy of that floor for determination of the allowable fenestration area for that floor.</w:t>
      </w:r>
    </w:p>
    <w:p w14:paraId="15B7277A" w14:textId="77777777" w:rsidR="006B4A66" w:rsidRPr="006B4A66" w:rsidRDefault="006B4A66" w:rsidP="0073496A">
      <w:pPr>
        <w:spacing w:after="0" w:line="480" w:lineRule="auto"/>
        <w:jc w:val="center"/>
        <w:rPr>
          <w:rFonts w:ascii="Times New Roman" w:eastAsia="Calibri" w:hAnsi="Times New Roman" w:cs="Times New Roman"/>
          <w:color w:val="000000"/>
          <w:kern w:val="0"/>
          <w:sz w:val="24"/>
          <w14:ligatures w14:val="none"/>
        </w:rPr>
      </w:pPr>
      <w:bookmarkStart w:id="3" w:name="_Hlk119931064"/>
      <w:r w:rsidRPr="006B4A66">
        <w:rPr>
          <w:rFonts w:ascii="Times New Roman" w:eastAsia="Calibri" w:hAnsi="Times New Roman" w:cs="Times New Roman"/>
          <w:b/>
          <w:color w:val="000000"/>
          <w:kern w:val="0"/>
          <w:sz w:val="24"/>
          <w14:ligatures w14:val="none"/>
        </w:rPr>
        <w:t>Table C402.4.1</w:t>
      </w:r>
    </w:p>
    <w:p w14:paraId="2E723256" w14:textId="77777777" w:rsidR="006B4A66" w:rsidRPr="006B4A66" w:rsidRDefault="006B4A66" w:rsidP="0073496A">
      <w:pPr>
        <w:spacing w:after="0" w:line="480" w:lineRule="auto"/>
        <w:jc w:val="center"/>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t>Allowable Vertical Glazing Area Percentages</w:t>
      </w:r>
    </w:p>
    <w:tbl>
      <w:tblPr>
        <w:tblStyle w:val="TableGrid"/>
        <w:tblW w:w="0" w:type="auto"/>
        <w:tblLook w:val="04A0" w:firstRow="1" w:lastRow="0" w:firstColumn="1" w:lastColumn="0" w:noHBand="0" w:noVBand="1"/>
      </w:tblPr>
      <w:tblGrid>
        <w:gridCol w:w="2099"/>
        <w:gridCol w:w="3792"/>
        <w:gridCol w:w="2739"/>
      </w:tblGrid>
      <w:tr w:rsidR="006B4A66" w:rsidRPr="006B4A66" w14:paraId="55667DF1" w14:textId="77777777">
        <w:tc>
          <w:tcPr>
            <w:tcW w:w="2178" w:type="dxa"/>
          </w:tcPr>
          <w:p w14:paraId="6E01DDDD" w14:textId="77777777" w:rsidR="006B4A66" w:rsidRPr="006B4A66" w:rsidRDefault="006B4A66" w:rsidP="0073496A">
            <w:pPr>
              <w:spacing w:line="480" w:lineRule="auto"/>
              <w:rPr>
                <w:rFonts w:eastAsia="Calibri"/>
                <w:b/>
                <w:bCs/>
                <w:color w:val="000000"/>
                <w:sz w:val="24"/>
              </w:rPr>
            </w:pPr>
            <w:r w:rsidRPr="006B4A66">
              <w:rPr>
                <w:rFonts w:eastAsia="Calibri"/>
                <w:b/>
                <w:bCs/>
                <w:color w:val="000000"/>
                <w:sz w:val="24"/>
              </w:rPr>
              <w:t xml:space="preserve">Occupancy </w:t>
            </w:r>
          </w:p>
        </w:tc>
        <w:tc>
          <w:tcPr>
            <w:tcW w:w="4050" w:type="dxa"/>
          </w:tcPr>
          <w:p w14:paraId="58A95235" w14:textId="77777777" w:rsidR="006B4A66" w:rsidRPr="006B4A66" w:rsidRDefault="006B4A66" w:rsidP="0073496A">
            <w:pPr>
              <w:spacing w:line="480" w:lineRule="auto"/>
              <w:rPr>
                <w:rFonts w:eastAsia="Calibri"/>
                <w:b/>
                <w:bCs/>
                <w:color w:val="000000"/>
                <w:sz w:val="24"/>
              </w:rPr>
            </w:pPr>
            <w:r w:rsidRPr="006B4A66">
              <w:rPr>
                <w:rFonts w:eastAsia="Calibri"/>
                <w:b/>
                <w:bCs/>
                <w:color w:val="000000"/>
                <w:sz w:val="24"/>
              </w:rPr>
              <w:t>Building Area Type</w:t>
            </w:r>
          </w:p>
        </w:tc>
        <w:tc>
          <w:tcPr>
            <w:tcW w:w="2880" w:type="dxa"/>
          </w:tcPr>
          <w:p w14:paraId="72C39CE2" w14:textId="77777777" w:rsidR="006B4A66" w:rsidRPr="006B4A66" w:rsidRDefault="006B4A66" w:rsidP="0073496A">
            <w:pPr>
              <w:spacing w:line="480" w:lineRule="auto"/>
              <w:rPr>
                <w:rFonts w:eastAsia="Calibri"/>
                <w:b/>
                <w:bCs/>
                <w:color w:val="000000"/>
                <w:sz w:val="24"/>
              </w:rPr>
            </w:pPr>
            <w:r w:rsidRPr="006B4A66">
              <w:rPr>
                <w:rFonts w:eastAsia="Calibri"/>
                <w:b/>
                <w:bCs/>
                <w:color w:val="000000"/>
                <w:sz w:val="24"/>
              </w:rPr>
              <w:t>Maximum prescriptive vertical fenestration percentage</w:t>
            </w:r>
          </w:p>
        </w:tc>
      </w:tr>
      <w:tr w:rsidR="006B4A66" w:rsidRPr="006B4A66" w14:paraId="1C5E6AE7" w14:textId="77777777">
        <w:tc>
          <w:tcPr>
            <w:tcW w:w="2178" w:type="dxa"/>
          </w:tcPr>
          <w:p w14:paraId="57FA597F"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Group A-2 or B</w:t>
            </w:r>
          </w:p>
        </w:tc>
        <w:tc>
          <w:tcPr>
            <w:tcW w:w="4050" w:type="dxa"/>
          </w:tcPr>
          <w:p w14:paraId="3A4839E6"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Restaurant (quick service)</w:t>
            </w:r>
          </w:p>
        </w:tc>
        <w:tc>
          <w:tcPr>
            <w:tcW w:w="2880" w:type="dxa"/>
          </w:tcPr>
          <w:p w14:paraId="7FE20172"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34</w:t>
            </w:r>
          </w:p>
        </w:tc>
      </w:tr>
      <w:tr w:rsidR="006B4A66" w:rsidRPr="006B4A66" w14:paraId="119C8C6E" w14:textId="77777777">
        <w:tc>
          <w:tcPr>
            <w:tcW w:w="2178" w:type="dxa"/>
          </w:tcPr>
          <w:p w14:paraId="6D37D663"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Group A-2 or B</w:t>
            </w:r>
          </w:p>
        </w:tc>
        <w:tc>
          <w:tcPr>
            <w:tcW w:w="4050" w:type="dxa"/>
          </w:tcPr>
          <w:p w14:paraId="12289631"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Restaurant (full service)</w:t>
            </w:r>
          </w:p>
        </w:tc>
        <w:tc>
          <w:tcPr>
            <w:tcW w:w="2880" w:type="dxa"/>
          </w:tcPr>
          <w:p w14:paraId="3A16A3F4"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24</w:t>
            </w:r>
          </w:p>
        </w:tc>
      </w:tr>
      <w:tr w:rsidR="006B4A66" w:rsidRPr="006B4A66" w14:paraId="34803A6E" w14:textId="77777777">
        <w:tc>
          <w:tcPr>
            <w:tcW w:w="2178" w:type="dxa"/>
          </w:tcPr>
          <w:p w14:paraId="3DC401B2"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Group B</w:t>
            </w:r>
          </w:p>
        </w:tc>
        <w:tc>
          <w:tcPr>
            <w:tcW w:w="4050" w:type="dxa"/>
          </w:tcPr>
          <w:p w14:paraId="2381EA2C"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Healthcare (outpatient)</w:t>
            </w:r>
          </w:p>
        </w:tc>
        <w:tc>
          <w:tcPr>
            <w:tcW w:w="2880" w:type="dxa"/>
          </w:tcPr>
          <w:p w14:paraId="4A017206"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21</w:t>
            </w:r>
          </w:p>
        </w:tc>
      </w:tr>
      <w:tr w:rsidR="006B4A66" w:rsidRPr="006B4A66" w14:paraId="7496DDA9" w14:textId="77777777">
        <w:tc>
          <w:tcPr>
            <w:tcW w:w="2178" w:type="dxa"/>
          </w:tcPr>
          <w:p w14:paraId="364E572B"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Group B</w:t>
            </w:r>
          </w:p>
        </w:tc>
        <w:tc>
          <w:tcPr>
            <w:tcW w:w="4050" w:type="dxa"/>
          </w:tcPr>
          <w:p w14:paraId="7672D1DA" w14:textId="526130CC" w:rsidR="006B4A66" w:rsidRPr="006B4A66" w:rsidRDefault="006B4A66" w:rsidP="0073496A">
            <w:pPr>
              <w:spacing w:line="480" w:lineRule="auto"/>
              <w:rPr>
                <w:rFonts w:eastAsia="Calibri"/>
                <w:color w:val="000000"/>
                <w:sz w:val="24"/>
              </w:rPr>
            </w:pPr>
            <w:r w:rsidRPr="006B4A66">
              <w:rPr>
                <w:rFonts w:eastAsia="Calibri"/>
                <w:color w:val="000000"/>
                <w:sz w:val="24"/>
              </w:rPr>
              <w:t>Office (5,000 ft</w:t>
            </w:r>
            <w:r w:rsidRPr="006B4A66">
              <w:rPr>
                <w:rFonts w:eastAsia="Calibri"/>
                <w:color w:val="000000"/>
                <w:sz w:val="24"/>
                <w:vertAlign w:val="superscript"/>
              </w:rPr>
              <w:t>2</w:t>
            </w:r>
            <w:r w:rsidRPr="006B4A66">
              <w:rPr>
                <w:rFonts w:eastAsia="Calibri"/>
                <w:color w:val="000000"/>
                <w:sz w:val="24"/>
              </w:rPr>
              <w:t xml:space="preserve"> or smaller)</w:t>
            </w:r>
          </w:p>
        </w:tc>
        <w:tc>
          <w:tcPr>
            <w:tcW w:w="2880" w:type="dxa"/>
          </w:tcPr>
          <w:p w14:paraId="2DE9921B"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19</w:t>
            </w:r>
          </w:p>
        </w:tc>
      </w:tr>
      <w:tr w:rsidR="006B4A66" w:rsidRPr="006B4A66" w14:paraId="077CAA99" w14:textId="77777777">
        <w:tc>
          <w:tcPr>
            <w:tcW w:w="2178" w:type="dxa"/>
          </w:tcPr>
          <w:p w14:paraId="5AC2A403"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Group B</w:t>
            </w:r>
          </w:p>
        </w:tc>
        <w:tc>
          <w:tcPr>
            <w:tcW w:w="4050" w:type="dxa"/>
          </w:tcPr>
          <w:p w14:paraId="781AFE99"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Office (5,000 to 50,000 ft</w:t>
            </w:r>
            <w:r w:rsidRPr="006B4A66">
              <w:rPr>
                <w:rFonts w:eastAsia="Calibri"/>
                <w:color w:val="000000"/>
                <w:sz w:val="24"/>
                <w:vertAlign w:val="superscript"/>
              </w:rPr>
              <w:t>2</w:t>
            </w:r>
            <w:r w:rsidRPr="006B4A66">
              <w:rPr>
                <w:rFonts w:eastAsia="Calibri"/>
                <w:color w:val="000000"/>
                <w:sz w:val="24"/>
              </w:rPr>
              <w:t>)</w:t>
            </w:r>
          </w:p>
        </w:tc>
        <w:tc>
          <w:tcPr>
            <w:tcW w:w="2880" w:type="dxa"/>
          </w:tcPr>
          <w:p w14:paraId="3EA628EC"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31</w:t>
            </w:r>
          </w:p>
        </w:tc>
      </w:tr>
      <w:tr w:rsidR="006B4A66" w:rsidRPr="006B4A66" w14:paraId="32354B65" w14:textId="77777777">
        <w:tc>
          <w:tcPr>
            <w:tcW w:w="2178" w:type="dxa"/>
          </w:tcPr>
          <w:p w14:paraId="54A96049"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Group B</w:t>
            </w:r>
          </w:p>
        </w:tc>
        <w:tc>
          <w:tcPr>
            <w:tcW w:w="4050" w:type="dxa"/>
          </w:tcPr>
          <w:p w14:paraId="00DFACE9"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Office (larger than 50,000 ft</w:t>
            </w:r>
            <w:r w:rsidRPr="006B4A66">
              <w:rPr>
                <w:rFonts w:eastAsia="Calibri"/>
                <w:color w:val="000000"/>
                <w:sz w:val="24"/>
                <w:vertAlign w:val="superscript"/>
              </w:rPr>
              <w:t>2</w:t>
            </w:r>
            <w:r w:rsidRPr="006B4A66">
              <w:rPr>
                <w:rFonts w:eastAsia="Calibri"/>
                <w:color w:val="000000"/>
                <w:sz w:val="24"/>
              </w:rPr>
              <w:t>)</w:t>
            </w:r>
          </w:p>
        </w:tc>
        <w:tc>
          <w:tcPr>
            <w:tcW w:w="2880" w:type="dxa"/>
          </w:tcPr>
          <w:p w14:paraId="1FF918B3"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35</w:t>
            </w:r>
          </w:p>
        </w:tc>
      </w:tr>
      <w:tr w:rsidR="006B4A66" w:rsidRPr="006B4A66" w14:paraId="60E6778A" w14:textId="77777777">
        <w:tc>
          <w:tcPr>
            <w:tcW w:w="2178" w:type="dxa"/>
          </w:tcPr>
          <w:p w14:paraId="419A21CB"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Group B</w:t>
            </w:r>
          </w:p>
        </w:tc>
        <w:tc>
          <w:tcPr>
            <w:tcW w:w="4050" w:type="dxa"/>
          </w:tcPr>
          <w:p w14:paraId="510F3E80"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University or college</w:t>
            </w:r>
          </w:p>
        </w:tc>
        <w:tc>
          <w:tcPr>
            <w:tcW w:w="2880" w:type="dxa"/>
          </w:tcPr>
          <w:p w14:paraId="50DD9D40"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30</w:t>
            </w:r>
          </w:p>
        </w:tc>
      </w:tr>
      <w:tr w:rsidR="006B4A66" w:rsidRPr="006B4A66" w14:paraId="0CA0A215" w14:textId="77777777">
        <w:tc>
          <w:tcPr>
            <w:tcW w:w="2178" w:type="dxa"/>
          </w:tcPr>
          <w:p w14:paraId="0484DA6E"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Group E</w:t>
            </w:r>
          </w:p>
        </w:tc>
        <w:tc>
          <w:tcPr>
            <w:tcW w:w="4050" w:type="dxa"/>
          </w:tcPr>
          <w:p w14:paraId="77BC53A6"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School (primary and secondary)</w:t>
            </w:r>
          </w:p>
        </w:tc>
        <w:tc>
          <w:tcPr>
            <w:tcW w:w="2880" w:type="dxa"/>
          </w:tcPr>
          <w:p w14:paraId="0EE1EF29"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26</w:t>
            </w:r>
          </w:p>
        </w:tc>
      </w:tr>
      <w:tr w:rsidR="006B4A66" w:rsidRPr="006B4A66" w14:paraId="61EB1E80" w14:textId="77777777">
        <w:tc>
          <w:tcPr>
            <w:tcW w:w="2178" w:type="dxa"/>
          </w:tcPr>
          <w:p w14:paraId="0976BD39"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Group I-2</w:t>
            </w:r>
          </w:p>
        </w:tc>
        <w:tc>
          <w:tcPr>
            <w:tcW w:w="4050" w:type="dxa"/>
          </w:tcPr>
          <w:p w14:paraId="2B45F306"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Hospital</w:t>
            </w:r>
          </w:p>
        </w:tc>
        <w:tc>
          <w:tcPr>
            <w:tcW w:w="2880" w:type="dxa"/>
          </w:tcPr>
          <w:p w14:paraId="3588F350"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27</w:t>
            </w:r>
          </w:p>
        </w:tc>
      </w:tr>
      <w:tr w:rsidR="006B4A66" w:rsidRPr="006B4A66" w14:paraId="37B6643E" w14:textId="77777777">
        <w:tc>
          <w:tcPr>
            <w:tcW w:w="2178" w:type="dxa"/>
          </w:tcPr>
          <w:p w14:paraId="13FDF78F"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Group M</w:t>
            </w:r>
          </w:p>
        </w:tc>
        <w:tc>
          <w:tcPr>
            <w:tcW w:w="4050" w:type="dxa"/>
          </w:tcPr>
          <w:p w14:paraId="110EE160"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Grocery Store</w:t>
            </w:r>
          </w:p>
        </w:tc>
        <w:tc>
          <w:tcPr>
            <w:tcW w:w="2880" w:type="dxa"/>
          </w:tcPr>
          <w:p w14:paraId="02E8CABD"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15</w:t>
            </w:r>
          </w:p>
        </w:tc>
      </w:tr>
      <w:tr w:rsidR="006B4A66" w:rsidRPr="006B4A66" w14:paraId="43CAA585" w14:textId="77777777">
        <w:tc>
          <w:tcPr>
            <w:tcW w:w="2178" w:type="dxa"/>
          </w:tcPr>
          <w:p w14:paraId="6B305F1D"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Group M</w:t>
            </w:r>
          </w:p>
        </w:tc>
        <w:tc>
          <w:tcPr>
            <w:tcW w:w="4050" w:type="dxa"/>
          </w:tcPr>
          <w:p w14:paraId="39BDBC0B"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Retail (standalone)</w:t>
            </w:r>
          </w:p>
        </w:tc>
        <w:tc>
          <w:tcPr>
            <w:tcW w:w="2880" w:type="dxa"/>
          </w:tcPr>
          <w:p w14:paraId="3EE3CA0A"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20</w:t>
            </w:r>
          </w:p>
        </w:tc>
      </w:tr>
      <w:tr w:rsidR="006B4A66" w:rsidRPr="006B4A66" w14:paraId="77CE8C5D" w14:textId="77777777">
        <w:tc>
          <w:tcPr>
            <w:tcW w:w="2178" w:type="dxa"/>
          </w:tcPr>
          <w:p w14:paraId="503CA885"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Group M</w:t>
            </w:r>
          </w:p>
        </w:tc>
        <w:tc>
          <w:tcPr>
            <w:tcW w:w="4050" w:type="dxa"/>
          </w:tcPr>
          <w:p w14:paraId="4219E1EA"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Retail (strip mall)</w:t>
            </w:r>
          </w:p>
        </w:tc>
        <w:tc>
          <w:tcPr>
            <w:tcW w:w="2880" w:type="dxa"/>
          </w:tcPr>
          <w:p w14:paraId="75FCA18D"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20</w:t>
            </w:r>
          </w:p>
        </w:tc>
      </w:tr>
      <w:tr w:rsidR="006B4A66" w:rsidRPr="006B4A66" w14:paraId="0555CB35" w14:textId="77777777">
        <w:tc>
          <w:tcPr>
            <w:tcW w:w="2178" w:type="dxa"/>
          </w:tcPr>
          <w:p w14:paraId="49EBCC96"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Group R-1</w:t>
            </w:r>
          </w:p>
        </w:tc>
        <w:tc>
          <w:tcPr>
            <w:tcW w:w="4050" w:type="dxa"/>
          </w:tcPr>
          <w:p w14:paraId="7614799F"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Hotel/motel (75 or fewer rooms)</w:t>
            </w:r>
          </w:p>
        </w:tc>
        <w:tc>
          <w:tcPr>
            <w:tcW w:w="2880" w:type="dxa"/>
          </w:tcPr>
          <w:p w14:paraId="0A8AAE85"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24</w:t>
            </w:r>
          </w:p>
        </w:tc>
      </w:tr>
      <w:tr w:rsidR="006B4A66" w:rsidRPr="006B4A66" w14:paraId="128ED271" w14:textId="77777777">
        <w:tc>
          <w:tcPr>
            <w:tcW w:w="2178" w:type="dxa"/>
          </w:tcPr>
          <w:p w14:paraId="47616E25"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Group R-1</w:t>
            </w:r>
          </w:p>
        </w:tc>
        <w:tc>
          <w:tcPr>
            <w:tcW w:w="4050" w:type="dxa"/>
          </w:tcPr>
          <w:p w14:paraId="7FCB5CA0"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Hotel/motel (more than 75 rooms)</w:t>
            </w:r>
          </w:p>
        </w:tc>
        <w:tc>
          <w:tcPr>
            <w:tcW w:w="2880" w:type="dxa"/>
          </w:tcPr>
          <w:p w14:paraId="37AD6880"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34</w:t>
            </w:r>
          </w:p>
        </w:tc>
      </w:tr>
      <w:tr w:rsidR="006B4A66" w:rsidRPr="006B4A66" w14:paraId="54B6F50E" w14:textId="77777777">
        <w:tc>
          <w:tcPr>
            <w:tcW w:w="2178" w:type="dxa"/>
          </w:tcPr>
          <w:p w14:paraId="0C2BE7A9"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Group R-2</w:t>
            </w:r>
          </w:p>
        </w:tc>
        <w:tc>
          <w:tcPr>
            <w:tcW w:w="4050" w:type="dxa"/>
          </w:tcPr>
          <w:p w14:paraId="0B62F120"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Multifamily 7 stories or less</w:t>
            </w:r>
          </w:p>
        </w:tc>
        <w:tc>
          <w:tcPr>
            <w:tcW w:w="2880" w:type="dxa"/>
          </w:tcPr>
          <w:p w14:paraId="6DC90AF9"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30</w:t>
            </w:r>
          </w:p>
        </w:tc>
      </w:tr>
      <w:tr w:rsidR="006B4A66" w:rsidRPr="006B4A66" w14:paraId="3E59A5AE" w14:textId="77777777">
        <w:tc>
          <w:tcPr>
            <w:tcW w:w="2178" w:type="dxa"/>
          </w:tcPr>
          <w:p w14:paraId="09E40B02" w14:textId="77777777" w:rsidR="006B4A66" w:rsidRPr="006B4A66" w:rsidRDefault="006B4A66" w:rsidP="0073496A">
            <w:pPr>
              <w:spacing w:line="480" w:lineRule="auto"/>
              <w:rPr>
                <w:rFonts w:eastAsia="Calibri"/>
                <w:color w:val="000000"/>
                <w:sz w:val="24"/>
              </w:rPr>
            </w:pPr>
            <w:r w:rsidRPr="006B4A66">
              <w:rPr>
                <w:rFonts w:eastAsia="Calibri"/>
                <w:color w:val="000000"/>
                <w:sz w:val="24"/>
              </w:rPr>
              <w:lastRenderedPageBreak/>
              <w:t>Group R-2</w:t>
            </w:r>
          </w:p>
        </w:tc>
        <w:tc>
          <w:tcPr>
            <w:tcW w:w="4050" w:type="dxa"/>
          </w:tcPr>
          <w:p w14:paraId="0C86F4F1"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Multifamily 8 stories or taller</w:t>
            </w:r>
          </w:p>
        </w:tc>
        <w:tc>
          <w:tcPr>
            <w:tcW w:w="2880" w:type="dxa"/>
          </w:tcPr>
          <w:p w14:paraId="306F7148"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35</w:t>
            </w:r>
          </w:p>
        </w:tc>
      </w:tr>
      <w:tr w:rsidR="006B4A66" w:rsidRPr="006B4A66" w14:paraId="3C455F3D" w14:textId="77777777">
        <w:tc>
          <w:tcPr>
            <w:tcW w:w="2178" w:type="dxa"/>
          </w:tcPr>
          <w:p w14:paraId="1035EBD7"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Group S-2</w:t>
            </w:r>
          </w:p>
        </w:tc>
        <w:tc>
          <w:tcPr>
            <w:tcW w:w="4050" w:type="dxa"/>
          </w:tcPr>
          <w:p w14:paraId="7FA55298"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Warehouse (non-refrigerated)</w:t>
            </w:r>
          </w:p>
        </w:tc>
        <w:tc>
          <w:tcPr>
            <w:tcW w:w="2880" w:type="dxa"/>
          </w:tcPr>
          <w:p w14:paraId="045E99F8"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6</w:t>
            </w:r>
          </w:p>
        </w:tc>
      </w:tr>
      <w:tr w:rsidR="006B4A66" w:rsidRPr="006B4A66" w14:paraId="634688B1" w14:textId="77777777">
        <w:tc>
          <w:tcPr>
            <w:tcW w:w="2178" w:type="dxa"/>
          </w:tcPr>
          <w:p w14:paraId="4C637E14" w14:textId="77777777" w:rsidR="006B4A66" w:rsidRPr="006B4A66" w:rsidRDefault="006B4A66" w:rsidP="0073496A">
            <w:pPr>
              <w:spacing w:line="480" w:lineRule="auto"/>
              <w:rPr>
                <w:rFonts w:eastAsia="Calibri"/>
                <w:color w:val="000000"/>
                <w:sz w:val="24"/>
              </w:rPr>
            </w:pPr>
          </w:p>
        </w:tc>
        <w:tc>
          <w:tcPr>
            <w:tcW w:w="4050" w:type="dxa"/>
          </w:tcPr>
          <w:p w14:paraId="1FE893B8"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All other</w:t>
            </w:r>
          </w:p>
        </w:tc>
        <w:tc>
          <w:tcPr>
            <w:tcW w:w="2880" w:type="dxa"/>
          </w:tcPr>
          <w:p w14:paraId="3877B424"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30</w:t>
            </w:r>
          </w:p>
        </w:tc>
      </w:tr>
    </w:tbl>
    <w:bookmarkEnd w:id="3"/>
    <w:p w14:paraId="23F6D04F" w14:textId="5D5626C4"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51.</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4EA230A7"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Section C402.4.1.1 of the Washington State Energy Code is not adopted and the following is substituted:</w:t>
      </w:r>
    </w:p>
    <w:p w14:paraId="3F315B39" w14:textId="77777777" w:rsidR="006B4A66" w:rsidRPr="006B4A66" w:rsidRDefault="006B4A66" w:rsidP="0073496A">
      <w:pPr>
        <w:widowControl w:val="0"/>
        <w:tabs>
          <w:tab w:val="left" w:pos="720"/>
        </w:tabs>
        <w:spacing w:after="0" w:line="480" w:lineRule="auto"/>
        <w:rPr>
          <w:rFonts w:ascii="Times New Roman" w:eastAsia="Times New Roman" w:hAnsi="Times New Roman" w:cs="Times New Roman"/>
          <w:color w:val="000000"/>
          <w:kern w:val="0"/>
          <w:sz w:val="24"/>
          <w:szCs w:val="20"/>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b/>
          <w:color w:val="000000"/>
          <w:kern w:val="0"/>
          <w:sz w:val="24"/>
          <w:szCs w:val="20"/>
          <w14:ligatures w14:val="none"/>
        </w:rPr>
        <w:t>Vertical fenestration maximum area with high performance alternates (WSEC C402.4.1.1).</w:t>
      </w:r>
      <w:r w:rsidRPr="006B4A66">
        <w:rPr>
          <w:rFonts w:ascii="Times New Roman" w:eastAsia="Times New Roman" w:hAnsi="Times New Roman" w:cs="Times New Roman"/>
          <w:color w:val="000000"/>
          <w:kern w:val="0"/>
          <w:sz w:val="24"/>
          <w:szCs w:val="20"/>
          <w14:ligatures w14:val="none"/>
        </w:rPr>
        <w:t xml:space="preserve">  For buildings that comply with Section C402.4.1.1.1 or Section C402.4.1.1.2, the total building vertical fenestration area is permitted to exceed the percentage of the total building gross above grade wall area allowed in Table C402.4.1 by 15 percent for Group R-2 multifamily building area types and 10 percent for all other building area types for the purpose of prescriptive compliance with Section C402.1.4.  Not less than 20 percent of all vertical fenestration must comply with the Column B values of WSEC Table C402.4.</w:t>
      </w:r>
    </w:p>
    <w:p w14:paraId="63856A67" w14:textId="78BF5C6A" w:rsidR="006B4A66" w:rsidRPr="006B4A66" w:rsidRDefault="006B4A66" w:rsidP="0073496A">
      <w:pPr>
        <w:widowControl w:val="0"/>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When determining compliance using the component performance alternative in accordance with WSEC C402.1.5, the total building vertical fenestration area allowed in Equation 4-2 (UA-glaze-allow) is allowed to exceed the value in WSEC Table C402.4.1 for Group R-2 multifamily building area types by 15 percent and for all other building area types by 10 percent of the above grade wall area for buildings that comply with the vertical fenestration alternates described in this section.</w:t>
      </w:r>
    </w:p>
    <w:p w14:paraId="104FE350" w14:textId="4D1A1EB8"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52.</w:t>
      </w:r>
      <w:r w:rsidRPr="006B4A66">
        <w:rPr>
          <w:rFonts w:ascii="Times New Roman" w:eastAsia="Times New Roman" w:hAnsi="Times New Roman" w:cs="Times New Roman"/>
          <w:color w:val="000000"/>
          <w:kern w:val="0"/>
          <w:sz w:val="24"/>
          <w:szCs w:val="24"/>
          <w14:ligatures w14:val="none"/>
        </w:rPr>
        <w:t xml:space="preserve">  Ordinance 19485, Section 79, and K.C.C. 16.07.110 are hereby amended to read as follows:</w:t>
      </w:r>
    </w:p>
    <w:p w14:paraId="63D02B2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lastRenderedPageBreak/>
        <w:tab/>
      </w:r>
      <w:r w:rsidRPr="006B4A66">
        <w:rPr>
          <w:rFonts w:ascii="Times New Roman" w:eastAsia="Calibri" w:hAnsi="Times New Roman" w:cs="Times New Roman"/>
          <w:color w:val="000000"/>
          <w:kern w:val="0"/>
          <w:sz w:val="24"/>
          <w14:ligatures w14:val="none"/>
        </w:rPr>
        <w:t>Section C402.4.1.1.2 of the ((</w:t>
      </w:r>
      <w:r w:rsidRPr="006B4A66">
        <w:rPr>
          <w:rFonts w:ascii="Times New Roman" w:eastAsia="Calibri" w:hAnsi="Times New Roman" w:cs="Times New Roman"/>
          <w:strike/>
          <w:color w:val="000000"/>
          <w:kern w:val="0"/>
          <w:sz w:val="24"/>
          <w14:ligatures w14:val="none"/>
        </w:rPr>
        <w:t>International Energy Conservation</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Washington State Energy</w:t>
      </w:r>
      <w:r w:rsidRPr="006B4A66">
        <w:rPr>
          <w:rFonts w:ascii="Times New Roman" w:eastAsia="Calibri" w:hAnsi="Times New Roman" w:cs="Times New Roman"/>
          <w:color w:val="000000"/>
          <w:kern w:val="0"/>
          <w:sz w:val="24"/>
          <w14:ligatures w14:val="none"/>
        </w:rPr>
        <w:t xml:space="preserve"> Code is not adopted and the following is substituted:</w:t>
      </w:r>
    </w:p>
    <w:p w14:paraId="4413A49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spacing w:val="-2"/>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color w:val="000000"/>
          <w:kern w:val="0"/>
          <w:sz w:val="24"/>
          <w14:ligatures w14:val="none"/>
        </w:rPr>
        <w:t>High-performance fenestration ((</w:t>
      </w:r>
      <w:r w:rsidRPr="006B4A66">
        <w:rPr>
          <w:rFonts w:ascii="Times New Roman" w:eastAsia="Calibri" w:hAnsi="Times New Roman" w:cs="Times New Roman"/>
          <w:b/>
          <w:strike/>
          <w:color w:val="000000"/>
          <w:kern w:val="0"/>
          <w:sz w:val="24"/>
          <w14:ligatures w14:val="none"/>
        </w:rPr>
        <w:t>IECC</w:t>
      </w:r>
      <w:r w:rsidRPr="006B4A66">
        <w:rPr>
          <w:rFonts w:ascii="Times New Roman" w:eastAsia="Calibri" w:hAnsi="Times New Roman" w:cs="Times New Roman"/>
          <w:b/>
          <w:color w:val="000000"/>
          <w:kern w:val="0"/>
          <w:sz w:val="24"/>
          <w14:ligatures w14:val="none"/>
        </w:rPr>
        <w:t xml:space="preserve">)) </w:t>
      </w:r>
      <w:r w:rsidRPr="006B4A66">
        <w:rPr>
          <w:rFonts w:ascii="Times New Roman" w:eastAsia="Calibri" w:hAnsi="Times New Roman" w:cs="Times New Roman"/>
          <w:b/>
          <w:bCs/>
          <w:color w:val="000000"/>
          <w:kern w:val="0"/>
          <w:sz w:val="24"/>
          <w:u w:val="single"/>
          <w14:ligatures w14:val="none"/>
        </w:rPr>
        <w:t>WSEC</w:t>
      </w:r>
      <w:r w:rsidRPr="006B4A66">
        <w:rPr>
          <w:rFonts w:ascii="Times New Roman" w:eastAsia="Calibri" w:hAnsi="Times New Roman" w:cs="Times New Roman"/>
          <w:b/>
          <w:bCs/>
          <w:color w:val="000000"/>
          <w:kern w:val="0"/>
          <w:sz w:val="24"/>
          <w14:ligatures w14:val="none"/>
        </w:rPr>
        <w:t xml:space="preserve"> C402.4.1.1.2).</w:t>
      </w:r>
      <w:r w:rsidRPr="006B4A66">
        <w:rPr>
          <w:rFonts w:ascii="Times New Roman" w:eastAsia="Calibri" w:hAnsi="Times New Roman" w:cs="Times New Roman"/>
          <w:color w:val="000000"/>
          <w:kern w:val="0"/>
          <w:sz w:val="24"/>
          <w14:ligatures w14:val="none"/>
        </w:rPr>
        <w:t xml:space="preserve">  The </w:t>
      </w:r>
      <w:r w:rsidRPr="006B4A66">
        <w:rPr>
          <w:rFonts w:ascii="Times New Roman" w:eastAsia="Calibri" w:hAnsi="Times New Roman" w:cs="Times New Roman"/>
          <w:color w:val="000000"/>
          <w:spacing w:val="-2"/>
          <w:kern w:val="0"/>
          <w:sz w:val="24"/>
          <w14:ligatures w14:val="none"/>
        </w:rPr>
        <w:t>following requirements shall be met:</w:t>
      </w:r>
    </w:p>
    <w:p w14:paraId="409E54F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tab/>
        <w:t>1.  All vertical fenestration in the building shall comply with the ((</w:t>
      </w:r>
      <w:r w:rsidRPr="006B4A66">
        <w:rPr>
          <w:rFonts w:ascii="Times New Roman" w:eastAsia="Calibri" w:hAnsi="Times New Roman" w:cs="Times New Roman"/>
          <w:strike/>
          <w:color w:val="000000"/>
          <w:spacing w:val="-2"/>
          <w:kern w:val="0"/>
          <w:sz w:val="24"/>
          <w14:ligatures w14:val="none"/>
        </w:rPr>
        <w:t xml:space="preserve">following </w:t>
      </w:r>
      <w:r w:rsidRPr="006B4A66">
        <w:rPr>
          <w:rFonts w:ascii="Times New Roman" w:eastAsia="Calibri" w:hAnsi="Times New Roman" w:cs="Times New Roman"/>
          <w:strike/>
          <w:color w:val="000000"/>
          <w:kern w:val="0"/>
          <w:sz w:val="24"/>
          <w14:ligatures w14:val="none"/>
        </w:rPr>
        <w:t>maximum</w:t>
      </w:r>
      <w:r w:rsidRPr="006B4A66">
        <w:rPr>
          <w:rFonts w:ascii="Times New Roman" w:eastAsia="Calibri" w:hAnsi="Times New Roman" w:cs="Times New Roman"/>
          <w:color w:val="000000"/>
          <w:kern w:val="0"/>
          <w:sz w:val="24"/>
          <w14:ligatures w14:val="none"/>
        </w:rPr>
        <w:t>)) U-factors ((</w:t>
      </w:r>
      <w:r w:rsidRPr="006B4A66">
        <w:rPr>
          <w:rFonts w:ascii="Times New Roman" w:eastAsia="Calibri" w:hAnsi="Times New Roman" w:cs="Times New Roman"/>
          <w:strike/>
          <w:color w:val="000000"/>
          <w:kern w:val="0"/>
          <w:sz w:val="24"/>
          <w14:ligatures w14:val="none"/>
        </w:rPr>
        <w:t>:</w:t>
      </w:r>
    </w:p>
    <w:p w14:paraId="152EDB08"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1.1. U-factor for Class AW windows rated in accordance with AAMA/CSA101/I.S.2/A440, vertical curtain walls and site-built fenestration products (fixed) = 0.30.</w:t>
      </w:r>
    </w:p>
    <w:p w14:paraId="41957E13"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1.2.  U-factor for Class AW windows rated in accordance with AAMA/CSA101/I.S.2/A440, vertical curtain walls and site-built fenestration products (operable) = 0.36.</w:t>
      </w:r>
    </w:p>
    <w:p w14:paraId="1F127346"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1.3.  Entrance doors = 0.60.</w:t>
      </w:r>
    </w:p>
    <w:p w14:paraId="21DD0C23"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1.4.  U-factor for all other vertical fenestration, fixed = 0.22.</w:t>
      </w:r>
    </w:p>
    <w:p w14:paraId="38276E0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1.5.  U-factor for all other vertical fenestration, operable = 0.24</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in WSEC Table C402.4.1.1.2</w:t>
      </w:r>
      <w:r w:rsidRPr="006B4A66">
        <w:rPr>
          <w:rFonts w:ascii="Times New Roman" w:eastAsia="Calibri" w:hAnsi="Times New Roman" w:cs="Times New Roman"/>
          <w:color w:val="000000"/>
          <w:kern w:val="0"/>
          <w:sz w:val="24"/>
          <w14:ligatures w14:val="none"/>
        </w:rPr>
        <w:t>.</w:t>
      </w:r>
    </w:p>
    <w:p w14:paraId="5BB5288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The SHGC of the vertical fenestration shall be no more than 0.90 times the maximum SHGC values listed in ((</w:t>
      </w:r>
      <w:r w:rsidRPr="006B4A66">
        <w:rPr>
          <w:rFonts w:ascii="Times New Roman" w:eastAsia="Calibri" w:hAnsi="Times New Roman" w:cs="Times New Roman"/>
          <w:strike/>
          <w:color w:val="000000"/>
          <w:kern w:val="0"/>
          <w:sz w:val="24"/>
          <w14:ligatures w14:val="none"/>
        </w:rPr>
        <w:t>IECC</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WSEC</w:t>
      </w:r>
      <w:r w:rsidRPr="006B4A66">
        <w:rPr>
          <w:rFonts w:ascii="Times New Roman" w:eastAsia="Calibri" w:hAnsi="Times New Roman" w:cs="Times New Roman"/>
          <w:color w:val="000000"/>
          <w:kern w:val="0"/>
          <w:sz w:val="24"/>
          <w14:ligatures w14:val="none"/>
        </w:rPr>
        <w:t xml:space="preserve"> Table C402.4.</w:t>
      </w:r>
    </w:p>
    <w:p w14:paraId="4FDFE9E1" w14:textId="4AA0A959"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0000526E">
        <w:rPr>
          <w:rFonts w:ascii="Times New Roman" w:eastAsia="Calibri" w:hAnsi="Times New Roman" w:cs="Times New Roman"/>
          <w:color w:val="000000"/>
          <w:kern w:val="0"/>
          <w:sz w:val="24"/>
          <w:u w:val="single"/>
          <w14:ligatures w14:val="none"/>
        </w:rPr>
        <w:t xml:space="preserve">3.  </w:t>
      </w:r>
      <w:r w:rsidR="0000526E">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14:ligatures w14:val="none"/>
        </w:rPr>
        <w:t xml:space="preserve">An area-weighted average may satisfy the U-factor requirement for each fenestration product category listed </w:t>
      </w:r>
      <w:r w:rsidRPr="00E85BB2">
        <w:rPr>
          <w:rFonts w:ascii="Times New Roman" w:eastAsia="Calibri" w:hAnsi="Times New Roman" w:cs="Times New Roman"/>
          <w:color w:val="000000"/>
          <w:kern w:val="0"/>
          <w:sz w:val="24"/>
          <w14:ligatures w14:val="none"/>
        </w:rPr>
        <w:t xml:space="preserve">in </w:t>
      </w:r>
      <w:r w:rsidR="00E85BB2" w:rsidRPr="001216D4">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subsection 1 of this section</w:t>
      </w:r>
      <w:r w:rsidR="0000526E">
        <w:rPr>
          <w:rFonts w:ascii="Times New Roman" w:eastAsia="Calibri" w:hAnsi="Times New Roman" w:cs="Times New Roman"/>
          <w:color w:val="000000"/>
          <w:kern w:val="0"/>
          <w:sz w:val="24"/>
          <w14:ligatures w14:val="none"/>
        </w:rPr>
        <w:t xml:space="preserve">)) WSEC </w:t>
      </w:r>
      <w:r w:rsidR="0000526E">
        <w:rPr>
          <w:rFonts w:ascii="Times New Roman" w:eastAsia="Calibri" w:hAnsi="Times New Roman" w:cs="Times New Roman"/>
          <w:color w:val="000000"/>
          <w:kern w:val="0"/>
          <w:sz w:val="24"/>
          <w:u w:val="single"/>
          <w14:ligatures w14:val="none"/>
        </w:rPr>
        <w:t>Table C402.1.1.2</w:t>
      </w:r>
      <w:r w:rsidRPr="006B4A66">
        <w:rPr>
          <w:rFonts w:ascii="Times New Roman" w:eastAsia="Calibri" w:hAnsi="Times New Roman" w:cs="Times New Roman"/>
          <w:color w:val="000000"/>
          <w:kern w:val="0"/>
          <w:sz w:val="24"/>
          <w14:ligatures w14:val="none"/>
        </w:rPr>
        <w:t>.  Individual fenestration products from different fenestration product categories shall not be combined in calculating the area-weighted average U-factor</w:t>
      </w:r>
      <w:r w:rsidRPr="006B4A66">
        <w:rPr>
          <w:rFonts w:ascii="Times New Roman" w:eastAsia="Calibri" w:hAnsi="Times New Roman" w:cs="Times New Roman"/>
          <w:color w:val="000000"/>
          <w:kern w:val="0"/>
          <w:sz w:val="24"/>
          <w:u w:val="single"/>
          <w14:ligatures w14:val="none"/>
        </w:rPr>
        <w:t xml:space="preserve">, except that fenestration from the same column in lines a. and b. are permitted to be </w:t>
      </w:r>
      <w:r w:rsidRPr="006B4A66">
        <w:rPr>
          <w:rFonts w:ascii="Times New Roman" w:eastAsia="Calibri" w:hAnsi="Times New Roman" w:cs="Times New Roman"/>
          <w:color w:val="000000"/>
          <w:kern w:val="0"/>
          <w:sz w:val="24"/>
          <w:u w:val="single"/>
          <w14:ligatures w14:val="none"/>
        </w:rPr>
        <w:lastRenderedPageBreak/>
        <w:t>combined, and the fenestration from the same column in lines d. and e. are permitted to be combined</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Maximum U-factors for skylights, and the maximum SHGC values for all fenestration, shall comply with WSEC</w:t>
      </w:r>
      <w:r w:rsidRPr="001216D4">
        <w:rPr>
          <w:rFonts w:ascii="Times New Roman" w:eastAsia="Calibri" w:hAnsi="Times New Roman" w:cs="Times New Roman"/>
          <w:color w:val="000000"/>
          <w:kern w:val="0"/>
          <w:sz w:val="24"/>
          <w:u w:val="single"/>
          <w14:ligatures w14:val="none"/>
        </w:rPr>
        <w:t xml:space="preserve"> </w:t>
      </w:r>
      <w:r w:rsidRPr="006B4A66">
        <w:rPr>
          <w:rFonts w:ascii="Times New Roman" w:eastAsia="Calibri" w:hAnsi="Times New Roman" w:cs="Times New Roman"/>
          <w:color w:val="000000"/>
          <w:kern w:val="0"/>
          <w:sz w:val="24"/>
          <w:u w:val="single"/>
          <w14:ligatures w14:val="none"/>
        </w:rPr>
        <w:t>C402.4.</w:t>
      </w:r>
    </w:p>
    <w:p w14:paraId="5C1C30BB" w14:textId="77777777" w:rsidR="006B4A66" w:rsidRPr="006B4A66" w:rsidRDefault="006B4A66" w:rsidP="0073496A">
      <w:pPr>
        <w:spacing w:after="0" w:line="480" w:lineRule="auto"/>
        <w:jc w:val="center"/>
        <w:rPr>
          <w:rFonts w:ascii="Times New Roman" w:eastAsia="Calibri" w:hAnsi="Times New Roman" w:cs="Times New Roman"/>
          <w:b/>
          <w:color w:val="000000"/>
          <w:kern w:val="0"/>
          <w:sz w:val="24"/>
          <w:u w:val="single"/>
          <w14:ligatures w14:val="none"/>
        </w:rPr>
      </w:pPr>
      <w:r w:rsidRPr="006B4A66">
        <w:rPr>
          <w:rFonts w:ascii="Times New Roman" w:eastAsia="Calibri" w:hAnsi="Times New Roman" w:cs="Times New Roman"/>
          <w:b/>
          <w:color w:val="000000"/>
          <w:kern w:val="0"/>
          <w:sz w:val="24"/>
          <w:u w:val="single"/>
          <w14:ligatures w14:val="none"/>
        </w:rPr>
        <w:t>Table C402.4.1.1.2</w:t>
      </w:r>
    </w:p>
    <w:p w14:paraId="7F3E679A" w14:textId="50DD14D8" w:rsidR="006B4A66" w:rsidRPr="006B4A66" w:rsidRDefault="006B4A66" w:rsidP="0073496A">
      <w:pPr>
        <w:spacing w:after="0" w:line="480" w:lineRule="auto"/>
        <w:jc w:val="center"/>
        <w:rPr>
          <w:rFonts w:ascii="Times New Roman" w:eastAsia="Calibri" w:hAnsi="Times New Roman" w:cs="Times New Roman"/>
          <w:b/>
          <w:color w:val="000000"/>
          <w:kern w:val="0"/>
          <w:sz w:val="24"/>
          <w:u w:val="single"/>
          <w14:ligatures w14:val="none"/>
        </w:rPr>
      </w:pPr>
      <w:r w:rsidRPr="006B4A66">
        <w:rPr>
          <w:rFonts w:ascii="Times New Roman" w:eastAsia="Calibri" w:hAnsi="Times New Roman" w:cs="Times New Roman"/>
          <w:b/>
          <w:color w:val="000000"/>
          <w:kern w:val="0"/>
          <w:sz w:val="24"/>
          <w:u w:val="single"/>
          <w14:ligatures w14:val="none"/>
        </w:rPr>
        <w:t>Building Envelope High Performance</w:t>
      </w:r>
      <w:r w:rsidR="0029549E">
        <w:rPr>
          <w:rFonts w:ascii="Times New Roman" w:eastAsia="Calibri" w:hAnsi="Times New Roman" w:cs="Times New Roman"/>
          <w:b/>
          <w:color w:val="000000"/>
          <w:kern w:val="0"/>
          <w:sz w:val="24"/>
          <w:u w:val="single"/>
          <w14:ligatures w14:val="none"/>
        </w:rPr>
        <w:t xml:space="preserve"> </w:t>
      </w:r>
      <w:r w:rsidRPr="006B4A66">
        <w:rPr>
          <w:rFonts w:ascii="Times New Roman" w:eastAsia="Calibri" w:hAnsi="Times New Roman" w:cs="Times New Roman"/>
          <w:b/>
          <w:color w:val="000000"/>
          <w:kern w:val="0"/>
          <w:sz w:val="24"/>
          <w:u w:val="single"/>
          <w14:ligatures w14:val="none"/>
        </w:rPr>
        <w:t>Fenestration Maximum U-Factor</w:t>
      </w:r>
      <w:bookmarkStart w:id="4" w:name="_Hlk132525742"/>
    </w:p>
    <w:tbl>
      <w:tblPr>
        <w:tblW w:w="0" w:type="auto"/>
        <w:jc w:val="center"/>
        <w:tblCellMar>
          <w:left w:w="0" w:type="dxa"/>
          <w:right w:w="0" w:type="dxa"/>
        </w:tblCellMar>
        <w:tblLook w:val="04A0" w:firstRow="1" w:lastRow="0" w:firstColumn="1" w:lastColumn="0" w:noHBand="0" w:noVBand="1"/>
      </w:tblPr>
      <w:tblGrid>
        <w:gridCol w:w="560"/>
        <w:gridCol w:w="2403"/>
        <w:gridCol w:w="2994"/>
        <w:gridCol w:w="2663"/>
      </w:tblGrid>
      <w:tr w:rsidR="006B4A66" w:rsidRPr="006B4A66" w14:paraId="35C37D90" w14:textId="77777777" w:rsidTr="0029549E">
        <w:trPr>
          <w:tblHeader/>
          <w:jc w:val="center"/>
        </w:trPr>
        <w:tc>
          <w:tcPr>
            <w:tcW w:w="568" w:type="dxa"/>
            <w:tcBorders>
              <w:top w:val="single" w:sz="8" w:space="0" w:color="auto"/>
              <w:left w:val="single" w:sz="8" w:space="0" w:color="auto"/>
              <w:bottom w:val="single" w:sz="8" w:space="0" w:color="auto"/>
              <w:right w:val="single" w:sz="8" w:space="0" w:color="auto"/>
            </w:tcBorders>
          </w:tcPr>
          <w:p w14:paraId="18197CAE" w14:textId="77777777" w:rsidR="006B4A66" w:rsidRPr="006B4A66" w:rsidRDefault="006B4A66" w:rsidP="0073496A">
            <w:pPr>
              <w:spacing w:after="0" w:line="480" w:lineRule="auto"/>
              <w:rPr>
                <w:rFonts w:ascii="Times New Roman" w:eastAsia="Calibri" w:hAnsi="Times New Roman" w:cs="Times New Roman"/>
                <w:b/>
                <w:bCs/>
                <w:color w:val="000000"/>
                <w:kern w:val="0"/>
                <w:sz w:val="24"/>
                <w:u w:val="single"/>
                <w:bdr w:val="none" w:sz="0" w:space="0" w:color="auto" w:frame="1"/>
                <w:shd w:val="clear" w:color="auto" w:fill="00FFFF"/>
                <w14:ligatures w14:val="none"/>
              </w:rPr>
            </w:pPr>
          </w:p>
        </w:tc>
        <w:tc>
          <w:tcPr>
            <w:tcW w:w="2432" w:type="dxa"/>
            <w:tcBorders>
              <w:top w:val="single" w:sz="8" w:space="0" w:color="auto"/>
              <w:left w:val="single" w:sz="8" w:space="0" w:color="auto"/>
              <w:bottom w:val="single" w:sz="8" w:space="0" w:color="auto"/>
              <w:right w:val="single" w:sz="8" w:space="0" w:color="auto"/>
            </w:tcBorders>
            <w:tcMar>
              <w:top w:w="40" w:type="dxa"/>
              <w:left w:w="120" w:type="dxa"/>
              <w:bottom w:w="40" w:type="dxa"/>
              <w:right w:w="120" w:type="dxa"/>
            </w:tcMar>
            <w:hideMark/>
          </w:tcPr>
          <w:p w14:paraId="24D0CAE5"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c>
          <w:tcPr>
            <w:tcW w:w="3028" w:type="dxa"/>
            <w:tcBorders>
              <w:top w:val="single" w:sz="8" w:space="0" w:color="auto"/>
              <w:left w:val="nil"/>
              <w:bottom w:val="single" w:sz="8" w:space="0" w:color="auto"/>
              <w:right w:val="single" w:sz="8" w:space="0" w:color="auto"/>
            </w:tcBorders>
            <w:tcMar>
              <w:top w:w="40" w:type="dxa"/>
              <w:left w:w="120" w:type="dxa"/>
              <w:bottom w:w="40" w:type="dxa"/>
              <w:right w:w="120" w:type="dxa"/>
            </w:tcMar>
            <w:hideMark/>
          </w:tcPr>
          <w:p w14:paraId="7904890E" w14:textId="77777777" w:rsidR="006B4A66" w:rsidRPr="006B4A66" w:rsidRDefault="006B4A66" w:rsidP="0073496A">
            <w:pPr>
              <w:spacing w:after="0" w:line="480" w:lineRule="auto"/>
              <w:rPr>
                <w:rFonts w:ascii="Times New Roman" w:eastAsia="Calibri" w:hAnsi="Times New Roman" w:cs="Times New Roman"/>
                <w:b/>
                <w:bCs/>
                <w:color w:val="000000"/>
                <w:kern w:val="0"/>
                <w:sz w:val="24"/>
                <w:u w:val="single"/>
                <w14:ligatures w14:val="none"/>
              </w:rPr>
            </w:pPr>
            <w:r w:rsidRPr="006B4A66">
              <w:rPr>
                <w:rFonts w:ascii="Times New Roman" w:eastAsia="Calibri" w:hAnsi="Times New Roman" w:cs="Times New Roman"/>
                <w:b/>
                <w:bCs/>
                <w:color w:val="000000"/>
                <w:kern w:val="0"/>
                <w:sz w:val="24"/>
                <w:u w:val="single"/>
                <w14:ligatures w14:val="none"/>
              </w:rPr>
              <w:t>Column C</w:t>
            </w:r>
          </w:p>
          <w:p w14:paraId="3E0AE46F" w14:textId="09FB1854" w:rsidR="006B4A66" w:rsidRPr="006B4A66" w:rsidRDefault="006B4A66" w:rsidP="0073496A">
            <w:pPr>
              <w:spacing w:after="0" w:line="480" w:lineRule="auto"/>
              <w:rPr>
                <w:rFonts w:ascii="Times New Roman" w:eastAsia="Calibri" w:hAnsi="Times New Roman" w:cs="Times New Roman"/>
                <w:b/>
                <w:bCs/>
                <w:color w:val="000000"/>
                <w:kern w:val="0"/>
                <w:sz w:val="24"/>
                <w:u w:val="single"/>
                <w14:ligatures w14:val="none"/>
              </w:rPr>
            </w:pPr>
            <w:r w:rsidRPr="006B4A66">
              <w:rPr>
                <w:rFonts w:ascii="Times New Roman" w:eastAsia="Calibri" w:hAnsi="Times New Roman" w:cs="Times New Roman"/>
                <w:b/>
                <w:bCs/>
                <w:color w:val="000000"/>
                <w:kern w:val="0"/>
                <w:sz w:val="24"/>
                <w:u w:val="single"/>
                <w14:ligatures w14:val="none"/>
              </w:rPr>
              <w:t>Standard performance portion, applicable to no more than 80 percent of vertical fenestration area, or 65 percent for compliance with Exception 1 to WSEC C402.4.1</w:t>
            </w:r>
          </w:p>
        </w:tc>
        <w:tc>
          <w:tcPr>
            <w:tcW w:w="2692" w:type="dxa"/>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42EA4406" w14:textId="77777777" w:rsidR="006B4A66" w:rsidRPr="006B4A66" w:rsidRDefault="006B4A66" w:rsidP="0073496A">
            <w:pPr>
              <w:spacing w:after="0" w:line="480" w:lineRule="auto"/>
              <w:rPr>
                <w:rFonts w:ascii="Times New Roman" w:eastAsia="Calibri" w:hAnsi="Times New Roman" w:cs="Times New Roman"/>
                <w:b/>
                <w:bCs/>
                <w:color w:val="000000"/>
                <w:kern w:val="0"/>
                <w:sz w:val="24"/>
                <w:u w:val="single"/>
                <w14:ligatures w14:val="none"/>
              </w:rPr>
            </w:pPr>
            <w:r w:rsidRPr="006B4A66">
              <w:rPr>
                <w:rFonts w:ascii="Times New Roman" w:eastAsia="Calibri" w:hAnsi="Times New Roman" w:cs="Times New Roman"/>
                <w:b/>
                <w:bCs/>
                <w:color w:val="000000"/>
                <w:kern w:val="0"/>
                <w:sz w:val="24"/>
                <w:u w:val="single"/>
                <w14:ligatures w14:val="none"/>
              </w:rPr>
              <w:t>Column D</w:t>
            </w:r>
          </w:p>
          <w:p w14:paraId="304081E2" w14:textId="590A27E6" w:rsidR="006B4A66" w:rsidRPr="006B4A66" w:rsidRDefault="006B4A66" w:rsidP="0073496A">
            <w:pPr>
              <w:spacing w:after="0" w:line="480" w:lineRule="auto"/>
              <w:rPr>
                <w:rFonts w:ascii="Times New Roman" w:eastAsia="Calibri" w:hAnsi="Times New Roman" w:cs="Times New Roman"/>
                <w:b/>
                <w:bCs/>
                <w:color w:val="000000"/>
                <w:kern w:val="0"/>
                <w:sz w:val="24"/>
                <w:u w:val="single"/>
                <w14:ligatures w14:val="none"/>
              </w:rPr>
            </w:pPr>
            <w:r w:rsidRPr="006B4A66">
              <w:rPr>
                <w:rFonts w:ascii="Times New Roman" w:eastAsia="Calibri" w:hAnsi="Times New Roman" w:cs="Times New Roman"/>
                <w:b/>
                <w:bCs/>
                <w:color w:val="000000"/>
                <w:kern w:val="0"/>
                <w:sz w:val="24"/>
                <w:u w:val="single"/>
                <w14:ligatures w14:val="none"/>
              </w:rPr>
              <w:t>High performance portion applicable to no less than 20 percent of vertical fenestration area, or 35 percent for compliance with Exception 1 to WSEC C402.4.1</w:t>
            </w:r>
          </w:p>
        </w:tc>
      </w:tr>
      <w:tr w:rsidR="0029549E" w:rsidRPr="006B4A66" w14:paraId="50876353" w14:textId="77777777">
        <w:trPr>
          <w:trHeight w:val="408"/>
          <w:jc w:val="center"/>
        </w:trPr>
        <w:tc>
          <w:tcPr>
            <w:tcW w:w="8720" w:type="dxa"/>
            <w:gridSpan w:val="4"/>
            <w:tcBorders>
              <w:top w:val="nil"/>
              <w:left w:val="single" w:sz="8" w:space="0" w:color="auto"/>
              <w:bottom w:val="single" w:sz="8" w:space="0" w:color="auto"/>
              <w:right w:val="single" w:sz="8" w:space="0" w:color="auto"/>
            </w:tcBorders>
          </w:tcPr>
          <w:p w14:paraId="38FCAD0B" w14:textId="77777777" w:rsidR="0029549E" w:rsidRPr="001216D4" w:rsidRDefault="0029549E" w:rsidP="0073496A">
            <w:pPr>
              <w:spacing w:after="0" w:line="480" w:lineRule="auto"/>
              <w:rPr>
                <w:rFonts w:ascii="Times New Roman" w:eastAsia="Calibri" w:hAnsi="Times New Roman" w:cs="Times New Roman"/>
                <w:b/>
                <w:bCs/>
                <w:color w:val="000000"/>
                <w:kern w:val="0"/>
                <w:sz w:val="24"/>
                <w:u w:val="single"/>
                <w14:ligatures w14:val="none"/>
              </w:rPr>
            </w:pPr>
            <w:r w:rsidRPr="001216D4">
              <w:rPr>
                <w:rFonts w:ascii="Times New Roman" w:eastAsia="Calibri" w:hAnsi="Times New Roman" w:cs="Times New Roman"/>
                <w:b/>
                <w:bCs/>
                <w:color w:val="000000"/>
                <w:kern w:val="0"/>
                <w:sz w:val="24"/>
                <w:u w:val="single"/>
                <w14:ligatures w14:val="none"/>
              </w:rPr>
              <w:t>U-factor for Class AW windows rated in accordance with AAMA/CSA101/I.S.2/A440, vertical curtain walls and site-built fenestration products</w:t>
            </w:r>
            <w:r w:rsidRPr="001216D4">
              <w:rPr>
                <w:rFonts w:ascii="Times New Roman" w:eastAsia="Calibri" w:hAnsi="Times New Roman" w:cs="Times New Roman"/>
                <w:b/>
                <w:bCs/>
                <w:color w:val="000000"/>
                <w:kern w:val="0"/>
                <w:sz w:val="24"/>
                <w:u w:val="single"/>
                <w:vertAlign w:val="superscript"/>
                <w14:ligatures w14:val="none"/>
              </w:rPr>
              <w:t>1</w:t>
            </w:r>
          </w:p>
        </w:tc>
      </w:tr>
      <w:tr w:rsidR="006B4A66" w:rsidRPr="006B4A66" w14:paraId="0D8D5BEB" w14:textId="77777777" w:rsidTr="0029549E">
        <w:trPr>
          <w:jc w:val="center"/>
        </w:trPr>
        <w:tc>
          <w:tcPr>
            <w:tcW w:w="568" w:type="dxa"/>
            <w:tcBorders>
              <w:top w:val="nil"/>
              <w:left w:val="single" w:sz="8" w:space="0" w:color="auto"/>
              <w:bottom w:val="single" w:sz="8" w:space="0" w:color="auto"/>
              <w:right w:val="single" w:sz="8" w:space="0" w:color="auto"/>
            </w:tcBorders>
          </w:tcPr>
          <w:p w14:paraId="74FA494E" w14:textId="77777777" w:rsidR="006B4A66" w:rsidRPr="006B4A66" w:rsidRDefault="006B4A66" w:rsidP="0073496A">
            <w:pPr>
              <w:spacing w:after="0" w:line="480" w:lineRule="auto"/>
              <w:rPr>
                <w:rFonts w:ascii="Times New Roman" w:eastAsia="Calibri" w:hAnsi="Times New Roman" w:cs="Times New Roman"/>
                <w:color w:val="000000"/>
                <w:kern w:val="0"/>
                <w:sz w:val="24"/>
                <w:u w:val="single"/>
                <w:bdr w:val="none" w:sz="0" w:space="0" w:color="auto" w:frame="1"/>
                <w:shd w:val="clear" w:color="auto" w:fill="00FFFF"/>
                <w14:ligatures w14:val="none"/>
              </w:rPr>
            </w:pPr>
            <w:r w:rsidRPr="001216D4">
              <w:rPr>
                <w:rFonts w:ascii="Times New Roman" w:eastAsia="Calibri" w:hAnsi="Times New Roman" w:cs="Times New Roman"/>
                <w:color w:val="000000"/>
                <w:kern w:val="0"/>
                <w:sz w:val="24"/>
                <w:u w:val="single"/>
                <w14:ligatures w14:val="none"/>
              </w:rPr>
              <w:t>a</w:t>
            </w:r>
            <w:r w:rsidRPr="006B4A66">
              <w:rPr>
                <w:rFonts w:ascii="Times New Roman" w:eastAsia="Calibri" w:hAnsi="Times New Roman" w:cs="Times New Roman"/>
                <w:color w:val="000000"/>
                <w:kern w:val="0"/>
                <w:sz w:val="24"/>
                <w:u w:val="single"/>
                <w14:ligatures w14:val="none"/>
              </w:rPr>
              <w:t>.</w:t>
            </w:r>
          </w:p>
        </w:tc>
        <w:tc>
          <w:tcPr>
            <w:tcW w:w="2432" w:type="dxa"/>
            <w:tcBorders>
              <w:top w:val="nil"/>
              <w:left w:val="single" w:sz="8" w:space="0" w:color="auto"/>
              <w:bottom w:val="single" w:sz="8" w:space="0" w:color="auto"/>
              <w:right w:val="single" w:sz="8" w:space="0" w:color="auto"/>
            </w:tcBorders>
            <w:tcMar>
              <w:top w:w="40" w:type="dxa"/>
              <w:left w:w="120" w:type="dxa"/>
              <w:bottom w:w="40" w:type="dxa"/>
              <w:right w:w="120" w:type="dxa"/>
            </w:tcMar>
            <w:hideMark/>
          </w:tcPr>
          <w:p w14:paraId="40DB339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u w:val="single"/>
                <w14:ligatures w14:val="none"/>
              </w:rPr>
              <w:t>Fixed</w:t>
            </w:r>
            <w:r w:rsidRPr="006B4A66">
              <w:rPr>
                <w:rFonts w:ascii="Times New Roman" w:eastAsia="Calibri" w:hAnsi="Times New Roman" w:cs="Times New Roman"/>
                <w:color w:val="000000"/>
                <w:kern w:val="0"/>
                <w:sz w:val="24"/>
                <w:u w:val="single"/>
                <w:vertAlign w:val="superscript"/>
                <w14:ligatures w14:val="none"/>
              </w:rPr>
              <w:t>2</w:t>
            </w:r>
            <w:r w:rsidRPr="006B4A66">
              <w:rPr>
                <w:rFonts w:ascii="Times New Roman" w:eastAsia="Calibri" w:hAnsi="Times New Roman" w:cs="Times New Roman"/>
                <w:color w:val="000000"/>
                <w:kern w:val="0"/>
                <w:sz w:val="24"/>
                <w:u w:val="single"/>
                <w14:ligatures w14:val="none"/>
              </w:rPr>
              <w:t xml:space="preserve"> U-factor</w:t>
            </w:r>
          </w:p>
        </w:tc>
        <w:tc>
          <w:tcPr>
            <w:tcW w:w="3028" w:type="dxa"/>
            <w:tcBorders>
              <w:top w:val="nil"/>
              <w:left w:val="nil"/>
              <w:bottom w:val="single" w:sz="8" w:space="0" w:color="auto"/>
              <w:right w:val="single" w:sz="8" w:space="0" w:color="auto"/>
            </w:tcBorders>
            <w:tcMar>
              <w:top w:w="40" w:type="dxa"/>
              <w:left w:w="120" w:type="dxa"/>
              <w:bottom w:w="40" w:type="dxa"/>
              <w:right w:w="120" w:type="dxa"/>
            </w:tcMar>
            <w:hideMark/>
          </w:tcPr>
          <w:p w14:paraId="3457043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u w:val="single"/>
                <w14:ligatures w14:val="none"/>
              </w:rPr>
              <w:t>U-0.26</w:t>
            </w:r>
          </w:p>
        </w:tc>
        <w:tc>
          <w:tcPr>
            <w:tcW w:w="2692" w:type="dxa"/>
            <w:tcBorders>
              <w:top w:val="nil"/>
              <w:left w:val="nil"/>
              <w:bottom w:val="single" w:sz="8" w:space="0" w:color="auto"/>
              <w:right w:val="single" w:sz="8" w:space="0" w:color="auto"/>
            </w:tcBorders>
            <w:tcMar>
              <w:top w:w="0" w:type="dxa"/>
              <w:left w:w="70" w:type="dxa"/>
              <w:bottom w:w="0" w:type="dxa"/>
              <w:right w:w="70" w:type="dxa"/>
            </w:tcMar>
            <w:hideMark/>
          </w:tcPr>
          <w:p w14:paraId="094A96F1"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u w:val="single"/>
                <w14:ligatures w14:val="none"/>
              </w:rPr>
              <w:t>U-0.22</w:t>
            </w:r>
          </w:p>
        </w:tc>
      </w:tr>
      <w:tr w:rsidR="006B4A66" w:rsidRPr="006B4A66" w14:paraId="55238E8F" w14:textId="77777777" w:rsidTr="0029549E">
        <w:trPr>
          <w:jc w:val="center"/>
        </w:trPr>
        <w:tc>
          <w:tcPr>
            <w:tcW w:w="568" w:type="dxa"/>
            <w:tcBorders>
              <w:top w:val="nil"/>
              <w:left w:val="single" w:sz="8" w:space="0" w:color="auto"/>
              <w:bottom w:val="single" w:sz="8" w:space="0" w:color="auto"/>
              <w:right w:val="single" w:sz="8" w:space="0" w:color="auto"/>
            </w:tcBorders>
          </w:tcPr>
          <w:p w14:paraId="030BFAFA" w14:textId="77777777" w:rsidR="006B4A66" w:rsidRPr="006B4A66" w:rsidRDefault="006B4A66" w:rsidP="0073496A">
            <w:pPr>
              <w:spacing w:after="0" w:line="480" w:lineRule="auto"/>
              <w:rPr>
                <w:rFonts w:ascii="Times New Roman" w:eastAsia="Calibri" w:hAnsi="Times New Roman" w:cs="Times New Roman"/>
                <w:color w:val="000000"/>
                <w:kern w:val="0"/>
                <w:sz w:val="24"/>
                <w:u w:val="single"/>
                <w:bdr w:val="none" w:sz="0" w:space="0" w:color="auto" w:frame="1"/>
                <w:shd w:val="clear" w:color="auto" w:fill="00FFFF"/>
                <w14:ligatures w14:val="none"/>
              </w:rPr>
            </w:pPr>
            <w:r w:rsidRPr="006B4A66">
              <w:rPr>
                <w:rFonts w:ascii="Times New Roman" w:eastAsia="Calibri" w:hAnsi="Times New Roman" w:cs="Times New Roman"/>
                <w:color w:val="000000"/>
                <w:kern w:val="0"/>
                <w:sz w:val="24"/>
                <w:u w:val="single"/>
                <w14:ligatures w14:val="none"/>
              </w:rPr>
              <w:t>b.</w:t>
            </w:r>
          </w:p>
        </w:tc>
        <w:tc>
          <w:tcPr>
            <w:tcW w:w="2432" w:type="dxa"/>
            <w:tcBorders>
              <w:top w:val="nil"/>
              <w:left w:val="single" w:sz="8" w:space="0" w:color="auto"/>
              <w:bottom w:val="single" w:sz="8" w:space="0" w:color="auto"/>
              <w:right w:val="single" w:sz="8" w:space="0" w:color="auto"/>
            </w:tcBorders>
            <w:tcMar>
              <w:top w:w="40" w:type="dxa"/>
              <w:left w:w="120" w:type="dxa"/>
              <w:bottom w:w="40" w:type="dxa"/>
              <w:right w:w="120" w:type="dxa"/>
            </w:tcMar>
            <w:hideMark/>
          </w:tcPr>
          <w:p w14:paraId="7DA7E98F"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u w:val="single"/>
                <w14:ligatures w14:val="none"/>
              </w:rPr>
              <w:t>Operable</w:t>
            </w:r>
            <w:r w:rsidRPr="006B4A66">
              <w:rPr>
                <w:rFonts w:ascii="Times New Roman" w:eastAsia="Calibri" w:hAnsi="Times New Roman" w:cs="Times New Roman"/>
                <w:color w:val="000000"/>
                <w:kern w:val="0"/>
                <w:sz w:val="24"/>
                <w:u w:val="single"/>
                <w:vertAlign w:val="superscript"/>
                <w14:ligatures w14:val="none"/>
              </w:rPr>
              <w:t>3</w:t>
            </w:r>
            <w:r w:rsidRPr="006B4A66">
              <w:rPr>
                <w:rFonts w:ascii="Times New Roman" w:eastAsia="Calibri" w:hAnsi="Times New Roman" w:cs="Times New Roman"/>
                <w:color w:val="000000"/>
                <w:kern w:val="0"/>
                <w:sz w:val="24"/>
                <w:u w:val="single"/>
                <w14:ligatures w14:val="none"/>
              </w:rPr>
              <w:t xml:space="preserve"> U-factor</w:t>
            </w:r>
          </w:p>
        </w:tc>
        <w:tc>
          <w:tcPr>
            <w:tcW w:w="3028" w:type="dxa"/>
            <w:tcBorders>
              <w:top w:val="nil"/>
              <w:left w:val="nil"/>
              <w:bottom w:val="single" w:sz="8" w:space="0" w:color="auto"/>
              <w:right w:val="single" w:sz="8" w:space="0" w:color="auto"/>
            </w:tcBorders>
            <w:tcMar>
              <w:top w:w="40" w:type="dxa"/>
              <w:left w:w="120" w:type="dxa"/>
              <w:bottom w:w="40" w:type="dxa"/>
              <w:right w:w="120" w:type="dxa"/>
            </w:tcMar>
            <w:hideMark/>
          </w:tcPr>
          <w:p w14:paraId="2DB8219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u w:val="single"/>
                <w14:ligatures w14:val="none"/>
              </w:rPr>
              <w:t>U-0.30</w:t>
            </w:r>
          </w:p>
        </w:tc>
        <w:tc>
          <w:tcPr>
            <w:tcW w:w="2692" w:type="dxa"/>
            <w:tcBorders>
              <w:top w:val="nil"/>
              <w:left w:val="nil"/>
              <w:bottom w:val="single" w:sz="8" w:space="0" w:color="auto"/>
              <w:right w:val="single" w:sz="8" w:space="0" w:color="auto"/>
            </w:tcBorders>
            <w:tcMar>
              <w:top w:w="0" w:type="dxa"/>
              <w:left w:w="70" w:type="dxa"/>
              <w:bottom w:w="0" w:type="dxa"/>
              <w:right w:w="70" w:type="dxa"/>
            </w:tcMar>
            <w:hideMark/>
          </w:tcPr>
          <w:p w14:paraId="0BEE6EF6"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u w:val="single"/>
                <w14:ligatures w14:val="none"/>
              </w:rPr>
              <w:t>U-0.26</w:t>
            </w:r>
          </w:p>
        </w:tc>
      </w:tr>
      <w:tr w:rsidR="0029549E" w:rsidRPr="006B4A66" w14:paraId="1F4CF40D" w14:textId="77777777">
        <w:trPr>
          <w:trHeight w:val="408"/>
          <w:jc w:val="center"/>
        </w:trPr>
        <w:tc>
          <w:tcPr>
            <w:tcW w:w="8720" w:type="dxa"/>
            <w:gridSpan w:val="4"/>
            <w:tcBorders>
              <w:top w:val="nil"/>
              <w:left w:val="single" w:sz="8" w:space="0" w:color="auto"/>
              <w:bottom w:val="single" w:sz="8" w:space="0" w:color="auto"/>
              <w:right w:val="single" w:sz="8" w:space="0" w:color="auto"/>
            </w:tcBorders>
          </w:tcPr>
          <w:p w14:paraId="58F3E2B4" w14:textId="4C7579D6" w:rsidR="0029549E" w:rsidRPr="001216D4" w:rsidRDefault="0029549E" w:rsidP="0073496A">
            <w:pPr>
              <w:spacing w:after="0" w:line="480" w:lineRule="auto"/>
              <w:rPr>
                <w:rFonts w:ascii="Times New Roman" w:eastAsia="Calibri" w:hAnsi="Times New Roman" w:cs="Times New Roman"/>
                <w:b/>
                <w:bCs/>
                <w:color w:val="000000"/>
                <w:kern w:val="0"/>
                <w:sz w:val="24"/>
                <w14:ligatures w14:val="none"/>
              </w:rPr>
            </w:pPr>
            <w:r w:rsidRPr="001216D4">
              <w:rPr>
                <w:rFonts w:ascii="Times New Roman" w:eastAsia="Calibri" w:hAnsi="Times New Roman" w:cs="Times New Roman"/>
                <w:b/>
                <w:bCs/>
                <w:color w:val="000000"/>
                <w:kern w:val="0"/>
                <w:sz w:val="24"/>
                <w:u w:val="single"/>
                <w14:ligatures w14:val="none"/>
              </w:rPr>
              <w:t>U-factor for entrance doors</w:t>
            </w:r>
            <w:r w:rsidRPr="001216D4">
              <w:rPr>
                <w:rFonts w:ascii="Times New Roman" w:eastAsia="Calibri" w:hAnsi="Times New Roman" w:cs="Times New Roman"/>
                <w:b/>
                <w:bCs/>
                <w:color w:val="000000"/>
                <w:kern w:val="0"/>
                <w:sz w:val="24"/>
                <w:u w:val="single"/>
                <w:vertAlign w:val="superscript"/>
                <w14:ligatures w14:val="none"/>
              </w:rPr>
              <w:t>4</w:t>
            </w:r>
          </w:p>
        </w:tc>
      </w:tr>
      <w:tr w:rsidR="006B4A66" w:rsidRPr="006B4A66" w14:paraId="4B3EB11D" w14:textId="77777777" w:rsidTr="0029549E">
        <w:trPr>
          <w:jc w:val="center"/>
        </w:trPr>
        <w:tc>
          <w:tcPr>
            <w:tcW w:w="568" w:type="dxa"/>
            <w:tcBorders>
              <w:top w:val="nil"/>
              <w:left w:val="single" w:sz="8" w:space="0" w:color="auto"/>
              <w:bottom w:val="single" w:sz="8" w:space="0" w:color="auto"/>
              <w:right w:val="single" w:sz="8" w:space="0" w:color="auto"/>
            </w:tcBorders>
          </w:tcPr>
          <w:p w14:paraId="663B5656" w14:textId="77777777" w:rsidR="006B4A66" w:rsidRPr="006B4A66" w:rsidRDefault="006B4A66" w:rsidP="0073496A">
            <w:pPr>
              <w:spacing w:after="0" w:line="480" w:lineRule="auto"/>
              <w:rPr>
                <w:rFonts w:ascii="Times New Roman" w:eastAsia="Calibri" w:hAnsi="Times New Roman" w:cs="Times New Roman"/>
                <w:color w:val="000000"/>
                <w:kern w:val="0"/>
                <w:sz w:val="24"/>
                <w:u w:val="single"/>
                <w:bdr w:val="none" w:sz="0" w:space="0" w:color="auto" w:frame="1"/>
                <w:shd w:val="clear" w:color="auto" w:fill="00FFFF"/>
                <w14:ligatures w14:val="none"/>
              </w:rPr>
            </w:pPr>
            <w:r w:rsidRPr="006B4A66">
              <w:rPr>
                <w:rFonts w:ascii="Times New Roman" w:eastAsia="Calibri" w:hAnsi="Times New Roman" w:cs="Times New Roman"/>
                <w:color w:val="000000"/>
                <w:kern w:val="0"/>
                <w:sz w:val="24"/>
                <w:u w:val="single"/>
                <w14:ligatures w14:val="none"/>
              </w:rPr>
              <w:t>c.</w:t>
            </w:r>
          </w:p>
        </w:tc>
        <w:tc>
          <w:tcPr>
            <w:tcW w:w="2432" w:type="dxa"/>
            <w:tcBorders>
              <w:top w:val="nil"/>
              <w:left w:val="single" w:sz="8" w:space="0" w:color="auto"/>
              <w:bottom w:val="single" w:sz="8" w:space="0" w:color="auto"/>
              <w:right w:val="single" w:sz="8" w:space="0" w:color="auto"/>
            </w:tcBorders>
            <w:tcMar>
              <w:top w:w="40" w:type="dxa"/>
              <w:left w:w="120" w:type="dxa"/>
              <w:bottom w:w="40" w:type="dxa"/>
              <w:right w:w="120" w:type="dxa"/>
            </w:tcMar>
            <w:hideMark/>
          </w:tcPr>
          <w:p w14:paraId="0D6C0340"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u w:val="single"/>
                <w14:ligatures w14:val="none"/>
              </w:rPr>
              <w:t>U-factor</w:t>
            </w:r>
          </w:p>
        </w:tc>
        <w:tc>
          <w:tcPr>
            <w:tcW w:w="3028" w:type="dxa"/>
            <w:tcBorders>
              <w:top w:val="nil"/>
              <w:left w:val="nil"/>
              <w:bottom w:val="single" w:sz="8" w:space="0" w:color="auto"/>
              <w:right w:val="single" w:sz="8" w:space="0" w:color="auto"/>
            </w:tcBorders>
            <w:tcMar>
              <w:top w:w="40" w:type="dxa"/>
              <w:left w:w="120" w:type="dxa"/>
              <w:bottom w:w="40" w:type="dxa"/>
              <w:right w:w="120" w:type="dxa"/>
            </w:tcMar>
            <w:hideMark/>
          </w:tcPr>
          <w:p w14:paraId="03C57835"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u w:val="single"/>
                <w14:ligatures w14:val="none"/>
              </w:rPr>
              <w:t>U-0.60</w:t>
            </w:r>
          </w:p>
        </w:tc>
        <w:tc>
          <w:tcPr>
            <w:tcW w:w="2692" w:type="dxa"/>
            <w:tcBorders>
              <w:top w:val="nil"/>
              <w:left w:val="nil"/>
              <w:bottom w:val="single" w:sz="8" w:space="0" w:color="auto"/>
              <w:right w:val="single" w:sz="8" w:space="0" w:color="auto"/>
            </w:tcBorders>
            <w:tcMar>
              <w:top w:w="0" w:type="dxa"/>
              <w:left w:w="70" w:type="dxa"/>
              <w:bottom w:w="0" w:type="dxa"/>
              <w:right w:w="70" w:type="dxa"/>
            </w:tcMar>
            <w:hideMark/>
          </w:tcPr>
          <w:p w14:paraId="49A14772" w14:textId="51CFD8A3" w:rsidR="006B4A66" w:rsidRPr="006B4A66" w:rsidRDefault="0027207A" w:rsidP="0073496A">
            <w:pPr>
              <w:spacing w:after="0" w:line="480" w:lineRule="auto"/>
              <w:rPr>
                <w:rFonts w:ascii="Times New Roman" w:eastAsia="Calibri" w:hAnsi="Times New Roman" w:cs="Times New Roman"/>
                <w:color w:val="000000"/>
                <w:kern w:val="0"/>
                <w:sz w:val="24"/>
                <w14:ligatures w14:val="none"/>
              </w:rPr>
            </w:pPr>
            <w:r>
              <w:rPr>
                <w:rFonts w:ascii="Times New Roman" w:eastAsia="Calibri" w:hAnsi="Times New Roman" w:cs="Times New Roman"/>
                <w:color w:val="000000"/>
                <w:kern w:val="0"/>
                <w:sz w:val="24"/>
                <w:u w:val="single"/>
                <w14:ligatures w14:val="none"/>
              </w:rPr>
              <w:t>n/a</w:t>
            </w:r>
          </w:p>
        </w:tc>
      </w:tr>
      <w:tr w:rsidR="0029549E" w:rsidRPr="006B4A66" w14:paraId="2373E1C0" w14:textId="77777777">
        <w:trPr>
          <w:trHeight w:val="302"/>
          <w:jc w:val="center"/>
        </w:trPr>
        <w:tc>
          <w:tcPr>
            <w:tcW w:w="8720" w:type="dxa"/>
            <w:gridSpan w:val="4"/>
            <w:tcBorders>
              <w:top w:val="nil"/>
              <w:left w:val="single" w:sz="8" w:space="0" w:color="auto"/>
              <w:bottom w:val="single" w:sz="8" w:space="0" w:color="auto"/>
              <w:right w:val="single" w:sz="8" w:space="0" w:color="auto"/>
            </w:tcBorders>
          </w:tcPr>
          <w:p w14:paraId="4D1E6E22" w14:textId="77777777" w:rsidR="0029549E" w:rsidRPr="001216D4" w:rsidRDefault="0029549E" w:rsidP="0073496A">
            <w:pPr>
              <w:spacing w:after="0" w:line="480" w:lineRule="auto"/>
              <w:rPr>
                <w:rFonts w:ascii="Times New Roman" w:eastAsia="Calibri" w:hAnsi="Times New Roman" w:cs="Times New Roman"/>
                <w:b/>
                <w:bCs/>
                <w:color w:val="000000"/>
                <w:kern w:val="0"/>
                <w:sz w:val="24"/>
                <w:u w:val="single"/>
                <w14:ligatures w14:val="none"/>
              </w:rPr>
            </w:pPr>
            <w:r w:rsidRPr="001216D4">
              <w:rPr>
                <w:rFonts w:ascii="Times New Roman" w:eastAsia="Calibri" w:hAnsi="Times New Roman" w:cs="Times New Roman"/>
                <w:b/>
                <w:bCs/>
                <w:color w:val="000000"/>
                <w:kern w:val="0"/>
                <w:sz w:val="24"/>
                <w:u w:val="single"/>
                <w14:ligatures w14:val="none"/>
              </w:rPr>
              <w:t>U-factor for all other vertical fenestration</w:t>
            </w:r>
          </w:p>
        </w:tc>
      </w:tr>
      <w:tr w:rsidR="006B4A66" w:rsidRPr="006B4A66" w14:paraId="3E216C6A" w14:textId="77777777" w:rsidTr="0029549E">
        <w:trPr>
          <w:jc w:val="center"/>
        </w:trPr>
        <w:tc>
          <w:tcPr>
            <w:tcW w:w="568" w:type="dxa"/>
            <w:tcBorders>
              <w:top w:val="nil"/>
              <w:left w:val="single" w:sz="8" w:space="0" w:color="auto"/>
              <w:bottom w:val="single" w:sz="8" w:space="0" w:color="auto"/>
              <w:right w:val="single" w:sz="8" w:space="0" w:color="auto"/>
            </w:tcBorders>
          </w:tcPr>
          <w:p w14:paraId="2FA83C99" w14:textId="77777777" w:rsidR="006B4A66" w:rsidRPr="006B4A66" w:rsidRDefault="006B4A66" w:rsidP="0073496A">
            <w:pPr>
              <w:spacing w:after="0" w:line="480" w:lineRule="auto"/>
              <w:rPr>
                <w:rFonts w:ascii="Times New Roman" w:eastAsia="Calibri" w:hAnsi="Times New Roman" w:cs="Times New Roman"/>
                <w:color w:val="000000"/>
                <w:kern w:val="0"/>
                <w:sz w:val="24"/>
                <w:u w:val="single"/>
                <w:bdr w:val="none" w:sz="0" w:space="0" w:color="auto" w:frame="1"/>
                <w:shd w:val="clear" w:color="auto" w:fill="00FFFF"/>
                <w14:ligatures w14:val="none"/>
              </w:rPr>
            </w:pPr>
            <w:r w:rsidRPr="006B4A66">
              <w:rPr>
                <w:rFonts w:ascii="Times New Roman" w:eastAsia="Calibri" w:hAnsi="Times New Roman" w:cs="Times New Roman"/>
                <w:color w:val="000000"/>
                <w:kern w:val="0"/>
                <w:sz w:val="24"/>
                <w:u w:val="single"/>
                <w14:ligatures w14:val="none"/>
              </w:rPr>
              <w:lastRenderedPageBreak/>
              <w:t>d.</w:t>
            </w:r>
          </w:p>
        </w:tc>
        <w:tc>
          <w:tcPr>
            <w:tcW w:w="2432" w:type="dxa"/>
            <w:tcBorders>
              <w:top w:val="nil"/>
              <w:left w:val="single" w:sz="8" w:space="0" w:color="auto"/>
              <w:bottom w:val="single" w:sz="8" w:space="0" w:color="auto"/>
              <w:right w:val="single" w:sz="8" w:space="0" w:color="auto"/>
            </w:tcBorders>
            <w:tcMar>
              <w:top w:w="40" w:type="dxa"/>
              <w:left w:w="120" w:type="dxa"/>
              <w:bottom w:w="40" w:type="dxa"/>
              <w:right w:w="120" w:type="dxa"/>
            </w:tcMar>
            <w:hideMark/>
          </w:tcPr>
          <w:p w14:paraId="642975BF"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u w:val="single"/>
                <w14:ligatures w14:val="none"/>
              </w:rPr>
              <w:t>Fixed U-factor</w:t>
            </w:r>
          </w:p>
        </w:tc>
        <w:tc>
          <w:tcPr>
            <w:tcW w:w="3028" w:type="dxa"/>
            <w:tcBorders>
              <w:top w:val="nil"/>
              <w:left w:val="nil"/>
              <w:bottom w:val="single" w:sz="8" w:space="0" w:color="auto"/>
              <w:right w:val="single" w:sz="8" w:space="0" w:color="auto"/>
            </w:tcBorders>
            <w:tcMar>
              <w:top w:w="40" w:type="dxa"/>
              <w:left w:w="120" w:type="dxa"/>
              <w:bottom w:w="40" w:type="dxa"/>
              <w:right w:w="120" w:type="dxa"/>
            </w:tcMar>
            <w:hideMark/>
          </w:tcPr>
          <w:p w14:paraId="25971B1F"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u w:val="single"/>
                <w14:ligatures w14:val="none"/>
              </w:rPr>
              <w:t>U-0.22</w:t>
            </w:r>
          </w:p>
        </w:tc>
        <w:tc>
          <w:tcPr>
            <w:tcW w:w="2692" w:type="dxa"/>
            <w:tcBorders>
              <w:top w:val="nil"/>
              <w:left w:val="nil"/>
              <w:bottom w:val="single" w:sz="8" w:space="0" w:color="auto"/>
              <w:right w:val="single" w:sz="8" w:space="0" w:color="auto"/>
            </w:tcBorders>
            <w:tcMar>
              <w:top w:w="0" w:type="dxa"/>
              <w:left w:w="70" w:type="dxa"/>
              <w:bottom w:w="0" w:type="dxa"/>
              <w:right w:w="70" w:type="dxa"/>
            </w:tcMar>
            <w:hideMark/>
          </w:tcPr>
          <w:p w14:paraId="30F83BF8" w14:textId="77777777"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U-0.20</w:t>
            </w:r>
          </w:p>
        </w:tc>
      </w:tr>
      <w:tr w:rsidR="006B4A66" w:rsidRPr="006B4A66" w14:paraId="256C2368" w14:textId="77777777" w:rsidTr="0029549E">
        <w:trPr>
          <w:jc w:val="center"/>
        </w:trPr>
        <w:tc>
          <w:tcPr>
            <w:tcW w:w="568" w:type="dxa"/>
            <w:tcBorders>
              <w:top w:val="nil"/>
              <w:left w:val="single" w:sz="8" w:space="0" w:color="auto"/>
              <w:bottom w:val="single" w:sz="8" w:space="0" w:color="auto"/>
              <w:right w:val="single" w:sz="8" w:space="0" w:color="auto"/>
            </w:tcBorders>
          </w:tcPr>
          <w:p w14:paraId="2348F7C0" w14:textId="77777777" w:rsidR="006B4A66" w:rsidRPr="006B4A66" w:rsidRDefault="006B4A66" w:rsidP="0073496A">
            <w:pPr>
              <w:spacing w:after="0" w:line="480" w:lineRule="auto"/>
              <w:rPr>
                <w:rFonts w:ascii="Times New Roman" w:eastAsia="Calibri" w:hAnsi="Times New Roman" w:cs="Times New Roman"/>
                <w:color w:val="000000"/>
                <w:kern w:val="0"/>
                <w:sz w:val="24"/>
                <w:u w:val="single"/>
                <w:bdr w:val="none" w:sz="0" w:space="0" w:color="auto" w:frame="1"/>
                <w:shd w:val="clear" w:color="auto" w:fill="00FFFF"/>
                <w14:ligatures w14:val="none"/>
              </w:rPr>
            </w:pPr>
            <w:r w:rsidRPr="006B4A66">
              <w:rPr>
                <w:rFonts w:ascii="Times New Roman" w:eastAsia="Calibri" w:hAnsi="Times New Roman" w:cs="Times New Roman"/>
                <w:color w:val="000000"/>
                <w:kern w:val="0"/>
                <w:sz w:val="24"/>
                <w:u w:val="single"/>
                <w14:ligatures w14:val="none"/>
              </w:rPr>
              <w:t>e.</w:t>
            </w:r>
          </w:p>
        </w:tc>
        <w:tc>
          <w:tcPr>
            <w:tcW w:w="2432" w:type="dxa"/>
            <w:tcBorders>
              <w:top w:val="nil"/>
              <w:left w:val="single" w:sz="8" w:space="0" w:color="auto"/>
              <w:bottom w:val="single" w:sz="8" w:space="0" w:color="auto"/>
              <w:right w:val="single" w:sz="8" w:space="0" w:color="auto"/>
            </w:tcBorders>
            <w:tcMar>
              <w:top w:w="40" w:type="dxa"/>
              <w:left w:w="120" w:type="dxa"/>
              <w:bottom w:w="40" w:type="dxa"/>
              <w:right w:w="120" w:type="dxa"/>
            </w:tcMar>
            <w:hideMark/>
          </w:tcPr>
          <w:p w14:paraId="4155410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u w:val="single"/>
                <w14:ligatures w14:val="none"/>
              </w:rPr>
              <w:t>Operable or mulled windows with fixed and operable sections U-factor</w:t>
            </w:r>
          </w:p>
        </w:tc>
        <w:tc>
          <w:tcPr>
            <w:tcW w:w="3028" w:type="dxa"/>
            <w:tcBorders>
              <w:top w:val="nil"/>
              <w:left w:val="nil"/>
              <w:bottom w:val="single" w:sz="8" w:space="0" w:color="auto"/>
              <w:right w:val="single" w:sz="8" w:space="0" w:color="auto"/>
            </w:tcBorders>
            <w:tcMar>
              <w:top w:w="40" w:type="dxa"/>
              <w:left w:w="120" w:type="dxa"/>
              <w:bottom w:w="40" w:type="dxa"/>
              <w:right w:w="120" w:type="dxa"/>
            </w:tcMar>
            <w:hideMark/>
          </w:tcPr>
          <w:p w14:paraId="7EACF0A0"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u w:val="single"/>
                <w14:ligatures w14:val="none"/>
              </w:rPr>
              <w:t>U-0.23</w:t>
            </w:r>
          </w:p>
        </w:tc>
        <w:tc>
          <w:tcPr>
            <w:tcW w:w="2692" w:type="dxa"/>
            <w:tcBorders>
              <w:top w:val="nil"/>
              <w:left w:val="nil"/>
              <w:bottom w:val="single" w:sz="8" w:space="0" w:color="auto"/>
              <w:right w:val="single" w:sz="8" w:space="0" w:color="auto"/>
            </w:tcBorders>
            <w:tcMar>
              <w:top w:w="0" w:type="dxa"/>
              <w:left w:w="70" w:type="dxa"/>
              <w:bottom w:w="0" w:type="dxa"/>
              <w:right w:w="70" w:type="dxa"/>
            </w:tcMar>
            <w:hideMark/>
          </w:tcPr>
          <w:p w14:paraId="4B981BB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u w:val="single"/>
                <w14:ligatures w14:val="none"/>
              </w:rPr>
              <w:t>U-0.22</w:t>
            </w:r>
          </w:p>
        </w:tc>
      </w:tr>
    </w:tbl>
    <w:bookmarkEnd w:id="4"/>
    <w:p w14:paraId="4097242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b/>
          <w:bCs/>
          <w:color w:val="000000"/>
          <w:kern w:val="0"/>
          <w:sz w:val="24"/>
          <w14:ligatures w14:val="none"/>
        </w:rPr>
        <w:tab/>
      </w:r>
      <w:r w:rsidRPr="006B4A66">
        <w:rPr>
          <w:rFonts w:ascii="Times New Roman" w:eastAsia="Calibri" w:hAnsi="Times New Roman" w:cs="Times New Roman"/>
          <w:color w:val="000000"/>
          <w:kern w:val="0"/>
          <w:sz w:val="24"/>
          <w:u w:val="single"/>
          <w14:ligatures w14:val="none"/>
        </w:rPr>
        <w:t>Footnotes:</w:t>
      </w:r>
    </w:p>
    <w:p w14:paraId="015297B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1.  U-factor and SHGC shall be rated in accordance with NFRC 100.  This category includes curtain wall, storefront, ribbon wall, window wall, and similar site-assembled systems.  This category does not include punched-opening manufactured windows except for "Class AW" windows as designated by AAMA.</w:t>
      </w:r>
    </w:p>
    <w:p w14:paraId="58929C5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2.  "Fixed" includes curtain wall, storefront, picture windows, and other fixed windows.</w:t>
      </w:r>
    </w:p>
    <w:p w14:paraId="0B83DE0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3.  "Operable" includes openable fenestration products other than "entrance doors," and includes only the operable portions of multi-pane assemblies.</w:t>
      </w:r>
    </w:p>
    <w:p w14:paraId="5CE917C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color w:val="000000"/>
          <w:kern w:val="0"/>
          <w:sz w:val="24"/>
          <w:u w:val="single"/>
          <w14:ligatures w14:val="none"/>
        </w:rPr>
        <w:t>4.  "Entrance door" includes glazed swinging entrance doors and automatic glazed sliding entrance doors.  Other doors which are not entrance doors, including manually operated sliding glass doors, are considered "operable."</w:t>
      </w:r>
    </w:p>
    <w:p w14:paraId="7542A680" w14:textId="7E1959CC"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Courier" w:eastAsia="Times New Roman" w:hAnsi="Courier" w:cs="Times New Roman"/>
          <w:color w:val="000000"/>
          <w:kern w:val="0"/>
          <w:sz w:val="24"/>
          <w:szCs w:val="20"/>
          <w14:ligatures w14:val="none"/>
        </w:rPr>
        <w:tab/>
      </w:r>
      <w:r w:rsidRPr="006B4A66">
        <w:rPr>
          <w:rFonts w:ascii="Times New Roman" w:eastAsia="Times New Roman" w:hAnsi="Times New Roman" w:cs="Times New Roman"/>
          <w:color w:val="000000"/>
          <w:kern w:val="0"/>
          <w:sz w:val="24"/>
          <w:szCs w:val="24"/>
          <w:u w:val="single"/>
          <w14:ligatures w14:val="none"/>
        </w:rPr>
        <w:t>SECTION 53.</w:t>
      </w:r>
      <w:r w:rsidRPr="006B4A66">
        <w:rPr>
          <w:rFonts w:ascii="Times New Roman" w:eastAsia="Times New Roman" w:hAnsi="Times New Roman" w:cs="Times New Roman"/>
          <w:color w:val="000000"/>
          <w:kern w:val="0"/>
          <w:sz w:val="24"/>
          <w:szCs w:val="24"/>
          <w14:ligatures w14:val="none"/>
        </w:rPr>
        <w:t xml:space="preserve">  Ordinance 19485, Section 81, and K.C.C. 16.07.130 are hereby amended to read as follows:</w:t>
      </w:r>
    </w:p>
    <w:p w14:paraId="18FA81F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color w:val="000000"/>
          <w:kern w:val="0"/>
          <w:sz w:val="24"/>
          <w14:ligatures w14:val="none"/>
        </w:rPr>
        <w:t>Section C403.1.1 of the ((</w:t>
      </w:r>
      <w:r w:rsidRPr="006B4A66">
        <w:rPr>
          <w:rFonts w:ascii="Times New Roman" w:eastAsia="Calibri" w:hAnsi="Times New Roman" w:cs="Times New Roman"/>
          <w:strike/>
          <w:color w:val="000000"/>
          <w:kern w:val="0"/>
          <w:sz w:val="24"/>
          <w14:ligatures w14:val="none"/>
        </w:rPr>
        <w:t>International Energy Conservation)</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Washington State Energy</w:t>
      </w:r>
      <w:r w:rsidRPr="006B4A66">
        <w:rPr>
          <w:rFonts w:ascii="Times New Roman" w:eastAsia="Calibri" w:hAnsi="Times New Roman" w:cs="Times New Roman"/>
          <w:color w:val="000000"/>
          <w:kern w:val="0"/>
          <w:sz w:val="24"/>
          <w14:ligatures w14:val="none"/>
        </w:rPr>
        <w:t xml:space="preserve"> Code is supplemented with the following:</w:t>
      </w:r>
    </w:p>
    <w:p w14:paraId="5D580E1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color w:val="000000"/>
          <w:kern w:val="0"/>
          <w:sz w:val="24"/>
          <w:u w:val="single"/>
          <w14:ligatures w14:val="none"/>
        </w:rPr>
        <w:t xml:space="preserve">HVAC </w:t>
      </w:r>
      <w:r w:rsidRPr="006B4A66">
        <w:rPr>
          <w:rFonts w:ascii="Times New Roman" w:eastAsia="Calibri" w:hAnsi="Times New Roman" w:cs="Times New Roman"/>
          <w:b/>
          <w:bCs/>
          <w:color w:val="000000"/>
          <w:kern w:val="0"/>
          <w:sz w:val="24"/>
          <w:u w:val="single"/>
          <w14:ligatures w14:val="none"/>
        </w:rPr>
        <w:t>Total System Performance Ratio (</w:t>
      </w:r>
      <w:r w:rsidRPr="006B4A66">
        <w:rPr>
          <w:rFonts w:ascii="Times New Roman" w:eastAsia="Calibri" w:hAnsi="Times New Roman" w:cs="Times New Roman"/>
          <w:b/>
          <w:bCs/>
          <w:color w:val="000000"/>
          <w:kern w:val="0"/>
          <w:sz w:val="24"/>
          <w14:ligatures w14:val="none"/>
        </w:rPr>
        <w:t xml:space="preserve">HVAC </w:t>
      </w:r>
      <w:r w:rsidRPr="006B4A66">
        <w:rPr>
          <w:rFonts w:ascii="Times New Roman" w:eastAsia="Calibri" w:hAnsi="Times New Roman" w:cs="Times New Roman"/>
          <w:b/>
          <w:color w:val="000000"/>
          <w:kern w:val="0"/>
          <w:sz w:val="24"/>
          <w14:ligatures w14:val="none"/>
        </w:rPr>
        <w:t>TSPR</w:t>
      </w:r>
      <w:r w:rsidRPr="006B4A66">
        <w:rPr>
          <w:rFonts w:ascii="Times New Roman" w:eastAsia="Calibri" w:hAnsi="Times New Roman" w:cs="Times New Roman"/>
          <w:b/>
          <w:bCs/>
          <w:color w:val="000000"/>
          <w:kern w:val="0"/>
          <w:sz w:val="24"/>
          <w:u w:val="single"/>
          <w14:ligatures w14:val="none"/>
        </w:rPr>
        <w:t>)</w:t>
      </w:r>
      <w:r w:rsidRPr="006B4A66">
        <w:rPr>
          <w:rFonts w:ascii="Times New Roman" w:eastAsia="Calibri" w:hAnsi="Times New Roman" w:cs="Times New Roman"/>
          <w:b/>
          <w:bCs/>
          <w:color w:val="000000"/>
          <w:kern w:val="0"/>
          <w:sz w:val="24"/>
          <w14:ligatures w14:val="none"/>
        </w:rPr>
        <w:t xml:space="preserve"> ((</w:t>
      </w:r>
      <w:r w:rsidRPr="006B4A66">
        <w:rPr>
          <w:rFonts w:ascii="Times New Roman" w:eastAsia="Calibri" w:hAnsi="Times New Roman" w:cs="Times New Roman"/>
          <w:b/>
          <w:bCs/>
          <w:strike/>
          <w:color w:val="000000"/>
          <w:kern w:val="0"/>
          <w:sz w:val="24"/>
          <w14:ligatures w14:val="none"/>
        </w:rPr>
        <w:t xml:space="preserve">- </w:t>
      </w:r>
      <w:r w:rsidRPr="006B4A66">
        <w:rPr>
          <w:rFonts w:ascii="Times New Roman" w:eastAsia="Calibri" w:hAnsi="Times New Roman" w:cs="Times New Roman"/>
          <w:b/>
          <w:strike/>
          <w:color w:val="000000"/>
          <w:kern w:val="0"/>
          <w:sz w:val="24"/>
          <w14:ligatures w14:val="none"/>
        </w:rPr>
        <w:t>medical office and residential applications</w:t>
      </w:r>
      <w:r w:rsidRPr="006B4A66">
        <w:rPr>
          <w:rFonts w:ascii="Times New Roman" w:eastAsia="Calibri" w:hAnsi="Times New Roman" w:cs="Times New Roman"/>
          <w:b/>
          <w:bCs/>
          <w:color w:val="000000"/>
          <w:kern w:val="0"/>
          <w:sz w:val="24"/>
          <w14:ligatures w14:val="none"/>
        </w:rPr>
        <w:t>)) (</w:t>
      </w:r>
      <w:r w:rsidRPr="006B4A66">
        <w:rPr>
          <w:rFonts w:ascii="Times New Roman" w:eastAsia="Calibri" w:hAnsi="Times New Roman" w:cs="Times New Roman"/>
          <w:b/>
          <w:color w:val="000000"/>
          <w:kern w:val="0"/>
          <w:sz w:val="24"/>
          <w:u w:val="single"/>
          <w14:ligatures w14:val="none"/>
        </w:rPr>
        <w:t>WSEC</w:t>
      </w:r>
      <w:r w:rsidRPr="006B4A66">
        <w:rPr>
          <w:rFonts w:ascii="Times New Roman" w:eastAsia="Calibri" w:hAnsi="Times New Roman" w:cs="Times New Roman"/>
          <w:b/>
          <w:bCs/>
          <w:color w:val="000000"/>
          <w:kern w:val="0"/>
          <w:sz w:val="24"/>
          <w14:ligatures w14:val="none"/>
        </w:rPr>
        <w:t xml:space="preserve"> C403.1.1.1).</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strike/>
          <w:color w:val="000000"/>
          <w:kern w:val="0"/>
          <w:sz w:val="24"/>
          <w14:ligatures w14:val="none"/>
        </w:rPr>
        <w:t>Systems serving medical offices, and the dwelling units and residential common areas within R-2 multifamily, shall comply with 403.1.1.</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For systems serving occupancy areas included in WSEC Table C403.1.1, the HVAC total system performance ratio (HVAC TSPR) of the proposed design HVAC system shall be greater than or equal to the HVAC TSPR of the standard reference design as calculated according to Appendix D, Calculation of HVAC Total System Performance Ratio.</w:t>
      </w:r>
    </w:p>
    <w:p w14:paraId="16212E6C" w14:textId="77777777" w:rsidR="006B4A66" w:rsidRPr="006B4A66" w:rsidRDefault="006B4A66" w:rsidP="0073496A">
      <w:pPr>
        <w:spacing w:after="0" w:line="480" w:lineRule="auto"/>
        <w:jc w:val="center"/>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b/>
          <w:color w:val="000000"/>
          <w:kern w:val="0"/>
          <w:sz w:val="24"/>
          <w:u w:val="single"/>
          <w14:ligatures w14:val="none"/>
        </w:rPr>
        <w:t>Table C403.1.1</w:t>
      </w:r>
    </w:p>
    <w:p w14:paraId="11FEA334" w14:textId="77777777" w:rsidR="006B4A66" w:rsidRPr="006B4A66" w:rsidRDefault="006B4A66" w:rsidP="0073496A">
      <w:pPr>
        <w:spacing w:after="0" w:line="480" w:lineRule="auto"/>
        <w:jc w:val="center"/>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b/>
          <w:color w:val="000000"/>
          <w:kern w:val="0"/>
          <w:sz w:val="24"/>
          <w:u w:val="single"/>
          <w14:ligatures w14:val="none"/>
        </w:rPr>
        <w:t>Occupancy Classifications Requiring TSPR</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27"/>
        <w:gridCol w:w="3374"/>
        <w:gridCol w:w="4359"/>
      </w:tblGrid>
      <w:tr w:rsidR="006B4A66" w:rsidRPr="006B4A66" w14:paraId="6258DCD0" w14:textId="77777777">
        <w:trPr>
          <w:cantSplit/>
          <w:tblHeader/>
          <w:jc w:val="center"/>
        </w:trPr>
        <w:tc>
          <w:tcPr>
            <w:tcW w:w="1626" w:type="dxa"/>
            <w:tcMar>
              <w:top w:w="40" w:type="dxa"/>
              <w:left w:w="120" w:type="dxa"/>
              <w:bottom w:w="40" w:type="dxa"/>
              <w:right w:w="120" w:type="dxa"/>
            </w:tcMar>
            <w:vAlign w:val="bottom"/>
          </w:tcPr>
          <w:p w14:paraId="70C7BDAE" w14:textId="77777777"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b/>
                <w:color w:val="000000"/>
                <w:kern w:val="0"/>
                <w:sz w:val="24"/>
                <w:u w:val="single"/>
                <w14:ligatures w14:val="none"/>
              </w:rPr>
              <w:t>Occupancy Classification</w:t>
            </w:r>
          </w:p>
        </w:tc>
        <w:tc>
          <w:tcPr>
            <w:tcW w:w="3374" w:type="dxa"/>
            <w:tcMar>
              <w:top w:w="40" w:type="dxa"/>
              <w:left w:w="120" w:type="dxa"/>
              <w:bottom w:w="40" w:type="dxa"/>
              <w:right w:w="120" w:type="dxa"/>
            </w:tcMar>
            <w:vAlign w:val="bottom"/>
          </w:tcPr>
          <w:p w14:paraId="39C4BA77" w14:textId="77777777"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b/>
                <w:color w:val="000000"/>
                <w:kern w:val="0"/>
                <w:sz w:val="24"/>
                <w:u w:val="single"/>
                <w14:ligatures w14:val="none"/>
              </w:rPr>
              <w:t>Inclusions</w:t>
            </w:r>
          </w:p>
        </w:tc>
        <w:tc>
          <w:tcPr>
            <w:tcW w:w="4360" w:type="dxa"/>
            <w:tcMar>
              <w:top w:w="40" w:type="dxa"/>
              <w:left w:w="120" w:type="dxa"/>
              <w:bottom w:w="40" w:type="dxa"/>
              <w:right w:w="120" w:type="dxa"/>
            </w:tcMar>
            <w:vAlign w:val="bottom"/>
          </w:tcPr>
          <w:p w14:paraId="4B32439E" w14:textId="77777777"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b/>
                <w:color w:val="000000"/>
                <w:kern w:val="0"/>
                <w:sz w:val="24"/>
                <w:u w:val="single"/>
                <w14:ligatures w14:val="none"/>
              </w:rPr>
              <w:t>Excluded</w:t>
            </w:r>
          </w:p>
        </w:tc>
      </w:tr>
      <w:tr w:rsidR="006B4A66" w:rsidRPr="006B4A66" w14:paraId="4C7C4D90" w14:textId="77777777">
        <w:trPr>
          <w:jc w:val="center"/>
        </w:trPr>
        <w:tc>
          <w:tcPr>
            <w:tcW w:w="1626" w:type="dxa"/>
            <w:tcMar>
              <w:top w:w="40" w:type="dxa"/>
              <w:left w:w="120" w:type="dxa"/>
              <w:bottom w:w="40" w:type="dxa"/>
              <w:right w:w="120" w:type="dxa"/>
            </w:tcMar>
          </w:tcPr>
          <w:p w14:paraId="061BFE4B" w14:textId="77777777"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A</w:t>
            </w:r>
          </w:p>
        </w:tc>
        <w:tc>
          <w:tcPr>
            <w:tcW w:w="3374" w:type="dxa"/>
            <w:tcMar>
              <w:top w:w="40" w:type="dxa"/>
              <w:left w:w="120" w:type="dxa"/>
              <w:bottom w:w="40" w:type="dxa"/>
              <w:right w:w="120" w:type="dxa"/>
            </w:tcMar>
          </w:tcPr>
          <w:p w14:paraId="7AF737D8" w14:textId="77777777"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Library</w:t>
            </w:r>
          </w:p>
        </w:tc>
        <w:tc>
          <w:tcPr>
            <w:tcW w:w="4360" w:type="dxa"/>
            <w:tcMar>
              <w:top w:w="40" w:type="dxa"/>
              <w:left w:w="120" w:type="dxa"/>
              <w:bottom w:w="40" w:type="dxa"/>
              <w:right w:w="120" w:type="dxa"/>
            </w:tcMar>
          </w:tcPr>
          <w:p w14:paraId="792646F0" w14:textId="77777777"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 xml:space="preserve">All other Group A uses </w:t>
            </w:r>
          </w:p>
        </w:tc>
      </w:tr>
      <w:tr w:rsidR="006B4A66" w:rsidRPr="006B4A66" w14:paraId="24AF1A34" w14:textId="77777777">
        <w:trPr>
          <w:jc w:val="center"/>
        </w:trPr>
        <w:tc>
          <w:tcPr>
            <w:tcW w:w="1626" w:type="dxa"/>
            <w:tcMar>
              <w:top w:w="40" w:type="dxa"/>
              <w:left w:w="120" w:type="dxa"/>
              <w:bottom w:w="40" w:type="dxa"/>
              <w:right w:w="120" w:type="dxa"/>
            </w:tcMar>
          </w:tcPr>
          <w:p w14:paraId="57B86833" w14:textId="77777777"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B</w:t>
            </w:r>
          </w:p>
        </w:tc>
        <w:tc>
          <w:tcPr>
            <w:tcW w:w="3374" w:type="dxa"/>
            <w:tcMar>
              <w:top w:w="40" w:type="dxa"/>
              <w:left w:w="120" w:type="dxa"/>
              <w:bottom w:w="40" w:type="dxa"/>
              <w:right w:w="120" w:type="dxa"/>
            </w:tcMar>
          </w:tcPr>
          <w:p w14:paraId="58825307" w14:textId="77777777"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Office, medical office</w:t>
            </w:r>
          </w:p>
        </w:tc>
        <w:tc>
          <w:tcPr>
            <w:tcW w:w="4360" w:type="dxa"/>
            <w:tcMar>
              <w:top w:w="40" w:type="dxa"/>
              <w:left w:w="120" w:type="dxa"/>
              <w:bottom w:w="40" w:type="dxa"/>
              <w:right w:w="120" w:type="dxa"/>
            </w:tcMar>
          </w:tcPr>
          <w:p w14:paraId="1AB81FF8" w14:textId="77777777"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 xml:space="preserve">All other Group B uses </w:t>
            </w:r>
          </w:p>
        </w:tc>
      </w:tr>
      <w:tr w:rsidR="006B4A66" w:rsidRPr="006B4A66" w14:paraId="6141219A" w14:textId="77777777">
        <w:trPr>
          <w:jc w:val="center"/>
        </w:trPr>
        <w:tc>
          <w:tcPr>
            <w:tcW w:w="1626" w:type="dxa"/>
            <w:tcMar>
              <w:top w:w="40" w:type="dxa"/>
              <w:left w:w="120" w:type="dxa"/>
              <w:bottom w:w="40" w:type="dxa"/>
              <w:right w:w="120" w:type="dxa"/>
            </w:tcMar>
          </w:tcPr>
          <w:p w14:paraId="6C8CFDB4" w14:textId="77777777"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E</w:t>
            </w:r>
          </w:p>
        </w:tc>
        <w:tc>
          <w:tcPr>
            <w:tcW w:w="3374" w:type="dxa"/>
            <w:tcMar>
              <w:top w:w="40" w:type="dxa"/>
              <w:left w:w="120" w:type="dxa"/>
              <w:bottom w:w="40" w:type="dxa"/>
              <w:right w:w="120" w:type="dxa"/>
            </w:tcMar>
          </w:tcPr>
          <w:p w14:paraId="77EDC0CC" w14:textId="77777777"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All occupancies included</w:t>
            </w:r>
          </w:p>
        </w:tc>
        <w:tc>
          <w:tcPr>
            <w:tcW w:w="4360" w:type="dxa"/>
            <w:tcMar>
              <w:top w:w="40" w:type="dxa"/>
              <w:left w:w="120" w:type="dxa"/>
              <w:bottom w:w="40" w:type="dxa"/>
              <w:right w:w="120" w:type="dxa"/>
            </w:tcMar>
          </w:tcPr>
          <w:p w14:paraId="770A4D37" w14:textId="77777777"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p>
        </w:tc>
      </w:tr>
      <w:tr w:rsidR="006B4A66" w:rsidRPr="006B4A66" w14:paraId="37804B00" w14:textId="77777777">
        <w:trPr>
          <w:jc w:val="center"/>
        </w:trPr>
        <w:tc>
          <w:tcPr>
            <w:tcW w:w="1626" w:type="dxa"/>
            <w:tcMar>
              <w:top w:w="40" w:type="dxa"/>
              <w:left w:w="120" w:type="dxa"/>
              <w:bottom w:w="40" w:type="dxa"/>
              <w:right w:w="120" w:type="dxa"/>
            </w:tcMar>
          </w:tcPr>
          <w:p w14:paraId="1AB2FD12" w14:textId="77777777"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lastRenderedPageBreak/>
              <w:t>M</w:t>
            </w:r>
          </w:p>
        </w:tc>
        <w:tc>
          <w:tcPr>
            <w:tcW w:w="3374" w:type="dxa"/>
            <w:tcMar>
              <w:top w:w="40" w:type="dxa"/>
              <w:left w:w="120" w:type="dxa"/>
              <w:bottom w:w="40" w:type="dxa"/>
              <w:right w:w="120" w:type="dxa"/>
            </w:tcMar>
          </w:tcPr>
          <w:p w14:paraId="5FA35322" w14:textId="77777777"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All occupancies included</w:t>
            </w:r>
          </w:p>
        </w:tc>
        <w:tc>
          <w:tcPr>
            <w:tcW w:w="4360" w:type="dxa"/>
            <w:tcMar>
              <w:top w:w="40" w:type="dxa"/>
              <w:left w:w="120" w:type="dxa"/>
              <w:bottom w:w="40" w:type="dxa"/>
              <w:right w:w="120" w:type="dxa"/>
            </w:tcMar>
          </w:tcPr>
          <w:p w14:paraId="17B93704" w14:textId="77777777"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p>
        </w:tc>
      </w:tr>
      <w:tr w:rsidR="006B4A66" w:rsidRPr="006B4A66" w14:paraId="5E160B81" w14:textId="77777777">
        <w:trPr>
          <w:jc w:val="center"/>
        </w:trPr>
        <w:tc>
          <w:tcPr>
            <w:tcW w:w="1626" w:type="dxa"/>
            <w:tcMar>
              <w:top w:w="40" w:type="dxa"/>
              <w:left w:w="120" w:type="dxa"/>
              <w:bottom w:w="40" w:type="dxa"/>
              <w:right w:w="120" w:type="dxa"/>
            </w:tcMar>
          </w:tcPr>
          <w:p w14:paraId="4FCA21D4" w14:textId="77777777"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R</w:t>
            </w:r>
          </w:p>
        </w:tc>
        <w:tc>
          <w:tcPr>
            <w:tcW w:w="3374" w:type="dxa"/>
            <w:tcMar>
              <w:top w:w="40" w:type="dxa"/>
              <w:left w:w="120" w:type="dxa"/>
              <w:bottom w:w="40" w:type="dxa"/>
              <w:right w:w="120" w:type="dxa"/>
            </w:tcMar>
          </w:tcPr>
          <w:p w14:paraId="1880B243" w14:textId="77777777"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Dwelling units and common areas within Group R-2 areas of buildings</w:t>
            </w:r>
          </w:p>
        </w:tc>
        <w:tc>
          <w:tcPr>
            <w:tcW w:w="4360" w:type="dxa"/>
            <w:tcMar>
              <w:top w:w="40" w:type="dxa"/>
              <w:left w:w="120" w:type="dxa"/>
              <w:bottom w:w="40" w:type="dxa"/>
              <w:right w:w="120" w:type="dxa"/>
            </w:tcMar>
          </w:tcPr>
          <w:p w14:paraId="1C436B91" w14:textId="77777777"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Groups R-1 and R-3 occupancies.</w:t>
            </w:r>
          </w:p>
          <w:p w14:paraId="61824821" w14:textId="77777777"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Sleeping units and associated residential common areas in Group R-2</w:t>
            </w:r>
          </w:p>
        </w:tc>
      </w:tr>
      <w:tr w:rsidR="006B4A66" w:rsidRPr="006B4A66" w14:paraId="38648361" w14:textId="77777777">
        <w:trPr>
          <w:jc w:val="center"/>
        </w:trPr>
        <w:tc>
          <w:tcPr>
            <w:tcW w:w="1626" w:type="dxa"/>
            <w:tcMar>
              <w:top w:w="40" w:type="dxa"/>
              <w:left w:w="120" w:type="dxa"/>
              <w:bottom w:w="40" w:type="dxa"/>
              <w:right w:w="120" w:type="dxa"/>
            </w:tcMar>
          </w:tcPr>
          <w:p w14:paraId="0EC434D3" w14:textId="77777777"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F, H, I, S, U</w:t>
            </w:r>
          </w:p>
        </w:tc>
        <w:tc>
          <w:tcPr>
            <w:tcW w:w="3374" w:type="dxa"/>
            <w:tcMar>
              <w:top w:w="40" w:type="dxa"/>
              <w:left w:w="120" w:type="dxa"/>
              <w:bottom w:w="40" w:type="dxa"/>
              <w:right w:w="120" w:type="dxa"/>
            </w:tcMar>
          </w:tcPr>
          <w:p w14:paraId="182B37C7" w14:textId="77777777"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p>
        </w:tc>
        <w:tc>
          <w:tcPr>
            <w:tcW w:w="4360" w:type="dxa"/>
            <w:tcMar>
              <w:top w:w="40" w:type="dxa"/>
              <w:left w:w="120" w:type="dxa"/>
              <w:bottom w:w="40" w:type="dxa"/>
              <w:right w:w="120" w:type="dxa"/>
            </w:tcMar>
          </w:tcPr>
          <w:p w14:paraId="4D079ED1" w14:textId="77777777"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 xml:space="preserve">All occupancies </w:t>
            </w:r>
          </w:p>
        </w:tc>
      </w:tr>
    </w:tbl>
    <w:p w14:paraId="0310F6B6" w14:textId="77777777" w:rsidR="006B4A66" w:rsidRPr="006B4A66" w:rsidRDefault="006B4A66" w:rsidP="0073496A">
      <w:pPr>
        <w:tabs>
          <w:tab w:val="left" w:pos="720"/>
        </w:tabs>
        <w:spacing w:after="0" w:line="480" w:lineRule="auto"/>
        <w:rPr>
          <w:rFonts w:ascii="Times New Roman" w:eastAsia="Calibri" w:hAnsi="Times New Roman" w:cs="Times New Roman"/>
          <w:b/>
          <w:bCs/>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w:t>
      </w:r>
      <w:r w:rsidRPr="006B4A66">
        <w:rPr>
          <w:rFonts w:ascii="Times New Roman" w:eastAsia="Calibri" w:hAnsi="Times New Roman" w:cs="Times New Roman"/>
          <w:b/>
          <w:bCs/>
          <w:color w:val="000000"/>
          <w:kern w:val="0"/>
          <w:sz w:val="24"/>
          <w:u w:val="single"/>
          <w14:ligatures w14:val="none"/>
        </w:rPr>
        <w:t>S TO SECTION C403.1.1</w:t>
      </w:r>
      <w:r w:rsidRPr="006B4A66">
        <w:rPr>
          <w:rFonts w:ascii="Times New Roman" w:eastAsia="Calibri" w:hAnsi="Times New Roman" w:cs="Times New Roman"/>
          <w:b/>
          <w:bCs/>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strike/>
          <w:color w:val="000000"/>
          <w:kern w:val="0"/>
          <w:sz w:val="24"/>
          <w14:ligatures w14:val="none"/>
        </w:rPr>
        <w:t>Buildings or areas of medical office buildings that comply fully with ASHRAE Standard 170, including but not limited to surgical centers, or that are required by other applicable codes or standards to provide air handling units that operate 24 hours per day, 7 days per week.</w:t>
      </w:r>
      <w:r w:rsidRPr="006B4A66">
        <w:rPr>
          <w:rFonts w:ascii="Times New Roman" w:eastAsia="Calibri" w:hAnsi="Times New Roman" w:cs="Times New Roman"/>
          <w:color w:val="000000"/>
          <w:kern w:val="0"/>
          <w:sz w:val="24"/>
          <w14:ligatures w14:val="none"/>
        </w:rPr>
        <w:t>))</w:t>
      </w:r>
    </w:p>
    <w:p w14:paraId="3CD548C2" w14:textId="77777777" w:rsidR="006B4A66" w:rsidRPr="006B4A66" w:rsidRDefault="006B4A66" w:rsidP="0073496A">
      <w:pPr>
        <w:tabs>
          <w:tab w:val="left" w:pos="720"/>
        </w:tabs>
        <w:spacing w:after="0" w:line="480" w:lineRule="auto"/>
        <w:ind w:firstLine="720"/>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1.  Buildings where the sum of the conditioned floor area of occupancies included in the Inclusions column of WSEC Table C403.1.1 is less than 5,000 square feet (464.5 square meters).  Areas that are eligible for any of the exceptions below do not count towards the 5,000 square feet (464.5 square meters).</w:t>
      </w:r>
    </w:p>
    <w:p w14:paraId="5D550D7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2.  HVAC systems using district heating water, chilled water, or steam.</w:t>
      </w:r>
    </w:p>
    <w:p w14:paraId="22F3BBD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3.  HVAC systems connected to a low-carbon district energy exchange system.</w:t>
      </w:r>
    </w:p>
    <w:p w14:paraId="7B7B21B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4.  HVAC systems not included in Table D601.10.1.</w:t>
      </w:r>
    </w:p>
    <w:p w14:paraId="3DC9632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5.  HVAC systems with chilled water supplied by absorption chillers, heat recovery chillers, water to water heat pumps, air to water heat pumps, or a combination of air and water cooled chillers on the same chilled water loop.</w:t>
      </w:r>
    </w:p>
    <w:p w14:paraId="71EE1B7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6.  HVAC systems included in WSEC Table D601.10.1 with parameters in WSEC Table D601.10.2 not identified as applicable to that HVAC system type.</w:t>
      </w:r>
    </w:p>
    <w:p w14:paraId="56A1BDC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color w:val="000000"/>
          <w:kern w:val="0"/>
          <w:sz w:val="24"/>
          <w:u w:val="single"/>
          <w14:ligatures w14:val="none"/>
        </w:rPr>
        <w:t>7.  HVAC systems served by heating water plants that include air-to-water or water-to-water heat pumps.</w:t>
      </w:r>
    </w:p>
    <w:p w14:paraId="15FAC28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8.  Underfloor air distribution and displacement ventilation HVAC systems.</w:t>
      </w:r>
    </w:p>
    <w:p w14:paraId="50058E3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9.  Space conditioning systems that do not include mechanical cooling.</w:t>
      </w:r>
    </w:p>
    <w:p w14:paraId="002D66F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10.  Alterations to existing buildings that do not substantially replace the entire HVAC system and are not serving initial build-out construction.</w:t>
      </w:r>
    </w:p>
    <w:p w14:paraId="68D2DD4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11.  HVAC systems meeting all the requirements of the standard reference design HVAC system in WSEC Table D602.11, Standard Reference Design HVAC Systems.</w:t>
      </w:r>
    </w:p>
    <w:p w14:paraId="7C80C43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12.  Buildings or areas of medical office buildings that comply fully with ASHRAE Standard 170 including, but not limited to, surgical centers, or that are required by other applicable codes or standards to provide 24/7 air handling unit operation.</w:t>
      </w:r>
    </w:p>
    <w:p w14:paraId="72F35F4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13.  HVAC systems serving the following areas and spaces:</w:t>
      </w:r>
    </w:p>
    <w:p w14:paraId="7D9AC16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color w:val="000000"/>
          <w:kern w:val="0"/>
          <w:sz w:val="24"/>
          <w:u w:val="single"/>
          <w14:ligatures w14:val="none"/>
        </w:rPr>
        <w:t>13.1.  Laundry rooms;</w:t>
      </w:r>
    </w:p>
    <w:p w14:paraId="34FA05C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color w:val="000000"/>
          <w:kern w:val="0"/>
          <w:sz w:val="24"/>
          <w:u w:val="single"/>
          <w14:ligatures w14:val="none"/>
        </w:rPr>
        <w:t>13.2.  Elevator machine rooms;</w:t>
      </w:r>
    </w:p>
    <w:p w14:paraId="76BB6A4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color w:val="000000"/>
          <w:kern w:val="0"/>
          <w:sz w:val="24"/>
          <w:u w:val="single"/>
          <w14:ligatures w14:val="none"/>
        </w:rPr>
        <w:t>13.3.  Mechanical and electrical rooms;</w:t>
      </w:r>
    </w:p>
    <w:p w14:paraId="0EE9AD6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color w:val="000000"/>
          <w:kern w:val="0"/>
          <w:sz w:val="24"/>
          <w:u w:val="single"/>
          <w14:ligatures w14:val="none"/>
        </w:rPr>
        <w:t>13.4.  Data centers and computer rooms;</w:t>
      </w:r>
    </w:p>
    <w:p w14:paraId="35ADAFC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color w:val="000000"/>
          <w:kern w:val="0"/>
          <w:sz w:val="24"/>
          <w:u w:val="single"/>
          <w14:ligatures w14:val="none"/>
        </w:rPr>
        <w:t>13.5.  Laboratories with fume hoods;</w:t>
      </w:r>
    </w:p>
    <w:p w14:paraId="633CD54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color w:val="000000"/>
          <w:kern w:val="0"/>
          <w:sz w:val="24"/>
          <w:u w:val="single"/>
          <w14:ligatures w14:val="none"/>
        </w:rPr>
        <w:t>13.6.  Locker rooms with more than 2 showers;</w:t>
      </w:r>
    </w:p>
    <w:p w14:paraId="2FCE23C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color w:val="000000"/>
          <w:kern w:val="0"/>
          <w:sz w:val="24"/>
          <w:u w:val="single"/>
          <w14:ligatures w14:val="none"/>
        </w:rPr>
        <w:t>13.7.  Natatoriums and rooms with saunas;</w:t>
      </w:r>
    </w:p>
    <w:p w14:paraId="123EC111" w14:textId="1CC416BB"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color w:val="000000"/>
          <w:kern w:val="0"/>
          <w:sz w:val="24"/>
          <w:u w:val="single"/>
          <w14:ligatures w14:val="none"/>
        </w:rPr>
        <w:t>13.8.  Restaurants and commercial kitchens with total cooking capacity greater than 100,000 Btu/h (</w:t>
      </w:r>
      <w:r w:rsidR="00F43320">
        <w:rPr>
          <w:rFonts w:ascii="Times New Roman" w:eastAsia="Calibri" w:hAnsi="Times New Roman" w:cs="Times New Roman"/>
          <w:color w:val="000000"/>
          <w:kern w:val="0"/>
          <w:sz w:val="24"/>
          <w:u w:val="single"/>
          <w14:ligatures w14:val="none"/>
        </w:rPr>
        <w:t>29.3 kilowatts</w:t>
      </w:r>
      <w:r w:rsidRPr="006B4A66">
        <w:rPr>
          <w:rFonts w:ascii="Times New Roman" w:eastAsia="Calibri" w:hAnsi="Times New Roman" w:cs="Times New Roman"/>
          <w:color w:val="000000"/>
          <w:kern w:val="0"/>
          <w:sz w:val="24"/>
          <w:u w:val="single"/>
          <w14:ligatures w14:val="none"/>
        </w:rPr>
        <w:t>);</w:t>
      </w:r>
    </w:p>
    <w:p w14:paraId="0C8158C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color w:val="000000"/>
          <w:kern w:val="0"/>
          <w:sz w:val="24"/>
          <w:u w:val="single"/>
          <w14:ligatures w14:val="none"/>
        </w:rPr>
        <w:t>13.9.  Areas of buildings with commercial refrigeration equipment exceeding 100 kW of power input; and</w:t>
      </w:r>
    </w:p>
    <w:p w14:paraId="5936CB1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lastRenderedPageBreak/>
        <w:tab/>
        <w:t xml:space="preserve">  </w:t>
      </w:r>
      <w:r w:rsidRPr="006B4A66">
        <w:rPr>
          <w:rFonts w:ascii="Times New Roman" w:eastAsia="Calibri" w:hAnsi="Times New Roman" w:cs="Times New Roman"/>
          <w:color w:val="000000"/>
          <w:kern w:val="0"/>
          <w:sz w:val="24"/>
          <w:u w:val="single"/>
          <w14:ligatures w14:val="none"/>
        </w:rPr>
        <w:t>13.10.  Cafeterias and dining rooms.</w:t>
      </w:r>
    </w:p>
    <w:p w14:paraId="261914AF" w14:textId="2D96E8F6"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54.</w:t>
      </w:r>
      <w:r w:rsidRPr="006B4A66">
        <w:rPr>
          <w:rFonts w:ascii="Times New Roman" w:eastAsia="Times New Roman" w:hAnsi="Times New Roman" w:cs="Times New Roman"/>
          <w:color w:val="000000"/>
          <w:kern w:val="0"/>
          <w:sz w:val="24"/>
          <w:szCs w:val="24"/>
          <w14:ligatures w14:val="none"/>
        </w:rPr>
        <w:t xml:space="preserve">  Ordinance 19485, Section 82, and K.C.C. 16.07.140 are hereby amended to read as follows:</w:t>
      </w:r>
    </w:p>
    <w:p w14:paraId="2B3B385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color w:val="000000"/>
          <w:kern w:val="0"/>
          <w:sz w:val="24"/>
          <w14:ligatures w14:val="none"/>
        </w:rPr>
        <w:t>Section C403.1</w:t>
      </w:r>
      <w:r w:rsidRPr="006B4A66">
        <w:rPr>
          <w:rFonts w:ascii="Times New Roman" w:eastAsia="Calibri" w:hAnsi="Times New Roman" w:cs="Times New Roman"/>
          <w:color w:val="000000"/>
          <w:kern w:val="0"/>
          <w:sz w:val="24"/>
          <w:u w:val="single"/>
          <w14:ligatures w14:val="none"/>
        </w:rPr>
        <w:t>.4</w:t>
      </w:r>
      <w:r w:rsidRPr="006B4A66">
        <w:rPr>
          <w:rFonts w:ascii="Times New Roman" w:eastAsia="Calibri" w:hAnsi="Times New Roman" w:cs="Times New Roman"/>
          <w:color w:val="000000"/>
          <w:kern w:val="0"/>
          <w:sz w:val="24"/>
          <w14:ligatures w14:val="none"/>
        </w:rPr>
        <w:t xml:space="preserve"> of the ((</w:t>
      </w:r>
      <w:r w:rsidRPr="006B4A66">
        <w:rPr>
          <w:rFonts w:ascii="Times New Roman" w:eastAsia="Calibri" w:hAnsi="Times New Roman" w:cs="Times New Roman"/>
          <w:strike/>
          <w:color w:val="000000"/>
          <w:kern w:val="0"/>
          <w:sz w:val="24"/>
          <w14:ligatures w14:val="none"/>
        </w:rPr>
        <w:t>International Energy Conservation</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Washington State Energy</w:t>
      </w:r>
      <w:r w:rsidRPr="006B4A66">
        <w:rPr>
          <w:rFonts w:ascii="Times New Roman" w:eastAsia="Calibri" w:hAnsi="Times New Roman" w:cs="Times New Roman"/>
          <w:color w:val="000000"/>
          <w:kern w:val="0"/>
          <w:sz w:val="24"/>
          <w14:ligatures w14:val="none"/>
        </w:rPr>
        <w:t xml:space="preserve"> Code is ((</w:t>
      </w:r>
      <w:r w:rsidRPr="006B4A66">
        <w:rPr>
          <w:rFonts w:ascii="Times New Roman" w:eastAsia="Calibri" w:hAnsi="Times New Roman" w:cs="Times New Roman"/>
          <w:strike/>
          <w:color w:val="000000"/>
          <w:kern w:val="0"/>
          <w:sz w:val="24"/>
          <w14:ligatures w14:val="none"/>
        </w:rPr>
        <w:t>supplemented with</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not adopted and</w:t>
      </w:r>
      <w:r w:rsidRPr="006B4A66">
        <w:rPr>
          <w:rFonts w:ascii="Times New Roman" w:eastAsia="Calibri" w:hAnsi="Times New Roman" w:cs="Times New Roman"/>
          <w:color w:val="000000"/>
          <w:kern w:val="0"/>
          <w:sz w:val="24"/>
          <w14:ligatures w14:val="none"/>
        </w:rPr>
        <w:t xml:space="preserve"> the following </w:t>
      </w:r>
      <w:r w:rsidRPr="006B4A66">
        <w:rPr>
          <w:rFonts w:ascii="Times New Roman" w:eastAsia="Calibri" w:hAnsi="Times New Roman" w:cs="Times New Roman"/>
          <w:color w:val="000000"/>
          <w:kern w:val="0"/>
          <w:sz w:val="24"/>
          <w:u w:val="single"/>
          <w14:ligatures w14:val="none"/>
        </w:rPr>
        <w:t>is substituted</w:t>
      </w:r>
      <w:r w:rsidRPr="006B4A66">
        <w:rPr>
          <w:rFonts w:ascii="Times New Roman" w:eastAsia="Calibri" w:hAnsi="Times New Roman" w:cs="Times New Roman"/>
          <w:color w:val="000000"/>
          <w:kern w:val="0"/>
          <w:sz w:val="24"/>
          <w14:ligatures w14:val="none"/>
        </w:rPr>
        <w:t>:</w:t>
      </w:r>
    </w:p>
    <w:p w14:paraId="19EC64D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Use of electric resistance and fossil fuel-fired HVAC heating equipment (((I</w:t>
      </w:r>
      <w:r w:rsidRPr="006B4A66">
        <w:rPr>
          <w:rFonts w:ascii="Times New Roman" w:eastAsia="Calibri" w:hAnsi="Times New Roman" w:cs="Times New Roman"/>
          <w:b/>
          <w:bCs/>
          <w:strike/>
          <w:color w:val="000000"/>
          <w:kern w:val="0"/>
          <w:sz w:val="24"/>
          <w14:ligatures w14:val="none"/>
        </w:rPr>
        <w:t>ECC</w:t>
      </w:r>
      <w:r w:rsidRPr="006B4A66">
        <w:rPr>
          <w:rFonts w:ascii="Times New Roman" w:eastAsia="Calibri" w:hAnsi="Times New Roman" w:cs="Times New Roman"/>
          <w:b/>
          <w:bCs/>
          <w:color w:val="000000"/>
          <w:kern w:val="0"/>
          <w:sz w:val="24"/>
          <w14:ligatures w14:val="none"/>
        </w:rPr>
        <w:t xml:space="preserve">)) </w:t>
      </w:r>
      <w:r w:rsidRPr="006B4A66">
        <w:rPr>
          <w:rFonts w:ascii="Times New Roman" w:eastAsia="Calibri" w:hAnsi="Times New Roman" w:cs="Times New Roman"/>
          <w:b/>
          <w:bCs/>
          <w:color w:val="000000"/>
          <w:kern w:val="0"/>
          <w:sz w:val="24"/>
          <w:u w:val="single"/>
          <w14:ligatures w14:val="none"/>
        </w:rPr>
        <w:t>WSEC</w:t>
      </w:r>
      <w:r w:rsidRPr="006B4A66">
        <w:rPr>
          <w:rFonts w:ascii="Times New Roman" w:eastAsia="Calibri" w:hAnsi="Times New Roman" w:cs="Times New Roman"/>
          <w:b/>
          <w:bCs/>
          <w:color w:val="000000"/>
          <w:kern w:val="0"/>
          <w:sz w:val="24"/>
          <w14:ligatures w14:val="none"/>
        </w:rPr>
        <w:t xml:space="preserve"> C403.1.4).</w:t>
      </w:r>
      <w:r w:rsidRPr="006B4A66">
        <w:rPr>
          <w:rFonts w:ascii="Times New Roman" w:eastAsia="Calibri" w:hAnsi="Times New Roman" w:cs="Times New Roman"/>
          <w:color w:val="000000"/>
          <w:kern w:val="0"/>
          <w:sz w:val="24"/>
          <w14:ligatures w14:val="none"/>
        </w:rPr>
        <w:t xml:space="preserve">  HVAC heating energy shall not be provided by electric resistance or fossil fuel combustion appliances.  For the purposes of this section, electric resistance HVAC heating appliances include</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but are not limited to</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electric baseboard, electric resistance fan coil</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and</w:t>
      </w:r>
      <w:r w:rsidRPr="006B4A66">
        <w:rPr>
          <w:rFonts w:ascii="Times New Roman" w:eastAsia="Calibri" w:hAnsi="Times New Roman" w:cs="Times New Roman"/>
          <w:color w:val="000000"/>
          <w:kern w:val="0"/>
          <w:sz w:val="24"/>
          <w14:ligatures w14:val="none"/>
        </w:rPr>
        <w:t>)) VAV electric resistance terminal reheat units</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and electric resistance boilers.  For the purposes of this section, fossil fuel combustion HVAC heating appliances include but are not limited to appliances burning natural gas, heating oil, propane</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other fossil fuels.</w:t>
      </w:r>
    </w:p>
    <w:p w14:paraId="1CE5C87A" w14:textId="77777777" w:rsidR="006B4A66" w:rsidRPr="006B4A66" w:rsidRDefault="006B4A66" w:rsidP="0073496A">
      <w:pPr>
        <w:tabs>
          <w:tab w:val="left" w:pos="720"/>
        </w:tabs>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color w:val="000000"/>
          <w:kern w:val="0"/>
          <w:sz w:val="24"/>
          <w14:ligatures w14:val="none"/>
        </w:rPr>
        <w:t>EXCEPTIONS:</w:t>
      </w:r>
    </w:p>
    <w:p w14:paraId="3648BC86"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t>1.  ((</w:t>
      </w:r>
      <w:r w:rsidRPr="006B4A66">
        <w:rPr>
          <w:rFonts w:ascii="Times New Roman" w:eastAsia="Calibri" w:hAnsi="Times New Roman" w:cs="Times New Roman"/>
          <w:strike/>
          <w:color w:val="000000"/>
          <w:kern w:val="0"/>
          <w:sz w:val="24"/>
          <w14:ligatures w14:val="none"/>
        </w:rPr>
        <w:t>Pasteurization.  Electric resistance heat controls are allowed to reset the supply water temperature of hydronic heating systems that serve service water heating heat exchangers during pasteurization cycles of the service hot water storage volume.  The hydronic heating system supply water temperature shall be configured to be 145° F or lower during the pasteurization cycle.</w:t>
      </w:r>
    </w:p>
    <w:p w14:paraId="1F75301B" w14:textId="43AA96DD"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2.</w:t>
      </w:r>
      <w:r w:rsidRPr="006B4A66">
        <w:rPr>
          <w:rFonts w:ascii="Times New Roman" w:eastAsia="Calibri" w:hAnsi="Times New Roman" w:cs="Times New Roman"/>
          <w:color w:val="000000"/>
          <w:kern w:val="0"/>
          <w:sz w:val="24"/>
          <w14:ligatures w14:val="none"/>
        </w:rPr>
        <w:t xml:space="preserve">)) Low heating capacity.  Buildings or areas of buildings, other than dwelling units or sleeping units, that meet the interior temperature requirements of </w:t>
      </w:r>
      <w:r w:rsidRPr="006B4A66">
        <w:rPr>
          <w:rFonts w:ascii="Times New Roman" w:eastAsia="Calibri" w:hAnsi="Times New Roman" w:cs="Times New Roman"/>
          <w:color w:val="000000"/>
          <w:kern w:val="0"/>
          <w:sz w:val="24"/>
          <w:u w:val="single"/>
          <w14:ligatures w14:val="none"/>
        </w:rPr>
        <w:t xml:space="preserve"> </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International Building Code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IBC</w:t>
      </w:r>
      <w:r w:rsidRPr="006B4A66">
        <w:rPr>
          <w:rFonts w:ascii="Times New Roman" w:eastAsia="Calibri" w:hAnsi="Times New Roman" w:cs="Times New Roman"/>
          <w:color w:val="000000"/>
          <w:kern w:val="0"/>
          <w:sz w:val="24"/>
          <w14:ligatures w14:val="none"/>
        </w:rPr>
        <w:t xml:space="preserve"> Chapter 12 with a total installed HVAC heating capacity no more than 8.5 Btu/h ( 2.5 ((</w:t>
      </w:r>
      <w:r w:rsidRPr="006B4A66">
        <w:rPr>
          <w:rFonts w:ascii="Times New Roman" w:eastAsia="Calibri" w:hAnsi="Times New Roman" w:cs="Times New Roman"/>
          <w:strike/>
          <w:color w:val="000000"/>
          <w:kern w:val="0"/>
          <w:sz w:val="24"/>
          <w14:ligatures w14:val="none"/>
        </w:rPr>
        <w:t>W</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w</w:t>
      </w:r>
      <w:r w:rsidRPr="006B4A66">
        <w:rPr>
          <w:rFonts w:ascii="Times New Roman" w:eastAsia="Calibri" w:hAnsi="Times New Roman" w:cs="Times New Roman"/>
          <w:color w:val="000000"/>
          <w:kern w:val="0"/>
          <w:sz w:val="24"/>
          <w14:ligatures w14:val="none"/>
        </w:rPr>
        <w:t xml:space="preserve">atts) per square foot </w:t>
      </w:r>
      <w:r w:rsidRPr="006B4A66">
        <w:rPr>
          <w:rFonts w:ascii="Times New Roman" w:eastAsia="Calibri" w:hAnsi="Times New Roman" w:cs="Times New Roman"/>
          <w:color w:val="000000"/>
          <w:kern w:val="0"/>
          <w:sz w:val="24"/>
          <w:u w:val="single"/>
          <w14:ligatures w14:val="none"/>
        </w:rPr>
        <w:t>(per 0.1 square meter)</w:t>
      </w:r>
      <w:r w:rsidRPr="006B4A66">
        <w:rPr>
          <w:rFonts w:ascii="Times New Roman" w:eastAsia="Calibri" w:hAnsi="Times New Roman" w:cs="Times New Roman"/>
          <w:color w:val="000000"/>
          <w:kern w:val="0"/>
          <w:sz w:val="24"/>
          <w14:ligatures w14:val="none"/>
        </w:rPr>
        <w:t xml:space="preserve"> of conditioned </w:t>
      </w:r>
      <w:r w:rsidRPr="006B4A66">
        <w:rPr>
          <w:rFonts w:ascii="Times New Roman" w:eastAsia="Calibri" w:hAnsi="Times New Roman" w:cs="Times New Roman"/>
          <w:color w:val="000000"/>
          <w:kern w:val="0"/>
          <w:sz w:val="24"/>
          <w14:ligatures w14:val="none"/>
        </w:rPr>
        <w:lastRenderedPageBreak/>
        <w:t>space may be heated using electric resistance appliances.  ((</w:t>
      </w:r>
      <w:r w:rsidRPr="006B4A66">
        <w:rPr>
          <w:rFonts w:ascii="Times New Roman" w:eastAsia="Calibri" w:hAnsi="Times New Roman" w:cs="Times New Roman"/>
          <w:strike/>
          <w:color w:val="000000"/>
          <w:kern w:val="0"/>
          <w:sz w:val="24"/>
          <w14:ligatures w14:val="none"/>
        </w:rPr>
        <w:t>For the purposes of this exception, overhead or wall-mounted radiant heating panels installed in an unheated or semi-heated space, insulated in compliance with IECC C402.2.8 and controlled by occupancy sensing devices in compliance with IECC C403.11.1 shall not be part of the HVAC heating energy calculation.</w:t>
      </w:r>
      <w:r w:rsidRPr="006B4A66">
        <w:rPr>
          <w:rFonts w:ascii="Times New Roman" w:eastAsia="Calibri" w:hAnsi="Times New Roman" w:cs="Times New Roman"/>
          <w:color w:val="000000"/>
          <w:kern w:val="0"/>
          <w:sz w:val="24"/>
          <w14:ligatures w14:val="none"/>
        </w:rPr>
        <w:t>))</w:t>
      </w:r>
    </w:p>
    <w:p w14:paraId="6DC343F6" w14:textId="53CE41EA"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3.</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2.</w:t>
      </w:r>
      <w:r w:rsidRPr="006B4A66">
        <w:rPr>
          <w:rFonts w:ascii="Times New Roman" w:eastAsia="Calibri" w:hAnsi="Times New Roman" w:cs="Times New Roman"/>
          <w:color w:val="000000"/>
          <w:kern w:val="0"/>
          <w:sz w:val="24"/>
          <w14:ligatures w14:val="none"/>
        </w:rPr>
        <w:t xml:space="preserve">  Dwelling or sleeping units.  Dwelling or sleeping units ((</w:t>
      </w:r>
      <w:r w:rsidRPr="006B4A66">
        <w:rPr>
          <w:rFonts w:ascii="Times New Roman" w:eastAsia="Calibri" w:hAnsi="Times New Roman" w:cs="Times New Roman"/>
          <w:strike/>
          <w:color w:val="000000"/>
          <w:kern w:val="0"/>
          <w:sz w:val="24"/>
          <w14:ligatures w14:val="none"/>
        </w:rPr>
        <w:t>having an installed HVAC heating capacity no more than</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may be heated using electric resistance appliances as long as the installed HVAC heating capacity in any separate space is not greater than specified in 2.1 through 2.3.  Where a single dwelling unit includes multiple habitable spaces that are all heated with electric resistance heat, individual spaces are permitted</w:t>
      </w:r>
      <w:r w:rsidR="003E244D">
        <w:rPr>
          <w:rFonts w:ascii="Times New Roman" w:eastAsia="Calibri" w:hAnsi="Times New Roman" w:cs="Times New Roman"/>
          <w:color w:val="000000"/>
          <w:kern w:val="0"/>
          <w:sz w:val="24"/>
          <w:u w:val="single"/>
          <w14:ligatures w14:val="none"/>
        </w:rPr>
        <w:t xml:space="preserve"> to</w:t>
      </w:r>
      <w:r w:rsidRPr="006B4A66">
        <w:rPr>
          <w:rFonts w:ascii="Times New Roman" w:eastAsia="Calibri" w:hAnsi="Times New Roman" w:cs="Times New Roman"/>
          <w:color w:val="000000"/>
          <w:kern w:val="0"/>
          <w:sz w:val="24"/>
          <w:u w:val="single"/>
          <w14:ligatures w14:val="none"/>
        </w:rPr>
        <w:t xml:space="preserve"> have more electric resistance heating capacity than specified in 2.1 through 2.3, where the total electric resistance heating capacity for the dwelling unit is less than or equal to the total allowed.</w:t>
      </w:r>
    </w:p>
    <w:p w14:paraId="7713317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color w:val="000000"/>
          <w:kern w:val="0"/>
          <w:sz w:val="24"/>
          <w:u w:val="single"/>
          <w14:ligatures w14:val="none"/>
        </w:rPr>
        <w:t>2.1</w:t>
      </w:r>
      <w:r w:rsidRPr="006B4A66">
        <w:rPr>
          <w:rFonts w:ascii="Times New Roman" w:eastAsia="Calibri" w:hAnsi="Times New Roman" w:cs="Times New Roman"/>
          <w:color w:val="000000"/>
          <w:kern w:val="0"/>
          <w:sz w:val="24"/>
          <w14:ligatures w14:val="none"/>
        </w:rPr>
        <w:t xml:space="preserve">  750 ((</w:t>
      </w:r>
      <w:r w:rsidRPr="006B4A66">
        <w:rPr>
          <w:rFonts w:ascii="Times New Roman" w:eastAsia="Calibri" w:hAnsi="Times New Roman" w:cs="Times New Roman"/>
          <w:strike/>
          <w:color w:val="000000"/>
          <w:kern w:val="0"/>
          <w:sz w:val="24"/>
          <w14:ligatures w14:val="none"/>
        </w:rPr>
        <w:t>W</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w</w:t>
      </w:r>
      <w:r w:rsidRPr="006B4A66">
        <w:rPr>
          <w:rFonts w:ascii="Times New Roman" w:eastAsia="Calibri" w:hAnsi="Times New Roman" w:cs="Times New Roman"/>
          <w:color w:val="000000"/>
          <w:kern w:val="0"/>
          <w:sz w:val="24"/>
          <w14:ligatures w14:val="none"/>
        </w:rPr>
        <w:t>atts in ((</w:t>
      </w:r>
      <w:r w:rsidRPr="006B4A66">
        <w:rPr>
          <w:rFonts w:ascii="Times New Roman" w:eastAsia="Calibri" w:hAnsi="Times New Roman" w:cs="Times New Roman"/>
          <w:strike/>
          <w:color w:val="000000"/>
          <w:kern w:val="0"/>
          <w:sz w:val="24"/>
          <w14:ligatures w14:val="none"/>
        </w:rPr>
        <w:t>any separate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each</w:t>
      </w:r>
      <w:r w:rsidRPr="006B4A66">
        <w:rPr>
          <w:rFonts w:ascii="Times New Roman" w:eastAsia="Calibri" w:hAnsi="Times New Roman" w:cs="Times New Roman"/>
          <w:color w:val="000000"/>
          <w:kern w:val="0"/>
          <w:sz w:val="24"/>
          <w14:ligatures w14:val="none"/>
        </w:rPr>
        <w:t xml:space="preserve"> habitable room with exterior fenestration ((</w:t>
      </w:r>
      <w:r w:rsidRPr="006B4A66">
        <w:rPr>
          <w:rFonts w:ascii="Times New Roman" w:eastAsia="Calibri" w:hAnsi="Times New Roman" w:cs="Times New Roman"/>
          <w:strike/>
          <w:color w:val="000000"/>
          <w:kern w:val="0"/>
          <w:sz w:val="24"/>
          <w14:ligatures w14:val="none"/>
        </w:rPr>
        <w:t>may be heated using electric resistance appliances</w:t>
      </w:r>
      <w:r w:rsidRPr="006B4A66">
        <w:rPr>
          <w:rFonts w:ascii="Times New Roman" w:eastAsia="Calibri" w:hAnsi="Times New Roman" w:cs="Times New Roman"/>
          <w:color w:val="000000"/>
          <w:kern w:val="0"/>
          <w:sz w:val="24"/>
          <w14:ligatures w14:val="none"/>
        </w:rPr>
        <w:t>)).</w:t>
      </w:r>
    </w:p>
    <w:p w14:paraId="365EBC2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3.1  Corner rooms.  A room within a dwelling or sleeping unit</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2.2.  1,000 watts for each habitable space</w:t>
      </w:r>
      <w:r w:rsidRPr="006B4A66">
        <w:rPr>
          <w:rFonts w:ascii="Times New Roman" w:eastAsia="Calibri" w:hAnsi="Times New Roman" w:cs="Times New Roman"/>
          <w:color w:val="000000"/>
          <w:kern w:val="0"/>
          <w:sz w:val="24"/>
          <w14:ligatures w14:val="none"/>
        </w:rPr>
        <w:t xml:space="preserve"> that has two primary walls facing different cardinal directions, each with exterior fenestration((</w:t>
      </w:r>
      <w:r w:rsidRPr="006B4A66">
        <w:rPr>
          <w:rFonts w:ascii="Times New Roman" w:eastAsia="Calibri" w:hAnsi="Times New Roman" w:cs="Times New Roman"/>
          <w:strike/>
          <w:color w:val="000000"/>
          <w:kern w:val="0"/>
          <w:sz w:val="24"/>
          <w14:ligatures w14:val="none"/>
        </w:rPr>
        <w:t>, is permitted to have an installed HVAC heating capacity no more than 1000 watts</w:t>
      </w:r>
      <w:r w:rsidRPr="006B4A66">
        <w:rPr>
          <w:rFonts w:ascii="Times New Roman" w:eastAsia="Calibri" w:hAnsi="Times New Roman" w:cs="Times New Roman"/>
          <w:color w:val="000000"/>
          <w:kern w:val="0"/>
          <w:sz w:val="24"/>
          <w14:ligatures w14:val="none"/>
        </w:rPr>
        <w:t>)).  Bay windows and other minor offsets are not considered primary walls.</w:t>
      </w:r>
    </w:p>
    <w:p w14:paraId="6B6567C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4.</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u w:val="single"/>
          <w14:ligatures w14:val="none"/>
        </w:rPr>
        <w:t>2.3.  250 watts in spaces adjoining the building thermal envelope but without exterior fenestration.</w:t>
      </w:r>
    </w:p>
    <w:p w14:paraId="2C4C2DC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For the purposes of this section habitable space is as defined in the IBC.</w:t>
      </w:r>
    </w:p>
    <w:p w14:paraId="01858437" w14:textId="026A766E"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color w:val="000000"/>
          <w:kern w:val="0"/>
          <w:sz w:val="24"/>
          <w:u w:val="single"/>
          <w14:ligatures w14:val="none"/>
        </w:rPr>
        <w:t>3.</w:t>
      </w:r>
      <w:r w:rsidRPr="006B4A66">
        <w:rPr>
          <w:rFonts w:ascii="Times New Roman" w:eastAsia="Calibri" w:hAnsi="Times New Roman" w:cs="Times New Roman"/>
          <w:color w:val="000000"/>
          <w:kern w:val="0"/>
          <w:sz w:val="24"/>
          <w14:ligatures w14:val="none"/>
        </w:rPr>
        <w:t xml:space="preserve">  Small buildings.  Buildings with less than 2,500 square feet </w:t>
      </w:r>
      <w:r w:rsidRPr="006B4A66">
        <w:rPr>
          <w:rFonts w:ascii="Times New Roman" w:eastAsia="Calibri" w:hAnsi="Times New Roman" w:cs="Times New Roman"/>
          <w:color w:val="000000"/>
          <w:kern w:val="0"/>
          <w:sz w:val="24"/>
          <w:u w:val="single"/>
          <w14:ligatures w14:val="none"/>
        </w:rPr>
        <w:t>(</w:t>
      </w:r>
      <w:r w:rsidR="00F45DD9">
        <w:rPr>
          <w:rFonts w:ascii="Times New Roman" w:eastAsia="Calibri" w:hAnsi="Times New Roman" w:cs="Times New Roman"/>
          <w:color w:val="000000"/>
          <w:kern w:val="0"/>
          <w:sz w:val="24"/>
          <w:u w:val="single"/>
          <w14:ligatures w14:val="none"/>
        </w:rPr>
        <w:t>232</w:t>
      </w:r>
      <w:r w:rsidRPr="006B4A66">
        <w:rPr>
          <w:rFonts w:ascii="Times New Roman" w:eastAsia="Calibri" w:hAnsi="Times New Roman" w:cs="Times New Roman"/>
          <w:color w:val="000000"/>
          <w:kern w:val="0"/>
          <w:sz w:val="24"/>
          <w:u w:val="single"/>
          <w14:ligatures w14:val="none"/>
        </w:rPr>
        <w:t xml:space="preserve"> square meters)</w:t>
      </w:r>
      <w:r w:rsidRPr="006B4A66">
        <w:rPr>
          <w:rFonts w:ascii="Times New Roman" w:eastAsia="Calibri" w:hAnsi="Times New Roman" w:cs="Times New Roman"/>
          <w:color w:val="000000"/>
          <w:kern w:val="0"/>
          <w:sz w:val="24"/>
          <w14:ligatures w14:val="none"/>
        </w:rPr>
        <w:t xml:space="preserve"> of conditioned floor area may be heated using electric resistance appliances.</w:t>
      </w:r>
    </w:p>
    <w:p w14:paraId="7A2DDFA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5.</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4.</w:t>
      </w:r>
      <w:r w:rsidRPr="006B4A66">
        <w:rPr>
          <w:rFonts w:ascii="Times New Roman" w:eastAsia="Calibri" w:hAnsi="Times New Roman" w:cs="Times New Roman"/>
          <w:color w:val="000000"/>
          <w:kern w:val="0"/>
          <w:sz w:val="24"/>
          <w14:ligatures w14:val="none"/>
        </w:rPr>
        <w:t xml:space="preserve">  Defrost.  Heat pumps may use electric resistance as the first stage of heating when a defrost cycle is required and is in operation.</w:t>
      </w:r>
    </w:p>
    <w:p w14:paraId="4CEB352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6.</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5.</w:t>
      </w:r>
      <w:r w:rsidRPr="006B4A66">
        <w:rPr>
          <w:rFonts w:ascii="Times New Roman" w:eastAsia="Calibri" w:hAnsi="Times New Roman" w:cs="Times New Roman"/>
          <w:color w:val="000000"/>
          <w:kern w:val="0"/>
          <w:sz w:val="24"/>
          <w14:ligatures w14:val="none"/>
        </w:rPr>
        <w:t xml:space="preserve">  Air-to-air heat pumps.  Buildings ((</w:t>
      </w:r>
      <w:r w:rsidRPr="006B4A66">
        <w:rPr>
          <w:rFonts w:ascii="Times New Roman" w:eastAsia="Calibri" w:hAnsi="Times New Roman" w:cs="Times New Roman"/>
          <w:strike/>
          <w:color w:val="000000"/>
          <w:kern w:val="0"/>
          <w:sz w:val="24"/>
          <w14:ligatures w14:val="none"/>
        </w:rPr>
        <w:t>may use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are permitted to utilize</w:t>
      </w:r>
      <w:r w:rsidRPr="006B4A66">
        <w:rPr>
          <w:rFonts w:ascii="Times New Roman" w:eastAsia="Calibri" w:hAnsi="Times New Roman" w:cs="Times New Roman"/>
          <w:color w:val="000000"/>
          <w:kern w:val="0"/>
          <w:sz w:val="24"/>
          <w14:ligatures w14:val="none"/>
        </w:rPr>
        <w:t xml:space="preserve"> electric resistance ((</w:t>
      </w:r>
      <w:r w:rsidRPr="006B4A66">
        <w:rPr>
          <w:rFonts w:ascii="Times New Roman" w:eastAsia="Calibri" w:hAnsi="Times New Roman" w:cs="Times New Roman"/>
          <w:strike/>
          <w:color w:val="000000"/>
          <w:kern w:val="0"/>
          <w:sz w:val="24"/>
          <w14:ligatures w14:val="none"/>
        </w:rPr>
        <w:t>auxiliary heating to</w:t>
      </w:r>
      <w:r w:rsidRPr="006B4A66">
        <w:rPr>
          <w:rFonts w:ascii="Times New Roman" w:eastAsia="Calibri" w:hAnsi="Times New Roman" w:cs="Times New Roman"/>
          <w:color w:val="000000"/>
          <w:kern w:val="0"/>
          <w:sz w:val="24"/>
          <w14:ligatures w14:val="none"/>
        </w:rPr>
        <w:t>)) supplement</w:t>
      </w:r>
      <w:r w:rsidRPr="006B4A66">
        <w:rPr>
          <w:rFonts w:ascii="Times New Roman" w:eastAsia="Calibri" w:hAnsi="Times New Roman" w:cs="Times New Roman"/>
          <w:color w:val="000000"/>
          <w:kern w:val="0"/>
          <w:sz w:val="24"/>
          <w:u w:val="single"/>
          <w14:ligatures w14:val="none"/>
        </w:rPr>
        <w:t>al</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strike/>
          <w:color w:val="000000"/>
          <w:kern w:val="0"/>
          <w:sz w:val="24"/>
          <w14:ligatures w14:val="none"/>
        </w:rPr>
        <w:t>heat pump</w:t>
      </w:r>
      <w:r w:rsidRPr="006B4A66">
        <w:rPr>
          <w:rFonts w:ascii="Times New Roman" w:eastAsia="Calibri" w:hAnsi="Times New Roman" w:cs="Times New Roman"/>
          <w:color w:val="000000"/>
          <w:kern w:val="0"/>
          <w:sz w:val="24"/>
          <w14:ligatures w14:val="none"/>
        </w:rPr>
        <w:t>)) heating for air-to-air heat pumps ((</w:t>
      </w:r>
      <w:r w:rsidRPr="006B4A66">
        <w:rPr>
          <w:rFonts w:ascii="Times New Roman" w:eastAsia="Calibri" w:hAnsi="Times New Roman" w:cs="Times New Roman"/>
          <w:strike/>
          <w:color w:val="000000"/>
          <w:kern w:val="0"/>
          <w:sz w:val="24"/>
          <w14:ligatures w14:val="none"/>
        </w:rPr>
        <w:t>with</w:t>
      </w:r>
      <w:r w:rsidRPr="006B4A66">
        <w:rPr>
          <w:rFonts w:ascii="Times New Roman" w:eastAsia="Calibri" w:hAnsi="Times New Roman" w:cs="Times New Roman"/>
          <w:color w:val="000000"/>
          <w:kern w:val="0"/>
          <w:sz w:val="24"/>
          <w14:ligatures w14:val="none"/>
        </w:rPr>
        <w:t xml:space="preserve">)) that meet </w:t>
      </w:r>
      <w:r w:rsidRPr="006B4A66">
        <w:rPr>
          <w:rFonts w:ascii="Times New Roman" w:eastAsia="Calibri" w:hAnsi="Times New Roman" w:cs="Times New Roman"/>
          <w:color w:val="000000"/>
          <w:kern w:val="0"/>
          <w:sz w:val="24"/>
          <w:u w:val="single"/>
          <w14:ligatures w14:val="none"/>
        </w:rPr>
        <w:t>all of</w:t>
      </w:r>
      <w:r w:rsidRPr="006B4A66">
        <w:rPr>
          <w:rFonts w:ascii="Times New Roman" w:eastAsia="Calibri" w:hAnsi="Times New Roman" w:cs="Times New Roman"/>
          <w:color w:val="000000"/>
          <w:kern w:val="0"/>
          <w:sz w:val="24"/>
          <w14:ligatures w14:val="none"/>
        </w:rPr>
        <w:t xml:space="preserve"> the following conditions:</w:t>
      </w:r>
    </w:p>
    <w:p w14:paraId="766248C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6.1.</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5.1.</w:t>
      </w:r>
      <w:r w:rsidRPr="006B4A66">
        <w:rPr>
          <w:rFonts w:ascii="Times New Roman" w:eastAsia="Calibri" w:hAnsi="Times New Roman" w:cs="Times New Roman"/>
          <w:color w:val="000000"/>
          <w:kern w:val="0"/>
          <w:sz w:val="24"/>
          <w14:ligatures w14:val="none"/>
        </w:rPr>
        <w:t xml:space="preserve">  Internal electric resistance heaters have controls that prevent supplemental heater operation when the heating load can be met by the heat pump alone during both steady-state operation and setback recovery.</w:t>
      </w:r>
    </w:p>
    <w:p w14:paraId="338E8B3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6.2.</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5.2.</w:t>
      </w:r>
      <w:r w:rsidRPr="006B4A66">
        <w:rPr>
          <w:rFonts w:ascii="Times New Roman" w:eastAsia="Calibri" w:hAnsi="Times New Roman" w:cs="Times New Roman"/>
          <w:color w:val="000000"/>
          <w:kern w:val="0"/>
          <w:sz w:val="24"/>
          <w14:ligatures w14:val="none"/>
        </w:rPr>
        <w:t xml:space="preserve">  The heat pump controls are configured to use the compressor to provide heating down to an outdoor air temperature of 17° ((</w:t>
      </w:r>
      <w:r w:rsidRPr="006B4A66">
        <w:rPr>
          <w:rFonts w:ascii="Times New Roman" w:eastAsia="Calibri" w:hAnsi="Times New Roman" w:cs="Times New Roman"/>
          <w:strike/>
          <w:color w:val="000000"/>
          <w:kern w:val="0"/>
          <w:sz w:val="24"/>
          <w14:ligatures w14:val="none"/>
        </w:rPr>
        <w:t>F</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Fahrenheit (-8° Celsius)</w:t>
      </w:r>
      <w:r w:rsidRPr="006B4A66">
        <w:rPr>
          <w:rFonts w:ascii="Times New Roman" w:eastAsia="Calibri" w:hAnsi="Times New Roman" w:cs="Times New Roman"/>
          <w:color w:val="000000"/>
          <w:kern w:val="0"/>
          <w:sz w:val="24"/>
          <w14:ligatures w14:val="none"/>
        </w:rPr>
        <w:t xml:space="preserve"> or lower((</w:t>
      </w:r>
      <w:r w:rsidRPr="006B4A66">
        <w:rPr>
          <w:rFonts w:ascii="Times New Roman" w:eastAsia="Calibri" w:hAnsi="Times New Roman" w:cs="Times New Roman"/>
          <w:strike/>
          <w:color w:val="000000"/>
          <w:kern w:val="0"/>
          <w:sz w:val="24"/>
          <w14:ligatures w14:val="none"/>
        </w:rPr>
        <w:t>;</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u w:val="single"/>
          <w14:ligatures w14:val="none"/>
        </w:rPr>
        <w:t>.</w:t>
      </w:r>
    </w:p>
    <w:p w14:paraId="7E800C0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u w:val="single"/>
          <w14:ligatures w14:val="none"/>
        </w:rPr>
        <w:t>EXCEPTIONS TO 5.2:</w:t>
      </w:r>
    </w:p>
    <w:p w14:paraId="11597DB3" w14:textId="494DFAC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color w:val="000000"/>
          <w:kern w:val="0"/>
          <w:sz w:val="24"/>
          <w:u w:val="single"/>
          <w14:ligatures w14:val="none"/>
        </w:rPr>
        <w:t xml:space="preserve">1.  Packaged terminal heat pumps (PTHPs) that comply with the minimum heating efficiency requirements in Table C403.3.2(4) are exempt from heat pump controls capable of operating the compressor as the first stage of heating down to an outdoor air temperature of 17° Fahrenheit (-8° Celsius) or lower. </w:t>
      </w:r>
    </w:p>
    <w:p w14:paraId="3137EEE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color w:val="000000"/>
          <w:kern w:val="0"/>
          <w:sz w:val="24"/>
          <w:u w:val="single"/>
          <w14:ligatures w14:val="none"/>
        </w:rPr>
        <w:t xml:space="preserve">2.  Heat pumps whose minimum efficiency is regulated by NAECA and whose ratings meet the requirements shown in WSEC Table C403.3.2(2) and include all usage of internal electric resistance heating are exempt from heat pump controls capable of operating the compressor as the first state of heating down to an outdoor air temperature of 17° Fahrenheit (-8° Celsius) or lower, except that thermostats that are not integral to </w:t>
      </w:r>
      <w:r w:rsidRPr="006B4A66">
        <w:rPr>
          <w:rFonts w:ascii="Times New Roman" w:eastAsia="Calibri" w:hAnsi="Times New Roman" w:cs="Times New Roman"/>
          <w:color w:val="000000"/>
          <w:kern w:val="0"/>
          <w:sz w:val="24"/>
          <w:u w:val="single"/>
          <w14:ligatures w14:val="none"/>
        </w:rPr>
        <w:lastRenderedPageBreak/>
        <w:t>the heat pump equipment shall be configured to use the compressor as the first stage of heating down to an outdoor air temperature of 17° Fahrenheit (-8° Celsius) or lower except when in defrost.</w:t>
      </w:r>
    </w:p>
    <w:p w14:paraId="49D4FA9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6.3.</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5.3.</w:t>
      </w:r>
      <w:r w:rsidRPr="006B4A66">
        <w:rPr>
          <w:rFonts w:ascii="Times New Roman" w:eastAsia="Calibri" w:hAnsi="Times New Roman" w:cs="Times New Roman"/>
          <w:color w:val="000000"/>
          <w:kern w:val="0"/>
          <w:sz w:val="24"/>
          <w14:ligatures w14:val="none"/>
        </w:rPr>
        <w:t xml:space="preserve">  The heat pump complies with </w:t>
      </w:r>
      <w:r w:rsidRPr="006B4A66">
        <w:rPr>
          <w:rFonts w:ascii="Times New Roman" w:eastAsia="Calibri" w:hAnsi="Times New Roman" w:cs="Times New Roman"/>
          <w:color w:val="000000"/>
          <w:kern w:val="0"/>
          <w:sz w:val="24"/>
          <w:u w:val="single"/>
          <w14:ligatures w14:val="none"/>
        </w:rPr>
        <w:t>all of</w:t>
      </w:r>
      <w:r w:rsidRPr="006B4A66">
        <w:rPr>
          <w:rFonts w:ascii="Times New Roman" w:eastAsia="Calibri" w:hAnsi="Times New Roman" w:cs="Times New Roman"/>
          <w:color w:val="000000"/>
          <w:kern w:val="0"/>
          <w:sz w:val="24"/>
          <w14:ligatures w14:val="none"/>
        </w:rPr>
        <w:t xml:space="preserve"> the following:</w:t>
      </w:r>
    </w:p>
    <w:p w14:paraId="0A9D870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a.</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5.3.1.</w:t>
      </w:r>
      <w:r w:rsidRPr="006B4A66">
        <w:rPr>
          <w:rFonts w:ascii="Times New Roman" w:eastAsia="Calibri" w:hAnsi="Times New Roman" w:cs="Times New Roman"/>
          <w:color w:val="000000"/>
          <w:kern w:val="0"/>
          <w:sz w:val="24"/>
          <w14:ligatures w14:val="none"/>
        </w:rPr>
        <w:t xml:space="preserve">  Controlled ((</w:t>
      </w:r>
      <w:r w:rsidRPr="006B4A66">
        <w:rPr>
          <w:rFonts w:ascii="Times New Roman" w:eastAsia="Calibri" w:hAnsi="Times New Roman" w:cs="Times New Roman"/>
          <w:strike/>
          <w:color w:val="000000"/>
          <w:kern w:val="0"/>
          <w:sz w:val="24"/>
          <w14:ligatures w14:val="none"/>
        </w:rPr>
        <w:t>bya</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by a</w:t>
      </w:r>
      <w:r w:rsidRPr="006B4A66">
        <w:rPr>
          <w:rFonts w:ascii="Times New Roman" w:eastAsia="Calibri" w:hAnsi="Times New Roman" w:cs="Times New Roman"/>
          <w:color w:val="000000"/>
          <w:kern w:val="0"/>
          <w:sz w:val="24"/>
          <w14:ligatures w14:val="none"/>
        </w:rPr>
        <w:t xml:space="preserve"> digital or electronic thermostat designed for heat pump use that energizes the supplemental heat only when the heat pump has insufficient capacity to maintain set point or to warm up the space at a sufficient rate;</w:t>
      </w:r>
    </w:p>
    <w:p w14:paraId="58522F7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b.</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5.3.2.</w:t>
      </w:r>
      <w:r w:rsidRPr="006B4A66">
        <w:rPr>
          <w:rFonts w:ascii="Times New Roman" w:eastAsia="Calibri" w:hAnsi="Times New Roman" w:cs="Times New Roman"/>
          <w:color w:val="000000"/>
          <w:kern w:val="0"/>
          <w:sz w:val="24"/>
          <w14:ligatures w14:val="none"/>
        </w:rPr>
        <w:t xml:space="preserve">  Controlled by a multistage space thermostat and an outdoor air thermostat wired to energize supplemental heat only on the last stage of the space thermostat and when outdoor air temperature is less than 32</w:t>
      </w:r>
      <w:bookmarkStart w:id="5" w:name="_Hlk175318801"/>
      <w:r w:rsidRPr="006B4A66">
        <w:rPr>
          <w:rFonts w:ascii="Times New Roman" w:eastAsia="Calibri" w:hAnsi="Times New Roman" w:cs="Times New Roman"/>
          <w:color w:val="000000"/>
          <w:kern w:val="0"/>
          <w:sz w:val="24"/>
          <w14:ligatures w14:val="none"/>
        </w:rPr>
        <w:t>°</w:t>
      </w:r>
      <w:bookmarkEnd w:id="5"/>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strike/>
          <w:color w:val="000000"/>
          <w:kern w:val="0"/>
          <w:sz w:val="24"/>
          <w14:ligatures w14:val="none"/>
        </w:rPr>
        <w:t>F</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Fahrenheit (0° Celsius)</w:t>
      </w:r>
      <w:r w:rsidRPr="006B4A66">
        <w:rPr>
          <w:rFonts w:ascii="Times New Roman" w:eastAsia="Calibri" w:hAnsi="Times New Roman" w:cs="Times New Roman"/>
          <w:color w:val="000000"/>
          <w:kern w:val="0"/>
          <w:sz w:val="24"/>
          <w14:ligatures w14:val="none"/>
        </w:rPr>
        <w:t>; or</w:t>
      </w:r>
    </w:p>
    <w:p w14:paraId="63F5030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c.</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5.3.3.</w:t>
      </w:r>
      <w:r w:rsidRPr="006B4A66">
        <w:rPr>
          <w:rFonts w:ascii="Times New Roman" w:eastAsia="Calibri" w:hAnsi="Times New Roman" w:cs="Times New Roman"/>
          <w:color w:val="000000"/>
          <w:kern w:val="0"/>
          <w:sz w:val="24"/>
          <w14:ligatures w14:val="none"/>
        </w:rPr>
        <w:t xml:space="preserve">  The minimum efficiency of the heat pump is regulated by NAECA, its rating meets the requirements shown in ((</w:t>
      </w:r>
      <w:r w:rsidRPr="006B4A66">
        <w:rPr>
          <w:rFonts w:ascii="Times New Roman" w:eastAsia="Calibri" w:hAnsi="Times New Roman" w:cs="Times New Roman"/>
          <w:strike/>
          <w:color w:val="000000"/>
          <w:kern w:val="0"/>
          <w:sz w:val="24"/>
          <w14:ligatures w14:val="none"/>
        </w:rPr>
        <w:t>IECC</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WSEC</w:t>
      </w:r>
      <w:r w:rsidRPr="006B4A66">
        <w:rPr>
          <w:rFonts w:ascii="Times New Roman" w:eastAsia="Calibri" w:hAnsi="Times New Roman" w:cs="Times New Roman"/>
          <w:color w:val="000000"/>
          <w:kern w:val="0"/>
          <w:sz w:val="24"/>
          <w14:ligatures w14:val="none"/>
        </w:rPr>
        <w:t xml:space="preserve"> Table C403.3.2(2), and its rating includes all usage of internal electric resistance heating.</w:t>
      </w:r>
    </w:p>
    <w:p w14:paraId="4983542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6.4</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5.4.</w:t>
      </w:r>
      <w:r w:rsidRPr="006B4A66">
        <w:rPr>
          <w:rFonts w:ascii="Times New Roman" w:eastAsia="Calibri" w:hAnsi="Times New Roman" w:cs="Times New Roman"/>
          <w:color w:val="000000"/>
          <w:kern w:val="0"/>
          <w:sz w:val="24"/>
          <w14:ligatures w14:val="none"/>
        </w:rPr>
        <w:t xml:space="preserve">  The heat pump rated heating capacity is sized to meet the heating load at an outdoor air temperature of 32° ((</w:t>
      </w:r>
      <w:r w:rsidRPr="006B4A66">
        <w:rPr>
          <w:rFonts w:ascii="Times New Roman" w:eastAsia="Calibri" w:hAnsi="Times New Roman" w:cs="Times New Roman"/>
          <w:strike/>
          <w:color w:val="000000"/>
          <w:kern w:val="0"/>
          <w:sz w:val="24"/>
          <w14:ligatures w14:val="none"/>
        </w:rPr>
        <w:t>F</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Fahrenheit (0° Celsius)</w:t>
      </w:r>
      <w:r w:rsidRPr="006B4A66">
        <w:rPr>
          <w:rFonts w:ascii="Times New Roman" w:eastAsia="Calibri" w:hAnsi="Times New Roman" w:cs="Times New Roman"/>
          <w:color w:val="000000"/>
          <w:kern w:val="0"/>
          <w:sz w:val="24"/>
          <w14:ligatures w14:val="none"/>
        </w:rPr>
        <w:t xml:space="preserve"> or lower and has a rated heating capacity at 47° ((</w:t>
      </w:r>
      <w:r w:rsidRPr="006B4A66">
        <w:rPr>
          <w:rFonts w:ascii="Times New Roman" w:eastAsia="Calibri" w:hAnsi="Times New Roman" w:cs="Times New Roman"/>
          <w:strike/>
          <w:color w:val="000000"/>
          <w:kern w:val="0"/>
          <w:sz w:val="24"/>
          <w14:ligatures w14:val="none"/>
        </w:rPr>
        <w:t>F</w:t>
      </w:r>
      <w:r w:rsidRPr="006B4A66">
        <w:rPr>
          <w:rFonts w:ascii="Times New Roman" w:eastAsia="Calibri" w:hAnsi="Times New Roman" w:cs="Times New Roman"/>
          <w:color w:val="000000"/>
          <w:kern w:val="0"/>
          <w:sz w:val="24"/>
          <w14:ligatures w14:val="none"/>
        </w:rPr>
        <w:t xml:space="preserve">)) Fahrenheit </w:t>
      </w:r>
      <w:r w:rsidRPr="006B4A66">
        <w:rPr>
          <w:rFonts w:ascii="Times New Roman" w:eastAsia="Calibri" w:hAnsi="Times New Roman" w:cs="Times New Roman"/>
          <w:color w:val="000000"/>
          <w:kern w:val="0"/>
          <w:sz w:val="24"/>
          <w:u w:val="single"/>
          <w14:ligatures w14:val="none"/>
        </w:rPr>
        <w:t>(8° Celsius)</w:t>
      </w:r>
      <w:r w:rsidRPr="006B4A66">
        <w:rPr>
          <w:rFonts w:ascii="Times New Roman" w:eastAsia="Calibri" w:hAnsi="Times New Roman" w:cs="Times New Roman"/>
          <w:color w:val="000000"/>
          <w:kern w:val="0"/>
          <w:sz w:val="24"/>
          <w14:ligatures w14:val="none"/>
        </w:rPr>
        <w:t xml:space="preserve"> no less than 2 times more than supplemental electric resistance heating capacity, or uses the smallest available factory-available internal electric resistance heater.</w:t>
      </w:r>
    </w:p>
    <w:p w14:paraId="4E413A9B" w14:textId="4F9A9390"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7.</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6.</w:t>
      </w:r>
      <w:r w:rsidRPr="006B4A66">
        <w:rPr>
          <w:rFonts w:ascii="Times New Roman" w:eastAsia="Calibri" w:hAnsi="Times New Roman" w:cs="Times New Roman"/>
          <w:color w:val="000000"/>
          <w:kern w:val="0"/>
          <w:sz w:val="24"/>
          <w14:ligatures w14:val="none"/>
        </w:rPr>
        <w:t xml:space="preserve">  Air-to-water heat pumps ((</w:t>
      </w:r>
      <w:r w:rsidRPr="006B4A66">
        <w:rPr>
          <w:rFonts w:ascii="Times New Roman" w:eastAsia="Calibri" w:hAnsi="Times New Roman" w:cs="Times New Roman"/>
          <w:strike/>
          <w:color w:val="000000"/>
          <w:kern w:val="0"/>
          <w:sz w:val="24"/>
          <w14:ligatures w14:val="none"/>
        </w:rPr>
        <w:t>, up to 2,000 MBH</w:t>
      </w:r>
      <w:r w:rsidRPr="006B4A66">
        <w:rPr>
          <w:rFonts w:ascii="Times New Roman" w:eastAsia="Calibri" w:hAnsi="Times New Roman" w:cs="Times New Roman"/>
          <w:color w:val="000000"/>
          <w:kern w:val="0"/>
          <w:sz w:val="24"/>
          <w14:ligatures w14:val="none"/>
        </w:rPr>
        <w:t>)).  Buildings ((</w:t>
      </w:r>
      <w:r w:rsidRPr="006B4A66">
        <w:rPr>
          <w:rFonts w:ascii="Times New Roman" w:eastAsia="Calibri" w:hAnsi="Times New Roman" w:cs="Times New Roman"/>
          <w:strike/>
          <w:color w:val="000000"/>
          <w:kern w:val="0"/>
          <w:sz w:val="24"/>
          <w14:ligatures w14:val="none"/>
        </w:rPr>
        <w:t>may use</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u w:val="single"/>
          <w14:ligatures w14:val="none"/>
        </w:rPr>
        <w:t>are permitted to utilize</w:t>
      </w:r>
      <w:r w:rsidRPr="006B4A66">
        <w:rPr>
          <w:rFonts w:ascii="Times New Roman" w:eastAsia="Calibri" w:hAnsi="Times New Roman" w:cs="Times New Roman"/>
          <w:color w:val="000000"/>
          <w:kern w:val="0"/>
          <w:sz w:val="24"/>
          <w14:ligatures w14:val="none"/>
        </w:rPr>
        <w:t xml:space="preserve"> electric resistance </w:t>
      </w:r>
      <w:r w:rsidRPr="006B4A66">
        <w:rPr>
          <w:rFonts w:ascii="Times New Roman" w:eastAsia="Calibri" w:hAnsi="Times New Roman" w:cs="Times New Roman"/>
          <w:color w:val="000000"/>
          <w:kern w:val="0"/>
          <w:sz w:val="24"/>
          <w:u w:val="single"/>
          <w14:ligatures w14:val="none"/>
        </w:rPr>
        <w:t>(for Climate Zone 4)</w:t>
      </w:r>
      <w:r w:rsidRPr="006B4A66">
        <w:rPr>
          <w:rFonts w:ascii="Times New Roman" w:eastAsia="Calibri" w:hAnsi="Times New Roman" w:cs="Times New Roman"/>
          <w:color w:val="000000"/>
          <w:kern w:val="0"/>
          <w:sz w:val="24"/>
          <w14:ligatures w14:val="none"/>
        </w:rPr>
        <w:t xml:space="preserve"> auxiliary heating to supplement heat pump heating for hydronic heating systems that ((</w:t>
      </w:r>
      <w:r w:rsidRPr="006B4A66">
        <w:rPr>
          <w:rFonts w:ascii="Times New Roman" w:eastAsia="Calibri" w:hAnsi="Times New Roman" w:cs="Times New Roman"/>
          <w:strike/>
          <w:color w:val="000000"/>
          <w:kern w:val="0"/>
          <w:sz w:val="24"/>
          <w14:ligatures w14:val="none"/>
        </w:rPr>
        <w:t xml:space="preserve">have air-to-water heat </w:t>
      </w:r>
      <w:r w:rsidRPr="006B4A66">
        <w:rPr>
          <w:rFonts w:ascii="Times New Roman" w:eastAsia="Calibri" w:hAnsi="Times New Roman" w:cs="Times New Roman"/>
          <w:strike/>
          <w:color w:val="000000"/>
          <w:kern w:val="0"/>
          <w:sz w:val="24"/>
          <w14:ligatures w14:val="none"/>
        </w:rPr>
        <w:lastRenderedPageBreak/>
        <w:t>pump heating capacity no more than 2,000 kBtu/h at 47° F, and that</w:t>
      </w:r>
      <w:r w:rsidRPr="006B4A66">
        <w:rPr>
          <w:rFonts w:ascii="Times New Roman" w:eastAsia="Calibri" w:hAnsi="Times New Roman" w:cs="Times New Roman"/>
          <w:color w:val="000000"/>
          <w:kern w:val="0"/>
          <w:sz w:val="24"/>
          <w14:ligatures w14:val="none"/>
        </w:rPr>
        <w:t xml:space="preserve">)) meet </w:t>
      </w:r>
      <w:r w:rsidRPr="006B4A66">
        <w:rPr>
          <w:rFonts w:ascii="Times New Roman" w:eastAsia="Calibri" w:hAnsi="Times New Roman" w:cs="Times New Roman"/>
          <w:color w:val="000000"/>
          <w:kern w:val="0"/>
          <w:sz w:val="24"/>
          <w:u w:val="single"/>
          <w14:ligatures w14:val="none"/>
        </w:rPr>
        <w:t>all of</w:t>
      </w:r>
      <w:r w:rsidRPr="006B4A66">
        <w:rPr>
          <w:rFonts w:ascii="Times New Roman" w:eastAsia="Calibri" w:hAnsi="Times New Roman" w:cs="Times New Roman"/>
          <w:color w:val="000000"/>
          <w:kern w:val="0"/>
          <w:sz w:val="24"/>
          <w14:ligatures w14:val="none"/>
        </w:rPr>
        <w:t xml:space="preserve"> the following conditions:</w:t>
      </w:r>
    </w:p>
    <w:p w14:paraId="37723A9B" w14:textId="12CD8BCA"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7.1.</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6.1.</w:t>
      </w:r>
      <w:r w:rsidRPr="006B4A66">
        <w:rPr>
          <w:rFonts w:ascii="Times New Roman" w:eastAsia="Calibri" w:hAnsi="Times New Roman" w:cs="Times New Roman"/>
          <w:color w:val="000000"/>
          <w:kern w:val="0"/>
          <w:sz w:val="24"/>
          <w14:ligatures w14:val="none"/>
        </w:rPr>
        <w:t xml:space="preserve">  Controls for the auxiliary electric resistance heating are configured to lock out the supplemental heat when the outside air temperature is above </w:t>
      </w:r>
      <w:r w:rsidR="009D7026">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3</w:t>
      </w:r>
      <w:r w:rsidRPr="00234593">
        <w:rPr>
          <w:rFonts w:ascii="Times New Roman" w:eastAsia="Calibri" w:hAnsi="Times New Roman" w:cs="Times New Roman"/>
          <w:strike/>
          <w:color w:val="000000"/>
          <w:kern w:val="0"/>
          <w:sz w:val="24"/>
          <w14:ligatures w14:val="none"/>
        </w:rPr>
        <w:t>2</w:t>
      </w:r>
      <w:r w:rsidRPr="001216D4">
        <w:rPr>
          <w:rFonts w:ascii="Times New Roman" w:eastAsia="Calibri" w:hAnsi="Times New Roman" w:cs="Times New Roman"/>
          <w:strike/>
          <w:color w:val="000000"/>
          <w:kern w:val="0"/>
          <w:sz w:val="24"/>
          <w14:ligatures w14:val="none"/>
        </w:rPr>
        <w:t>°</w:t>
      </w:r>
      <w:r w:rsidRPr="006B4A66">
        <w:rPr>
          <w:rFonts w:ascii="Times New Roman" w:eastAsia="Calibri" w:hAnsi="Times New Roman" w:cs="Times New Roman"/>
          <w:strike/>
          <w:color w:val="000000"/>
          <w:kern w:val="0"/>
          <w:sz w:val="24"/>
          <w14:ligatures w14:val="none"/>
        </w:rPr>
        <w:t>F</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u w:val="single"/>
          <w14:ligatures w14:val="none"/>
        </w:rPr>
        <w:t xml:space="preserve"> </w:t>
      </w:r>
      <w:r w:rsidR="00234593">
        <w:rPr>
          <w:rFonts w:ascii="Times New Roman" w:eastAsia="Calibri" w:hAnsi="Times New Roman" w:cs="Times New Roman"/>
          <w:color w:val="000000"/>
          <w:kern w:val="0"/>
          <w:sz w:val="24"/>
          <w:u w:val="single"/>
          <w14:ligatures w14:val="none"/>
        </w:rPr>
        <w:t>3</w:t>
      </w:r>
      <w:r w:rsidR="00234593" w:rsidRPr="006B4A66">
        <w:rPr>
          <w:rFonts w:ascii="Times New Roman" w:eastAsia="Calibri" w:hAnsi="Times New Roman" w:cs="Times New Roman"/>
          <w:color w:val="000000"/>
          <w:kern w:val="0"/>
          <w:sz w:val="24"/>
          <w:u w:val="single"/>
          <w14:ligatures w14:val="none"/>
        </w:rPr>
        <w:t>6</w:t>
      </w:r>
      <w:r w:rsidR="00234593" w:rsidRPr="006B4A66">
        <w:rPr>
          <w:rFonts w:ascii="Times New Roman" w:eastAsia="Calibri" w:hAnsi="Times New Roman" w:cs="Times New Roman"/>
          <w:color w:val="000000"/>
          <w:kern w:val="0"/>
          <w:sz w:val="24"/>
          <w14:ligatures w14:val="none"/>
        </w:rPr>
        <w:t>°</w:t>
      </w:r>
      <w:r w:rsidR="00234593">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Fahrenheit (2° Celsius)</w:t>
      </w:r>
      <w:r w:rsidRPr="006B4A66">
        <w:rPr>
          <w:rFonts w:ascii="Times New Roman" w:eastAsia="Calibri" w:hAnsi="Times New Roman" w:cs="Times New Roman"/>
          <w:color w:val="000000"/>
          <w:kern w:val="0"/>
          <w:sz w:val="24"/>
          <w14:ligatures w14:val="none"/>
        </w:rPr>
        <w:t>, unless the hot water supply temperature setpoint to the building heat coils cannot be maintained for 20 minutes;</w:t>
      </w:r>
    </w:p>
    <w:p w14:paraId="343F0E2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7.2.</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6.2.</w:t>
      </w:r>
      <w:r w:rsidRPr="006B4A66">
        <w:rPr>
          <w:rFonts w:ascii="Times New Roman" w:eastAsia="Calibri" w:hAnsi="Times New Roman" w:cs="Times New Roman"/>
          <w:color w:val="000000"/>
          <w:kern w:val="0"/>
          <w:sz w:val="24"/>
          <w14:ligatures w14:val="none"/>
        </w:rPr>
        <w:t xml:space="preserve">  The heat pump controls are configured to use the compressor as the first stage of heating down to ((</w:t>
      </w:r>
      <w:r w:rsidRPr="006B4A66">
        <w:rPr>
          <w:rFonts w:ascii="Times New Roman" w:eastAsia="Calibri" w:hAnsi="Times New Roman" w:cs="Times New Roman"/>
          <w:strike/>
          <w:color w:val="000000"/>
          <w:kern w:val="0"/>
          <w:sz w:val="24"/>
          <w14:ligatures w14:val="none"/>
        </w:rPr>
        <w:t>an outdoor temperature of 17° F or lower</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the lowest exterior design temperature for which the equipment is rated</w:t>
      </w:r>
      <w:r w:rsidRPr="006B4A66">
        <w:rPr>
          <w:rFonts w:ascii="Times New Roman" w:eastAsia="Calibri" w:hAnsi="Times New Roman" w:cs="Times New Roman"/>
          <w:color w:val="000000"/>
          <w:kern w:val="0"/>
          <w:sz w:val="24"/>
          <w14:ligatures w14:val="none"/>
        </w:rPr>
        <w:t xml:space="preserve"> except during startup or defrost operation; and</w:t>
      </w:r>
    </w:p>
    <w:p w14:paraId="720F7AD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7.3.</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6.3.</w:t>
      </w:r>
      <w:r w:rsidRPr="006B4A66">
        <w:rPr>
          <w:rFonts w:ascii="Times New Roman" w:eastAsia="Calibri" w:hAnsi="Times New Roman" w:cs="Times New Roman"/>
          <w:color w:val="000000"/>
          <w:kern w:val="0"/>
          <w:sz w:val="24"/>
          <w14:ligatures w14:val="none"/>
        </w:rPr>
        <w:t xml:space="preserve">  The heat pump rated heating capacity at 47°((</w:t>
      </w:r>
      <w:r w:rsidRPr="006B4A66">
        <w:rPr>
          <w:rFonts w:ascii="Times New Roman" w:eastAsia="Calibri" w:hAnsi="Times New Roman" w:cs="Times New Roman"/>
          <w:strike/>
          <w:color w:val="000000"/>
          <w:kern w:val="0"/>
          <w:sz w:val="24"/>
          <w14:ligatures w14:val="none"/>
        </w:rPr>
        <w:t>F</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Fahrenheit (8° Celsius)</w:t>
      </w:r>
      <w:r w:rsidRPr="006B4A66">
        <w:rPr>
          <w:rFonts w:ascii="Times New Roman" w:eastAsia="Calibri" w:hAnsi="Times New Roman" w:cs="Times New Roman"/>
          <w:color w:val="000000"/>
          <w:kern w:val="0"/>
          <w:sz w:val="24"/>
          <w14:ligatures w14:val="none"/>
        </w:rPr>
        <w:t xml:space="preserve"> is no less than ((</w:t>
      </w:r>
      <w:r w:rsidRPr="006B4A66">
        <w:rPr>
          <w:rFonts w:ascii="Times New Roman" w:eastAsia="Calibri" w:hAnsi="Times New Roman" w:cs="Times New Roman"/>
          <w:strike/>
          <w:color w:val="000000"/>
          <w:kern w:val="0"/>
          <w:sz w:val="24"/>
          <w14:ligatures w14:val="none"/>
        </w:rPr>
        <w:t>2 times more than supplemental electric resistance heating capacity</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75 percent of the design heating load at 29° Fahrenheit (-2° Celsius)</w:t>
      </w:r>
      <w:r w:rsidRPr="006B4A66">
        <w:rPr>
          <w:rFonts w:ascii="Times New Roman" w:eastAsia="Calibri" w:hAnsi="Times New Roman" w:cs="Times New Roman"/>
          <w:color w:val="000000"/>
          <w:kern w:val="0"/>
          <w:sz w:val="24"/>
          <w14:ligatures w14:val="none"/>
        </w:rPr>
        <w:t>.</w:t>
      </w:r>
    </w:p>
    <w:p w14:paraId="56E931B2"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8.  Air-to-water heat pumps, up to 3,000 MBH.  Buildings may use electric resistance auxiliary heating to supplement heat pump heating for hydronic heating systems that have air-to-water heat pump heating capacity more than 2,000 kBtu/hr and no more than 3,000 kBtu/hr at 47° F, and that meet the following conditions:</w:t>
      </w:r>
    </w:p>
    <w:p w14:paraId="4B246988"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8.1.  Controls for the auxiliary electric resistance heating are configured to lock out the supplemental heat when the outside air temperature is above 36° F, unless the hot water supply temperature setpoint to the building heat coils cannot be maintained for 20 minutes;</w:t>
      </w:r>
    </w:p>
    <w:p w14:paraId="4EF16783"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 xml:space="preserve">  </w:t>
      </w:r>
      <w:r w:rsidRPr="006B4A66">
        <w:rPr>
          <w:rFonts w:ascii="Times New Roman" w:eastAsia="Calibri" w:hAnsi="Times New Roman" w:cs="Times New Roman"/>
          <w:strike/>
          <w:color w:val="000000"/>
          <w:kern w:val="0"/>
          <w:sz w:val="24"/>
          <w14:ligatures w14:val="none"/>
        </w:rPr>
        <w:t>8.2.  The heat pump controls are configured to use the compressor as the first stage of heating down to an outdoor temperature of 17° F or lower except during startup or defrost operation; and</w:t>
      </w:r>
    </w:p>
    <w:p w14:paraId="1E1CF604"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8.3.  The heat pump rated heating capacity at 47° F is no less than 1.75 times more than supplemental electric resistance heating capacity.</w:t>
      </w:r>
    </w:p>
    <w:p w14:paraId="5816C0BB"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9.  Air-to-water heat pumps, over 3,000 MBH.  Buildings may use electric resistance auxiliary heating to supplement heat pump heating for hydronic heating systems that have air-to-water heat pump heating capacity more than 3,000 kBtu/h at 47° F, and that meet the following conditions:</w:t>
      </w:r>
    </w:p>
    <w:p w14:paraId="7BECB87F"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9.1.  Controls for the auxiliary electric resistance heating are configured to lock out the supplemental heat when the outside air temperature is above 40° F, unless the hot water supply temperature setpoint to the building heat coils cannot be maintained for 20 minutes;</w:t>
      </w:r>
    </w:p>
    <w:p w14:paraId="436ED5ED"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9.2.  The heat pump controls are configured to use the compressor as the first stage of heating down to an outdoor temperature of 17° F or lower except during startup or defrost operation; and</w:t>
      </w:r>
    </w:p>
    <w:p w14:paraId="0E11AD4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9.3.  The heat pump rated heating capacity at 47° F is no less than 2 times more than supplemental electric resistance heating capacity.</w:t>
      </w:r>
    </w:p>
    <w:p w14:paraId="57306D6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10.</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7.</w:t>
      </w:r>
      <w:r w:rsidRPr="006B4A66">
        <w:rPr>
          <w:rFonts w:ascii="Times New Roman" w:eastAsia="Calibri" w:hAnsi="Times New Roman" w:cs="Times New Roman"/>
          <w:color w:val="000000"/>
          <w:kern w:val="0"/>
          <w:sz w:val="24"/>
          <w14:ligatures w14:val="none"/>
        </w:rPr>
        <w:t xml:space="preserve">  Ground source heat pumps.  Buildings may use electric resistance auxiliary heating to supplement heat pump heating for hydronic heating systems with ground source heat pump equipment that meets the following conditions:</w:t>
      </w:r>
    </w:p>
    <w:p w14:paraId="77E1091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10.1.</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7.1.</w:t>
      </w:r>
      <w:r w:rsidRPr="006B4A66">
        <w:rPr>
          <w:rFonts w:ascii="Times New Roman" w:eastAsia="Calibri" w:hAnsi="Times New Roman" w:cs="Times New Roman"/>
          <w:color w:val="000000"/>
          <w:kern w:val="0"/>
          <w:sz w:val="24"/>
          <w14:ligatures w14:val="none"/>
        </w:rPr>
        <w:t xml:space="preserve">  Controls for the auxiliary resistance heating are configured to lock out the supplemental heat when the outdoor air temperature is above ((</w:t>
      </w:r>
      <w:r w:rsidRPr="006B4A66">
        <w:rPr>
          <w:rFonts w:ascii="Times New Roman" w:eastAsia="Calibri" w:hAnsi="Times New Roman" w:cs="Times New Roman"/>
          <w:strike/>
          <w:color w:val="000000"/>
          <w:kern w:val="0"/>
          <w:sz w:val="24"/>
          <w14:ligatures w14:val="none"/>
        </w:rPr>
        <w:t>32° F</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 xml:space="preserve">42° </w:t>
      </w:r>
      <w:r w:rsidRPr="006B4A66">
        <w:rPr>
          <w:rFonts w:ascii="Times New Roman" w:eastAsia="Calibri" w:hAnsi="Times New Roman" w:cs="Times New Roman"/>
          <w:color w:val="000000"/>
          <w:kern w:val="0"/>
          <w:sz w:val="24"/>
          <w:u w:val="single"/>
          <w14:ligatures w14:val="none"/>
        </w:rPr>
        <w:lastRenderedPageBreak/>
        <w:t>Fahrenheit (6° Celsius)</w:t>
      </w:r>
      <w:r w:rsidRPr="006B4A66">
        <w:rPr>
          <w:rFonts w:ascii="Times New Roman" w:eastAsia="Calibri" w:hAnsi="Times New Roman" w:cs="Times New Roman"/>
          <w:color w:val="000000"/>
          <w:kern w:val="0"/>
          <w:sz w:val="24"/>
          <w14:ligatures w14:val="none"/>
        </w:rPr>
        <w:t>, unless the hot water supply temperature setpoint to the building heat coils cannot be maintained for 20 minutes;</w:t>
      </w:r>
    </w:p>
    <w:p w14:paraId="0F27867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10.2.</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7.2.</w:t>
      </w:r>
      <w:r w:rsidRPr="006B4A66">
        <w:rPr>
          <w:rFonts w:ascii="Times New Roman" w:eastAsia="Calibri" w:hAnsi="Times New Roman" w:cs="Times New Roman"/>
          <w:color w:val="000000"/>
          <w:kern w:val="0"/>
          <w:sz w:val="24"/>
          <w14:ligatures w14:val="none"/>
        </w:rPr>
        <w:t xml:space="preserve">  The heat pump controls are configured to use the compressor as the first stage of heating ((</w:t>
      </w:r>
      <w:r w:rsidRPr="006B4A66">
        <w:rPr>
          <w:rFonts w:ascii="Times New Roman" w:eastAsia="Calibri" w:hAnsi="Times New Roman" w:cs="Times New Roman"/>
          <w:strike/>
          <w:color w:val="000000"/>
          <w:kern w:val="0"/>
          <w:sz w:val="24"/>
          <w14:ligatures w14:val="none"/>
        </w:rPr>
        <w:t>down to an outdoor temperature of 17° F or lower</w:t>
      </w:r>
      <w:r w:rsidRPr="006B4A66">
        <w:rPr>
          <w:rFonts w:ascii="Times New Roman" w:eastAsia="Calibri" w:hAnsi="Times New Roman" w:cs="Times New Roman"/>
          <w:color w:val="000000"/>
          <w:kern w:val="0"/>
          <w:sz w:val="24"/>
          <w14:ligatures w14:val="none"/>
        </w:rPr>
        <w:t>)); and</w:t>
      </w:r>
    </w:p>
    <w:p w14:paraId="7A5D358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10.3.</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7.3.</w:t>
      </w:r>
      <w:r w:rsidRPr="006B4A66">
        <w:rPr>
          <w:rFonts w:ascii="Times New Roman" w:eastAsia="Calibri" w:hAnsi="Times New Roman" w:cs="Times New Roman"/>
          <w:color w:val="000000"/>
          <w:kern w:val="0"/>
          <w:sz w:val="24"/>
          <w14:ligatures w14:val="none"/>
        </w:rPr>
        <w:t xml:space="preserve">  The ((</w:t>
      </w:r>
      <w:r w:rsidRPr="006B4A66">
        <w:rPr>
          <w:rFonts w:ascii="Times New Roman" w:eastAsia="Calibri" w:hAnsi="Times New Roman" w:cs="Times New Roman"/>
          <w:strike/>
          <w:color w:val="000000"/>
          <w:kern w:val="0"/>
          <w:sz w:val="24"/>
          <w14:ligatures w14:val="none"/>
        </w:rPr>
        <w:t>heat pump rated heating capacity at 32° F entering water conditions is no less than 2 times more than supplemental electric resistance heating capacity</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ground source heat exchanger shall be sized so that the heat pump annual heating output is no less than 75 percent of the total annual heating output in the final year of a 30-year simulation using International Ground Source Heat Pump Association (IGSHPA) listed simulation software</w:t>
      </w:r>
      <w:r w:rsidRPr="006B4A66">
        <w:rPr>
          <w:rFonts w:ascii="Times New Roman" w:eastAsia="Calibri" w:hAnsi="Times New Roman" w:cs="Times New Roman"/>
          <w:color w:val="000000"/>
          <w:kern w:val="0"/>
          <w:sz w:val="24"/>
          <w14:ligatures w14:val="none"/>
        </w:rPr>
        <w:t>.</w:t>
      </w:r>
    </w:p>
    <w:p w14:paraId="64DC4B4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11.</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8.</w:t>
      </w:r>
      <w:r w:rsidRPr="006B4A66">
        <w:rPr>
          <w:rFonts w:ascii="Times New Roman" w:eastAsia="Calibri" w:hAnsi="Times New Roman" w:cs="Times New Roman"/>
          <w:color w:val="000000"/>
          <w:kern w:val="0"/>
          <w:sz w:val="24"/>
          <w14:ligatures w14:val="none"/>
        </w:rPr>
        <w:t xml:space="preserve">  Small systems.  Buildings in which electric resistance or fossil fuel appliances, including decorative appliances, in total either provide less than 5 percent of the total building HVAC system heating capacity or serve less than 5 percent of the conditioned floor area.</w:t>
      </w:r>
    </w:p>
    <w:p w14:paraId="7240896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12.</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9.</w:t>
      </w:r>
      <w:r w:rsidRPr="006B4A66">
        <w:rPr>
          <w:rFonts w:ascii="Times New Roman" w:eastAsia="Calibri" w:hAnsi="Times New Roman" w:cs="Times New Roman"/>
          <w:color w:val="000000"/>
          <w:kern w:val="0"/>
          <w:sz w:val="24"/>
          <w14:ligatures w14:val="none"/>
        </w:rPr>
        <w:t xml:space="preserve">  Specific conditions.  Portions of buildings that require fossil fuel or electric resistance space heating for specific conditions approved by the code official for research, health care, process</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other specific needs that cannot practicably be served by heat pump or other space heating systems.  This does not constitute a blanket exception for any occupancy type.</w:t>
      </w:r>
    </w:p>
    <w:p w14:paraId="30E33CF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13.</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10.</w:t>
      </w:r>
      <w:r w:rsidRPr="006B4A66">
        <w:rPr>
          <w:rFonts w:ascii="Times New Roman" w:eastAsia="Calibri" w:hAnsi="Times New Roman" w:cs="Times New Roman"/>
          <w:color w:val="000000"/>
          <w:kern w:val="0"/>
          <w:sz w:val="24"/>
          <w14:ligatures w14:val="none"/>
        </w:rPr>
        <w:t xml:space="preserve">  Kitchen ((</w:t>
      </w:r>
      <w:r w:rsidRPr="006B4A66">
        <w:rPr>
          <w:rFonts w:ascii="Times New Roman" w:eastAsia="Calibri" w:hAnsi="Times New Roman" w:cs="Times New Roman"/>
          <w:strike/>
          <w:color w:val="000000"/>
          <w:kern w:val="0"/>
          <w:sz w:val="24"/>
          <w14:ligatures w14:val="none"/>
        </w:rPr>
        <w:t>exhaust</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make-up air</w:t>
      </w:r>
      <w:r w:rsidRPr="006B4A66">
        <w:rPr>
          <w:rFonts w:ascii="Times New Roman" w:eastAsia="Calibri" w:hAnsi="Times New Roman" w:cs="Times New Roman"/>
          <w:color w:val="000000"/>
          <w:kern w:val="0"/>
          <w:sz w:val="24"/>
          <w14:ligatures w14:val="none"/>
        </w:rPr>
        <w:t>.  Make-up air for commercial kitchen exhaust systems required to be tempered by ((</w:t>
      </w:r>
      <w:r w:rsidRPr="006B4A66">
        <w:rPr>
          <w:rFonts w:ascii="Times New Roman" w:eastAsia="Calibri" w:hAnsi="Times New Roman" w:cs="Times New Roman"/>
          <w:strike/>
          <w:color w:val="000000"/>
          <w:kern w:val="0"/>
          <w:sz w:val="24"/>
          <w14:ligatures w14:val="none"/>
        </w:rPr>
        <w:t>International Mechanical Code Section</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IMC</w:t>
      </w:r>
      <w:r w:rsidRPr="006B4A66">
        <w:rPr>
          <w:rFonts w:ascii="Times New Roman" w:eastAsia="Calibri" w:hAnsi="Times New Roman" w:cs="Times New Roman"/>
          <w:color w:val="000000"/>
          <w:kern w:val="0"/>
          <w:sz w:val="24"/>
          <w14:ligatures w14:val="none"/>
        </w:rPr>
        <w:t xml:space="preserve"> 508.1.1 may be heated using electric resistance ((</w:t>
      </w:r>
      <w:r w:rsidRPr="006B4A66">
        <w:rPr>
          <w:rFonts w:ascii="Times New Roman" w:eastAsia="Calibri" w:hAnsi="Times New Roman" w:cs="Times New Roman"/>
          <w:strike/>
          <w:color w:val="000000"/>
          <w:kern w:val="0"/>
          <w:sz w:val="24"/>
          <w14:ligatures w14:val="none"/>
        </w:rPr>
        <w:t>appliances</w:t>
      </w:r>
      <w:r w:rsidRPr="006B4A66">
        <w:rPr>
          <w:rFonts w:ascii="Times New Roman" w:eastAsia="Calibri" w:hAnsi="Times New Roman" w:cs="Times New Roman"/>
          <w:color w:val="000000"/>
          <w:kern w:val="0"/>
          <w:sz w:val="24"/>
          <w14:ligatures w14:val="none"/>
        </w:rPr>
        <w:t>)).</w:t>
      </w:r>
    </w:p>
    <w:p w14:paraId="18A75502" w14:textId="7278826C"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lastRenderedPageBreak/>
        <w:tab/>
        <w:t>((</w:t>
      </w:r>
      <w:r w:rsidRPr="006B4A66">
        <w:rPr>
          <w:rFonts w:ascii="Times New Roman" w:eastAsia="Calibri" w:hAnsi="Times New Roman" w:cs="Times New Roman"/>
          <w:strike/>
          <w:color w:val="000000"/>
          <w:kern w:val="0"/>
          <w:sz w:val="24"/>
          <w14:ligatures w14:val="none"/>
        </w:rPr>
        <w:t>14.</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11.</w:t>
      </w:r>
      <w:r w:rsidRPr="006B4A66">
        <w:rPr>
          <w:rFonts w:ascii="Times New Roman" w:eastAsia="Calibri" w:hAnsi="Times New Roman" w:cs="Times New Roman"/>
          <w:color w:val="000000"/>
          <w:kern w:val="0"/>
          <w:sz w:val="24"/>
          <w14:ligatures w14:val="none"/>
        </w:rPr>
        <w:t xml:space="preserve">  District energy.  Steam or hot water district energy systems that ((</w:t>
      </w:r>
      <w:r w:rsidRPr="006B4A66">
        <w:rPr>
          <w:rFonts w:ascii="Times New Roman" w:eastAsia="Calibri" w:hAnsi="Times New Roman" w:cs="Times New Roman"/>
          <w:strike/>
          <w:color w:val="000000"/>
          <w:kern w:val="0"/>
          <w:sz w:val="24"/>
          <w14:ligatures w14:val="none"/>
        </w:rPr>
        <w:t>use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utilize</w:t>
      </w:r>
      <w:r w:rsidRPr="006B4A66">
        <w:rPr>
          <w:rFonts w:ascii="Times New Roman" w:eastAsia="Calibri" w:hAnsi="Times New Roman" w:cs="Times New Roman"/>
          <w:color w:val="000000"/>
          <w:kern w:val="0"/>
          <w:sz w:val="24"/>
          <w14:ligatures w14:val="none"/>
        </w:rPr>
        <w:t xml:space="preserve"> fossil fuels as their primary source of heat energy, that serve multiple buildings, and that were already in existence ((</w:t>
      </w:r>
      <w:r w:rsidRPr="006B4A66">
        <w:rPr>
          <w:rFonts w:ascii="Times New Roman" w:eastAsia="Calibri" w:hAnsi="Times New Roman" w:cs="Times New Roman"/>
          <w:strike/>
          <w:color w:val="000000"/>
          <w:kern w:val="0"/>
          <w:sz w:val="24"/>
          <w14:ligatures w14:val="none"/>
        </w:rPr>
        <w:t>before January 1, 2023</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prior to  March 15,</w:t>
      </w:r>
      <w:r w:rsidR="00893B66">
        <w:rPr>
          <w:rFonts w:ascii="Times New Roman" w:eastAsia="Calibri" w:hAnsi="Times New Roman" w:cs="Times New Roman"/>
          <w:color w:val="000000"/>
          <w:kern w:val="0"/>
          <w:sz w:val="24"/>
          <w:u w:val="single"/>
          <w14:ligatures w14:val="none"/>
        </w:rPr>
        <w:t xml:space="preserve"> </w:t>
      </w:r>
      <w:r w:rsidRPr="006B4A66">
        <w:rPr>
          <w:rFonts w:ascii="Times New Roman" w:eastAsia="Calibri" w:hAnsi="Times New Roman" w:cs="Times New Roman"/>
          <w:color w:val="000000"/>
          <w:kern w:val="0"/>
          <w:sz w:val="24"/>
          <w:u w:val="single"/>
          <w14:ligatures w14:val="none"/>
        </w:rPr>
        <w:t>2024</w:t>
      </w:r>
      <w:r w:rsidRPr="006B4A66">
        <w:rPr>
          <w:rFonts w:ascii="Times New Roman" w:eastAsia="Calibri" w:hAnsi="Times New Roman" w:cs="Times New Roman"/>
          <w:color w:val="000000"/>
          <w:kern w:val="0"/>
          <w:sz w:val="24"/>
          <w14:ligatures w14:val="none"/>
        </w:rPr>
        <w:t>, including more energy-efficient upgrades to such existing systems, ((</w:t>
      </w:r>
      <w:r w:rsidRPr="006B4A66">
        <w:rPr>
          <w:rFonts w:ascii="Times New Roman" w:eastAsia="Calibri" w:hAnsi="Times New Roman" w:cs="Times New Roman"/>
          <w:strike/>
          <w:color w:val="000000"/>
          <w:kern w:val="0"/>
          <w:sz w:val="24"/>
          <w14:ligatures w14:val="none"/>
        </w:rPr>
        <w:t>may</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are permitted to</w:t>
      </w:r>
      <w:r w:rsidRPr="006B4A66">
        <w:rPr>
          <w:rFonts w:ascii="Times New Roman" w:eastAsia="Calibri" w:hAnsi="Times New Roman" w:cs="Times New Roman"/>
          <w:color w:val="000000"/>
          <w:kern w:val="0"/>
          <w:sz w:val="24"/>
          <w14:ligatures w14:val="none"/>
        </w:rPr>
        <w:t xml:space="preserve"> serve as the primary heating energy source.  </w:t>
      </w:r>
      <w:r w:rsidRPr="006B4A66">
        <w:rPr>
          <w:rFonts w:ascii="Times New Roman" w:eastAsia="Calibri" w:hAnsi="Times New Roman" w:cs="Times New Roman"/>
          <w:color w:val="000000"/>
          <w:kern w:val="0"/>
          <w:sz w:val="24"/>
          <w:u w:val="single"/>
          <w14:ligatures w14:val="none"/>
        </w:rPr>
        <w:t>Any new hydronic system or new or replacement hydronic heating coil in an existing system, that is served by fossil fuel-fired district energy shall be sized to provide all required space heating at local design winter outdoor temperature with maximum entering water temperature of 118° Fahrenheit (48° Celsius) at design conditions, to permit future conversion to heat pump heating.</w:t>
      </w:r>
    </w:p>
    <w:p w14:paraId="6674EFD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15.</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12.</w:t>
      </w:r>
      <w:r w:rsidRPr="006B4A66">
        <w:rPr>
          <w:rFonts w:ascii="Times New Roman" w:eastAsia="Calibri" w:hAnsi="Times New Roman" w:cs="Times New Roman"/>
          <w:color w:val="000000"/>
          <w:kern w:val="0"/>
          <w:sz w:val="24"/>
          <w14:ligatures w14:val="none"/>
        </w:rPr>
        <w:t xml:space="preserve">  Heat tape.  Heat tape is allowed where it protects water-filled equipment and piping located outside of the building thermal envelope</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strike/>
          <w:color w:val="000000"/>
          <w:kern w:val="0"/>
          <w:sz w:val="24"/>
          <w14:ligatures w14:val="none"/>
        </w:rPr>
        <w:t>if</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provided that</w:t>
      </w:r>
      <w:r w:rsidRPr="006B4A66">
        <w:rPr>
          <w:rFonts w:ascii="Times New Roman" w:eastAsia="Calibri" w:hAnsi="Times New Roman" w:cs="Times New Roman"/>
          <w:color w:val="000000"/>
          <w:kern w:val="0"/>
          <w:sz w:val="24"/>
          <w14:ligatures w14:val="none"/>
        </w:rPr>
        <w:t xml:space="preserve"> it is configured and controlled to be automatically turned off when the outside air temperature is above 40° (</w:t>
      </w:r>
      <w:r w:rsidRPr="006B4A66">
        <w:rPr>
          <w:rFonts w:ascii="Times New Roman" w:eastAsia="Calibri" w:hAnsi="Times New Roman" w:cs="Times New Roman"/>
          <w:strike/>
          <w:color w:val="000000"/>
          <w:kern w:val="0"/>
          <w:sz w:val="24"/>
          <w14:ligatures w14:val="none"/>
        </w:rPr>
        <w:t xml:space="preserve">(F </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Fahrenheit (4° Celsius)</w:t>
      </w:r>
      <w:r w:rsidRPr="006B4A66">
        <w:rPr>
          <w:rFonts w:ascii="Times New Roman" w:eastAsia="Calibri" w:hAnsi="Times New Roman" w:cs="Times New Roman"/>
          <w:color w:val="000000"/>
          <w:kern w:val="0"/>
          <w:sz w:val="24"/>
          <w14:ligatures w14:val="none"/>
        </w:rPr>
        <w:t>.</w:t>
      </w:r>
    </w:p>
    <w:p w14:paraId="2F20E058" w14:textId="1430525D"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16.</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13.</w:t>
      </w:r>
      <w:r w:rsidRPr="006B4A66">
        <w:rPr>
          <w:rFonts w:ascii="Times New Roman" w:eastAsia="Calibri" w:hAnsi="Times New Roman" w:cs="Times New Roman"/>
          <w:color w:val="000000"/>
          <w:kern w:val="0"/>
          <w:sz w:val="24"/>
          <w14:ligatures w14:val="none"/>
        </w:rPr>
        <w:t xml:space="preserve">  Temporary systems.  Temporary electric resistance heating systems are allowed where serving future tenant spaces that are unfinished and unoccupied if the heating equipment is sized and controlled to achieve interior space temperatures no higher than 40° ((</w:t>
      </w:r>
      <w:r w:rsidRPr="006B4A66">
        <w:rPr>
          <w:rFonts w:ascii="Times New Roman" w:eastAsia="Calibri" w:hAnsi="Times New Roman" w:cs="Times New Roman"/>
          <w:strike/>
          <w:color w:val="000000"/>
          <w:kern w:val="0"/>
          <w:sz w:val="24"/>
          <w14:ligatures w14:val="none"/>
        </w:rPr>
        <w:t>F</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Fahrenheit (4° Celsius)</w:t>
      </w:r>
      <w:r w:rsidRPr="006B4A66">
        <w:rPr>
          <w:rFonts w:ascii="Times New Roman" w:eastAsia="Calibri" w:hAnsi="Times New Roman" w:cs="Times New Roman"/>
          <w:color w:val="000000"/>
          <w:kern w:val="0"/>
          <w:sz w:val="24"/>
          <w14:ligatures w14:val="none"/>
        </w:rPr>
        <w:t>.</w:t>
      </w:r>
    </w:p>
    <w:p w14:paraId="1B4B6B6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17.</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14.  Pasteurization.  Electric resistance heat controls are allowed to reset the supply water temperature of hydronic heating systems that serve service water heating heat exchangers during pasteurization cycles of the service hot water storage volume.  The hydronic heating system supply water temperature shall be configured to be 145</w:t>
      </w:r>
      <w:bookmarkStart w:id="6" w:name="_Hlk175736728"/>
      <w:r w:rsidRPr="006B4A66">
        <w:rPr>
          <w:rFonts w:ascii="Times New Roman" w:eastAsia="Calibri" w:hAnsi="Times New Roman" w:cs="Times New Roman"/>
          <w:color w:val="000000"/>
          <w:kern w:val="0"/>
          <w:sz w:val="24"/>
          <w:u w:val="single"/>
          <w14:ligatures w14:val="none"/>
        </w:rPr>
        <w:t>°</w:t>
      </w:r>
      <w:bookmarkEnd w:id="6"/>
      <w:r w:rsidRPr="006B4A66">
        <w:rPr>
          <w:rFonts w:ascii="Times New Roman" w:eastAsia="Calibri" w:hAnsi="Times New Roman" w:cs="Times New Roman"/>
          <w:color w:val="000000"/>
          <w:kern w:val="0"/>
          <w:sz w:val="24"/>
          <w:u w:val="single"/>
          <w14:ligatures w14:val="none"/>
        </w:rPr>
        <w:t xml:space="preserve"> Fahrenheit (63° Celsius) or lower during the pasteurization cycle.</w:t>
      </w:r>
    </w:p>
    <w:p w14:paraId="3763592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color w:val="000000"/>
          <w:kern w:val="0"/>
          <w:sz w:val="24"/>
          <w:u w:val="single"/>
          <w14:ligatures w14:val="none"/>
        </w:rPr>
        <w:t>15.  Freeze protection.  Heating systems sized for spaces with indoor design conditions of 45° Fahrenheit (7° Celsius) and intended for freeze protection are permitted to use electric resistance.  The building envelope of any such space shall be insulated in compliance with WSEC C402.1.</w:t>
      </w:r>
    </w:p>
    <w:p w14:paraId="7960231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16.  DOAS ERV auxiliary heat.  Dedicated outdoor air systems with energy recovery ventilation are permitted to utilize electric resistance for auxiliary heating to preheat outdoor air for defrost or as auxiliary supplemental heat to temper supply air to</w:t>
      </w:r>
      <w:r w:rsidRPr="006B4A66">
        <w:rPr>
          <w:rFonts w:ascii="Times New Roman" w:eastAsia="Calibri" w:hAnsi="Times New Roman" w:cs="Times New Roman"/>
          <w:strike/>
          <w:color w:val="000000"/>
          <w:kern w:val="0"/>
          <w:sz w:val="24"/>
          <w:u w:val="single"/>
          <w14:ligatures w14:val="none"/>
        </w:rPr>
        <w:t xml:space="preserve"> </w:t>
      </w:r>
      <w:r w:rsidRPr="006B4A66">
        <w:rPr>
          <w:rFonts w:ascii="Times New Roman" w:eastAsia="Calibri" w:hAnsi="Times New Roman" w:cs="Times New Roman"/>
          <w:color w:val="000000"/>
          <w:kern w:val="0"/>
          <w:sz w:val="24"/>
          <w:u w:val="single"/>
          <w14:ligatures w14:val="none"/>
        </w:rPr>
        <w:t>55° Fahrenheit (13° Celsius) or lower for buildings or portions of buildings that do not have hydronic heating systems.</w:t>
      </w:r>
    </w:p>
    <w:p w14:paraId="782F98E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17.  Low-carbon district energy systems. Low-carbon district energy systems that meet the definitions of low-carbon district energy exchange system or low-carbon district heating and cooling or heating only systems.</w:t>
      </w:r>
    </w:p>
    <w:p w14:paraId="5509A48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18.  Essential facilities.  Groups I-2 and I-3 occupancies that by regulation are required to have in place redundant emergency backup systems, and research laboratories, are permitted to utilize fossil fuels for emergency generators and for redundant emergency space heating and water heating appliances, provided that such systems are sized and controlled to operate only upon loss of electrical power.</w:t>
      </w:r>
    </w:p>
    <w:p w14:paraId="6DF94A9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 xml:space="preserve">19.  Standby HVAC heating equipment.  Standby HVAC heating equipment provided in addition to the primary heating system, and controlled such that it will only be used when the primary heating equipment is not available, is permitted to utilize electric resistance.  </w:t>
      </w:r>
    </w:p>
    <w:p w14:paraId="0FB09A7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color w:val="000000"/>
          <w:kern w:val="0"/>
          <w:sz w:val="24"/>
          <w:u w:val="single"/>
          <w14:ligatures w14:val="none"/>
        </w:rPr>
        <w:t>20.</w:t>
      </w:r>
      <w:r w:rsidRPr="006B4A66">
        <w:rPr>
          <w:rFonts w:ascii="Times New Roman" w:eastAsia="Calibri" w:hAnsi="Times New Roman" w:cs="Times New Roman"/>
          <w:color w:val="000000"/>
          <w:kern w:val="0"/>
          <w:sz w:val="24"/>
          <w14:ligatures w14:val="none"/>
        </w:rPr>
        <w:t xml:space="preserve">  Emergency generators.  ((</w:t>
      </w:r>
      <w:r w:rsidRPr="006B4A66">
        <w:rPr>
          <w:rFonts w:ascii="Times New Roman" w:eastAsia="Calibri" w:hAnsi="Times New Roman" w:cs="Times New Roman"/>
          <w:strike/>
          <w:color w:val="000000"/>
          <w:kern w:val="0"/>
          <w:sz w:val="24"/>
          <w14:ligatures w14:val="none"/>
        </w:rPr>
        <w:t>Emergency generators</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Generators serving emergency power, legally required standby power, or optional standby power</w:t>
      </w:r>
      <w:r w:rsidRPr="006B4A66">
        <w:rPr>
          <w:rFonts w:ascii="Times New Roman" w:eastAsia="Calibri" w:hAnsi="Times New Roman" w:cs="Times New Roman"/>
          <w:color w:val="000000"/>
          <w:kern w:val="0"/>
          <w:sz w:val="24"/>
          <w14:ligatures w14:val="none"/>
        </w:rPr>
        <w:t xml:space="preserve"> are permitted to ((</w:t>
      </w:r>
      <w:r w:rsidRPr="006B4A66">
        <w:rPr>
          <w:rFonts w:ascii="Times New Roman" w:eastAsia="Calibri" w:hAnsi="Times New Roman" w:cs="Times New Roman"/>
          <w:strike/>
          <w:color w:val="000000"/>
          <w:kern w:val="0"/>
          <w:sz w:val="24"/>
          <w14:ligatures w14:val="none"/>
        </w:rPr>
        <w:t>use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utilize</w:t>
      </w:r>
      <w:r w:rsidRPr="006B4A66">
        <w:rPr>
          <w:rFonts w:ascii="Times New Roman" w:eastAsia="Calibri" w:hAnsi="Times New Roman" w:cs="Times New Roman"/>
          <w:color w:val="000000"/>
          <w:kern w:val="0"/>
          <w:sz w:val="24"/>
          <w14:ligatures w14:val="none"/>
        </w:rPr>
        <w:t xml:space="preserve"> fossil fuels.</w:t>
      </w:r>
    </w:p>
    <w:p w14:paraId="0522A5D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21.  Wastewater heat recovery heat pumps.  Buildings are permitted to utilize electric resistance auxiliary heating to supplement heat pump heating for hydronic heating systems with wastewater heat recovery or other approved waste heat recovery systems provided the heat pump equipment meets all of the following conditions:</w:t>
      </w:r>
    </w:p>
    <w:p w14:paraId="1D41F8F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color w:val="000000"/>
          <w:kern w:val="0"/>
          <w:sz w:val="24"/>
          <w:u w:val="single"/>
          <w14:ligatures w14:val="none"/>
        </w:rPr>
        <w:t>21.1.  Controls for the auxiliary resistance heating are configured to lock out the supplemental heat when the equipment source-side entering water temperature is above 42° Fahrenheit (6° Celsius), unless the hot water supply temperature setpoint to the building heat coils cannot be maintained for 20 minutes.</w:t>
      </w:r>
    </w:p>
    <w:p w14:paraId="06F7C70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color w:val="000000"/>
          <w:kern w:val="0"/>
          <w:sz w:val="24"/>
          <w:u w:val="single"/>
          <w14:ligatures w14:val="none"/>
        </w:rPr>
        <w:t>21.2.  The heat pump controls are configured to use the compressor as the first stage of heating.</w:t>
      </w:r>
    </w:p>
    <w:p w14:paraId="6A9A7DE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color w:val="000000"/>
          <w:kern w:val="0"/>
          <w:sz w:val="24"/>
          <w:u w:val="single"/>
          <w14:ligatures w14:val="none"/>
        </w:rPr>
        <w:t>21.3.  The wastewater heat exchanger and heat pumps or other heat pump supplemental systems shall be sized so that the heat pump rated heating capacity at heat pump design entering water temperature conditions or other heat pump heating systems are no less than 75 percent of the design heating load at 29° Fahrenheit (-2° Celsius).  Wastewater heat exchanger source side shall be sized for a design wastewater entering temperature of 55° Fahrenheit (13° Celsius) or lower.</w:t>
      </w:r>
    </w:p>
    <w:p w14:paraId="43DDE402" w14:textId="1173F6F8"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55.</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328104AF"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C403.3.2 of the Washington State Energy Code is not adopted and the following is substituted:</w:t>
      </w:r>
    </w:p>
    <w:p w14:paraId="1A9D6CE4"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0"/>
          <w14:ligatures w14:val="none"/>
        </w:rPr>
      </w:pPr>
      <w:r w:rsidRPr="006B4A66">
        <w:rPr>
          <w:rFonts w:ascii="Times New Roman" w:eastAsia="Times New Roman" w:hAnsi="Times New Roman" w:cs="Times New Roman"/>
          <w:color w:val="000000"/>
          <w:kern w:val="0"/>
          <w:sz w:val="24"/>
          <w:szCs w:val="24"/>
          <w14:ligatures w14:val="none"/>
        </w:rPr>
        <w:lastRenderedPageBreak/>
        <w:tab/>
      </w:r>
      <w:r w:rsidRPr="006B4A66">
        <w:rPr>
          <w:rFonts w:ascii="Times New Roman" w:eastAsia="Times New Roman" w:hAnsi="Times New Roman" w:cs="Times New Roman"/>
          <w:b/>
          <w:color w:val="000000"/>
          <w:kern w:val="0"/>
          <w:sz w:val="24"/>
          <w:szCs w:val="20"/>
          <w14:ligatures w14:val="none"/>
        </w:rPr>
        <w:t>HVAC equipment performance requirements (WSEC C403.3.2).</w:t>
      </w:r>
      <w:r w:rsidRPr="006B4A66">
        <w:rPr>
          <w:rFonts w:ascii="Times New Roman" w:eastAsia="Times New Roman" w:hAnsi="Times New Roman" w:cs="Times New Roman"/>
          <w:color w:val="000000"/>
          <w:kern w:val="0"/>
          <w:sz w:val="24"/>
          <w:szCs w:val="20"/>
          <w14:ligatures w14:val="none"/>
        </w:rPr>
        <w:t xml:space="preserve">  Equipment shall meet the minimum efficiency requirements of Tables C403.3.2(1) through C403.3.2(16) when tested and rated in accordance with the applicable test procedure. After new equipment efficiency values including HSPF2, EER2, and SEER2 have been published by the US Department of Energy, equipment is permitted to meet those values in lieu of the table values. Plate-type liquid-to-liquid heat exchangers shall meet the minimum requirement of AHRI 400.  The efficiency shall be verified through certification and listed under an approved certification program or, if no certification program exists, the equipment efficiency ratings shall be supported by data furnished by the manufacturer.  Where multiple rating conditions or performance requirements are provided, the equipment shall satisfy all stated requirements.  Where components, such as indoor or outdoor coils, from different manufacturers are used, calculations and supporting data shall be furnished by the designer that demonstrates that the combined efficiency of the specified components meets the requirements herein.</w:t>
      </w:r>
    </w:p>
    <w:p w14:paraId="24672CF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Air-to-water heat pump manufactures shall report the hourly heating output or heating efficiency with and without defrost operation at 32</w:t>
      </w:r>
      <w:bookmarkStart w:id="7" w:name="_Hlk184390372"/>
      <w:r w:rsidRPr="006B4A66">
        <w:rPr>
          <w:rFonts w:ascii="Times New Roman" w:eastAsia="Calibri" w:hAnsi="Times New Roman" w:cs="Times New Roman"/>
          <w:color w:val="000000"/>
          <w:kern w:val="0"/>
          <w:sz w:val="24"/>
          <w14:ligatures w14:val="none"/>
        </w:rPr>
        <w:t>°</w:t>
      </w:r>
      <w:bookmarkEnd w:id="7"/>
      <w:r w:rsidRPr="006B4A66">
        <w:rPr>
          <w:rFonts w:ascii="Times New Roman" w:eastAsia="Calibri" w:hAnsi="Times New Roman" w:cs="Times New Roman"/>
          <w:color w:val="000000"/>
          <w:kern w:val="0"/>
          <w:sz w:val="24"/>
          <w14:ligatures w14:val="none"/>
        </w:rPr>
        <w:t xml:space="preserve"> Fahrenheit or (0° Celsius), in addition to meeting the efficiency requirements of Table C403.3.2(15) at the AHRI 550/590 applicable leaving water temperatures.  The hourly heating output or heating efficiency with and without defrost operation shall be documented on the mechanical permit application documents.</w:t>
      </w:r>
    </w:p>
    <w:p w14:paraId="2534B3C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EXCEPTION:  Heat recovery chillers and air-to-water heat pumps covered under Table C403.3.2(15) are not required to be listed in the AHRI certification program for AHRI 550/590.  The equipment heating and cooling efficiency ratings shall be supported </w:t>
      </w:r>
      <w:r w:rsidRPr="006B4A66">
        <w:rPr>
          <w:rFonts w:ascii="Times New Roman" w:eastAsia="Calibri" w:hAnsi="Times New Roman" w:cs="Times New Roman"/>
          <w:color w:val="000000"/>
          <w:kern w:val="0"/>
          <w:sz w:val="24"/>
          <w14:ligatures w14:val="none"/>
        </w:rPr>
        <w:lastRenderedPageBreak/>
        <w:t>by data furnished by the manufacturer at AHRI 550/590 conditions.  Where multiple rating conditions or performance requirements are provided, the equipment shall satisfy all stated requirements.</w:t>
      </w:r>
    </w:p>
    <w:p w14:paraId="71E2C8E3" w14:textId="28D6342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56.</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2441B19D"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Table C403.3.5 of the Washington State Energy Code is not adopted and the following is substituted:</w:t>
      </w:r>
    </w:p>
    <w:p w14:paraId="0747A556" w14:textId="77777777" w:rsidR="006B4A66" w:rsidRPr="006B4A66" w:rsidRDefault="006B4A66" w:rsidP="0073496A">
      <w:pPr>
        <w:spacing w:after="0" w:line="480" w:lineRule="auto"/>
        <w:jc w:val="center"/>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Table C403.3.5</w:t>
      </w:r>
    </w:p>
    <w:p w14:paraId="629E8ACA" w14:textId="77777777" w:rsidR="006B4A66" w:rsidRPr="006B4A66" w:rsidRDefault="006B4A66" w:rsidP="0073496A">
      <w:pPr>
        <w:spacing w:after="0" w:line="480" w:lineRule="auto"/>
        <w:jc w:val="center"/>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Occupancy Classifications Requiring DOAS</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07"/>
        <w:gridCol w:w="3336"/>
        <w:gridCol w:w="4317"/>
      </w:tblGrid>
      <w:tr w:rsidR="006B4A66" w:rsidRPr="006B4A66" w14:paraId="0F2461CA" w14:textId="77777777">
        <w:trPr>
          <w:cantSplit/>
          <w:tblHeader/>
          <w:jc w:val="center"/>
        </w:trPr>
        <w:tc>
          <w:tcPr>
            <w:tcW w:w="1634" w:type="dxa"/>
            <w:tcMar>
              <w:top w:w="40" w:type="dxa"/>
              <w:left w:w="120" w:type="dxa"/>
              <w:bottom w:w="40" w:type="dxa"/>
              <w:right w:w="120" w:type="dxa"/>
            </w:tcMar>
            <w:vAlign w:val="bottom"/>
          </w:tcPr>
          <w:p w14:paraId="773F4A36" w14:textId="77777777" w:rsidR="006B4A66" w:rsidRPr="006B4A66" w:rsidRDefault="006B4A66" w:rsidP="0073496A">
            <w:pPr>
              <w:spacing w:after="0" w:line="480" w:lineRule="auto"/>
              <w:rPr>
                <w:rFonts w:ascii="Times New Roman" w:eastAsia="Calibri" w:hAnsi="Times New Roman" w:cs="Times New Roman"/>
                <w:color w:val="000000"/>
                <w:kern w:val="0"/>
                <w:sz w:val="24"/>
                <w:vertAlign w:val="superscript"/>
                <w14:ligatures w14:val="none"/>
              </w:rPr>
            </w:pPr>
            <w:r w:rsidRPr="006B4A66">
              <w:rPr>
                <w:rFonts w:ascii="Times New Roman" w:eastAsia="Calibri" w:hAnsi="Times New Roman" w:cs="Times New Roman"/>
                <w:b/>
                <w:color w:val="000000"/>
                <w:kern w:val="0"/>
                <w:sz w:val="24"/>
                <w14:ligatures w14:val="none"/>
              </w:rPr>
              <w:t>Occupancy Classification</w:t>
            </w:r>
            <w:r w:rsidRPr="006B4A66">
              <w:rPr>
                <w:rFonts w:ascii="Times New Roman" w:eastAsia="Calibri" w:hAnsi="Times New Roman" w:cs="Times New Roman"/>
                <w:b/>
                <w:color w:val="000000"/>
                <w:kern w:val="0"/>
                <w:sz w:val="24"/>
                <w:vertAlign w:val="superscript"/>
                <w14:ligatures w14:val="none"/>
              </w:rPr>
              <w:t>a</w:t>
            </w:r>
          </w:p>
        </w:tc>
        <w:tc>
          <w:tcPr>
            <w:tcW w:w="3366" w:type="dxa"/>
            <w:tcMar>
              <w:top w:w="40" w:type="dxa"/>
              <w:left w:w="120" w:type="dxa"/>
              <w:bottom w:w="40" w:type="dxa"/>
              <w:right w:w="120" w:type="dxa"/>
            </w:tcMar>
            <w:vAlign w:val="bottom"/>
          </w:tcPr>
          <w:p w14:paraId="520EE9D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Inclusions</w:t>
            </w:r>
          </w:p>
        </w:tc>
        <w:tc>
          <w:tcPr>
            <w:tcW w:w="4360" w:type="dxa"/>
            <w:tcMar>
              <w:top w:w="40" w:type="dxa"/>
              <w:left w:w="120" w:type="dxa"/>
              <w:bottom w:w="40" w:type="dxa"/>
              <w:right w:w="120" w:type="dxa"/>
            </w:tcMar>
            <w:vAlign w:val="bottom"/>
          </w:tcPr>
          <w:p w14:paraId="212E7AA9"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Exempted</w:t>
            </w:r>
          </w:p>
        </w:tc>
      </w:tr>
      <w:tr w:rsidR="006B4A66" w:rsidRPr="006B4A66" w14:paraId="24E6C9AC" w14:textId="77777777">
        <w:trPr>
          <w:jc w:val="center"/>
        </w:trPr>
        <w:tc>
          <w:tcPr>
            <w:tcW w:w="1634" w:type="dxa"/>
            <w:tcMar>
              <w:top w:w="40" w:type="dxa"/>
              <w:left w:w="120" w:type="dxa"/>
              <w:bottom w:w="40" w:type="dxa"/>
              <w:right w:w="120" w:type="dxa"/>
            </w:tcMar>
          </w:tcPr>
          <w:p w14:paraId="01C8454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A-1</w:t>
            </w:r>
          </w:p>
        </w:tc>
        <w:tc>
          <w:tcPr>
            <w:tcW w:w="3366" w:type="dxa"/>
            <w:tcMar>
              <w:top w:w="40" w:type="dxa"/>
              <w:left w:w="120" w:type="dxa"/>
              <w:bottom w:w="40" w:type="dxa"/>
              <w:right w:w="120" w:type="dxa"/>
            </w:tcMar>
          </w:tcPr>
          <w:p w14:paraId="7B172FF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All occupancies not specifically exempted</w:t>
            </w:r>
          </w:p>
        </w:tc>
        <w:tc>
          <w:tcPr>
            <w:tcW w:w="4360" w:type="dxa"/>
            <w:tcMar>
              <w:top w:w="40" w:type="dxa"/>
              <w:left w:w="120" w:type="dxa"/>
              <w:bottom w:w="40" w:type="dxa"/>
              <w:right w:w="120" w:type="dxa"/>
            </w:tcMar>
          </w:tcPr>
          <w:p w14:paraId="43977816"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Television and radio studios</w:t>
            </w:r>
          </w:p>
        </w:tc>
      </w:tr>
      <w:tr w:rsidR="006B4A66" w:rsidRPr="006B4A66" w14:paraId="4B7AE8E5" w14:textId="77777777">
        <w:trPr>
          <w:jc w:val="center"/>
        </w:trPr>
        <w:tc>
          <w:tcPr>
            <w:tcW w:w="1634" w:type="dxa"/>
            <w:tcMar>
              <w:top w:w="40" w:type="dxa"/>
              <w:left w:w="120" w:type="dxa"/>
              <w:bottom w:w="40" w:type="dxa"/>
              <w:right w:w="120" w:type="dxa"/>
            </w:tcMar>
          </w:tcPr>
          <w:p w14:paraId="44D3919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A-2</w:t>
            </w:r>
          </w:p>
        </w:tc>
        <w:tc>
          <w:tcPr>
            <w:tcW w:w="3366" w:type="dxa"/>
            <w:tcMar>
              <w:top w:w="40" w:type="dxa"/>
              <w:left w:w="120" w:type="dxa"/>
              <w:bottom w:w="40" w:type="dxa"/>
              <w:right w:w="120" w:type="dxa"/>
            </w:tcMar>
          </w:tcPr>
          <w:p w14:paraId="038634D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Casinos (gaming area)</w:t>
            </w:r>
          </w:p>
        </w:tc>
        <w:tc>
          <w:tcPr>
            <w:tcW w:w="4360" w:type="dxa"/>
            <w:tcMar>
              <w:top w:w="40" w:type="dxa"/>
              <w:left w:w="120" w:type="dxa"/>
              <w:bottom w:w="40" w:type="dxa"/>
              <w:right w:w="120" w:type="dxa"/>
            </w:tcMar>
          </w:tcPr>
          <w:p w14:paraId="4EA5D8C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All other A-2 occupancies</w:t>
            </w:r>
          </w:p>
        </w:tc>
      </w:tr>
      <w:tr w:rsidR="006B4A66" w:rsidRPr="006B4A66" w14:paraId="26B6B371" w14:textId="77777777">
        <w:trPr>
          <w:jc w:val="center"/>
        </w:trPr>
        <w:tc>
          <w:tcPr>
            <w:tcW w:w="1634" w:type="dxa"/>
            <w:tcMar>
              <w:top w:w="40" w:type="dxa"/>
              <w:left w:w="120" w:type="dxa"/>
              <w:bottom w:w="40" w:type="dxa"/>
              <w:right w:w="120" w:type="dxa"/>
            </w:tcMar>
          </w:tcPr>
          <w:p w14:paraId="45456A6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A-3</w:t>
            </w:r>
          </w:p>
        </w:tc>
        <w:tc>
          <w:tcPr>
            <w:tcW w:w="3366" w:type="dxa"/>
            <w:tcMar>
              <w:top w:w="40" w:type="dxa"/>
              <w:left w:w="120" w:type="dxa"/>
              <w:bottom w:w="40" w:type="dxa"/>
              <w:right w:w="120" w:type="dxa"/>
            </w:tcMar>
          </w:tcPr>
          <w:p w14:paraId="13103A7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Lecture halls, community halls, exhibition halls, gymnasiums, courtrooms, libraries, places of religious worship</w:t>
            </w:r>
          </w:p>
        </w:tc>
        <w:tc>
          <w:tcPr>
            <w:tcW w:w="4360" w:type="dxa"/>
            <w:tcMar>
              <w:top w:w="40" w:type="dxa"/>
              <w:left w:w="120" w:type="dxa"/>
              <w:bottom w:w="40" w:type="dxa"/>
              <w:right w:w="120" w:type="dxa"/>
            </w:tcMar>
          </w:tcPr>
          <w:p w14:paraId="709F34B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All other A-3 occupancies</w:t>
            </w:r>
          </w:p>
        </w:tc>
      </w:tr>
      <w:tr w:rsidR="006B4A66" w:rsidRPr="006B4A66" w14:paraId="0E63B71C" w14:textId="77777777">
        <w:trPr>
          <w:jc w:val="center"/>
        </w:trPr>
        <w:tc>
          <w:tcPr>
            <w:tcW w:w="1634" w:type="dxa"/>
            <w:tcMar>
              <w:top w:w="40" w:type="dxa"/>
              <w:left w:w="120" w:type="dxa"/>
              <w:bottom w:w="40" w:type="dxa"/>
              <w:right w:w="120" w:type="dxa"/>
            </w:tcMar>
          </w:tcPr>
          <w:p w14:paraId="4A0EB0DF"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A-4, A-5</w:t>
            </w:r>
          </w:p>
        </w:tc>
        <w:tc>
          <w:tcPr>
            <w:tcW w:w="3366" w:type="dxa"/>
            <w:tcMar>
              <w:top w:w="40" w:type="dxa"/>
              <w:left w:w="120" w:type="dxa"/>
              <w:bottom w:w="40" w:type="dxa"/>
              <w:right w:w="120" w:type="dxa"/>
            </w:tcMar>
          </w:tcPr>
          <w:p w14:paraId="30A4250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c>
          <w:tcPr>
            <w:tcW w:w="4360" w:type="dxa"/>
            <w:tcMar>
              <w:top w:w="40" w:type="dxa"/>
              <w:left w:w="120" w:type="dxa"/>
              <w:bottom w:w="40" w:type="dxa"/>
              <w:right w:w="120" w:type="dxa"/>
            </w:tcMar>
          </w:tcPr>
          <w:p w14:paraId="242DDC2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All occupancies excluded</w:t>
            </w:r>
          </w:p>
        </w:tc>
      </w:tr>
      <w:tr w:rsidR="006B4A66" w:rsidRPr="006B4A66" w14:paraId="11F4F0F3" w14:textId="77777777">
        <w:trPr>
          <w:jc w:val="center"/>
        </w:trPr>
        <w:tc>
          <w:tcPr>
            <w:tcW w:w="1634" w:type="dxa"/>
            <w:tcMar>
              <w:top w:w="40" w:type="dxa"/>
              <w:left w:w="120" w:type="dxa"/>
              <w:bottom w:w="40" w:type="dxa"/>
              <w:right w:w="120" w:type="dxa"/>
            </w:tcMar>
          </w:tcPr>
          <w:p w14:paraId="2274791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B</w:t>
            </w:r>
          </w:p>
        </w:tc>
        <w:tc>
          <w:tcPr>
            <w:tcW w:w="3366" w:type="dxa"/>
            <w:tcMar>
              <w:top w:w="40" w:type="dxa"/>
              <w:left w:w="120" w:type="dxa"/>
              <w:bottom w:w="40" w:type="dxa"/>
              <w:right w:w="120" w:type="dxa"/>
            </w:tcMar>
          </w:tcPr>
          <w:p w14:paraId="6955A7D0"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All occupancies not specifically exempted</w:t>
            </w:r>
          </w:p>
        </w:tc>
        <w:tc>
          <w:tcPr>
            <w:tcW w:w="4360" w:type="dxa"/>
            <w:tcMar>
              <w:top w:w="40" w:type="dxa"/>
              <w:left w:w="120" w:type="dxa"/>
              <w:bottom w:w="40" w:type="dxa"/>
              <w:right w:w="120" w:type="dxa"/>
            </w:tcMar>
          </w:tcPr>
          <w:p w14:paraId="1613D592"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Food processing establishments including commercial kitchens, restaurants, cafeterias; laboratories for testing and </w:t>
            </w:r>
            <w:r w:rsidRPr="006B4A66">
              <w:rPr>
                <w:rFonts w:ascii="Times New Roman" w:eastAsia="Calibri" w:hAnsi="Times New Roman" w:cs="Times New Roman"/>
                <w:color w:val="000000"/>
                <w:kern w:val="0"/>
                <w:sz w:val="24"/>
                <w14:ligatures w14:val="none"/>
              </w:rPr>
              <w:lastRenderedPageBreak/>
              <w:t>research; data processing facilities and telephone exchanges; air traffic control towers; animal hospitals, kennels, pounds; ambulatory care facilities</w:t>
            </w:r>
          </w:p>
        </w:tc>
      </w:tr>
      <w:tr w:rsidR="006B4A66" w:rsidRPr="006B4A66" w14:paraId="164589F5" w14:textId="77777777">
        <w:trPr>
          <w:jc w:val="center"/>
        </w:trPr>
        <w:tc>
          <w:tcPr>
            <w:tcW w:w="1634" w:type="dxa"/>
            <w:tcMar>
              <w:top w:w="40" w:type="dxa"/>
              <w:left w:w="120" w:type="dxa"/>
              <w:bottom w:w="40" w:type="dxa"/>
              <w:right w:w="120" w:type="dxa"/>
            </w:tcMar>
          </w:tcPr>
          <w:p w14:paraId="7CCC428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F, H, I, S, U</w:t>
            </w:r>
          </w:p>
        </w:tc>
        <w:tc>
          <w:tcPr>
            <w:tcW w:w="3366" w:type="dxa"/>
            <w:tcMar>
              <w:top w:w="40" w:type="dxa"/>
              <w:left w:w="120" w:type="dxa"/>
              <w:bottom w:w="40" w:type="dxa"/>
              <w:right w:w="120" w:type="dxa"/>
            </w:tcMar>
          </w:tcPr>
          <w:p w14:paraId="43208A2F"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c>
          <w:tcPr>
            <w:tcW w:w="4360" w:type="dxa"/>
            <w:tcMar>
              <w:top w:w="40" w:type="dxa"/>
              <w:left w:w="120" w:type="dxa"/>
              <w:bottom w:w="40" w:type="dxa"/>
              <w:right w:w="120" w:type="dxa"/>
            </w:tcMar>
          </w:tcPr>
          <w:p w14:paraId="52620ACF"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All occupancies excluded</w:t>
            </w:r>
          </w:p>
        </w:tc>
      </w:tr>
      <w:tr w:rsidR="006B4A66" w:rsidRPr="006B4A66" w14:paraId="0A51D46C" w14:textId="77777777">
        <w:trPr>
          <w:jc w:val="center"/>
        </w:trPr>
        <w:tc>
          <w:tcPr>
            <w:tcW w:w="1634" w:type="dxa"/>
            <w:tcMar>
              <w:top w:w="40" w:type="dxa"/>
              <w:left w:w="120" w:type="dxa"/>
              <w:bottom w:w="40" w:type="dxa"/>
              <w:right w:w="120" w:type="dxa"/>
            </w:tcMar>
          </w:tcPr>
          <w:p w14:paraId="04CA3EE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w:t>
            </w:r>
          </w:p>
        </w:tc>
        <w:tc>
          <w:tcPr>
            <w:tcW w:w="3366" w:type="dxa"/>
            <w:tcMar>
              <w:top w:w="40" w:type="dxa"/>
              <w:left w:w="120" w:type="dxa"/>
              <w:bottom w:w="40" w:type="dxa"/>
              <w:right w:w="120" w:type="dxa"/>
            </w:tcMar>
          </w:tcPr>
          <w:p w14:paraId="5DDC78B6"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Group R dwelling and sleeping units served by energy recovery ventilation systems that each serve two or more dwelling or sleeping units for which energy recovery ventilation is required in accordance with Section C403.7.6.</w:t>
            </w:r>
          </w:p>
          <w:p w14:paraId="6E0FD8E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Group R spaces other than dwelling and sleeping units, including corridors and other common use areas.</w:t>
            </w:r>
          </w:p>
        </w:tc>
        <w:tc>
          <w:tcPr>
            <w:tcW w:w="4360" w:type="dxa"/>
            <w:tcMar>
              <w:top w:w="40" w:type="dxa"/>
              <w:left w:w="120" w:type="dxa"/>
              <w:bottom w:w="40" w:type="dxa"/>
              <w:right w:w="120" w:type="dxa"/>
            </w:tcMar>
          </w:tcPr>
          <w:p w14:paraId="7101CAC5" w14:textId="77777777" w:rsidR="006B4A66" w:rsidRPr="006B4A66" w:rsidRDefault="006B4A66" w:rsidP="0073496A">
            <w:pPr>
              <w:shd w:val="clear" w:color="auto" w:fill="FFFFFF"/>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Groups R-1 and R-3 dwelling or sleeping units for which energy recovery ventilation is not required in accordance with WSEC C403.7.6.</w:t>
            </w:r>
          </w:p>
          <w:p w14:paraId="6CCCDD47" w14:textId="77777777" w:rsidR="006B4A66" w:rsidRPr="006B4A66" w:rsidRDefault="006B4A66" w:rsidP="0073496A">
            <w:pPr>
              <w:shd w:val="clear" w:color="auto" w:fill="FFFFFF"/>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Group R dwelling and sleeping units served by energy recovery ventilation systems that each serve only one dwelling or sleeping unit.</w:t>
            </w:r>
          </w:p>
        </w:tc>
      </w:tr>
      <w:tr w:rsidR="006B4A66" w:rsidRPr="006B4A66" w14:paraId="1029D185" w14:textId="77777777">
        <w:trPr>
          <w:jc w:val="center"/>
        </w:trPr>
        <w:tc>
          <w:tcPr>
            <w:tcW w:w="1634" w:type="dxa"/>
            <w:tcMar>
              <w:top w:w="40" w:type="dxa"/>
              <w:left w:w="120" w:type="dxa"/>
              <w:bottom w:w="40" w:type="dxa"/>
              <w:right w:w="120" w:type="dxa"/>
            </w:tcMar>
          </w:tcPr>
          <w:p w14:paraId="004EEEC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E, M</w:t>
            </w:r>
          </w:p>
        </w:tc>
        <w:tc>
          <w:tcPr>
            <w:tcW w:w="3366" w:type="dxa"/>
            <w:tcMar>
              <w:top w:w="40" w:type="dxa"/>
              <w:left w:w="120" w:type="dxa"/>
              <w:bottom w:w="40" w:type="dxa"/>
              <w:right w:w="120" w:type="dxa"/>
            </w:tcMar>
          </w:tcPr>
          <w:p w14:paraId="6F2C17D2"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All occupancies included</w:t>
            </w:r>
          </w:p>
        </w:tc>
        <w:tc>
          <w:tcPr>
            <w:tcW w:w="4360" w:type="dxa"/>
            <w:tcMar>
              <w:top w:w="40" w:type="dxa"/>
              <w:left w:w="120" w:type="dxa"/>
              <w:bottom w:w="40" w:type="dxa"/>
              <w:right w:w="120" w:type="dxa"/>
            </w:tcMar>
          </w:tcPr>
          <w:p w14:paraId="099ABBF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r>
    </w:tbl>
    <w:p w14:paraId="2F57862D"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Footnote:</w:t>
      </w:r>
    </w:p>
    <w:p w14:paraId="4BC3424A" w14:textId="77777777" w:rsidR="006B4A66" w:rsidRPr="006B4A66" w:rsidRDefault="006B4A66" w:rsidP="0073496A">
      <w:pPr>
        <w:widowControl w:val="0"/>
        <w:tabs>
          <w:tab w:val="left" w:pos="720"/>
        </w:tabs>
        <w:autoSpaceDE w:val="0"/>
        <w:autoSpaceDN w:val="0"/>
        <w:adjustRightInd w:val="0"/>
        <w:spacing w:after="0" w:line="480" w:lineRule="auto"/>
        <w:ind w:firstLine="720"/>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  Occupancy classification from the IBC Chapter 3.</w:t>
      </w:r>
    </w:p>
    <w:p w14:paraId="1CD2F7D6" w14:textId="3C9B8E84"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57.</w:t>
      </w:r>
      <w:r w:rsidRPr="006B4A66">
        <w:rPr>
          <w:rFonts w:ascii="Times New Roman" w:eastAsia="Calibri" w:hAnsi="Times New Roman" w:cs="Times New Roman"/>
          <w:color w:val="000000"/>
          <w:kern w:val="0"/>
          <w:sz w:val="24"/>
          <w14:ligatures w14:val="none"/>
        </w:rPr>
        <w:t xml:space="preserve">  There is hereby added to K.C.C. chapter 16.07 </w:t>
      </w:r>
      <w:r w:rsidRPr="006B4A66">
        <w:rPr>
          <w:rFonts w:ascii="Times New Roman" w:eastAsia="Calibri" w:hAnsi="Times New Roman" w:cs="Times New Roman"/>
          <w:color w:val="000000"/>
          <w:kern w:val="0"/>
          <w:sz w:val="24"/>
          <w14:ligatures w14:val="none"/>
        </w:rPr>
        <w:lastRenderedPageBreak/>
        <w:t>a new section to read as follows:</w:t>
      </w:r>
    </w:p>
    <w:p w14:paraId="647A963F"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C403.3.5.2 of the Washington State Energy Code is not adopted and the following is substituted:</w:t>
      </w:r>
    </w:p>
    <w:p w14:paraId="4DE2CFF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color w:val="000000"/>
          <w:kern w:val="0"/>
          <w:sz w:val="24"/>
          <w14:ligatures w14:val="none"/>
        </w:rPr>
        <w:t>DOAS fan power (WSEC C403.3.5.2).</w:t>
      </w:r>
      <w:r w:rsidRPr="006B4A66">
        <w:rPr>
          <w:rFonts w:ascii="Times New Roman" w:eastAsia="Calibri" w:hAnsi="Times New Roman" w:cs="Times New Roman"/>
          <w:color w:val="000000"/>
          <w:kern w:val="0"/>
          <w:sz w:val="24"/>
          <w14:ligatures w14:val="none"/>
        </w:rPr>
        <w:t xml:space="preserve">  For a DOAS that does not have at least one fan or fan array with fan electrical input power greater than or equal to 1 kilowatt, the total combined fan power shall not exceed 0.8 watts per cubic feet (0.03 cubic meters) per minute of outdoor air as calculated in accordance with Equation 4-10 using design maximum airflows and external static pressures.  For a DOAS with at least one fan or fan array with fan electrical input power less than or equal to 1 kilowatt, the DOAS shall comply with the fan power limitations of WSEC C403.8.1.  DOAS total combined fan power shall include all supply, exhaust, and other fans utilized for the purpose of ventilation.  This fan power restriction applies to each DOAS in the permitted project but does not include the fan power associated with the zonal heating and cooling equipment.</w:t>
      </w:r>
    </w:p>
    <w:p w14:paraId="11522CB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(Equation 4-10)</w:t>
      </w:r>
    </w:p>
    <w:tbl>
      <w:tblPr>
        <w:tblW w:w="0" w:type="auto"/>
        <w:jc w:val="center"/>
        <w:tblCellMar>
          <w:left w:w="70" w:type="dxa"/>
          <w:right w:w="70" w:type="dxa"/>
        </w:tblCellMar>
        <w:tblLook w:val="04A0" w:firstRow="1" w:lastRow="0" w:firstColumn="1" w:lastColumn="0" w:noHBand="0" w:noVBand="1"/>
      </w:tblPr>
      <w:tblGrid>
        <w:gridCol w:w="755"/>
        <w:gridCol w:w="3104"/>
        <w:gridCol w:w="3918"/>
        <w:gridCol w:w="863"/>
      </w:tblGrid>
      <w:tr w:rsidR="006B4A66" w:rsidRPr="006B4A66" w14:paraId="2D8E9165" w14:textId="77777777">
        <w:trPr>
          <w:jc w:val="center"/>
        </w:trPr>
        <w:tc>
          <w:tcPr>
            <w:tcW w:w="755" w:type="dxa"/>
            <w:tcMar>
              <w:top w:w="40" w:type="dxa"/>
              <w:left w:w="120" w:type="dxa"/>
              <w:bottom w:w="40" w:type="dxa"/>
              <w:right w:w="120" w:type="dxa"/>
            </w:tcMar>
          </w:tcPr>
          <w:p w14:paraId="1889984F"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c>
          <w:tcPr>
            <w:tcW w:w="3104" w:type="dxa"/>
            <w:tcMar>
              <w:top w:w="40" w:type="dxa"/>
              <w:left w:w="120" w:type="dxa"/>
              <w:bottom w:w="40" w:type="dxa"/>
              <w:right w:w="120" w:type="dxa"/>
            </w:tcMar>
            <w:vAlign w:val="center"/>
          </w:tcPr>
          <w:p w14:paraId="71A4DAE6"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DOAS Total Combined Fan Power</w:t>
            </w:r>
          </w:p>
        </w:tc>
        <w:tc>
          <w:tcPr>
            <w:tcW w:w="3918" w:type="dxa"/>
            <w:tcMar>
              <w:top w:w="40" w:type="dxa"/>
              <w:left w:w="120" w:type="dxa"/>
              <w:bottom w:w="40" w:type="dxa"/>
              <w:right w:w="120" w:type="dxa"/>
            </w:tcMar>
          </w:tcPr>
          <w:p w14:paraId="5C6E9F5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noProof/>
                <w:color w:val="000000"/>
                <w:kern w:val="0"/>
                <w:sz w:val="24"/>
                <w14:ligatures w14:val="none"/>
              </w:rPr>
              <w:drawing>
                <wp:inline distT="0" distB="0" distL="0" distR="0" wp14:anchorId="1CE15E2B" wp14:editId="0CE66AB8">
                  <wp:extent cx="2226366" cy="556592"/>
                  <wp:effectExtent l="0" t="0" r="0" b="0"/>
                  <wp:docPr id="16" name="Picture 1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diagram&#10;&#10;Description automatically generated"/>
                          <pic:cNvPicPr/>
                        </pic:nvPicPr>
                        <pic:blipFill>
                          <a:blip r:embed="rId11" cstate="print"/>
                          <a:stretch>
                            <a:fillRect/>
                          </a:stretch>
                        </pic:blipFill>
                        <pic:spPr>
                          <a:xfrm>
                            <a:off x="0" y="0"/>
                            <a:ext cx="2315355" cy="578839"/>
                          </a:xfrm>
                          <a:prstGeom prst="rect">
                            <a:avLst/>
                          </a:prstGeom>
                        </pic:spPr>
                      </pic:pic>
                    </a:graphicData>
                  </a:graphic>
                </wp:inline>
              </w:drawing>
            </w:r>
          </w:p>
        </w:tc>
        <w:tc>
          <w:tcPr>
            <w:tcW w:w="863" w:type="dxa"/>
            <w:tcMar>
              <w:top w:w="40" w:type="dxa"/>
              <w:left w:w="120" w:type="dxa"/>
              <w:bottom w:w="40" w:type="dxa"/>
              <w:right w:w="120" w:type="dxa"/>
            </w:tcMar>
          </w:tcPr>
          <w:p w14:paraId="1AE3BB21"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r>
    </w:tbl>
    <w:tbl>
      <w:tblPr>
        <w:tblStyle w:val="TableGrid"/>
        <w:tblW w:w="0" w:type="auto"/>
        <w:tblLook w:val="04A0" w:firstRow="1" w:lastRow="0" w:firstColumn="1" w:lastColumn="0" w:noHBand="0" w:noVBand="1"/>
      </w:tblPr>
      <w:tblGrid>
        <w:gridCol w:w="264"/>
        <w:gridCol w:w="2147"/>
        <w:gridCol w:w="532"/>
        <w:gridCol w:w="5687"/>
      </w:tblGrid>
      <w:tr w:rsidR="006B4A66" w:rsidRPr="006B4A66" w14:paraId="4CE503CA" w14:textId="77777777">
        <w:tc>
          <w:tcPr>
            <w:tcW w:w="8630" w:type="dxa"/>
            <w:gridSpan w:val="4"/>
          </w:tcPr>
          <w:p w14:paraId="516C9034" w14:textId="77777777" w:rsidR="006B4A66" w:rsidRPr="006B4A66" w:rsidRDefault="006B4A66" w:rsidP="0073496A">
            <w:pPr>
              <w:tabs>
                <w:tab w:val="left" w:pos="720"/>
              </w:tabs>
              <w:spacing w:line="480" w:lineRule="auto"/>
              <w:ind w:firstLine="180"/>
              <w:rPr>
                <w:rFonts w:eastAsia="Calibri"/>
                <w:color w:val="000000"/>
                <w:sz w:val="24"/>
              </w:rPr>
            </w:pPr>
            <w:r w:rsidRPr="006B4A66">
              <w:rPr>
                <w:rFonts w:eastAsia="Calibri"/>
                <w:color w:val="000000"/>
                <w:sz w:val="24"/>
              </w:rPr>
              <w:t>Where:</w:t>
            </w:r>
          </w:p>
        </w:tc>
      </w:tr>
      <w:tr w:rsidR="006B4A66" w:rsidRPr="006B4A66" w14:paraId="5B706252" w14:textId="77777777">
        <w:tc>
          <w:tcPr>
            <w:tcW w:w="264" w:type="dxa"/>
          </w:tcPr>
          <w:p w14:paraId="08CF419D" w14:textId="77777777" w:rsidR="006B4A66" w:rsidRPr="006B4A66" w:rsidRDefault="006B4A66" w:rsidP="0073496A">
            <w:pPr>
              <w:tabs>
                <w:tab w:val="left" w:pos="720"/>
              </w:tabs>
              <w:spacing w:line="480" w:lineRule="auto"/>
              <w:ind w:firstLine="180"/>
              <w:jc w:val="center"/>
              <w:rPr>
                <w:rFonts w:eastAsia="Calibri"/>
                <w:color w:val="000000"/>
                <w:sz w:val="24"/>
              </w:rPr>
            </w:pPr>
          </w:p>
        </w:tc>
        <w:tc>
          <w:tcPr>
            <w:tcW w:w="2147" w:type="dxa"/>
          </w:tcPr>
          <w:p w14:paraId="1214E6B9" w14:textId="77777777" w:rsidR="006B4A66" w:rsidRPr="006B4A66" w:rsidRDefault="006B4A66" w:rsidP="0073496A">
            <w:pPr>
              <w:tabs>
                <w:tab w:val="left" w:pos="720"/>
              </w:tabs>
              <w:spacing w:line="480" w:lineRule="auto"/>
              <w:ind w:firstLine="180"/>
              <w:jc w:val="center"/>
              <w:rPr>
                <w:rFonts w:eastAsia="Calibri"/>
                <w:color w:val="000000"/>
                <w:sz w:val="24"/>
              </w:rPr>
            </w:pPr>
            <w:r w:rsidRPr="006B4A66">
              <w:rPr>
                <w:rFonts w:eastAsia="Calibri"/>
                <w:color w:val="000000"/>
                <w:sz w:val="24"/>
              </w:rPr>
              <w:t>Fan bhp</w:t>
            </w:r>
          </w:p>
        </w:tc>
        <w:tc>
          <w:tcPr>
            <w:tcW w:w="532" w:type="dxa"/>
          </w:tcPr>
          <w:p w14:paraId="46E41402" w14:textId="77777777" w:rsidR="006B4A66" w:rsidRPr="006B4A66" w:rsidRDefault="006B4A66" w:rsidP="0073496A">
            <w:pPr>
              <w:tabs>
                <w:tab w:val="left" w:pos="720"/>
              </w:tabs>
              <w:spacing w:line="480" w:lineRule="auto"/>
              <w:ind w:firstLine="180"/>
              <w:jc w:val="center"/>
              <w:rPr>
                <w:rFonts w:eastAsia="Calibri"/>
                <w:color w:val="000000"/>
                <w:sz w:val="24"/>
              </w:rPr>
            </w:pPr>
            <w:r w:rsidRPr="006B4A66">
              <w:rPr>
                <w:rFonts w:eastAsia="Calibri"/>
                <w:sz w:val="24"/>
              </w:rPr>
              <w:t>=</w:t>
            </w:r>
          </w:p>
        </w:tc>
        <w:tc>
          <w:tcPr>
            <w:tcW w:w="5687" w:type="dxa"/>
          </w:tcPr>
          <w:p w14:paraId="36E07189" w14:textId="77777777" w:rsidR="006B4A66" w:rsidRPr="006B4A66" w:rsidRDefault="006B4A66" w:rsidP="0073496A">
            <w:pPr>
              <w:tabs>
                <w:tab w:val="left" w:pos="720"/>
              </w:tabs>
              <w:spacing w:line="480" w:lineRule="auto"/>
              <w:ind w:firstLine="180"/>
              <w:jc w:val="center"/>
              <w:rPr>
                <w:rFonts w:eastAsia="Calibri"/>
                <w:color w:val="000000"/>
                <w:sz w:val="24"/>
              </w:rPr>
            </w:pPr>
            <w:r w:rsidRPr="006B4A66">
              <w:rPr>
                <w:rFonts w:eastAsia="Calibri"/>
                <w:sz w:val="24"/>
              </w:rPr>
              <w:t>Brake horsepower for each supply, exhaust, and other fan in the system at design maximum airflow rate.</w:t>
            </w:r>
          </w:p>
        </w:tc>
      </w:tr>
      <w:tr w:rsidR="006B4A66" w:rsidRPr="006B4A66" w14:paraId="7FEB4AF4" w14:textId="77777777">
        <w:tc>
          <w:tcPr>
            <w:tcW w:w="264" w:type="dxa"/>
          </w:tcPr>
          <w:p w14:paraId="0178BD8F" w14:textId="77777777" w:rsidR="006B4A66" w:rsidRPr="006B4A66" w:rsidRDefault="006B4A66" w:rsidP="0073496A">
            <w:pPr>
              <w:tabs>
                <w:tab w:val="left" w:pos="720"/>
              </w:tabs>
              <w:spacing w:line="480" w:lineRule="auto"/>
              <w:ind w:firstLine="180"/>
              <w:jc w:val="center"/>
              <w:rPr>
                <w:rFonts w:eastAsia="Calibri"/>
                <w:color w:val="000000"/>
                <w:sz w:val="24"/>
              </w:rPr>
            </w:pPr>
          </w:p>
        </w:tc>
        <w:tc>
          <w:tcPr>
            <w:tcW w:w="2147" w:type="dxa"/>
          </w:tcPr>
          <w:p w14:paraId="100CBB4B" w14:textId="77777777" w:rsidR="006B4A66" w:rsidRPr="006B4A66" w:rsidRDefault="006B4A66" w:rsidP="0073496A">
            <w:pPr>
              <w:tabs>
                <w:tab w:val="left" w:pos="720"/>
              </w:tabs>
              <w:spacing w:line="480" w:lineRule="auto"/>
              <w:ind w:firstLine="180"/>
              <w:jc w:val="center"/>
              <w:rPr>
                <w:rFonts w:eastAsia="Calibri"/>
                <w:color w:val="000000"/>
                <w:sz w:val="24"/>
              </w:rPr>
            </w:pPr>
            <w:r w:rsidRPr="006B4A66">
              <w:rPr>
                <w:rFonts w:eastAsia="Calibri"/>
                <w:sz w:val="24"/>
              </w:rPr>
              <w:t>ƞ</w:t>
            </w:r>
            <w:r w:rsidRPr="006B4A66">
              <w:rPr>
                <w:rFonts w:eastAsia="Calibri"/>
                <w:sz w:val="24"/>
                <w:vertAlign w:val="subscript"/>
              </w:rPr>
              <w:t>m</w:t>
            </w:r>
          </w:p>
        </w:tc>
        <w:tc>
          <w:tcPr>
            <w:tcW w:w="532" w:type="dxa"/>
          </w:tcPr>
          <w:p w14:paraId="5379E365" w14:textId="77777777" w:rsidR="006B4A66" w:rsidRPr="006B4A66" w:rsidRDefault="006B4A66" w:rsidP="0073496A">
            <w:pPr>
              <w:tabs>
                <w:tab w:val="left" w:pos="720"/>
              </w:tabs>
              <w:spacing w:line="480" w:lineRule="auto"/>
              <w:ind w:firstLine="180"/>
              <w:jc w:val="center"/>
              <w:rPr>
                <w:rFonts w:eastAsia="Calibri"/>
                <w:color w:val="000000"/>
                <w:sz w:val="24"/>
              </w:rPr>
            </w:pPr>
            <w:r w:rsidRPr="006B4A66">
              <w:rPr>
                <w:rFonts w:eastAsia="Calibri"/>
                <w:sz w:val="24"/>
              </w:rPr>
              <w:t>=</w:t>
            </w:r>
          </w:p>
        </w:tc>
        <w:tc>
          <w:tcPr>
            <w:tcW w:w="5687" w:type="dxa"/>
          </w:tcPr>
          <w:p w14:paraId="0615730C" w14:textId="77777777" w:rsidR="006B4A66" w:rsidRPr="006B4A66" w:rsidRDefault="006B4A66" w:rsidP="0073496A">
            <w:pPr>
              <w:tabs>
                <w:tab w:val="left" w:pos="720"/>
              </w:tabs>
              <w:spacing w:line="480" w:lineRule="auto"/>
              <w:ind w:firstLine="180"/>
              <w:jc w:val="center"/>
              <w:rPr>
                <w:rFonts w:eastAsia="Calibri"/>
                <w:color w:val="000000"/>
                <w:sz w:val="24"/>
              </w:rPr>
            </w:pPr>
            <w:r w:rsidRPr="006B4A66">
              <w:rPr>
                <w:rFonts w:eastAsia="Calibri"/>
                <w:sz w:val="24"/>
              </w:rPr>
              <w:t>Fan motor efficiency including all motor, drive, and other losses for each fan in the system.</w:t>
            </w:r>
          </w:p>
        </w:tc>
      </w:tr>
      <w:tr w:rsidR="006B4A66" w:rsidRPr="006B4A66" w14:paraId="20A39D5E" w14:textId="77777777">
        <w:tc>
          <w:tcPr>
            <w:tcW w:w="264" w:type="dxa"/>
          </w:tcPr>
          <w:p w14:paraId="00A76A4E" w14:textId="77777777" w:rsidR="006B4A66" w:rsidRPr="006B4A66" w:rsidRDefault="006B4A66" w:rsidP="0073496A">
            <w:pPr>
              <w:tabs>
                <w:tab w:val="left" w:pos="720"/>
              </w:tabs>
              <w:spacing w:line="480" w:lineRule="auto"/>
              <w:ind w:firstLine="180"/>
              <w:jc w:val="center"/>
              <w:rPr>
                <w:rFonts w:eastAsia="Calibri"/>
                <w:color w:val="000000"/>
                <w:sz w:val="24"/>
              </w:rPr>
            </w:pPr>
          </w:p>
        </w:tc>
        <w:tc>
          <w:tcPr>
            <w:tcW w:w="2147" w:type="dxa"/>
          </w:tcPr>
          <w:p w14:paraId="31A5E8F6" w14:textId="77777777" w:rsidR="006B4A66" w:rsidRPr="006B4A66" w:rsidRDefault="006B4A66" w:rsidP="0073496A">
            <w:pPr>
              <w:tabs>
                <w:tab w:val="left" w:pos="720"/>
              </w:tabs>
              <w:spacing w:line="480" w:lineRule="auto"/>
              <w:ind w:firstLine="180"/>
              <w:jc w:val="center"/>
              <w:rPr>
                <w:rFonts w:eastAsia="Calibri"/>
                <w:color w:val="000000"/>
                <w:sz w:val="24"/>
              </w:rPr>
            </w:pPr>
            <w:r w:rsidRPr="006B4A66">
              <w:rPr>
                <w:rFonts w:eastAsia="Calibri"/>
                <w:sz w:val="24"/>
              </w:rPr>
              <w:t>CFM</w:t>
            </w:r>
            <w:r w:rsidRPr="006B4A66">
              <w:rPr>
                <w:rFonts w:eastAsia="Calibri"/>
                <w:sz w:val="24"/>
                <w:vertAlign w:val="subscript"/>
              </w:rPr>
              <w:t>supply</w:t>
            </w:r>
          </w:p>
        </w:tc>
        <w:tc>
          <w:tcPr>
            <w:tcW w:w="532" w:type="dxa"/>
          </w:tcPr>
          <w:p w14:paraId="44E6E8CE" w14:textId="77777777" w:rsidR="006B4A66" w:rsidRPr="006B4A66" w:rsidRDefault="006B4A66" w:rsidP="0073496A">
            <w:pPr>
              <w:tabs>
                <w:tab w:val="left" w:pos="720"/>
              </w:tabs>
              <w:spacing w:line="480" w:lineRule="auto"/>
              <w:ind w:firstLine="180"/>
              <w:jc w:val="center"/>
              <w:rPr>
                <w:rFonts w:eastAsia="Calibri"/>
                <w:color w:val="000000"/>
                <w:sz w:val="24"/>
              </w:rPr>
            </w:pPr>
            <w:r w:rsidRPr="006B4A66">
              <w:rPr>
                <w:rFonts w:eastAsia="Calibri"/>
                <w:sz w:val="24"/>
              </w:rPr>
              <w:t>=</w:t>
            </w:r>
          </w:p>
        </w:tc>
        <w:tc>
          <w:tcPr>
            <w:tcW w:w="5687" w:type="dxa"/>
          </w:tcPr>
          <w:p w14:paraId="697DF818" w14:textId="77777777" w:rsidR="006B4A66" w:rsidRPr="006B4A66" w:rsidRDefault="006B4A66" w:rsidP="0073496A">
            <w:pPr>
              <w:tabs>
                <w:tab w:val="left" w:pos="720"/>
              </w:tabs>
              <w:spacing w:line="480" w:lineRule="auto"/>
              <w:ind w:firstLine="180"/>
              <w:jc w:val="center"/>
              <w:rPr>
                <w:rFonts w:eastAsia="Calibri"/>
                <w:color w:val="000000"/>
                <w:sz w:val="24"/>
              </w:rPr>
            </w:pPr>
            <w:r w:rsidRPr="006B4A66">
              <w:rPr>
                <w:rFonts w:eastAsia="Calibri"/>
                <w:sz w:val="24"/>
              </w:rPr>
              <w:t>Design maximum airflow rate of outdoor (supply) air.</w:t>
            </w:r>
          </w:p>
        </w:tc>
      </w:tr>
    </w:tbl>
    <w:p w14:paraId="3FD8E129" w14:textId="36B72955"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color w:val="000000"/>
          <w:kern w:val="0"/>
          <w:sz w:val="24"/>
          <w:u w:val="single"/>
          <w14:ligatures w14:val="none"/>
        </w:rPr>
        <w:t>NEW SECTION.  SECTION 58.</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7E42BCB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C403.3.5.5 of the Washington State Energy Code is not adopted and the following is substituted:</w:t>
      </w:r>
    </w:p>
    <w:p w14:paraId="614E4B4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tab/>
        <w:t>Supplemental heating and cooling (WSEC C403.3.5.5).</w:t>
      </w:r>
      <w:r w:rsidRPr="006B4A66">
        <w:rPr>
          <w:rFonts w:ascii="Times New Roman" w:eastAsia="Calibri" w:hAnsi="Times New Roman" w:cs="Times New Roman"/>
          <w:color w:val="000000"/>
          <w:kern w:val="0"/>
          <w:sz w:val="24"/>
          <w14:ligatures w14:val="none"/>
        </w:rPr>
        <w:t xml:space="preserve">  Supply air stream heating in the DOAS system shall comply with WSEC C403.7.3.  Cooling is permitted for dehumidification only.  Cooling coil shall be sized to meet peak dehumidification requirement at design outdoor temperatures, and no larger.  Cooling coil shall be controlled to maintain supply air relative humidity or zone relative humidity.</w:t>
      </w:r>
    </w:p>
    <w:p w14:paraId="13AB2024" w14:textId="77777777" w:rsidR="006B4A66" w:rsidRPr="006B4A66" w:rsidRDefault="006B4A66" w:rsidP="0073496A">
      <w:pPr>
        <w:tabs>
          <w:tab w:val="left" w:pos="720"/>
        </w:tabs>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EXCEPTIONS:</w:t>
      </w:r>
    </w:p>
    <w:p w14:paraId="26FCB8C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Heating permitted for defrost control shall be locked out when outside air temperatures are above 35° Fahrenheit (2° Celsius).  Supplemental heating for defrost shall modulate to 10 percent of the peak capacity, and shall be sized to prevent frost damage to the unit at design temperatures and provide supply air less than or equal to 55° Fahrenheit (13° Celsius).</w:t>
      </w:r>
    </w:p>
    <w:p w14:paraId="484990D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A DOAS serving Group R-1 or R-2 occupancy spaces that are served by zonal heating systems, but not by zonal heat pumps, air conditioners, or other zonal mechanical cooling systems, is permitted to be provided with a supplemental heating and cooling system in compliance with WSEC C403.1.4.</w:t>
      </w:r>
    </w:p>
    <w:p w14:paraId="4947880A" w14:textId="2BB97161"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59.</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583AB6F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C403.3.5.6 of the Washington State Energy Code is not adopted and the following is substituted:</w:t>
      </w:r>
    </w:p>
    <w:p w14:paraId="5F8AA2BC" w14:textId="742BC6D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b/>
          <w:bCs/>
          <w:color w:val="000000"/>
          <w:kern w:val="0"/>
          <w:sz w:val="24"/>
          <w14:ligatures w14:val="none"/>
        </w:rPr>
        <w:t>DOAS Energy Recovery Ventilator Temperature Control (WSEC C403.3.5.6).</w:t>
      </w:r>
      <w:r w:rsidRPr="006B4A66">
        <w:rPr>
          <w:rFonts w:ascii="Times New Roman" w:eastAsia="Calibri" w:hAnsi="Times New Roman" w:cs="Times New Roman"/>
          <w:color w:val="000000"/>
          <w:kern w:val="0"/>
          <w:sz w:val="24"/>
          <w14:ligatures w14:val="none"/>
        </w:rPr>
        <w:t xml:space="preserve">  Where DOAS includes energy or heat recovery and the design outdoor airflow is greater than 500 cubic feet per minute </w:t>
      </w:r>
      <w:r w:rsidR="004D708E" w:rsidRPr="00BD15DC">
        <w:rPr>
          <w:rFonts w:ascii="Times New Roman" w:eastAsia="Calibri" w:hAnsi="Times New Roman" w:cs="Times New Roman"/>
          <w:color w:val="000000"/>
          <w:kern w:val="0"/>
          <w:sz w:val="24"/>
          <w14:ligatures w14:val="none"/>
        </w:rPr>
        <w:t>236</w:t>
      </w:r>
      <w:r w:rsidRPr="006B4A66">
        <w:rPr>
          <w:rFonts w:ascii="Times New Roman" w:eastAsia="Calibri" w:hAnsi="Times New Roman" w:cs="Times New Roman"/>
          <w:color w:val="000000"/>
          <w:kern w:val="0"/>
          <w:sz w:val="24"/>
          <w14:ligatures w14:val="none"/>
        </w:rPr>
        <w:t xml:space="preserve"> liters per second), the DOAS shall be equipped with an air economizer bypass damper, energy recovery media bypass damper, or energy recovery wheel speed control that is controlled to prevent overheating of the supply air between the outdoor air temperatures of 55° Fahrenheit (13° Celsius) and 75° Fahrenheit (24° Celsius).  Controls must be configured to minimize energy recovery operation or maintain an appropriate DOAS leaving air temperature to prevent zonal heating when the building is in cooling, based either on outdoor air temperature, return air temperature, or a DDC zone-based cooling system demand status reset, based on one of the following:</w:t>
      </w:r>
    </w:p>
    <w:p w14:paraId="6491E12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1.  Outdoor air temperature; </w:t>
      </w:r>
    </w:p>
    <w:p w14:paraId="4B78AE9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2.  Return air temperature; or </w:t>
      </w:r>
    </w:p>
    <w:p w14:paraId="6FCE29D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3.  A DDC zone-based cooling system demand status reset.</w:t>
      </w:r>
    </w:p>
    <w:p w14:paraId="5327571F" w14:textId="043F655E"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60.</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2746279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C403.3.5 of the Washington State Energy Code is supplemented with the following:</w:t>
      </w:r>
    </w:p>
    <w:p w14:paraId="496991D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Impracticality (WSEC C403.3.5.7).</w:t>
      </w:r>
      <w:r w:rsidRPr="006B4A66">
        <w:rPr>
          <w:rFonts w:ascii="Times New Roman" w:eastAsia="Calibri" w:hAnsi="Times New Roman" w:cs="Times New Roman"/>
          <w:color w:val="000000"/>
          <w:kern w:val="0"/>
          <w:sz w:val="24"/>
          <w14:ligatures w14:val="none"/>
        </w:rPr>
        <w:t xml:space="preserve">  Where the code official determines that full compliance with one or more of the requirements in WSEC C403.3.5.1 through C403.3.5.6 is impractical, it is permissible to provide an approved alternate means of compliance that achieves a comparable level of energy efficiency as the requirement(s) deemed impractical.  For the purposes of this section, impractical means that an HVAC </w:t>
      </w:r>
      <w:r w:rsidRPr="006B4A66">
        <w:rPr>
          <w:rFonts w:ascii="Times New Roman" w:eastAsia="Calibri" w:hAnsi="Times New Roman" w:cs="Times New Roman"/>
          <w:color w:val="000000"/>
          <w:kern w:val="0"/>
          <w:sz w:val="24"/>
          <w14:ligatures w14:val="none"/>
        </w:rPr>
        <w:lastRenderedPageBreak/>
        <w:t>system complying with all requirements in WSEC C403.3.5 cannot effectively be utilized due to an unusual use or configuration of the building.</w:t>
      </w:r>
    </w:p>
    <w:p w14:paraId="720CB19B" w14:textId="0F20736F"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61.</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6C06729B"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C403.3.6 of the Washington State Energy Code is not adopted and the following is substituted.</w:t>
      </w:r>
    </w:p>
    <w:p w14:paraId="4E67825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Ventilation for Group R-2 Occupancy (WSEC C403.3.6).</w:t>
      </w:r>
      <w:r w:rsidRPr="006B4A66">
        <w:rPr>
          <w:rFonts w:ascii="Times New Roman" w:eastAsia="Calibri" w:hAnsi="Times New Roman" w:cs="Times New Roman"/>
          <w:color w:val="000000"/>
          <w:kern w:val="0"/>
          <w:sz w:val="24"/>
          <w14:ligatures w14:val="none"/>
        </w:rPr>
        <w:t xml:space="preserve">  See Section C403.7.6.1 for Ventilation for Group R-2 occupancies.</w:t>
      </w:r>
    </w:p>
    <w:p w14:paraId="7400424E" w14:textId="6AF92A36"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62.</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48FCB07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C403.4.1.7 of the Washington State Energy Code is not adopted and the following is substituted:</w:t>
      </w:r>
    </w:p>
    <w:p w14:paraId="210A57BD" w14:textId="3D28905C"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tab/>
        <w:t>Demand responsive controls (WSEC C403.4.1.7).</w:t>
      </w:r>
      <w:r w:rsidRPr="006B4A66">
        <w:rPr>
          <w:rFonts w:ascii="Times New Roman" w:eastAsia="Calibri" w:hAnsi="Times New Roman" w:cs="Times New Roman"/>
          <w:color w:val="000000"/>
          <w:kern w:val="0"/>
          <w:sz w:val="24"/>
          <w14:ligatures w14:val="none"/>
        </w:rPr>
        <w:t xml:space="preserve">  Thermostatic controls for heating or cooling systems shall be provided with demand responsive controls capable of increasing the cooling setpoint and decreasing the heating setpoint by no less than 4° Fahrenheit (</w:t>
      </w:r>
      <w:r w:rsidR="00A4643D">
        <w:rPr>
          <w:rFonts w:ascii="Times New Roman" w:eastAsia="Calibri" w:hAnsi="Times New Roman" w:cs="Times New Roman"/>
          <w:color w:val="000000"/>
          <w:kern w:val="0"/>
          <w:sz w:val="24"/>
          <w14:ligatures w14:val="none"/>
        </w:rPr>
        <w:t>2.2</w:t>
      </w:r>
      <w:r w:rsidRPr="006B4A66">
        <w:rPr>
          <w:rFonts w:ascii="Times New Roman" w:eastAsia="Calibri" w:hAnsi="Times New Roman" w:cs="Times New Roman"/>
          <w:color w:val="000000"/>
          <w:kern w:val="0"/>
          <w:sz w:val="24"/>
          <w14:ligatures w14:val="none"/>
        </w:rPr>
        <w:t xml:space="preserve"> Celsius).  The thermostatic controls shall be capable of performing all other functions provided by the control when the demand responsive controls are not available.  Systems with direct digital control of individual zones reporting to a central control panel shall be capable of remotely increasing the cooling setpoint and decreasing the heating setpoint for each zone by no less than 4° Fahrenheit (</w:t>
      </w:r>
      <w:r w:rsidR="00A4643D">
        <w:rPr>
          <w:rFonts w:ascii="Times New Roman" w:eastAsia="Calibri" w:hAnsi="Times New Roman" w:cs="Times New Roman"/>
          <w:color w:val="000000"/>
          <w:kern w:val="0"/>
          <w:sz w:val="24"/>
          <w14:ligatures w14:val="none"/>
        </w:rPr>
        <w:t>2.2</w:t>
      </w:r>
      <w:r w:rsidRPr="006B4A66">
        <w:rPr>
          <w:rFonts w:ascii="Times New Roman" w:eastAsia="Calibri" w:hAnsi="Times New Roman" w:cs="Times New Roman"/>
          <w:color w:val="000000"/>
          <w:kern w:val="0"/>
          <w:sz w:val="24"/>
          <w14:ligatures w14:val="none"/>
        </w:rPr>
        <w:t>° Celsius).</w:t>
      </w:r>
    </w:p>
    <w:p w14:paraId="24D4C255" w14:textId="77777777" w:rsidR="006B4A66" w:rsidRPr="006B4A66" w:rsidRDefault="006B4A66" w:rsidP="0073496A">
      <w:pPr>
        <w:tabs>
          <w:tab w:val="left" w:pos="720"/>
        </w:tabs>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EXCEPTIONS:</w:t>
      </w:r>
    </w:p>
    <w:p w14:paraId="112FF41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Health care and assisted living facilities.</w:t>
      </w:r>
    </w:p>
    <w:p w14:paraId="77B425E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R-2 occupancy dwelling units.</w:t>
      </w:r>
    </w:p>
    <w:p w14:paraId="551F831C" w14:textId="73D53EFE"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color w:val="000000"/>
          <w:kern w:val="0"/>
          <w:sz w:val="24"/>
          <w:u w:val="single"/>
          <w14:ligatures w14:val="none"/>
        </w:rPr>
        <w:t>NEW SECTION.  SECTION 63.</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34F5A1D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C403.4.2 of the Washington State Energy Code is not adopted and the following is substituted:</w:t>
      </w:r>
    </w:p>
    <w:p w14:paraId="4E4D7DD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tab/>
        <w:t xml:space="preserve">Off-hour controls (WSEC C403.4.2). </w:t>
      </w:r>
      <w:r w:rsidRPr="006B4A66">
        <w:rPr>
          <w:rFonts w:ascii="Times New Roman" w:eastAsia="Calibri" w:hAnsi="Times New Roman" w:cs="Times New Roman"/>
          <w:color w:val="000000"/>
          <w:kern w:val="0"/>
          <w:sz w:val="24"/>
          <w14:ligatures w14:val="none"/>
        </w:rPr>
        <w:t xml:space="preserve"> For all occupancies other than Group R, and for conditioned spaces other than dwelling units and sleeping units within Group R occupancies, each zone shall be provided with thermostatic setback controls that are controlled by either an automatic time clock or programmable control system.</w:t>
      </w:r>
    </w:p>
    <w:p w14:paraId="0DE122FB" w14:textId="77777777" w:rsidR="006B4A66" w:rsidRPr="006B4A66" w:rsidRDefault="006B4A66" w:rsidP="0073496A">
      <w:pPr>
        <w:tabs>
          <w:tab w:val="left" w:pos="720"/>
        </w:tabs>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EXCEPTIONS:</w:t>
      </w:r>
    </w:p>
    <w:p w14:paraId="1107BF6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Zones that will be operated continuously.</w:t>
      </w:r>
    </w:p>
    <w:p w14:paraId="7147233E" w14:textId="4CCEFDA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Zones with a full HVAC load demand not exceeding 6,800 Btu/h ( or 2 kilowatts) and having a manual shutoff switch located with ready access.</w:t>
      </w:r>
    </w:p>
    <w:p w14:paraId="511FE447" w14:textId="56DE8D55" w:rsidR="006B4A66" w:rsidRPr="006B4A66" w:rsidRDefault="006B4A66" w:rsidP="0073496A">
      <w:pPr>
        <w:tabs>
          <w:tab w:val="left" w:pos="720"/>
        </w:tabs>
        <w:spacing w:after="0" w:line="480" w:lineRule="auto"/>
        <w:ind w:firstLine="720"/>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u w:val="single"/>
          <w14:ligatures w14:val="none"/>
        </w:rPr>
        <w:t>NEW SECTION.  SECTION 64.</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4F856137"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C403.5 of the Washington State Energy Code is not adopted and the following is substituted.</w:t>
      </w:r>
    </w:p>
    <w:p w14:paraId="4AEF6AA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Economizers (WSEC C403.5).</w:t>
      </w:r>
      <w:r w:rsidRPr="006B4A66">
        <w:rPr>
          <w:rFonts w:ascii="Times New Roman" w:eastAsia="Calibri" w:hAnsi="Times New Roman" w:cs="Times New Roman"/>
          <w:color w:val="000000"/>
          <w:kern w:val="0"/>
          <w:sz w:val="24"/>
          <w14:ligatures w14:val="none"/>
        </w:rPr>
        <w:t xml:space="preserve">  Air economizers shall be provided on all new cooling systems including those serving computer server rooms, electronic equipment, radio equipment, and telephone switchgear.  Economizers shall comply with WSEC C403.5.1 through C403.5.5.</w:t>
      </w:r>
    </w:p>
    <w:p w14:paraId="5DDA4853" w14:textId="77777777" w:rsidR="006B4A66" w:rsidRPr="006B4A66" w:rsidRDefault="006B4A66" w:rsidP="0073496A">
      <w:pPr>
        <w:tabs>
          <w:tab w:val="left" w:pos="720"/>
        </w:tabs>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EXCEPTIONS:</w:t>
      </w:r>
    </w:p>
    <w:p w14:paraId="1A158DF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1.a  For other than Group R-2 occupancies, cooling system where the supply fan is not installed outside the building thermal envelope nor in a mechanical room adjacent </w:t>
      </w:r>
      <w:r w:rsidRPr="006B4A66">
        <w:rPr>
          <w:rFonts w:ascii="Times New Roman" w:eastAsia="Calibri" w:hAnsi="Times New Roman" w:cs="Times New Roman"/>
          <w:color w:val="000000"/>
          <w:kern w:val="0"/>
          <w:sz w:val="24"/>
          <w14:ligatures w14:val="none"/>
        </w:rPr>
        <w:lastRenderedPageBreak/>
        <w:t xml:space="preserve">to outdoors, and is installed in conjunction with DOAS complying with WSEC C403.3.5 and serving only spaces with year-round cooling loads from lights and equipment of less than 5 watts per square foot </w:t>
      </w:r>
      <w:bookmarkStart w:id="8" w:name="_Hlk184392466"/>
      <w:r w:rsidRPr="006B4A66">
        <w:rPr>
          <w:rFonts w:ascii="Times New Roman" w:eastAsia="Calibri" w:hAnsi="Times New Roman" w:cs="Times New Roman"/>
          <w:color w:val="000000"/>
          <w:kern w:val="0"/>
          <w:sz w:val="24"/>
          <w14:ligatures w14:val="none"/>
        </w:rPr>
        <w:t>(per 0.1 square meter</w:t>
      </w:r>
      <w:bookmarkEnd w:id="8"/>
      <w:r w:rsidRPr="006B4A66">
        <w:rPr>
          <w:rFonts w:ascii="Times New Roman" w:eastAsia="Calibri" w:hAnsi="Times New Roman" w:cs="Times New Roman"/>
          <w:color w:val="000000"/>
          <w:kern w:val="0"/>
          <w:sz w:val="24"/>
          <w14:ligatures w14:val="none"/>
        </w:rPr>
        <w:t>).</w:t>
      </w:r>
    </w:p>
    <w:p w14:paraId="47F31EB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1.b.  For Group R-2 occupancies, cooling system where the supply fan is not installed outside the building thermal envelope nor in a mechanical room adjacent to outdoors, and is installed in conjunction with DOAS complying with WSEC C403.3.5, where the ERV/HRV has a minimum 68 percent sensible recovery or 60 percent enthalpy recovery heating effectiveness, and serving only spaces with year-round cooling loads from lights and equipment of less than 5 watts per square foot (per 0.1 square meter).</w:t>
      </w:r>
    </w:p>
    <w:p w14:paraId="54EDDC8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Unitary or packaged systems serving one zone with dehumidification where an economizer would increase the overall building energy consumption. New humidification equipment shall comply with WSEC C403.3.2.7.</w:t>
      </w:r>
    </w:p>
    <w:p w14:paraId="4431C13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3.  Unitary or packaged systems serving one zone where the cooling efficiency meets or exceeds the efficiency requirements in WSEC Table C403.5(3).</w:t>
      </w:r>
    </w:p>
    <w:p w14:paraId="43CD5DB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4.  Equipment serving chilled beams and chilled ceiling space cooling systems which are provided only with a water economizer meeting the requirements of WSEC C403.5.4.</w:t>
      </w:r>
    </w:p>
    <w:p w14:paraId="38908142" w14:textId="3D838F62"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5.  For Group R occupancies, cooling unit where the supply fan is not installed outside the building thermal envelope or in a mechanical room adjacent to outdoors with a total cooling capacity less than 20,000 Btu/h (</w:t>
      </w:r>
      <w:r w:rsidR="0055095B">
        <w:rPr>
          <w:rFonts w:ascii="Times New Roman" w:eastAsia="Calibri" w:hAnsi="Times New Roman" w:cs="Times New Roman"/>
          <w:color w:val="000000"/>
          <w:kern w:val="0"/>
          <w:sz w:val="24"/>
          <w14:ligatures w14:val="none"/>
        </w:rPr>
        <w:t xml:space="preserve"> </w:t>
      </w:r>
      <w:r w:rsidR="0055095B">
        <w:rPr>
          <w:rFonts w:ascii="Times New Roman" w:eastAsia="Calibri" w:hAnsi="Times New Roman" w:cs="Times New Roman"/>
          <w:color w:val="000000"/>
          <w:kern w:val="0"/>
          <w:sz w:val="24"/>
          <w:u w:val="single"/>
          <w14:ligatures w14:val="none"/>
        </w:rPr>
        <w:t>5.9 kilowatts</w:t>
      </w:r>
      <w:r w:rsidRPr="006B4A66">
        <w:rPr>
          <w:rFonts w:ascii="Times New Roman" w:eastAsia="Calibri" w:hAnsi="Times New Roman" w:cs="Times New Roman"/>
          <w:color w:val="000000"/>
          <w:kern w:val="0"/>
          <w:sz w:val="24"/>
          <w14:ligatures w14:val="none"/>
        </w:rPr>
        <w:t>) and other cooling units with a total cooling capacity less than 54,000 Btu/h (</w:t>
      </w:r>
      <w:r w:rsidR="008F68D7">
        <w:rPr>
          <w:rFonts w:ascii="Times New Roman" w:eastAsia="Calibri" w:hAnsi="Times New Roman" w:cs="Times New Roman"/>
          <w:color w:val="000000"/>
          <w:kern w:val="0"/>
          <w:sz w:val="24"/>
          <w14:ligatures w14:val="none"/>
        </w:rPr>
        <w:t xml:space="preserve"> </w:t>
      </w:r>
      <w:r w:rsidR="008F68D7">
        <w:rPr>
          <w:rFonts w:ascii="Times New Roman" w:eastAsia="Calibri" w:hAnsi="Times New Roman" w:cs="Times New Roman"/>
          <w:color w:val="000000"/>
          <w:kern w:val="0"/>
          <w:sz w:val="24"/>
          <w:u w:val="single"/>
          <w14:ligatures w14:val="none"/>
        </w:rPr>
        <w:t>15.8 kilowatts</w:t>
      </w:r>
      <w:r w:rsidRPr="006B4A66">
        <w:rPr>
          <w:rFonts w:ascii="Times New Roman" w:eastAsia="Calibri" w:hAnsi="Times New Roman" w:cs="Times New Roman"/>
          <w:color w:val="000000"/>
          <w:kern w:val="0"/>
          <w:sz w:val="24"/>
          <w14:ligatures w14:val="none"/>
        </w:rPr>
        <w:t xml:space="preserve">) provided that these are high-efficiency cooling equipment with IEER, CEER, SEER, and EER values more than 15 percent higher than minimum efficiencies listed in WSEC Tables C403.3.2(1), </w:t>
      </w:r>
      <w:r w:rsidRPr="006B4A66">
        <w:rPr>
          <w:rFonts w:ascii="Times New Roman" w:eastAsia="Calibri" w:hAnsi="Times New Roman" w:cs="Times New Roman"/>
          <w:color w:val="000000"/>
          <w:kern w:val="0"/>
          <w:sz w:val="24"/>
          <w14:ligatures w14:val="none"/>
        </w:rPr>
        <w:lastRenderedPageBreak/>
        <w:t>C403.3.2(2), C403.3.2(4), C403.3.2(8), and C403.3.2(9), or an IPLV kilowatts per ton that is at least 15 percent lower than the minimum efficiencies listed in WSEC Table C403.3.2(3) or C403.3.2(15), in the appropriate size category, using the same test procedures.  Equipment shall be listed in the appropriate certification program to qualify for this exception.  For split systems, compliance is based on the cooling capacity of individual fan coil units.</w:t>
      </w:r>
    </w:p>
    <w:p w14:paraId="1ABB83A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6.  Equipment used to cool Controlled Plant Growth Environments provided these are high-efficiency cooling equipment with SEER, EER, and IEER values a minimum of 20 percent greater than the values listed in WSEC Tables C403.3.2 (1), (3), (4), and (15).</w:t>
      </w:r>
    </w:p>
    <w:p w14:paraId="26B6DD9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7.  Equipment serving a space with year-round cooling loads from lights and equipment of 5 watts per square foot (53.82 watts per square meter) or greater complying with the following criteria:</w:t>
      </w:r>
    </w:p>
    <w:p w14:paraId="505E97C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7.1.  Equipment serving the space utilizes chilled water as the cooling source; and </w:t>
      </w:r>
    </w:p>
    <w:p w14:paraId="57F0BB0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7.2.  The chilled water plant includes a condenser heat recovery system that meets the requirements of WSEC C403.9.5 or the building and water-cooled system meets the following requirements:</w:t>
      </w:r>
    </w:p>
    <w:p w14:paraId="4943D54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7.2.1.  A minimum of 90 percent (capacity-weighted) of the building space heat is provided by hydronic heating water.</w:t>
      </w:r>
    </w:p>
    <w:p w14:paraId="4A5B026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7.2.2.  Chilled water plant includes a heat recovery chiller or water-to-water heat pump capable of rejecting heat from the chilled water system to the hydronic heating equipment capacity.</w:t>
      </w:r>
    </w:p>
    <w:p w14:paraId="207806E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 xml:space="preserve">    7.2.3.  Heat recovery chillers shall have a minimum COP of 7.0 when providing heating and cooling water simultaneously.</w:t>
      </w:r>
    </w:p>
    <w:p w14:paraId="37AEA65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8.  Water-cooled equipment served by systems meeting the requirements of WSEC C403.9.2.4 Condenser heat recovery.</w:t>
      </w:r>
    </w:p>
    <w:p w14:paraId="422F1A5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9.  Dedicated outdoor air systems that include energy recovery as required by WSEC C403.7.6 but that do not include mechanical cooling.</w:t>
      </w:r>
    </w:p>
    <w:p w14:paraId="241235D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11.  Dedicated outdoor air systems not required by WSEC C403.7.6 to include energy recovery that modulate the supply airflow to provide only the minimum outdoor air required by WSEC C403.2.2.1 for ventilation, exhaust air make-up, or other process air delivery.</w:t>
      </w:r>
    </w:p>
    <w:p w14:paraId="69A7BEA9" w14:textId="7B208760"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12.  Equipment used to cool any dedicated server room, electronic equipment room, elevator machine room or telecom switch room provided the system complies with Option a, b, c, d, or e in WSEC Table C403.5(9) below.  The total cooling capacity of all fan systems qualifying under this exception without economizers shall not exceed 240,000 Btu/h (</w:t>
      </w:r>
      <w:r w:rsidR="00554FEA">
        <w:rPr>
          <w:rFonts w:ascii="Times New Roman" w:eastAsia="Calibri" w:hAnsi="Times New Roman" w:cs="Times New Roman"/>
          <w:color w:val="000000"/>
          <w:kern w:val="0"/>
          <w:sz w:val="24"/>
          <w14:ligatures w14:val="none"/>
        </w:rPr>
        <w:t xml:space="preserve"> </w:t>
      </w:r>
      <w:r w:rsidR="00554FEA">
        <w:rPr>
          <w:rFonts w:ascii="Times New Roman" w:eastAsia="Calibri" w:hAnsi="Times New Roman" w:cs="Times New Roman"/>
          <w:color w:val="000000"/>
          <w:kern w:val="0"/>
          <w:sz w:val="24"/>
          <w:u w:val="single"/>
          <w14:ligatures w14:val="none"/>
        </w:rPr>
        <w:t>70.3 kilowatts</w:t>
      </w:r>
      <w:r w:rsidRPr="006B4A66">
        <w:rPr>
          <w:rFonts w:ascii="Times New Roman" w:eastAsia="Calibri" w:hAnsi="Times New Roman" w:cs="Times New Roman"/>
          <w:color w:val="000000"/>
          <w:kern w:val="0"/>
          <w:sz w:val="24"/>
          <w14:ligatures w14:val="none"/>
        </w:rPr>
        <w:t>) per building or 10 percent of its air economizer capacity, whichever is greater.  This exception shall not be used for Total Building Performance or Target Performance Path compliance.</w:t>
      </w:r>
    </w:p>
    <w:p w14:paraId="634A3F85" w14:textId="29F679D8"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13.  Medical and laboratory equipment that is directly water</w:t>
      </w:r>
      <w:r w:rsidR="00F57F22">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14:ligatures w14:val="none"/>
        </w:rPr>
        <w:t>cooled and is not dependent upon space air temperature.</w:t>
      </w:r>
    </w:p>
    <w:p w14:paraId="3273C143"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Table C403.5(9)</w:t>
      </w:r>
    </w:p>
    <w:p w14:paraId="1DC9E90E"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Server room, electronic equipment room, or telecom room cooling equipment</w:t>
      </w:r>
    </w:p>
    <w:tbl>
      <w:tblPr>
        <w:tblW w:w="10314"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2340"/>
        <w:gridCol w:w="1350"/>
        <w:gridCol w:w="3060"/>
        <w:gridCol w:w="2004"/>
        <w:gridCol w:w="12"/>
      </w:tblGrid>
      <w:tr w:rsidR="006B4A66" w:rsidRPr="006B4A66" w14:paraId="06DBA7F0" w14:textId="77777777" w:rsidTr="00A76114">
        <w:trPr>
          <w:trHeight w:val="65"/>
        </w:trPr>
        <w:tc>
          <w:tcPr>
            <w:tcW w:w="1548" w:type="dxa"/>
          </w:tcPr>
          <w:p w14:paraId="65FE7D06" w14:textId="77777777" w:rsidR="006B4A66" w:rsidRPr="006B4A66" w:rsidRDefault="006B4A66" w:rsidP="0073496A">
            <w:pPr>
              <w:spacing w:after="0" w:line="480" w:lineRule="auto"/>
              <w:rPr>
                <w:rFonts w:ascii="Times New Roman" w:eastAsia="Calibri" w:hAnsi="Times New Roman" w:cs="Times New Roman"/>
                <w:b/>
                <w:bCs/>
                <w:color w:val="000000"/>
                <w:kern w:val="0"/>
                <w:sz w:val="24"/>
                <w14:ligatures w14:val="none"/>
              </w:rPr>
            </w:pPr>
          </w:p>
        </w:tc>
        <w:tc>
          <w:tcPr>
            <w:tcW w:w="2340" w:type="dxa"/>
          </w:tcPr>
          <w:p w14:paraId="6F0F3F32" w14:textId="77777777" w:rsidR="006B4A66" w:rsidRPr="006B4A66" w:rsidRDefault="006B4A66" w:rsidP="0073496A">
            <w:pPr>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Equipment Type</w:t>
            </w:r>
          </w:p>
        </w:tc>
        <w:tc>
          <w:tcPr>
            <w:tcW w:w="1350" w:type="dxa"/>
          </w:tcPr>
          <w:p w14:paraId="36F85035" w14:textId="77777777" w:rsidR="006B4A66" w:rsidRPr="006B4A66" w:rsidRDefault="006B4A66" w:rsidP="0073496A">
            <w:pPr>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Higher Equipmen</w:t>
            </w:r>
            <w:r w:rsidRPr="006B4A66">
              <w:rPr>
                <w:rFonts w:ascii="Times New Roman" w:eastAsia="Calibri" w:hAnsi="Times New Roman" w:cs="Times New Roman"/>
                <w:b/>
                <w:bCs/>
                <w:color w:val="000000"/>
                <w:kern w:val="0"/>
                <w:sz w:val="24"/>
                <w14:ligatures w14:val="none"/>
              </w:rPr>
              <w:lastRenderedPageBreak/>
              <w:t>t Efficiency</w:t>
            </w:r>
          </w:p>
        </w:tc>
        <w:tc>
          <w:tcPr>
            <w:tcW w:w="3060" w:type="dxa"/>
          </w:tcPr>
          <w:p w14:paraId="6F29E295" w14:textId="77777777" w:rsidR="006B4A66" w:rsidRPr="006B4A66" w:rsidRDefault="006B4A66" w:rsidP="0073496A">
            <w:pPr>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lastRenderedPageBreak/>
              <w:t>Part-Load Control</w:t>
            </w:r>
          </w:p>
        </w:tc>
        <w:tc>
          <w:tcPr>
            <w:tcW w:w="2016" w:type="dxa"/>
            <w:gridSpan w:val="2"/>
          </w:tcPr>
          <w:p w14:paraId="34E66C76" w14:textId="77777777" w:rsidR="006B4A66" w:rsidRPr="006B4A66" w:rsidRDefault="006B4A66" w:rsidP="0073496A">
            <w:pPr>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Economizer</w:t>
            </w:r>
          </w:p>
        </w:tc>
      </w:tr>
      <w:tr w:rsidR="006B4A66" w:rsidRPr="006B4A66" w14:paraId="6ECE7FE3" w14:textId="77777777" w:rsidTr="00A76114">
        <w:trPr>
          <w:gridAfter w:val="1"/>
          <w:wAfter w:w="12" w:type="dxa"/>
          <w:trHeight w:val="308"/>
        </w:trPr>
        <w:tc>
          <w:tcPr>
            <w:tcW w:w="1548" w:type="dxa"/>
          </w:tcPr>
          <w:p w14:paraId="33C6571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Option a</w:t>
            </w:r>
          </w:p>
        </w:tc>
        <w:tc>
          <w:tcPr>
            <w:tcW w:w="2340" w:type="dxa"/>
          </w:tcPr>
          <w:p w14:paraId="5B07C9F9"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Tables C403.3.2(1), C403.3.2(2) and </w:t>
            </w:r>
          </w:p>
          <w:p w14:paraId="54DC2D46"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C403.3.2(14)</w:t>
            </w:r>
            <w:r w:rsidRPr="006B4A66">
              <w:rPr>
                <w:rFonts w:ascii="Times New Roman" w:eastAsia="Calibri" w:hAnsi="Times New Roman" w:cs="Times New Roman"/>
                <w:color w:val="000000"/>
                <w:kern w:val="0"/>
                <w:sz w:val="24"/>
                <w:vertAlign w:val="superscript"/>
                <w14:ligatures w14:val="none"/>
              </w:rPr>
              <w:t>a</w:t>
            </w:r>
          </w:p>
        </w:tc>
        <w:tc>
          <w:tcPr>
            <w:tcW w:w="1350" w:type="dxa"/>
          </w:tcPr>
          <w:p w14:paraId="1DC1ABC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+15%</w:t>
            </w:r>
            <w:r w:rsidRPr="006B4A66">
              <w:rPr>
                <w:rFonts w:ascii="Times New Roman" w:eastAsia="Calibri" w:hAnsi="Times New Roman" w:cs="Times New Roman"/>
                <w:color w:val="000000"/>
                <w:kern w:val="0"/>
                <w:sz w:val="24"/>
                <w:vertAlign w:val="superscript"/>
                <w14:ligatures w14:val="none"/>
              </w:rPr>
              <w:t>b</w:t>
            </w:r>
          </w:p>
        </w:tc>
        <w:tc>
          <w:tcPr>
            <w:tcW w:w="3060" w:type="dxa"/>
          </w:tcPr>
          <w:p w14:paraId="29E7A080"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Required over 85,000 </w:t>
            </w:r>
          </w:p>
          <w:p w14:paraId="3605129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Btu/h</w:t>
            </w:r>
            <w:r w:rsidRPr="006B4A66">
              <w:rPr>
                <w:rFonts w:ascii="Times New Roman" w:eastAsia="Calibri" w:hAnsi="Times New Roman" w:cs="Times New Roman"/>
                <w:color w:val="000000"/>
                <w:kern w:val="0"/>
                <w:sz w:val="24"/>
                <w:vertAlign w:val="superscript"/>
                <w14:ligatures w14:val="none"/>
              </w:rPr>
              <w:t>c</w:t>
            </w:r>
          </w:p>
        </w:tc>
        <w:tc>
          <w:tcPr>
            <w:tcW w:w="2004" w:type="dxa"/>
          </w:tcPr>
          <w:p w14:paraId="7BA7C8C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None Required</w:t>
            </w:r>
          </w:p>
        </w:tc>
      </w:tr>
      <w:tr w:rsidR="006B4A66" w:rsidRPr="006B4A66" w14:paraId="4DD894DC" w14:textId="77777777" w:rsidTr="00A76114">
        <w:trPr>
          <w:gridAfter w:val="1"/>
          <w:wAfter w:w="12" w:type="dxa"/>
          <w:trHeight w:val="308"/>
        </w:trPr>
        <w:tc>
          <w:tcPr>
            <w:tcW w:w="1548" w:type="dxa"/>
          </w:tcPr>
          <w:p w14:paraId="030D229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Option b</w:t>
            </w:r>
          </w:p>
        </w:tc>
        <w:tc>
          <w:tcPr>
            <w:tcW w:w="2340" w:type="dxa"/>
          </w:tcPr>
          <w:p w14:paraId="29F425A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Tables C403.3.2(1), C403.3.2(2) and </w:t>
            </w:r>
          </w:p>
          <w:p w14:paraId="1655B072"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C403.3.2(14)</w:t>
            </w:r>
            <w:r w:rsidRPr="006B4A66">
              <w:rPr>
                <w:rFonts w:ascii="Times New Roman" w:eastAsia="Calibri" w:hAnsi="Times New Roman" w:cs="Times New Roman"/>
                <w:color w:val="000000"/>
                <w:kern w:val="0"/>
                <w:sz w:val="24"/>
                <w:vertAlign w:val="superscript"/>
                <w14:ligatures w14:val="none"/>
              </w:rPr>
              <w:t>a</w:t>
            </w:r>
          </w:p>
        </w:tc>
        <w:tc>
          <w:tcPr>
            <w:tcW w:w="1350" w:type="dxa"/>
          </w:tcPr>
          <w:p w14:paraId="705ECD0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+5%</w:t>
            </w:r>
            <w:r w:rsidRPr="006B4A66">
              <w:rPr>
                <w:rFonts w:ascii="Times New Roman" w:eastAsia="Calibri" w:hAnsi="Times New Roman" w:cs="Times New Roman"/>
                <w:color w:val="000000"/>
                <w:kern w:val="0"/>
                <w:sz w:val="24"/>
                <w:vertAlign w:val="superscript"/>
                <w14:ligatures w14:val="none"/>
              </w:rPr>
              <w:t>d</w:t>
            </w:r>
            <w:r w:rsidRPr="006B4A66">
              <w:rPr>
                <w:rFonts w:ascii="Times New Roman" w:eastAsia="Calibri" w:hAnsi="Times New Roman" w:cs="Times New Roman"/>
                <w:color w:val="000000"/>
                <w:kern w:val="0"/>
                <w:sz w:val="24"/>
                <w14:ligatures w14:val="none"/>
              </w:rPr>
              <w:t xml:space="preserve"> </w:t>
            </w:r>
          </w:p>
        </w:tc>
        <w:tc>
          <w:tcPr>
            <w:tcW w:w="3060" w:type="dxa"/>
          </w:tcPr>
          <w:p w14:paraId="7FED11B5"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Required over 85,000 </w:t>
            </w:r>
          </w:p>
          <w:p w14:paraId="44CD508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Btu/h</w:t>
            </w:r>
            <w:r w:rsidRPr="006B4A66">
              <w:rPr>
                <w:rFonts w:ascii="Times New Roman" w:eastAsia="Calibri" w:hAnsi="Times New Roman" w:cs="Times New Roman"/>
                <w:color w:val="000000"/>
                <w:kern w:val="0"/>
                <w:sz w:val="24"/>
                <w:vertAlign w:val="superscript"/>
                <w14:ligatures w14:val="none"/>
              </w:rPr>
              <w:t>c</w:t>
            </w:r>
          </w:p>
        </w:tc>
        <w:tc>
          <w:tcPr>
            <w:tcW w:w="2004" w:type="dxa"/>
          </w:tcPr>
          <w:p w14:paraId="13981E8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Waterside Economizer</w:t>
            </w:r>
            <w:r w:rsidRPr="006B4A66">
              <w:rPr>
                <w:rFonts w:ascii="Times New Roman" w:eastAsia="Calibri" w:hAnsi="Times New Roman" w:cs="Times New Roman"/>
                <w:color w:val="000000"/>
                <w:kern w:val="0"/>
                <w:sz w:val="24"/>
                <w:vertAlign w:val="superscript"/>
                <w14:ligatures w14:val="none"/>
              </w:rPr>
              <w:t>5</w:t>
            </w:r>
          </w:p>
        </w:tc>
      </w:tr>
      <w:tr w:rsidR="006B4A66" w:rsidRPr="006B4A66" w14:paraId="6D7570B3" w14:textId="77777777" w:rsidTr="00A76114">
        <w:trPr>
          <w:gridAfter w:val="1"/>
          <w:wAfter w:w="12" w:type="dxa"/>
          <w:trHeight w:val="209"/>
        </w:trPr>
        <w:tc>
          <w:tcPr>
            <w:tcW w:w="1548" w:type="dxa"/>
          </w:tcPr>
          <w:p w14:paraId="08D3980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Option c</w:t>
            </w:r>
          </w:p>
        </w:tc>
        <w:tc>
          <w:tcPr>
            <w:tcW w:w="2340" w:type="dxa"/>
          </w:tcPr>
          <w:p w14:paraId="387B67A2"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ASHRAE Standard 127</w:t>
            </w:r>
            <w:r w:rsidRPr="006B4A66">
              <w:rPr>
                <w:rFonts w:ascii="Times New Roman" w:eastAsia="Calibri" w:hAnsi="Times New Roman" w:cs="Times New Roman"/>
                <w:color w:val="000000"/>
                <w:kern w:val="0"/>
                <w:sz w:val="24"/>
                <w:vertAlign w:val="superscript"/>
                <w14:ligatures w14:val="none"/>
              </w:rPr>
              <w:t>f</w:t>
            </w:r>
          </w:p>
        </w:tc>
        <w:tc>
          <w:tcPr>
            <w:tcW w:w="1350" w:type="dxa"/>
          </w:tcPr>
          <w:p w14:paraId="714382B2"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w:t>
            </w:r>
            <w:r w:rsidRPr="006B4A66">
              <w:rPr>
                <w:rFonts w:ascii="Times New Roman" w:eastAsia="Calibri" w:hAnsi="Times New Roman" w:cs="Times New Roman"/>
                <w:color w:val="000000"/>
                <w:kern w:val="0"/>
                <w:sz w:val="24"/>
                <w:vertAlign w:val="superscript"/>
                <w14:ligatures w14:val="none"/>
              </w:rPr>
              <w:t>g</w:t>
            </w:r>
          </w:p>
        </w:tc>
        <w:tc>
          <w:tcPr>
            <w:tcW w:w="3060" w:type="dxa"/>
          </w:tcPr>
          <w:p w14:paraId="45F9E67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Required over 85,000 </w:t>
            </w:r>
          </w:p>
          <w:p w14:paraId="1F0C451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Btu/h</w:t>
            </w:r>
            <w:r w:rsidRPr="006B4A66">
              <w:rPr>
                <w:rFonts w:ascii="Times New Roman" w:eastAsia="Calibri" w:hAnsi="Times New Roman" w:cs="Times New Roman"/>
                <w:color w:val="000000"/>
                <w:kern w:val="0"/>
                <w:sz w:val="24"/>
                <w:vertAlign w:val="superscript"/>
                <w14:ligatures w14:val="none"/>
              </w:rPr>
              <w:t>c</w:t>
            </w:r>
          </w:p>
        </w:tc>
        <w:tc>
          <w:tcPr>
            <w:tcW w:w="2004" w:type="dxa"/>
          </w:tcPr>
          <w:p w14:paraId="34C4657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Waterside Economizer</w:t>
            </w:r>
            <w:r w:rsidRPr="006B4A66">
              <w:rPr>
                <w:rFonts w:ascii="Times New Roman" w:eastAsia="Calibri" w:hAnsi="Times New Roman" w:cs="Times New Roman"/>
                <w:color w:val="000000"/>
                <w:kern w:val="0"/>
                <w:sz w:val="24"/>
                <w:vertAlign w:val="superscript"/>
                <w14:ligatures w14:val="none"/>
              </w:rPr>
              <w:t>e</w:t>
            </w:r>
          </w:p>
        </w:tc>
      </w:tr>
      <w:tr w:rsidR="006B4A66" w:rsidRPr="006B4A66" w14:paraId="37B0AC4B" w14:textId="77777777" w:rsidTr="00A76114">
        <w:trPr>
          <w:gridAfter w:val="1"/>
          <w:wAfter w:w="12" w:type="dxa"/>
          <w:trHeight w:val="109"/>
        </w:trPr>
        <w:tc>
          <w:tcPr>
            <w:tcW w:w="1548" w:type="dxa"/>
          </w:tcPr>
          <w:p w14:paraId="4D718780"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Option d</w:t>
            </w:r>
          </w:p>
        </w:tc>
        <w:tc>
          <w:tcPr>
            <w:tcW w:w="2340" w:type="dxa"/>
          </w:tcPr>
          <w:p w14:paraId="176818B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Table C403.3.2(7)</w:t>
            </w:r>
            <w:r w:rsidRPr="006B4A66">
              <w:rPr>
                <w:rFonts w:ascii="Times New Roman" w:eastAsia="Calibri" w:hAnsi="Times New Roman" w:cs="Times New Roman"/>
                <w:color w:val="000000"/>
                <w:kern w:val="0"/>
                <w:sz w:val="24"/>
                <w:vertAlign w:val="superscript"/>
                <w14:ligatures w14:val="none"/>
              </w:rPr>
              <w:t>h</w:t>
            </w:r>
          </w:p>
        </w:tc>
        <w:tc>
          <w:tcPr>
            <w:tcW w:w="1350" w:type="dxa"/>
          </w:tcPr>
          <w:p w14:paraId="0F89B8F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+ 25%</w:t>
            </w:r>
            <w:r w:rsidRPr="006B4A66">
              <w:rPr>
                <w:rFonts w:ascii="Times New Roman" w:eastAsia="Calibri" w:hAnsi="Times New Roman" w:cs="Times New Roman"/>
                <w:color w:val="000000"/>
                <w:kern w:val="0"/>
                <w:sz w:val="24"/>
                <w:vertAlign w:val="superscript"/>
                <w14:ligatures w14:val="none"/>
              </w:rPr>
              <w:t>i</w:t>
            </w:r>
          </w:p>
        </w:tc>
        <w:tc>
          <w:tcPr>
            <w:tcW w:w="3060" w:type="dxa"/>
          </w:tcPr>
          <w:p w14:paraId="3189BF50"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Required for all chillers</w:t>
            </w:r>
            <w:r w:rsidRPr="006B4A66">
              <w:rPr>
                <w:rFonts w:ascii="Times New Roman" w:eastAsia="Calibri" w:hAnsi="Times New Roman" w:cs="Times New Roman"/>
                <w:color w:val="000000"/>
                <w:kern w:val="0"/>
                <w:sz w:val="24"/>
                <w:vertAlign w:val="superscript"/>
                <w14:ligatures w14:val="none"/>
              </w:rPr>
              <w:t>j</w:t>
            </w:r>
          </w:p>
        </w:tc>
        <w:tc>
          <w:tcPr>
            <w:tcW w:w="2004" w:type="dxa"/>
          </w:tcPr>
          <w:p w14:paraId="0C7D22E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None Required</w:t>
            </w:r>
          </w:p>
        </w:tc>
      </w:tr>
      <w:tr w:rsidR="006B4A66" w:rsidRPr="006B4A66" w14:paraId="6EBFBAD7" w14:textId="77777777" w:rsidTr="00A76114">
        <w:trPr>
          <w:gridAfter w:val="1"/>
          <w:wAfter w:w="12" w:type="dxa"/>
          <w:trHeight w:val="210"/>
        </w:trPr>
        <w:tc>
          <w:tcPr>
            <w:tcW w:w="1548" w:type="dxa"/>
          </w:tcPr>
          <w:p w14:paraId="0FCE91D1"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Option e</w:t>
            </w:r>
          </w:p>
        </w:tc>
        <w:tc>
          <w:tcPr>
            <w:tcW w:w="2340" w:type="dxa"/>
          </w:tcPr>
          <w:p w14:paraId="02BCA6D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Table C403.3.2(7)</w:t>
            </w:r>
            <w:r w:rsidRPr="006B4A66">
              <w:rPr>
                <w:rFonts w:ascii="Times New Roman" w:eastAsia="Calibri" w:hAnsi="Times New Roman" w:cs="Times New Roman"/>
                <w:color w:val="000000"/>
                <w:kern w:val="0"/>
                <w:sz w:val="24"/>
                <w:vertAlign w:val="superscript"/>
                <w14:ligatures w14:val="none"/>
              </w:rPr>
              <w:t>h</w:t>
            </w:r>
          </w:p>
        </w:tc>
        <w:tc>
          <w:tcPr>
            <w:tcW w:w="1350" w:type="dxa"/>
          </w:tcPr>
          <w:p w14:paraId="1A5A3F02"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+ 10/15%</w:t>
            </w:r>
            <w:r w:rsidRPr="006B4A66">
              <w:rPr>
                <w:rFonts w:ascii="Times New Roman" w:eastAsia="Calibri" w:hAnsi="Times New Roman" w:cs="Times New Roman"/>
                <w:color w:val="000000"/>
                <w:kern w:val="0"/>
                <w:sz w:val="24"/>
                <w:vertAlign w:val="superscript"/>
                <w14:ligatures w14:val="none"/>
              </w:rPr>
              <w:t>k</w:t>
            </w:r>
          </w:p>
        </w:tc>
        <w:tc>
          <w:tcPr>
            <w:tcW w:w="3060" w:type="dxa"/>
          </w:tcPr>
          <w:p w14:paraId="132FF79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Required over </w:t>
            </w:r>
          </w:p>
          <w:p w14:paraId="323A076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85,000 Btu/h</w:t>
            </w:r>
            <w:r w:rsidRPr="006B4A66">
              <w:rPr>
                <w:rFonts w:ascii="Times New Roman" w:eastAsia="Calibri" w:hAnsi="Times New Roman" w:cs="Times New Roman"/>
                <w:color w:val="000000"/>
                <w:kern w:val="0"/>
                <w:sz w:val="24"/>
                <w:vertAlign w:val="superscript"/>
                <w14:ligatures w14:val="none"/>
              </w:rPr>
              <w:t>c</w:t>
            </w:r>
          </w:p>
        </w:tc>
        <w:tc>
          <w:tcPr>
            <w:tcW w:w="2004" w:type="dxa"/>
          </w:tcPr>
          <w:p w14:paraId="773A4F42"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Dedicated waterside </w:t>
            </w:r>
          </w:p>
          <w:p w14:paraId="12FF7F3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Economizer</w:t>
            </w:r>
            <w:r w:rsidRPr="006B4A66">
              <w:rPr>
                <w:rFonts w:ascii="Times New Roman" w:eastAsia="Calibri" w:hAnsi="Times New Roman" w:cs="Times New Roman"/>
                <w:color w:val="000000"/>
                <w:kern w:val="0"/>
                <w:sz w:val="24"/>
                <w:vertAlign w:val="superscript"/>
                <w14:ligatures w14:val="none"/>
              </w:rPr>
              <w:t>e</w:t>
            </w:r>
          </w:p>
        </w:tc>
      </w:tr>
    </w:tbl>
    <w:p w14:paraId="4C6FB8D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Footnotes:</w:t>
      </w:r>
    </w:p>
    <w:p w14:paraId="751348A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a.  For a system where all of the cooling equipment is subject to the AHRI standards listed in WSEC Tables C403.3.2(1), C403.3.2(2), and C403.3.2 (14), the system shall comply with the higher equipment efficiency, part-load control and economizer requirements of the row in which this footnote is located, including the associated footnotes (note that if the system contains any cooling equipment that exceeds the capacity limits in WSEC Table C403.3.2(1), C403.3.2(2), or C403.3.2 (14), or if the system contains any cooling equipment that is not included in WSEC Table C403.3.2(1), C403.3.2(2), or C403.3.2 (14), then the system is not allowed to use this option).</w:t>
      </w:r>
    </w:p>
    <w:p w14:paraId="7FD7171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b.  The cooling equipment shall have a SEER/EER value and an IEER/IPLV value that each is a minimum of 15 percent greater than the value listed in WSEC Tables C403.3.2(1), C403.3.2(2), and C403.3.2 (14).</w:t>
      </w:r>
    </w:p>
    <w:p w14:paraId="799EBBD4" w14:textId="5DB0AF69"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c.  For units with a total cooling capacity over 85,000 Btu/h, the system shall utilize part-load capacity control schemes that are able to modulate to a part-load capacity of 50 percent of the load or less that results in the compressor operating at the same or higher EER at part loads than at full load (e.g., minimum of 2-stages of compressor unloading such as cylinder unloading, two-stage scrolls, dual tandem scrolls, but hot gas bypass is not credited as a compressor unloading system).</w:t>
      </w:r>
    </w:p>
    <w:p w14:paraId="59989D7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d.  The cooling equipment shall have a SEER/EER value and an IEER/IPLV value that each is a minimum of 5 percent greater than the value listed in WSEC Tables C403.3.2(1), C403.3.2(2), and C403.3.2 (14).</w:t>
      </w:r>
    </w:p>
    <w:p w14:paraId="4EDCC168" w14:textId="45F80DB3"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e.  The system shall include a water economizer in lieu of air economizer.  Water economizers shall meet the requirements of WSEC C403.5.1 and C403.5.2 and be capable of providing the total concurrent cooling load served by the connected terminal equipment lacking airside economizer, at outside air temperatures of 50° Fahrenheit  dry-bulb/45°Fahrenheit  wet-bulb and below.  For this calculation, all factors including solar and internal load shall be the same as those used for peak load calculations, except for the outside temperatures.  The equipment shall be served by a dedicated condenser water system unless a nondedicated condenser water system exists that can provide appropriate water temperatures during hours when waterside economizer cooling is available.</w:t>
      </w:r>
    </w:p>
    <w:p w14:paraId="05F485F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f.  For a system where all cooling equipment is subject to ASHRAE Standard 127, the system shall comply with the higher equipment efficiency, part-load control, and </w:t>
      </w:r>
      <w:r w:rsidRPr="006B4A66">
        <w:rPr>
          <w:rFonts w:ascii="Times New Roman" w:eastAsia="Calibri" w:hAnsi="Times New Roman" w:cs="Times New Roman"/>
          <w:color w:val="000000"/>
          <w:kern w:val="0"/>
          <w:sz w:val="24"/>
          <w14:ligatures w14:val="none"/>
        </w:rPr>
        <w:lastRenderedPageBreak/>
        <w:t>economizer requirements of the row in which this footnote is located, including the associated footnotes.</w:t>
      </w:r>
    </w:p>
    <w:p w14:paraId="10C3ACF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g.  The cooling equipment subject to the ASHRAE Standard 127 shall have an SCOP value that is a minimum of 10 percent greater than the value listed in WSEC Tables C403.3.2(1), C403.3.2(2), and C403.3.2 (14) (1.10 × values in these tables) when determined in accordance with the rating conditions ASHRAE Standard 127 (i.e., not the rating conditions in AHRI Standard 210/240 or 340/360).  This information shall be provided by an independent third party.</w:t>
      </w:r>
    </w:p>
    <w:p w14:paraId="3DCE887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h.  For a system with chillers subject to the AHRI standards listed in WSEC Table C403.3.2(7) (as an example, a chilled water system with fan coil units), the system shall comply with the higher equipment efficiency, part-load control, and economizer requirements of the row in which this footnote is located, including the associated footnotes.</w:t>
      </w:r>
    </w:p>
    <w:p w14:paraId="375550A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  The cooling equipment shall have an full-load EER value and an IPLV value that is a minimum of 25 percent greater than the value listed in WSEC Table C403.3.2(7) (1.25 × value in Table C403.3.2(7) or a full-load and IPLV kilowatts per ton that is at least 25 percent lower than the value listed in WSEC Table C403.3.2(7) (0.75 × value in Table C403.3.2(7)).</w:t>
      </w:r>
    </w:p>
    <w:p w14:paraId="5F0435A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j.  For all chillers, the system shall utilize part-load capacity control schemes that are able to modulate to a part-load capacity of 50 percent of the load or less and that result in the compressor operating at the same or higher EER at part loads than at full load (e.g., minimum of two-stages of compressor unloading such as cylinder unloading, </w:t>
      </w:r>
      <w:r w:rsidRPr="006B4A66">
        <w:rPr>
          <w:rFonts w:ascii="Times New Roman" w:eastAsia="Calibri" w:hAnsi="Times New Roman" w:cs="Times New Roman"/>
          <w:color w:val="000000"/>
          <w:kern w:val="0"/>
          <w:sz w:val="24"/>
          <w14:ligatures w14:val="none"/>
        </w:rPr>
        <w:lastRenderedPageBreak/>
        <w:t>two-stage scrolls, or dual tandem scrolls, but hot gas bypass is not a qualifying compressor unloading system).</w:t>
      </w:r>
    </w:p>
    <w:p w14:paraId="3F8BA58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k.  For air-cooled chillers, the cooling equipment shall have an IPLV EER value that is a minimum of 10 percent greater than the IPLV EER value listed in WSEC Table C403.3.2(7) (1.10 × values in Table C403.3.2(7).  For water-cooled chillers, the cooling equipment shall have an IPLV kilowatts per ton that is at least 15 percent lower than the IPLV kilowatts per ton value listed in WSEC Table C403.3.2(7) (0.85 × values in Table C403.3.2(7)).</w:t>
      </w:r>
    </w:p>
    <w:p w14:paraId="6B5A2606"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Table C403.5(3)</w:t>
      </w:r>
    </w:p>
    <w:p w14:paraId="7C71A94A"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Equipment Efficiency Performance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3"/>
        <w:gridCol w:w="1713"/>
      </w:tblGrid>
      <w:tr w:rsidR="006B4A66" w:rsidRPr="006B4A66" w14:paraId="64433D44" w14:textId="77777777">
        <w:trPr>
          <w:trHeight w:val="68"/>
          <w:jc w:val="center"/>
        </w:trPr>
        <w:tc>
          <w:tcPr>
            <w:tcW w:w="1713" w:type="dxa"/>
          </w:tcPr>
          <w:p w14:paraId="2F78787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Climate Zones</w:t>
            </w:r>
          </w:p>
        </w:tc>
        <w:tc>
          <w:tcPr>
            <w:tcW w:w="1713" w:type="dxa"/>
          </w:tcPr>
          <w:p w14:paraId="3BB32FF2"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Efficiency Improvement</w:t>
            </w:r>
            <w:r w:rsidRPr="006B4A66">
              <w:rPr>
                <w:rFonts w:ascii="Times New Roman" w:eastAsia="Calibri" w:hAnsi="Times New Roman" w:cs="Times New Roman"/>
                <w:color w:val="000000"/>
                <w:kern w:val="0"/>
                <w:sz w:val="24"/>
                <w:vertAlign w:val="superscript"/>
                <w14:ligatures w14:val="none"/>
              </w:rPr>
              <w:t>a</w:t>
            </w:r>
            <w:r w:rsidRPr="006B4A66">
              <w:rPr>
                <w:rFonts w:ascii="Times New Roman" w:eastAsia="Calibri" w:hAnsi="Times New Roman" w:cs="Times New Roman"/>
                <w:color w:val="000000"/>
                <w:kern w:val="0"/>
                <w:sz w:val="24"/>
                <w14:ligatures w14:val="none"/>
              </w:rPr>
              <w:t xml:space="preserve"> </w:t>
            </w:r>
          </w:p>
        </w:tc>
      </w:tr>
      <w:tr w:rsidR="006B4A66" w:rsidRPr="006B4A66" w14:paraId="2B6F493C" w14:textId="77777777">
        <w:trPr>
          <w:trHeight w:val="81"/>
          <w:jc w:val="center"/>
        </w:trPr>
        <w:tc>
          <w:tcPr>
            <w:tcW w:w="1713" w:type="dxa"/>
          </w:tcPr>
          <w:p w14:paraId="02923831"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4C </w:t>
            </w:r>
          </w:p>
        </w:tc>
        <w:tc>
          <w:tcPr>
            <w:tcW w:w="1713" w:type="dxa"/>
          </w:tcPr>
          <w:p w14:paraId="3E826526"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64% </w:t>
            </w:r>
          </w:p>
        </w:tc>
      </w:tr>
      <w:tr w:rsidR="006B4A66" w:rsidRPr="006B4A66" w14:paraId="373EF152" w14:textId="77777777">
        <w:trPr>
          <w:trHeight w:val="81"/>
          <w:jc w:val="center"/>
        </w:trPr>
        <w:tc>
          <w:tcPr>
            <w:tcW w:w="1713" w:type="dxa"/>
          </w:tcPr>
          <w:p w14:paraId="675958E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5B </w:t>
            </w:r>
          </w:p>
        </w:tc>
        <w:tc>
          <w:tcPr>
            <w:tcW w:w="1713" w:type="dxa"/>
          </w:tcPr>
          <w:p w14:paraId="69B3F15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59% </w:t>
            </w:r>
          </w:p>
        </w:tc>
      </w:tr>
    </w:tbl>
    <w:p w14:paraId="04BCB8A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Footnote:</w:t>
      </w:r>
    </w:p>
    <w:p w14:paraId="5704745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a.  If a unit is rated with an IPLV, IEER, or SEER then to eliminate the required air or water economizer, the minimum cooling efficiency of the HVAC unit must be increased by the percentage shown.  If the HVAC unit is only rated with a full load metric like EER or COP cooling, then these must be increased by the percentage shown.</w:t>
      </w:r>
    </w:p>
    <w:p w14:paraId="60EF5A95" w14:textId="32E0E7D9"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65.</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5972FC70"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C403.7 of the Washington State Energy Code is not adopted.</w:t>
      </w:r>
    </w:p>
    <w:p w14:paraId="2B4B4DA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b/>
          <w:bCs/>
          <w:color w:val="000000"/>
          <w:kern w:val="0"/>
          <w:sz w:val="24"/>
          <w14:ligatures w14:val="none"/>
        </w:rPr>
        <w:t>Ventilation and exhaust systems (WSEC C403.7).</w:t>
      </w:r>
      <w:r w:rsidRPr="006B4A66">
        <w:rPr>
          <w:rFonts w:ascii="Times New Roman" w:eastAsia="Calibri" w:hAnsi="Times New Roman" w:cs="Times New Roman"/>
          <w:color w:val="000000"/>
          <w:kern w:val="0"/>
          <w:sz w:val="24"/>
          <w14:ligatures w14:val="none"/>
        </w:rPr>
        <w:t xml:space="preserve">  In addition to other requirements of WSEC C403 applicable to the provisions of ventilation air or the exhaust of air, ventilation, and exhaust systems shall be in accordance with WSEC C403.7.1 through C403.7.8 and WSEC C403.8.7.</w:t>
      </w:r>
    </w:p>
    <w:p w14:paraId="02EDAD0C" w14:textId="792B2DDF"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66.</w:t>
      </w:r>
      <w:r w:rsidRPr="006B4A66">
        <w:rPr>
          <w:rFonts w:ascii="Times New Roman" w:eastAsia="Times New Roman" w:hAnsi="Times New Roman" w:cs="Times New Roman"/>
          <w:color w:val="000000"/>
          <w:kern w:val="0"/>
          <w:sz w:val="24"/>
          <w:szCs w:val="24"/>
          <w14:ligatures w14:val="none"/>
        </w:rPr>
        <w:t xml:space="preserve">  Ordinance 19485, Section 86, and K.C.C. 16.07.180 are hereby amended to read as follows:</w:t>
      </w:r>
    </w:p>
    <w:p w14:paraId="7314687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C403.7.6 of the ((</w:t>
      </w:r>
      <w:r w:rsidRPr="006B4A66">
        <w:rPr>
          <w:rFonts w:ascii="Times New Roman" w:eastAsia="Calibri" w:hAnsi="Times New Roman" w:cs="Times New Roman"/>
          <w:strike/>
          <w:color w:val="000000"/>
          <w:kern w:val="0"/>
          <w:sz w:val="24"/>
          <w14:ligatures w14:val="none"/>
        </w:rPr>
        <w:t>International Energy Conservation</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Washington State Energy</w:t>
      </w:r>
      <w:r w:rsidRPr="006B4A66">
        <w:rPr>
          <w:rFonts w:ascii="Times New Roman" w:eastAsia="Calibri" w:hAnsi="Times New Roman" w:cs="Times New Roman"/>
          <w:color w:val="000000"/>
          <w:kern w:val="0"/>
          <w:sz w:val="24"/>
          <w14:ligatures w14:val="none"/>
        </w:rPr>
        <w:t xml:space="preserve"> Code is not adopted and the following is substituted:</w:t>
      </w:r>
    </w:p>
    <w:p w14:paraId="70F9A062"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Energy recovery ventilation systems (</w:t>
      </w:r>
      <w:r w:rsidRPr="006B4A66">
        <w:rPr>
          <w:rFonts w:ascii="Times New Roman" w:eastAsia="Calibri" w:hAnsi="Times New Roman" w:cs="Times New Roman"/>
          <w:b/>
          <w:color w:val="000000"/>
          <w:kern w:val="0"/>
          <w:sz w:val="24"/>
          <w14:ligatures w14:val="none"/>
        </w:rPr>
        <w:t>((</w:t>
      </w:r>
      <w:r w:rsidRPr="006B4A66">
        <w:rPr>
          <w:rFonts w:ascii="Times New Roman" w:eastAsia="Calibri" w:hAnsi="Times New Roman" w:cs="Times New Roman"/>
          <w:b/>
          <w:strike/>
          <w:color w:val="000000"/>
          <w:kern w:val="0"/>
          <w:sz w:val="24"/>
          <w14:ligatures w14:val="none"/>
        </w:rPr>
        <w:t>IECC</w:t>
      </w:r>
      <w:r w:rsidRPr="006B4A66">
        <w:rPr>
          <w:rFonts w:ascii="Times New Roman" w:eastAsia="Calibri" w:hAnsi="Times New Roman" w:cs="Times New Roman"/>
          <w:b/>
          <w:color w:val="000000"/>
          <w:kern w:val="0"/>
          <w:sz w:val="24"/>
          <w14:ligatures w14:val="none"/>
        </w:rPr>
        <w:t xml:space="preserve">)) </w:t>
      </w:r>
      <w:r w:rsidRPr="001216D4">
        <w:rPr>
          <w:rFonts w:ascii="Times New Roman" w:eastAsia="Calibri" w:hAnsi="Times New Roman" w:cs="Times New Roman"/>
          <w:b/>
          <w:color w:val="000000"/>
          <w:kern w:val="0"/>
          <w:sz w:val="24"/>
          <w:u w:val="single"/>
          <w14:ligatures w14:val="none"/>
        </w:rPr>
        <w:t>WSEC</w:t>
      </w:r>
      <w:r w:rsidRPr="006B4A66">
        <w:rPr>
          <w:rFonts w:ascii="Times New Roman" w:eastAsia="Calibri" w:hAnsi="Times New Roman" w:cs="Times New Roman"/>
          <w:b/>
          <w:bCs/>
          <w:color w:val="000000"/>
          <w:kern w:val="0"/>
          <w:sz w:val="24"/>
          <w14:ligatures w14:val="none"/>
        </w:rPr>
        <w:t xml:space="preserve"> C403.7.6).</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strike/>
          <w:color w:val="000000"/>
          <w:kern w:val="0"/>
          <w:sz w:val="24"/>
          <w14:ligatures w14:val="none"/>
        </w:rPr>
        <w:t xml:space="preserve">Any system with minimum outside air requirements at design conditions more than 5,000 cfm or any system where the system's supply airflow rate exceeds the value listed in IECC Tables C403.7.6(1) and C403.7.6(2), based on the climate zone and percentage of outdoor airflow rate at design conditions, shall include an energy recovery system.  IECC Table C403.7.6(1) shall be used for all ventilation systems that operate less than 8,000 hours per year, and IECC Table C403.7.6(2) shall be used for all ventilation systems that operate 8,000 hours or more per year.  The energy recovery system shall have the capability to provide a change in the enthalpy of the outdoor air supply of not less than 60 percent of the difference between the outdoor air and return air enthalpies, at design conditions.  Where an air economizer is required, the energy recovery system shall include a bypass of the energy recovery media for both the outdoor air and exhaust air or return air dampers and controls which permit operation of the air economizer as required by IECC C403.5.  Where a single room or space is supplied by multiple units, the aggregate ventilation (cfm) of those units shall be used in applying this requirement.  The </w:t>
      </w:r>
      <w:r w:rsidRPr="006B4A66">
        <w:rPr>
          <w:rFonts w:ascii="Times New Roman" w:eastAsia="Calibri" w:hAnsi="Times New Roman" w:cs="Times New Roman"/>
          <w:strike/>
          <w:color w:val="000000"/>
          <w:kern w:val="0"/>
          <w:sz w:val="24"/>
          <w14:ligatures w14:val="none"/>
        </w:rPr>
        <w:lastRenderedPageBreak/>
        <w:t>return/exhaust air stream temperature for heat recovery device selection shall be 70° F (21° C) at 30 percent relative humidity, or as calculated by the registered design professional.</w:t>
      </w:r>
    </w:p>
    <w:p w14:paraId="338AD50D"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EXCEPTIONS:</w:t>
      </w:r>
    </w:p>
    <w:p w14:paraId="701C1A87"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1.  The energy recovery systems for occupancy type I-2 hospitals, medical office buildings and buildings that primarily consist of technical laboratory spaces may provide a change of enthalpy of the outdoor air and return air of not less than 50 percent of the difference between the outdoor air and return air enthalpies, at design conditions.  These occupancies may also use exception 3.</w:t>
      </w:r>
    </w:p>
    <w:p w14:paraId="01329FD6"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2.  The energy recovery systems for R-1 and R-2 occupancies shall have a 60 percent minimum sensible heat recovery effectiveness, in lieu of 60 percent enthalpy recovery effectiveness.  The return/exhaust air stream temperature for heat recovery device selection shall be 70° F (21° C), or as calculated by the registered design professional.</w:t>
      </w:r>
    </w:p>
    <w:p w14:paraId="0E2A92B6"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3.  An energy recovery ventilation system shall not be required under the following conditions:</w:t>
      </w:r>
    </w:p>
    <w:p w14:paraId="124B0BEA"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3.1.  Where energy recovery systems are restricted by International Mechanical Code Section 514 to sensible energy, recovery shall comply with the following:</w:t>
      </w:r>
    </w:p>
    <w:p w14:paraId="6414CD09"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a.  Kitchen exhaust systems where they comply with IECC C403.7.7.1;</w:t>
      </w:r>
    </w:p>
    <w:p w14:paraId="0D0ABD3C"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b.  Laboratory fume hood systems where they comply with Exception 2 of IECC C403.7.6; or</w:t>
      </w:r>
    </w:p>
    <w:p w14:paraId="700A5241"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 xml:space="preserve">c.  Other sensible energy recovery systems with the capability to provide a change in dry bulb temperature of the outdoor air supply of not less than 50 percent of the </w:t>
      </w:r>
      <w:r w:rsidRPr="006B4A66">
        <w:rPr>
          <w:rFonts w:ascii="Times New Roman" w:eastAsia="Calibri" w:hAnsi="Times New Roman" w:cs="Times New Roman"/>
          <w:strike/>
          <w:color w:val="000000"/>
          <w:kern w:val="0"/>
          <w:sz w:val="24"/>
          <w14:ligatures w14:val="none"/>
        </w:rPr>
        <w:lastRenderedPageBreak/>
        <w:t>difference between the outdoor air and the return air dry bulb temperatures, at design conditions.</w:t>
      </w:r>
    </w:p>
    <w:p w14:paraId="57026EF0"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3.2.  Laboratory fume hood systems that include at least one of the following features and also comply with IECC C403.7.7.2:</w:t>
      </w:r>
    </w:p>
    <w:p w14:paraId="1366D99D"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a.  Variable-air-volume hood exhaust and room supply systems capable of reducing exhaust and makeup air volume to 50 percent or less of design values; or</w:t>
      </w:r>
    </w:p>
    <w:p w14:paraId="6BB70924"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b.  Direct makeup (auxiliary) air supply equal to at least 75 percent of the exhaust rate, heated no warmer than 2° F (1.1° C) above room set point, cooled to no cooler than 3° F (1.7° C) below room set point, no humidification added and no simultaneous heating and cooling used for dehumidification control.</w:t>
      </w:r>
    </w:p>
    <w:p w14:paraId="67E69141"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3.3.  Systems serving spaces that are heated to less than 60° F (15.5° C) and are not cooled.</w:t>
      </w:r>
    </w:p>
    <w:p w14:paraId="135F491A"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3.4.  Where more than 60 percent of the outdoor air heating energy is provided from site-recovered energy.</w:t>
      </w:r>
    </w:p>
    <w:p w14:paraId="49841FCB"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3.5.  Systems exhausting toxic, flammable, paint or corrosive fumes or dust.</w:t>
      </w:r>
    </w:p>
    <w:p w14:paraId="6CC4952C"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3.6.  Cooling energy recovery in Climate Zones 3C, 4C, 5B, 5C, 6B, 7 and 8.</w:t>
      </w:r>
    </w:p>
    <w:p w14:paraId="4C9B9E70"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3.7.  Systems requiring dehumidification that use energy recovery in series with the cooling coil.</w:t>
      </w:r>
    </w:p>
    <w:p w14:paraId="091A066F"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3.8.  Multi-zone systems where the supply airflow rate is less than the values specified in IECC Tables C403.7.6(1) and C403.7.6(2) for the corresponding percent of outdoor air.  Where a value of NR is listed, energy recovery shall not be required.</w:t>
      </w:r>
    </w:p>
    <w:p w14:paraId="46757856"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3.9.  Equipment which meets the requirements of IECC C403.9.2.4.</w:t>
      </w:r>
    </w:p>
    <w:p w14:paraId="239654E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lastRenderedPageBreak/>
        <w:tab/>
        <w:t xml:space="preserve">  </w:t>
      </w:r>
      <w:r w:rsidRPr="006B4A66">
        <w:rPr>
          <w:rFonts w:ascii="Times New Roman" w:eastAsia="Calibri" w:hAnsi="Times New Roman" w:cs="Times New Roman"/>
          <w:strike/>
          <w:color w:val="000000"/>
          <w:kern w:val="0"/>
          <w:sz w:val="24"/>
          <w14:ligatures w14:val="none"/>
        </w:rPr>
        <w:t>3.10.  Systems serving Group R-1 and R-3 dwelling or sleeping units where the largest source of air exhausted at a single location at the building exterior is less than 25 percent of the design outdoor air flow rate.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Energy recovery ventilation systems shall be provided as specified in WSEC C403.7.6.1 and C403.7.6.2.</w:t>
      </w:r>
    </w:p>
    <w:p w14:paraId="5945188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C403.7.6.1  Ventilation for Group R-2 occupancy.  For all Group R-2 dwelling and sleeping units, a balanced ventilation system with heat recovery system with minimum 67 percent sensible recovery effectiveness shall provide outdoor air directly to each habitable space in accordance with the IMC.  The ventilation system shall allow for the design flow rates to be tested and verified at each habitable space as part of the commissioning process in accordance with WSEC C408.2.2.  The return/exhaust air stream temperature for heat recovery device selection shall be 70° Fahrenheit (21° Celsius), or as calculated by the registered design professional.</w:t>
      </w:r>
    </w:p>
    <w:p w14:paraId="4ACC079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u w:val="single"/>
          <w14:ligatures w14:val="none"/>
        </w:rPr>
        <w:t>EXCEPTION:</w:t>
      </w:r>
      <w:r w:rsidRPr="006B4A66">
        <w:rPr>
          <w:rFonts w:ascii="Times New Roman" w:eastAsia="Calibri" w:hAnsi="Times New Roman" w:cs="Times New Roman"/>
          <w:color w:val="000000"/>
          <w:kern w:val="0"/>
          <w:sz w:val="24"/>
          <w:u w:val="single"/>
          <w14:ligatures w14:val="none"/>
        </w:rPr>
        <w:t xml:space="preserve">  Heat recovery and energy recovery ventilators (H/ERVs) that are rated and listed in accordance with HVI 920 can demonstrate compliance with the sensible recovery effectiveness requirement using the sensible recovery effectiveness (ASRE) rating of the equipment at 32° Fahrenheit (0° Celsius) test conditions.  Applied flow rate for ASRE rating shall be no less than the design flow rate or the closest value interpolated between two listed flow rates.</w:t>
      </w:r>
    </w:p>
    <w:p w14:paraId="104BAC9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 xml:space="preserve">C403.7.6.2.  Spaces other than Group R-2 dwelling or sleeping units.  Any system serving a space other than a Group R-2 dwelling or sleeping unit with minimum outside air requirements at design conditions greater than 5,000 cubic feet per minute (2,360 liters per second) or any system where the system's supply airflow rate exceeds the value listed in WSEC Tables C403.7.6(1) and C403.7.6(2), based on the climate zone and </w:t>
      </w:r>
      <w:r w:rsidRPr="006B4A66">
        <w:rPr>
          <w:rFonts w:ascii="Times New Roman" w:eastAsia="Calibri" w:hAnsi="Times New Roman" w:cs="Times New Roman"/>
          <w:color w:val="000000"/>
          <w:kern w:val="0"/>
          <w:sz w:val="24"/>
          <w:u w:val="single"/>
          <w14:ligatures w14:val="none"/>
        </w:rPr>
        <w:lastRenderedPageBreak/>
        <w:t>percentage of outdoor airflow rate at design conditions, shall include an energy recovery system.  WSEC Table C403.7.6(1) shall be used for all ventilation systems that operate less than 8,000 hours per year, and WSEC Table C403.7.6(2) shall be used for all ventilation systems that operate 8,000 hours or more per year.  The energy recovery system shall provide a 67 percent minimum sensible recovery effectiveness or have an enthalpy recovery ratio of not less than 60 percent at design conditions.  Where an air economizer is required, the energy recovery system shall include a bypass of the energy recovery media for both the outdoor air and exhaust air, bypass of the energy recovery media for only the outdoor air controlled in accordance with WSEC C403.3.5.6, or return air dampers and controls which permit operation of the air economizer as required by WSEC C403.5.  Where a single room or space is supplied by multiple units, the aggregate ventilation (cubic feet per minute or liters per second) of those units shall be used in applying this requirement.  The return/exhaust air stream temperature for heat recovery device selection shall be 70° Fahrenheit (21° Celsius) at 30 percent relative humidity, or as calculated by the registered design professional.</w:t>
      </w:r>
    </w:p>
    <w:p w14:paraId="4229891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u w:val="single"/>
          <w14:ligatures w14:val="none"/>
        </w:rPr>
        <w:t>EXCEPTION:</w:t>
      </w:r>
      <w:r w:rsidRPr="006B4A66">
        <w:rPr>
          <w:rFonts w:ascii="Times New Roman" w:eastAsia="Calibri" w:hAnsi="Times New Roman" w:cs="Times New Roman"/>
          <w:color w:val="000000"/>
          <w:kern w:val="0"/>
          <w:sz w:val="24"/>
          <w:u w:val="single"/>
          <w14:ligatures w14:val="none"/>
        </w:rPr>
        <w:t xml:space="preserve">  An energy recovery ventilation system shall not be required in any of the following conditions:</w:t>
      </w:r>
    </w:p>
    <w:p w14:paraId="4E7D9FA2" w14:textId="71A05312"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 xml:space="preserve">1.  Where energy recovery systems are restricted in accordance with </w:t>
      </w:r>
      <w:r w:rsidR="00014A65">
        <w:rPr>
          <w:rFonts w:ascii="Times New Roman" w:eastAsia="Calibri" w:hAnsi="Times New Roman" w:cs="Times New Roman"/>
          <w:color w:val="000000"/>
          <w:kern w:val="0"/>
          <w:sz w:val="24"/>
          <w:u w:val="single"/>
          <w14:ligatures w14:val="none"/>
        </w:rPr>
        <w:t xml:space="preserve">IMC </w:t>
      </w:r>
      <w:r w:rsidRPr="006B4A66">
        <w:rPr>
          <w:rFonts w:ascii="Times New Roman" w:eastAsia="Calibri" w:hAnsi="Times New Roman" w:cs="Times New Roman"/>
          <w:color w:val="000000"/>
          <w:kern w:val="0"/>
          <w:sz w:val="24"/>
          <w:u w:val="single"/>
          <w14:ligatures w14:val="none"/>
        </w:rPr>
        <w:t>514  to sensible energy recovery, the system shall comply with one of the following:</w:t>
      </w:r>
    </w:p>
    <w:p w14:paraId="4461E6F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color w:val="000000"/>
          <w:kern w:val="0"/>
          <w:sz w:val="24"/>
          <w:u w:val="single"/>
          <w14:ligatures w14:val="none"/>
        </w:rPr>
        <w:t>1.1.  Kitchen exhaust systems where they comply with WSEC C403.7.7.1.</w:t>
      </w:r>
    </w:p>
    <w:p w14:paraId="7AE7494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color w:val="000000"/>
          <w:kern w:val="0"/>
          <w:sz w:val="24"/>
          <w:u w:val="single"/>
          <w14:ligatures w14:val="none"/>
        </w:rPr>
        <w:t>1.2.  Laboratory fume exhaust systems where they comply with WSEC C403.7.7.2.</w:t>
      </w:r>
    </w:p>
    <w:p w14:paraId="15F3330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lastRenderedPageBreak/>
        <w:tab/>
        <w:t xml:space="preserve">  </w:t>
      </w:r>
      <w:r w:rsidRPr="006B4A66">
        <w:rPr>
          <w:rFonts w:ascii="Times New Roman" w:eastAsia="Calibri" w:hAnsi="Times New Roman" w:cs="Times New Roman"/>
          <w:color w:val="000000"/>
          <w:kern w:val="0"/>
          <w:sz w:val="24"/>
          <w:u w:val="single"/>
          <w14:ligatures w14:val="none"/>
        </w:rPr>
        <w:t>1.3.  Other sensible energy recovery systems with the capability to provide a change in dry-bulb temperature of the outdoor air supply of not less than 50 percent of the difference between the outdoor air and the return air dry-bulb temperatures, at design conditions.  Where an air economizer is required, the energy recovery system shall include a bypass of the energy recovery media for both the outdoor air and exhaust air or bypass of the energy recovery media for only the outdoor air controlled in accordance with WSEC C403.3.5.6.</w:t>
      </w:r>
    </w:p>
    <w:p w14:paraId="2DF9BF0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2.  Buildings with laboratory fume exhaust systems having a total exhaust rate less than or equal to 5,000 cubic feet per minute (2,360 liters per second) shall include at least one of the following features or shall comply with WSEC C403.7.7.2:</w:t>
      </w:r>
    </w:p>
    <w:p w14:paraId="61234D4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color w:val="000000"/>
          <w:kern w:val="0"/>
          <w:sz w:val="24"/>
          <w:u w:val="single"/>
          <w14:ligatures w14:val="none"/>
        </w:rPr>
        <w:t>2.1  Variable-air-volume hood exhaust and room supply systems configured to reduce exhaust and makeup air volume to 50 percent or less of design values.</w:t>
      </w:r>
    </w:p>
    <w:p w14:paraId="2259A5A5" w14:textId="45B05CED"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color w:val="000000"/>
          <w:kern w:val="0"/>
          <w:sz w:val="24"/>
          <w:u w:val="single"/>
          <w14:ligatures w14:val="none"/>
        </w:rPr>
        <w:t>2.2.  Direct makeup (auxiliary) air supply equal to at least 75 percent of the exhaust rate, heated no warmer than 2° Fahrenheit (</w:t>
      </w:r>
      <w:r w:rsidR="00C42E6E">
        <w:rPr>
          <w:rFonts w:ascii="Times New Roman" w:eastAsia="Calibri" w:hAnsi="Times New Roman" w:cs="Times New Roman"/>
          <w:color w:val="000000"/>
          <w:kern w:val="0"/>
          <w:sz w:val="24"/>
          <w:u w:val="single"/>
          <w14:ligatures w14:val="none"/>
        </w:rPr>
        <w:t>1.1</w:t>
      </w:r>
      <w:r w:rsidRPr="006B4A66">
        <w:rPr>
          <w:rFonts w:ascii="Times New Roman" w:eastAsia="Calibri" w:hAnsi="Times New Roman" w:cs="Times New Roman"/>
          <w:color w:val="000000"/>
          <w:kern w:val="0"/>
          <w:sz w:val="24"/>
          <w:u w:val="single"/>
          <w14:ligatures w14:val="none"/>
        </w:rPr>
        <w:t>° Celsius) above room setpoint, cooled to no cooler than 3° Fahrenheit (</w:t>
      </w:r>
      <w:r w:rsidR="00C42E6E">
        <w:rPr>
          <w:rFonts w:ascii="Times New Roman" w:eastAsia="Calibri" w:hAnsi="Times New Roman" w:cs="Times New Roman"/>
          <w:color w:val="000000"/>
          <w:kern w:val="0"/>
          <w:sz w:val="24"/>
          <w:u w:val="single"/>
          <w14:ligatures w14:val="none"/>
        </w:rPr>
        <w:t>1.7</w:t>
      </w:r>
      <w:r w:rsidRPr="006B4A66">
        <w:rPr>
          <w:rFonts w:ascii="Times New Roman" w:eastAsia="Calibri" w:hAnsi="Times New Roman" w:cs="Times New Roman"/>
          <w:color w:val="000000"/>
          <w:kern w:val="0"/>
          <w:sz w:val="24"/>
          <w:u w:val="single"/>
          <w14:ligatures w14:val="none"/>
        </w:rPr>
        <w:t>° Celsius) below room setpoint, no humidification added, and no simultaneous heating and cooling used for dehumidification control.</w:t>
      </w:r>
    </w:p>
    <w:p w14:paraId="64346B8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3.  Systems serving spaces that are heated to less than 60° Fahrenheit (16° Celsius) and are not cooled.</w:t>
      </w:r>
    </w:p>
    <w:p w14:paraId="4A0E09E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4.  Where more than 60 percent of the outdoor air heating energy is provided from site-recovered energy.</w:t>
      </w:r>
    </w:p>
    <w:p w14:paraId="179F10C1" w14:textId="6B805944"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5.  Systems exhausting hazardous, toxic, flammable, paint</w:t>
      </w:r>
      <w:r w:rsidR="005D104F">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u w:val="single"/>
          <w14:ligatures w14:val="none"/>
        </w:rPr>
        <w:t xml:space="preserve"> or corrosive fumes, or dust.  This exception may not be used for laboratory fume exhaust systems required to </w:t>
      </w:r>
      <w:r w:rsidRPr="006B4A66">
        <w:rPr>
          <w:rFonts w:ascii="Times New Roman" w:eastAsia="Calibri" w:hAnsi="Times New Roman" w:cs="Times New Roman"/>
          <w:color w:val="000000"/>
          <w:kern w:val="0"/>
          <w:sz w:val="24"/>
          <w:u w:val="single"/>
          <w14:ligatures w14:val="none"/>
        </w:rPr>
        <w:lastRenderedPageBreak/>
        <w:t>comply with Exception 2 of WSEC C403.7.6 or C403.7.7.2 without approval of the code official.</w:t>
      </w:r>
    </w:p>
    <w:p w14:paraId="4C527F2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6.  Cooling energy recovery.</w:t>
      </w:r>
    </w:p>
    <w:p w14:paraId="13E5AAA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7.  Systems requiring dehumidification that employ energy recovery in series with the cooling coil.</w:t>
      </w:r>
    </w:p>
    <w:p w14:paraId="6CCFAEB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8.  Multiple-zone systems where the supply airflow rate is less than the values specified in WSEC Tables C403.7.6 (1) and (2), for the corresponding percent of outdoor air.  Where a value of NR is listed, energy recovery shall not be required.</w:t>
      </w:r>
    </w:p>
    <w:p w14:paraId="766D8BB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9.  Equipment which meets the requirements of WSEC C403.9.2.4.</w:t>
      </w:r>
    </w:p>
    <w:p w14:paraId="639626B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10.  Systems serving Group R-1 dwelling or sleeping units where the largest source of air exhausted at a single location at the building exterior is less than 25 percent of the design outdoor air flow rate.</w:t>
      </w:r>
    </w:p>
    <w:p w14:paraId="1258846A" w14:textId="19E9C285"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11.  Systems serving Ambulatory Care Facilities and Group I-2 Occupancies ventilated in accordance with IMC 407 and systems exhausting environmental exhaust air in spaces that have Hazardous Exhaust Systems complying with IMC 510, are permitted to provide a 60 percent minimum sensible heat recovery effectiveness or have an enthalpy heat recovery ratio of not less than 50 percent at design conditions.  Where an air economizer is required, the energy or heat recovery system shall include a bypass of the energy or heat recovery media for both the outdoor air and exhaust air or bypass of the energy recovery media for only the outdoor air controlled in accordance with WSEC C403.3.5.6.</w:t>
      </w:r>
    </w:p>
    <w:p w14:paraId="68DC9DFD"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u w:val="single"/>
          <w14:ligatures w14:val="none"/>
        </w:rPr>
      </w:pPr>
      <w:r w:rsidRPr="006B4A66">
        <w:rPr>
          <w:rFonts w:ascii="Times New Roman" w:eastAsia="Calibri" w:hAnsi="Times New Roman" w:cs="Times New Roman"/>
          <w:b/>
          <w:bCs/>
          <w:color w:val="000000"/>
          <w:kern w:val="0"/>
          <w:sz w:val="24"/>
          <w:u w:val="single"/>
          <w14:ligatures w14:val="none"/>
        </w:rPr>
        <w:t>Table C403.7.6(1)</w:t>
      </w:r>
    </w:p>
    <w:p w14:paraId="72A5D7B0"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u w:val="single"/>
          <w14:ligatures w14:val="none"/>
        </w:rPr>
      </w:pPr>
      <w:r w:rsidRPr="006B4A66">
        <w:rPr>
          <w:rFonts w:ascii="Times New Roman" w:eastAsia="Calibri" w:hAnsi="Times New Roman" w:cs="Times New Roman"/>
          <w:b/>
          <w:bCs/>
          <w:color w:val="000000"/>
          <w:kern w:val="0"/>
          <w:sz w:val="24"/>
          <w:u w:val="single"/>
          <w14:ligatures w14:val="none"/>
        </w:rPr>
        <w:t>Energy Recovery Requirement</w:t>
      </w:r>
    </w:p>
    <w:tbl>
      <w:tblPr>
        <w:tblW w:w="96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2"/>
        <w:gridCol w:w="1072"/>
        <w:gridCol w:w="1072"/>
        <w:gridCol w:w="1072"/>
        <w:gridCol w:w="1072"/>
        <w:gridCol w:w="1072"/>
        <w:gridCol w:w="1072"/>
        <w:gridCol w:w="1072"/>
        <w:gridCol w:w="1072"/>
        <w:gridCol w:w="6"/>
      </w:tblGrid>
      <w:tr w:rsidR="006B4A66" w:rsidRPr="006B4A66" w14:paraId="299473AA" w14:textId="77777777">
        <w:trPr>
          <w:trHeight w:val="65"/>
          <w:jc w:val="center"/>
        </w:trPr>
        <w:tc>
          <w:tcPr>
            <w:tcW w:w="9654" w:type="dxa"/>
            <w:gridSpan w:val="10"/>
          </w:tcPr>
          <w:p w14:paraId="5F50608A"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lastRenderedPageBreak/>
              <w:t>Percent (%) Outdoor Air at Full Design Airflow Rate</w:t>
            </w:r>
          </w:p>
        </w:tc>
      </w:tr>
      <w:tr w:rsidR="006B4A66" w:rsidRPr="006B4A66" w14:paraId="22725FF0" w14:textId="77777777">
        <w:trPr>
          <w:gridAfter w:val="1"/>
          <w:wAfter w:w="6" w:type="dxa"/>
          <w:trHeight w:val="191"/>
          <w:jc w:val="center"/>
        </w:trPr>
        <w:tc>
          <w:tcPr>
            <w:tcW w:w="1072" w:type="dxa"/>
          </w:tcPr>
          <w:p w14:paraId="3F25F8F4"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 xml:space="preserve">Climate zone </w:t>
            </w:r>
          </w:p>
        </w:tc>
        <w:tc>
          <w:tcPr>
            <w:tcW w:w="1072" w:type="dxa"/>
          </w:tcPr>
          <w:p w14:paraId="2ECC8B53"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 10% and</w:t>
            </w:r>
          </w:p>
          <w:p w14:paraId="7809AB18"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&lt; 20%</w:t>
            </w:r>
          </w:p>
        </w:tc>
        <w:tc>
          <w:tcPr>
            <w:tcW w:w="1072" w:type="dxa"/>
          </w:tcPr>
          <w:p w14:paraId="25F59D8C"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 20% and</w:t>
            </w:r>
          </w:p>
          <w:p w14:paraId="5AA9D801"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&lt; 30%</w:t>
            </w:r>
          </w:p>
        </w:tc>
        <w:tc>
          <w:tcPr>
            <w:tcW w:w="1072" w:type="dxa"/>
          </w:tcPr>
          <w:p w14:paraId="40D07787"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 30% and</w:t>
            </w:r>
          </w:p>
          <w:p w14:paraId="188655BB"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&lt; 40%</w:t>
            </w:r>
          </w:p>
        </w:tc>
        <w:tc>
          <w:tcPr>
            <w:tcW w:w="1072" w:type="dxa"/>
          </w:tcPr>
          <w:p w14:paraId="749398AF"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 40% and</w:t>
            </w:r>
          </w:p>
          <w:p w14:paraId="5D5562CA"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&lt; 50%</w:t>
            </w:r>
          </w:p>
        </w:tc>
        <w:tc>
          <w:tcPr>
            <w:tcW w:w="1072" w:type="dxa"/>
          </w:tcPr>
          <w:p w14:paraId="2FBBCAE8"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 50% and</w:t>
            </w:r>
          </w:p>
          <w:p w14:paraId="5263F2DB"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&lt; 60%</w:t>
            </w:r>
          </w:p>
        </w:tc>
        <w:tc>
          <w:tcPr>
            <w:tcW w:w="1072" w:type="dxa"/>
          </w:tcPr>
          <w:p w14:paraId="5F68ADD3"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 60% and</w:t>
            </w:r>
          </w:p>
          <w:p w14:paraId="4DE15191"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&lt; 70%</w:t>
            </w:r>
          </w:p>
        </w:tc>
        <w:tc>
          <w:tcPr>
            <w:tcW w:w="1072" w:type="dxa"/>
          </w:tcPr>
          <w:p w14:paraId="58030051"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 70% and</w:t>
            </w:r>
          </w:p>
          <w:p w14:paraId="062FF8B3"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&lt; 80%</w:t>
            </w:r>
          </w:p>
        </w:tc>
        <w:tc>
          <w:tcPr>
            <w:tcW w:w="1072" w:type="dxa"/>
          </w:tcPr>
          <w:p w14:paraId="79649343"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 80%</w:t>
            </w:r>
          </w:p>
        </w:tc>
      </w:tr>
      <w:tr w:rsidR="006B4A66" w:rsidRPr="006B4A66" w14:paraId="12951DB5" w14:textId="77777777">
        <w:trPr>
          <w:trHeight w:val="65"/>
          <w:jc w:val="center"/>
        </w:trPr>
        <w:tc>
          <w:tcPr>
            <w:tcW w:w="9654" w:type="dxa"/>
            <w:gridSpan w:val="10"/>
          </w:tcPr>
          <w:p w14:paraId="18D73190"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Design Supply Fan Airflow Rate (cfm)</w:t>
            </w:r>
          </w:p>
        </w:tc>
      </w:tr>
      <w:tr w:rsidR="006B4A66" w:rsidRPr="006B4A66" w14:paraId="7552EF6B" w14:textId="77777777">
        <w:trPr>
          <w:gridAfter w:val="1"/>
          <w:wAfter w:w="6" w:type="dxa"/>
          <w:trHeight w:val="81"/>
          <w:jc w:val="center"/>
        </w:trPr>
        <w:tc>
          <w:tcPr>
            <w:tcW w:w="1072" w:type="dxa"/>
          </w:tcPr>
          <w:p w14:paraId="7DA16BA9"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 xml:space="preserve">4C, 5B </w:t>
            </w:r>
          </w:p>
        </w:tc>
        <w:tc>
          <w:tcPr>
            <w:tcW w:w="1072" w:type="dxa"/>
          </w:tcPr>
          <w:p w14:paraId="34AC3A77"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NR</w:t>
            </w:r>
          </w:p>
        </w:tc>
        <w:tc>
          <w:tcPr>
            <w:tcW w:w="1072" w:type="dxa"/>
          </w:tcPr>
          <w:p w14:paraId="4E4BBBAD"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NR</w:t>
            </w:r>
          </w:p>
        </w:tc>
        <w:tc>
          <w:tcPr>
            <w:tcW w:w="1072" w:type="dxa"/>
          </w:tcPr>
          <w:p w14:paraId="4A6BAA86"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NR</w:t>
            </w:r>
          </w:p>
        </w:tc>
        <w:tc>
          <w:tcPr>
            <w:tcW w:w="1072" w:type="dxa"/>
          </w:tcPr>
          <w:p w14:paraId="1F79A5E2"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NR</w:t>
            </w:r>
          </w:p>
        </w:tc>
        <w:tc>
          <w:tcPr>
            <w:tcW w:w="1072" w:type="dxa"/>
          </w:tcPr>
          <w:p w14:paraId="18DD825B"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NR</w:t>
            </w:r>
          </w:p>
        </w:tc>
        <w:tc>
          <w:tcPr>
            <w:tcW w:w="1072" w:type="dxa"/>
          </w:tcPr>
          <w:p w14:paraId="04DE99D4"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NR</w:t>
            </w:r>
          </w:p>
        </w:tc>
        <w:tc>
          <w:tcPr>
            <w:tcW w:w="1072" w:type="dxa"/>
          </w:tcPr>
          <w:p w14:paraId="6AC01967"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 5,000</w:t>
            </w:r>
          </w:p>
        </w:tc>
        <w:tc>
          <w:tcPr>
            <w:tcW w:w="1072" w:type="dxa"/>
          </w:tcPr>
          <w:p w14:paraId="669B77E1"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 5,000</w:t>
            </w:r>
          </w:p>
        </w:tc>
      </w:tr>
    </w:tbl>
    <w:p w14:paraId="09B7BF4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NR = Not required.</w:t>
      </w:r>
    </w:p>
    <w:p w14:paraId="6932C84F"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u w:val="single"/>
          <w14:ligatures w14:val="none"/>
        </w:rPr>
      </w:pPr>
      <w:r w:rsidRPr="006B4A66">
        <w:rPr>
          <w:rFonts w:ascii="Times New Roman" w:eastAsia="Calibri" w:hAnsi="Times New Roman" w:cs="Times New Roman"/>
          <w:b/>
          <w:bCs/>
          <w:color w:val="000000"/>
          <w:kern w:val="0"/>
          <w:sz w:val="24"/>
          <w:u w:val="single"/>
          <w14:ligatures w14:val="none"/>
        </w:rPr>
        <w:t>Table C403.7.6(2)</w:t>
      </w:r>
    </w:p>
    <w:p w14:paraId="5C3B68A5"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u w:val="single"/>
          <w14:ligatures w14:val="none"/>
        </w:rPr>
      </w:pPr>
      <w:r w:rsidRPr="006B4A66">
        <w:rPr>
          <w:rFonts w:ascii="Times New Roman" w:eastAsia="Calibri" w:hAnsi="Times New Roman" w:cs="Times New Roman"/>
          <w:b/>
          <w:bCs/>
          <w:color w:val="000000"/>
          <w:kern w:val="0"/>
          <w:sz w:val="24"/>
          <w:u w:val="single"/>
          <w14:ligatures w14:val="none"/>
        </w:rPr>
        <w:t>Energy Recovery Requirement</w:t>
      </w:r>
    </w:p>
    <w:tbl>
      <w:tblPr>
        <w:tblW w:w="9651"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2"/>
        <w:gridCol w:w="1072"/>
        <w:gridCol w:w="1072"/>
        <w:gridCol w:w="1072"/>
        <w:gridCol w:w="1072"/>
        <w:gridCol w:w="1072"/>
        <w:gridCol w:w="1072"/>
        <w:gridCol w:w="1072"/>
        <w:gridCol w:w="1075"/>
      </w:tblGrid>
      <w:tr w:rsidR="006B4A66" w:rsidRPr="006B4A66" w14:paraId="6EE3E1B7" w14:textId="77777777" w:rsidTr="00A76114">
        <w:trPr>
          <w:trHeight w:val="65"/>
        </w:trPr>
        <w:tc>
          <w:tcPr>
            <w:tcW w:w="9651" w:type="dxa"/>
            <w:gridSpan w:val="9"/>
          </w:tcPr>
          <w:p w14:paraId="6E2A7BFF"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Percent (%) Outdoor Air at Full Design Airflow Rate</w:t>
            </w:r>
          </w:p>
        </w:tc>
      </w:tr>
      <w:tr w:rsidR="006B4A66" w:rsidRPr="006B4A66" w14:paraId="682A6329" w14:textId="77777777" w:rsidTr="00A76114">
        <w:trPr>
          <w:trHeight w:val="191"/>
        </w:trPr>
        <w:tc>
          <w:tcPr>
            <w:tcW w:w="1072" w:type="dxa"/>
          </w:tcPr>
          <w:p w14:paraId="375721E4"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Climate zone</w:t>
            </w:r>
          </w:p>
        </w:tc>
        <w:tc>
          <w:tcPr>
            <w:tcW w:w="1072" w:type="dxa"/>
          </w:tcPr>
          <w:p w14:paraId="24BBFDC6"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 10% and</w:t>
            </w:r>
          </w:p>
          <w:p w14:paraId="5B035584"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&lt; 20%</w:t>
            </w:r>
          </w:p>
        </w:tc>
        <w:tc>
          <w:tcPr>
            <w:tcW w:w="1072" w:type="dxa"/>
          </w:tcPr>
          <w:p w14:paraId="29F498D3"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 20% and</w:t>
            </w:r>
          </w:p>
          <w:p w14:paraId="27979166"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&lt; 30%</w:t>
            </w:r>
          </w:p>
        </w:tc>
        <w:tc>
          <w:tcPr>
            <w:tcW w:w="1072" w:type="dxa"/>
          </w:tcPr>
          <w:p w14:paraId="7CB1B91D"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 30% and</w:t>
            </w:r>
          </w:p>
          <w:p w14:paraId="49177D2E"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&lt; 40%</w:t>
            </w:r>
          </w:p>
        </w:tc>
        <w:tc>
          <w:tcPr>
            <w:tcW w:w="1072" w:type="dxa"/>
          </w:tcPr>
          <w:p w14:paraId="252A1A11"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 40% and</w:t>
            </w:r>
          </w:p>
          <w:p w14:paraId="5B36B52C"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&lt; 50%</w:t>
            </w:r>
          </w:p>
        </w:tc>
        <w:tc>
          <w:tcPr>
            <w:tcW w:w="1072" w:type="dxa"/>
          </w:tcPr>
          <w:p w14:paraId="5CD13F43"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 50% and</w:t>
            </w:r>
          </w:p>
          <w:p w14:paraId="6274C4DB"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&lt; 60%</w:t>
            </w:r>
          </w:p>
        </w:tc>
        <w:tc>
          <w:tcPr>
            <w:tcW w:w="1072" w:type="dxa"/>
          </w:tcPr>
          <w:p w14:paraId="34B0E565"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 60% and</w:t>
            </w:r>
          </w:p>
          <w:p w14:paraId="015D1362"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&lt; 70%</w:t>
            </w:r>
          </w:p>
        </w:tc>
        <w:tc>
          <w:tcPr>
            <w:tcW w:w="1072" w:type="dxa"/>
          </w:tcPr>
          <w:p w14:paraId="6ABD5936"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 70% and</w:t>
            </w:r>
          </w:p>
          <w:p w14:paraId="7D1458D0"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&lt; 80%</w:t>
            </w:r>
          </w:p>
        </w:tc>
        <w:tc>
          <w:tcPr>
            <w:tcW w:w="1075" w:type="dxa"/>
          </w:tcPr>
          <w:p w14:paraId="10A013F5"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 80%</w:t>
            </w:r>
          </w:p>
        </w:tc>
      </w:tr>
      <w:tr w:rsidR="006B4A66" w:rsidRPr="006B4A66" w14:paraId="37E4F3A5" w14:textId="77777777" w:rsidTr="00A76114">
        <w:trPr>
          <w:trHeight w:val="65"/>
        </w:trPr>
        <w:tc>
          <w:tcPr>
            <w:tcW w:w="9651" w:type="dxa"/>
            <w:gridSpan w:val="9"/>
          </w:tcPr>
          <w:p w14:paraId="3D2B0ED6"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Design Supply Fan Airflow Rate (cfm)</w:t>
            </w:r>
          </w:p>
        </w:tc>
      </w:tr>
      <w:tr w:rsidR="006B4A66" w:rsidRPr="006B4A66" w14:paraId="223AB4CF" w14:textId="77777777" w:rsidTr="00A76114">
        <w:trPr>
          <w:trHeight w:val="81"/>
        </w:trPr>
        <w:tc>
          <w:tcPr>
            <w:tcW w:w="1072" w:type="dxa"/>
          </w:tcPr>
          <w:p w14:paraId="6563DADA"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4C</w:t>
            </w:r>
          </w:p>
        </w:tc>
        <w:tc>
          <w:tcPr>
            <w:tcW w:w="1072" w:type="dxa"/>
          </w:tcPr>
          <w:p w14:paraId="42CFDC33"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NR</w:t>
            </w:r>
          </w:p>
        </w:tc>
        <w:tc>
          <w:tcPr>
            <w:tcW w:w="1072" w:type="dxa"/>
          </w:tcPr>
          <w:p w14:paraId="3B3F65CC"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 19,500</w:t>
            </w:r>
          </w:p>
        </w:tc>
        <w:tc>
          <w:tcPr>
            <w:tcW w:w="1072" w:type="dxa"/>
          </w:tcPr>
          <w:p w14:paraId="0A3111B6"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 9,000</w:t>
            </w:r>
          </w:p>
        </w:tc>
        <w:tc>
          <w:tcPr>
            <w:tcW w:w="1072" w:type="dxa"/>
          </w:tcPr>
          <w:p w14:paraId="17813B5A"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 5,000</w:t>
            </w:r>
          </w:p>
        </w:tc>
        <w:tc>
          <w:tcPr>
            <w:tcW w:w="1072" w:type="dxa"/>
          </w:tcPr>
          <w:p w14:paraId="53CEA311"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 4,000</w:t>
            </w:r>
          </w:p>
        </w:tc>
        <w:tc>
          <w:tcPr>
            <w:tcW w:w="1072" w:type="dxa"/>
          </w:tcPr>
          <w:p w14:paraId="3952A5EF"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 3,000</w:t>
            </w:r>
          </w:p>
        </w:tc>
        <w:tc>
          <w:tcPr>
            <w:tcW w:w="1072" w:type="dxa"/>
          </w:tcPr>
          <w:p w14:paraId="32B484BC"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 1,500</w:t>
            </w:r>
          </w:p>
        </w:tc>
        <w:tc>
          <w:tcPr>
            <w:tcW w:w="1075" w:type="dxa"/>
          </w:tcPr>
          <w:p w14:paraId="52550201"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 120</w:t>
            </w:r>
          </w:p>
        </w:tc>
      </w:tr>
      <w:tr w:rsidR="006B4A66" w:rsidRPr="006B4A66" w14:paraId="59E7FDB9" w14:textId="77777777" w:rsidTr="00A76114">
        <w:trPr>
          <w:trHeight w:val="81"/>
        </w:trPr>
        <w:tc>
          <w:tcPr>
            <w:tcW w:w="1072" w:type="dxa"/>
          </w:tcPr>
          <w:p w14:paraId="413737E0"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5B</w:t>
            </w:r>
          </w:p>
        </w:tc>
        <w:tc>
          <w:tcPr>
            <w:tcW w:w="1072" w:type="dxa"/>
          </w:tcPr>
          <w:p w14:paraId="7E675B92"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 2,500</w:t>
            </w:r>
          </w:p>
        </w:tc>
        <w:tc>
          <w:tcPr>
            <w:tcW w:w="1072" w:type="dxa"/>
          </w:tcPr>
          <w:p w14:paraId="5E30F004"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 2,000</w:t>
            </w:r>
          </w:p>
        </w:tc>
        <w:tc>
          <w:tcPr>
            <w:tcW w:w="1072" w:type="dxa"/>
          </w:tcPr>
          <w:p w14:paraId="1674AC96"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 1,000</w:t>
            </w:r>
          </w:p>
        </w:tc>
        <w:tc>
          <w:tcPr>
            <w:tcW w:w="1072" w:type="dxa"/>
          </w:tcPr>
          <w:p w14:paraId="150DB5E2"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 500</w:t>
            </w:r>
          </w:p>
        </w:tc>
        <w:tc>
          <w:tcPr>
            <w:tcW w:w="1072" w:type="dxa"/>
          </w:tcPr>
          <w:p w14:paraId="4A076C34"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 140</w:t>
            </w:r>
          </w:p>
        </w:tc>
        <w:tc>
          <w:tcPr>
            <w:tcW w:w="1072" w:type="dxa"/>
          </w:tcPr>
          <w:p w14:paraId="19CEDD36"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 120</w:t>
            </w:r>
          </w:p>
        </w:tc>
        <w:tc>
          <w:tcPr>
            <w:tcW w:w="1072" w:type="dxa"/>
          </w:tcPr>
          <w:p w14:paraId="30091DAF"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 100</w:t>
            </w:r>
          </w:p>
        </w:tc>
        <w:tc>
          <w:tcPr>
            <w:tcW w:w="1075" w:type="dxa"/>
          </w:tcPr>
          <w:p w14:paraId="68C49DD6" w14:textId="77777777" w:rsidR="006B4A66" w:rsidRPr="006B4A66" w:rsidRDefault="006B4A66" w:rsidP="0073496A">
            <w:pPr>
              <w:spacing w:after="0" w:line="480" w:lineRule="auto"/>
              <w:rPr>
                <w:rFonts w:ascii="Times New Roman" w:eastAsia="Calibri" w:hAnsi="Times New Roman" w:cs="Times New Roman"/>
                <w:color w:val="000000"/>
                <w:kern w:val="0"/>
                <w:sz w:val="20"/>
                <w:szCs w:val="20"/>
                <w:u w:val="single"/>
                <w14:ligatures w14:val="none"/>
              </w:rPr>
            </w:pPr>
            <w:r w:rsidRPr="006B4A66">
              <w:rPr>
                <w:rFonts w:ascii="Times New Roman" w:eastAsia="Calibri" w:hAnsi="Times New Roman" w:cs="Times New Roman"/>
                <w:color w:val="000000"/>
                <w:kern w:val="0"/>
                <w:sz w:val="20"/>
                <w:szCs w:val="20"/>
                <w:u w:val="single"/>
                <w14:ligatures w14:val="none"/>
              </w:rPr>
              <w:t>≥ 80</w:t>
            </w:r>
          </w:p>
        </w:tc>
      </w:tr>
    </w:tbl>
    <w:p w14:paraId="33FD7A0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NR = Not required.</w:t>
      </w:r>
    </w:p>
    <w:p w14:paraId="1E3F0D87" w14:textId="088BAD24"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67.</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73F6A33F"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Section C403.7.8.1 of the Washington State Energy Code is not adopted and the following is substituted:</w:t>
      </w:r>
    </w:p>
    <w:p w14:paraId="57E1925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Shutoff dampers for building isolation (WSEC C403.7.8.1).</w:t>
      </w:r>
      <w:r w:rsidRPr="006B4A66">
        <w:rPr>
          <w:rFonts w:ascii="Times New Roman" w:eastAsia="Calibri" w:hAnsi="Times New Roman" w:cs="Times New Roman"/>
          <w:color w:val="000000"/>
          <w:kern w:val="0"/>
          <w:sz w:val="24"/>
          <w14:ligatures w14:val="none"/>
        </w:rPr>
        <w:t xml:space="preserve">  Outdoor air supply, exhaust openings and relief outlets, and stairway and elevator hoistway shaft vents shall be provided with Class I motorized dampers.  See WSEC C403.10.1 and </w:t>
      </w:r>
      <w:r w:rsidRPr="006B4A66">
        <w:rPr>
          <w:rFonts w:ascii="Times New Roman" w:eastAsia="Calibri" w:hAnsi="Times New Roman" w:cs="Times New Roman"/>
          <w:color w:val="000000"/>
          <w:kern w:val="0"/>
          <w:sz w:val="24"/>
          <w14:ligatures w14:val="none"/>
        </w:rPr>
        <w:lastRenderedPageBreak/>
        <w:t>C403.10.2 for ductwork insulation requirements upstream and downstream of the shutoff damper.</w:t>
      </w:r>
    </w:p>
    <w:p w14:paraId="03B8B19C" w14:textId="77777777" w:rsidR="006B4A66" w:rsidRPr="006B4A66" w:rsidRDefault="006B4A66" w:rsidP="0073496A">
      <w:pPr>
        <w:tabs>
          <w:tab w:val="left" w:pos="720"/>
        </w:tabs>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ab/>
        <w:t>EXCEPTIONS:</w:t>
      </w:r>
    </w:p>
    <w:p w14:paraId="5F826D8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Gravity (nonmotorized) dampers shall be permitted in lieu of motorized dampers as follows:</w:t>
      </w:r>
    </w:p>
    <w:p w14:paraId="29B00B2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1.1.  Relief dampers serving systems less than 300 cubic feet per minute (142 liters per second) total supply shall be permitted.</w:t>
      </w:r>
    </w:p>
    <w:p w14:paraId="61A821A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1.2.  Gravity (nonmotorized) dampers where the design outdoor air intake or exhaust capacity does not exceed 300 cubic feet per minute (142 liters per second).</w:t>
      </w:r>
    </w:p>
    <w:p w14:paraId="0A2082C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1.3.  Systems serving areas which require continuous operation for continuous occupancy schedules.</w:t>
      </w:r>
    </w:p>
    <w:p w14:paraId="1C46B89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Shutoff dampers are not required in:</w:t>
      </w:r>
    </w:p>
    <w:p w14:paraId="6024ECB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2.1.  Combustion air intakes.</w:t>
      </w:r>
    </w:p>
    <w:p w14:paraId="039B3E7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2.2.  Systems serving areas which require continuous operation in animal hospitals, kennels and pounds, laboratories, and Group H, I and R occupancies.</w:t>
      </w:r>
    </w:p>
    <w:p w14:paraId="75B753D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2.3.  Subduct exhaust systems or other systems that are required to operate continuously by the IMC.</w:t>
      </w:r>
    </w:p>
    <w:p w14:paraId="151809F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2.4.  Type I grease exhaust systems or other systems where dampers are prohibited by the IMC to be in the airstream.</w:t>
      </w:r>
    </w:p>
    <w:p w14:paraId="56431EA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2.5.  Unconditioned stairwells or unconditioned elevator hoistway shafts that are only connected to unconditioned spaces.</w:t>
      </w:r>
    </w:p>
    <w:p w14:paraId="67FC936F" w14:textId="717DEB8F"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68.</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5FB0F931"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lastRenderedPageBreak/>
        <w:tab/>
        <w:t>Section C403.8.4 of the Washington State Energy Code is not adopted and the following is substituted:</w:t>
      </w:r>
    </w:p>
    <w:p w14:paraId="2354ADE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Low capacity fans (WSEC C403.8.4).</w:t>
      </w:r>
      <w:r w:rsidRPr="006B4A66">
        <w:rPr>
          <w:rFonts w:ascii="Times New Roman" w:eastAsia="Calibri" w:hAnsi="Times New Roman" w:cs="Times New Roman"/>
          <w:color w:val="000000"/>
          <w:kern w:val="0"/>
          <w:sz w:val="24"/>
          <w14:ligatures w14:val="none"/>
        </w:rPr>
        <w:t xml:space="preserve">  Mechanical ventilation system types listed in WSEC Table C403.8.4 with an input power less than 746 watts or one horsepower shall meet the efficacy requirements of WSEC Table C403.8.4.  Airflow shall be tested in accordance with the test procedure referenced in WSEC Table C403.8.4 and listed.  The efficacy, airflow divided by power, shall be reported in the product listing or shall be derived from the input power and airflow values reported in the product listing or on the label.  The efficacy shall be determined using the input power at a listed airflow that is not less than the design airflow or shall be determined by interpolating between the input power at the two nearest listed airflow rates.  Design airflow, power, and efficacy shall be reported on the mechanical equipment schedule submitted in the permit documents.</w:t>
      </w:r>
    </w:p>
    <w:p w14:paraId="02A086B6" w14:textId="77777777" w:rsidR="006B4A66" w:rsidRPr="006B4A66" w:rsidRDefault="006B4A66" w:rsidP="0073496A">
      <w:pPr>
        <w:tabs>
          <w:tab w:val="left" w:pos="720"/>
        </w:tabs>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EXCEPTIONS:</w:t>
      </w:r>
    </w:p>
    <w:p w14:paraId="635C970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Where ventilation fans are a component of a listed heating or cooling appliance.</w:t>
      </w:r>
    </w:p>
    <w:p w14:paraId="721B007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Dryer exhaust duct power ventilators and domestic range booster fans that operate intermittently.</w:t>
      </w:r>
    </w:p>
    <w:p w14:paraId="10EE086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3.  Fans in radon mitigation systems.</w:t>
      </w:r>
    </w:p>
    <w:p w14:paraId="16C47D2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4.  Fans not covered within the scope of the test methods referenced in WSEC Table C403.8.5.</w:t>
      </w:r>
    </w:p>
    <w:p w14:paraId="0B01398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5.  Ceiling fans regulated under 10 CFR 430 Appendix U.</w:t>
      </w:r>
    </w:p>
    <w:p w14:paraId="4909928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6.  Mechanical ventilation system types with an input power greater than 62 watts having electronically commutated motors or motors with a minimum efficiency of 70 percent when rated in accordance with DOE 10 CFR 431.  Such systems shall also have the means to adjust motor speed for either balancing or remote control.  Belt-driven fans may use sheave adjustment for airflow balancing in lieu of a varying motor speed.  The efficiency shall be verified through certification under an approved certification program, or, where no certification program exists, the equipment efficiency rating shall be supported by data furnished by the motor manufacturer.</w:t>
      </w:r>
    </w:p>
    <w:p w14:paraId="0F479A7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The efficacy shall be determined at a listed airflow that is not less than the design airflow or shall be determined by interpolating between the efficacies determined at the two nearest listed airflow rates.</w:t>
      </w:r>
    </w:p>
    <w:p w14:paraId="48FCA084"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Table C403.8.4</w:t>
      </w:r>
    </w:p>
    <w:p w14:paraId="1EA6BC06"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Low-Capacity Ventilation Fan Efficacy</w:t>
      </w:r>
      <w:r w:rsidRPr="006B4A66">
        <w:rPr>
          <w:rFonts w:ascii="Times New Roman" w:eastAsia="Calibri" w:hAnsi="Times New Roman" w:cs="Times New Roman"/>
          <w:b/>
          <w:bCs/>
          <w:color w:val="000000"/>
          <w:kern w:val="0"/>
          <w:sz w:val="24"/>
          <w:vertAlign w:val="superscript"/>
          <w14:ligatures w14:val="none"/>
        </w:rPr>
        <w:t>a</w:t>
      </w:r>
    </w:p>
    <w:tbl>
      <w:tblPr>
        <w:tblW w:w="98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3"/>
        <w:gridCol w:w="35"/>
        <w:gridCol w:w="1890"/>
        <w:gridCol w:w="1980"/>
        <w:gridCol w:w="1890"/>
        <w:gridCol w:w="2058"/>
      </w:tblGrid>
      <w:tr w:rsidR="006B4A66" w:rsidRPr="006B4A66" w14:paraId="14CFD8EC" w14:textId="77777777">
        <w:trPr>
          <w:trHeight w:val="147"/>
        </w:trPr>
        <w:tc>
          <w:tcPr>
            <w:tcW w:w="1963" w:type="dxa"/>
          </w:tcPr>
          <w:p w14:paraId="7D88045F"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System Type</w:t>
            </w:r>
          </w:p>
        </w:tc>
        <w:tc>
          <w:tcPr>
            <w:tcW w:w="1925" w:type="dxa"/>
            <w:gridSpan w:val="2"/>
          </w:tcPr>
          <w:p w14:paraId="661CBAA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Airflow Rate (cfm)</w:t>
            </w:r>
          </w:p>
        </w:tc>
        <w:tc>
          <w:tcPr>
            <w:tcW w:w="1980" w:type="dxa"/>
          </w:tcPr>
          <w:p w14:paraId="77327CF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Minimum Efficacy (cfm/watt)</w:t>
            </w:r>
          </w:p>
        </w:tc>
        <w:tc>
          <w:tcPr>
            <w:tcW w:w="1890" w:type="dxa"/>
          </w:tcPr>
          <w:p w14:paraId="66F06B0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Minimum Static Pressure for Testing</w:t>
            </w:r>
          </w:p>
        </w:tc>
        <w:tc>
          <w:tcPr>
            <w:tcW w:w="2058" w:type="dxa"/>
          </w:tcPr>
          <w:p w14:paraId="3046524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Test Procedure</w:t>
            </w:r>
          </w:p>
        </w:tc>
      </w:tr>
      <w:tr w:rsidR="006B4A66" w:rsidRPr="006B4A66" w14:paraId="2B9A128F" w14:textId="77777777">
        <w:trPr>
          <w:trHeight w:val="185"/>
        </w:trPr>
        <w:tc>
          <w:tcPr>
            <w:tcW w:w="1963" w:type="dxa"/>
          </w:tcPr>
          <w:p w14:paraId="04C188C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Balanced ventilation system without heat or energy recovery</w:t>
            </w:r>
          </w:p>
        </w:tc>
        <w:tc>
          <w:tcPr>
            <w:tcW w:w="1925" w:type="dxa"/>
            <w:gridSpan w:val="2"/>
          </w:tcPr>
          <w:p w14:paraId="0FA86F11"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Any</w:t>
            </w:r>
          </w:p>
        </w:tc>
        <w:tc>
          <w:tcPr>
            <w:tcW w:w="1980" w:type="dxa"/>
          </w:tcPr>
          <w:p w14:paraId="4BB9AAEE" w14:textId="77777777" w:rsidR="006B4A66" w:rsidRPr="006B4A66" w:rsidRDefault="006B4A66" w:rsidP="0073496A">
            <w:pPr>
              <w:spacing w:after="0" w:line="480" w:lineRule="auto"/>
              <w:rPr>
                <w:rFonts w:ascii="Times New Roman" w:eastAsia="Calibri" w:hAnsi="Times New Roman" w:cs="Times New Roman"/>
                <w:color w:val="000000"/>
                <w:kern w:val="0"/>
                <w:sz w:val="24"/>
                <w:vertAlign w:val="superscript"/>
                <w14:ligatures w14:val="none"/>
              </w:rPr>
            </w:pPr>
            <w:r w:rsidRPr="006B4A66">
              <w:rPr>
                <w:rFonts w:ascii="Times New Roman" w:eastAsia="Calibri" w:hAnsi="Times New Roman" w:cs="Times New Roman"/>
                <w:color w:val="000000"/>
                <w:kern w:val="0"/>
                <w:sz w:val="24"/>
                <w14:ligatures w14:val="none"/>
              </w:rPr>
              <w:t>1.2</w:t>
            </w:r>
            <w:r w:rsidRPr="006B4A66">
              <w:rPr>
                <w:rFonts w:ascii="Times New Roman" w:eastAsia="Calibri" w:hAnsi="Times New Roman" w:cs="Times New Roman"/>
                <w:color w:val="000000"/>
                <w:kern w:val="0"/>
                <w:sz w:val="24"/>
                <w:vertAlign w:val="superscript"/>
                <w14:ligatures w14:val="none"/>
              </w:rPr>
              <w:t>a</w:t>
            </w:r>
          </w:p>
        </w:tc>
        <w:tc>
          <w:tcPr>
            <w:tcW w:w="1890" w:type="dxa"/>
          </w:tcPr>
          <w:p w14:paraId="2CDF3871"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0.2 inch w.c.</w:t>
            </w:r>
          </w:p>
        </w:tc>
        <w:tc>
          <w:tcPr>
            <w:tcW w:w="2058" w:type="dxa"/>
          </w:tcPr>
          <w:p w14:paraId="0A85019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ASHRAE Standard 51 (ANSI/AMCA Standard 210)</w:t>
            </w:r>
          </w:p>
        </w:tc>
      </w:tr>
      <w:tr w:rsidR="006B4A66" w:rsidRPr="006B4A66" w14:paraId="20B04C25" w14:textId="77777777">
        <w:trPr>
          <w:trHeight w:val="109"/>
        </w:trPr>
        <w:tc>
          <w:tcPr>
            <w:tcW w:w="1963" w:type="dxa"/>
          </w:tcPr>
          <w:p w14:paraId="50C6CD9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HRV or ERV</w:t>
            </w:r>
          </w:p>
        </w:tc>
        <w:tc>
          <w:tcPr>
            <w:tcW w:w="1925" w:type="dxa"/>
            <w:gridSpan w:val="2"/>
          </w:tcPr>
          <w:p w14:paraId="75CA0B4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Any</w:t>
            </w:r>
          </w:p>
        </w:tc>
        <w:tc>
          <w:tcPr>
            <w:tcW w:w="1980" w:type="dxa"/>
          </w:tcPr>
          <w:p w14:paraId="63203C99"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1.7</w:t>
            </w:r>
            <w:r w:rsidRPr="006B4A66">
              <w:rPr>
                <w:rFonts w:ascii="Times New Roman" w:eastAsia="Calibri" w:hAnsi="Times New Roman" w:cs="Times New Roman"/>
                <w:color w:val="000000"/>
                <w:kern w:val="0"/>
                <w:sz w:val="24"/>
                <w:vertAlign w:val="superscript"/>
                <w14:ligatures w14:val="none"/>
              </w:rPr>
              <w:t>a</w:t>
            </w:r>
          </w:p>
        </w:tc>
        <w:tc>
          <w:tcPr>
            <w:tcW w:w="1890" w:type="dxa"/>
          </w:tcPr>
          <w:p w14:paraId="66C1994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0.2 inch w.c.</w:t>
            </w:r>
            <w:r w:rsidRPr="006B4A66">
              <w:rPr>
                <w:rFonts w:ascii="Times New Roman" w:eastAsia="Calibri" w:hAnsi="Times New Roman" w:cs="Times New Roman"/>
                <w:color w:val="000000"/>
                <w:kern w:val="0"/>
                <w:sz w:val="24"/>
                <w:vertAlign w:val="superscript"/>
                <w14:ligatures w14:val="none"/>
              </w:rPr>
              <w:t>b</w:t>
            </w:r>
          </w:p>
        </w:tc>
        <w:tc>
          <w:tcPr>
            <w:tcW w:w="2058" w:type="dxa"/>
          </w:tcPr>
          <w:p w14:paraId="2C219DD2"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CAN/CSA 439-18</w:t>
            </w:r>
          </w:p>
        </w:tc>
      </w:tr>
      <w:tr w:rsidR="006B4A66" w:rsidRPr="006B4A66" w14:paraId="29C7BD7E" w14:textId="77777777">
        <w:trPr>
          <w:trHeight w:val="182"/>
        </w:trPr>
        <w:tc>
          <w:tcPr>
            <w:tcW w:w="1963" w:type="dxa"/>
          </w:tcPr>
          <w:p w14:paraId="2665EC8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Range hood </w:t>
            </w:r>
          </w:p>
        </w:tc>
        <w:tc>
          <w:tcPr>
            <w:tcW w:w="1925" w:type="dxa"/>
            <w:gridSpan w:val="2"/>
          </w:tcPr>
          <w:p w14:paraId="2F2FBCA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Any</w:t>
            </w:r>
          </w:p>
        </w:tc>
        <w:tc>
          <w:tcPr>
            <w:tcW w:w="1980" w:type="dxa"/>
          </w:tcPr>
          <w:p w14:paraId="556522B1"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2.8</w:t>
            </w:r>
          </w:p>
        </w:tc>
        <w:tc>
          <w:tcPr>
            <w:tcW w:w="1890" w:type="dxa"/>
          </w:tcPr>
          <w:p w14:paraId="23F0B9D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0.1 inch w.c.</w:t>
            </w:r>
          </w:p>
        </w:tc>
        <w:tc>
          <w:tcPr>
            <w:tcW w:w="2058" w:type="dxa"/>
            <w:vMerge w:val="restart"/>
          </w:tcPr>
          <w:p w14:paraId="6516494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ASHRAE 51 </w:t>
            </w:r>
          </w:p>
          <w:p w14:paraId="23059F9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(ANSI/AMCA Standard 210)</w:t>
            </w:r>
          </w:p>
        </w:tc>
      </w:tr>
      <w:tr w:rsidR="006B4A66" w:rsidRPr="006B4A66" w14:paraId="2D2A70A6" w14:textId="77777777">
        <w:trPr>
          <w:trHeight w:val="81"/>
        </w:trPr>
        <w:tc>
          <w:tcPr>
            <w:tcW w:w="1998" w:type="dxa"/>
            <w:gridSpan w:val="2"/>
          </w:tcPr>
          <w:p w14:paraId="6EBD649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In-line supply or exhaust fan</w:t>
            </w:r>
          </w:p>
        </w:tc>
        <w:tc>
          <w:tcPr>
            <w:tcW w:w="1890" w:type="dxa"/>
          </w:tcPr>
          <w:p w14:paraId="72C9ACB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Any</w:t>
            </w:r>
          </w:p>
        </w:tc>
        <w:tc>
          <w:tcPr>
            <w:tcW w:w="1980" w:type="dxa"/>
          </w:tcPr>
          <w:p w14:paraId="3DF3754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3.8</w:t>
            </w:r>
          </w:p>
        </w:tc>
        <w:tc>
          <w:tcPr>
            <w:tcW w:w="1890" w:type="dxa"/>
          </w:tcPr>
          <w:p w14:paraId="3FE79A7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0.2 inch w.c.</w:t>
            </w:r>
          </w:p>
        </w:tc>
        <w:tc>
          <w:tcPr>
            <w:tcW w:w="2058" w:type="dxa"/>
            <w:vMerge/>
          </w:tcPr>
          <w:p w14:paraId="331E518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r>
      <w:tr w:rsidR="006B4A66" w:rsidRPr="006B4A66" w14:paraId="78D38792" w14:textId="77777777">
        <w:trPr>
          <w:trHeight w:val="81"/>
        </w:trPr>
        <w:tc>
          <w:tcPr>
            <w:tcW w:w="1998" w:type="dxa"/>
            <w:gridSpan w:val="2"/>
            <w:vMerge w:val="restart"/>
          </w:tcPr>
          <w:p w14:paraId="50306A85"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Other exhaust fan</w:t>
            </w:r>
          </w:p>
        </w:tc>
        <w:tc>
          <w:tcPr>
            <w:tcW w:w="1890" w:type="dxa"/>
          </w:tcPr>
          <w:p w14:paraId="6C733E7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&lt;90</w:t>
            </w:r>
          </w:p>
        </w:tc>
        <w:tc>
          <w:tcPr>
            <w:tcW w:w="1980" w:type="dxa"/>
          </w:tcPr>
          <w:p w14:paraId="1C304661"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2.8</w:t>
            </w:r>
          </w:p>
        </w:tc>
        <w:tc>
          <w:tcPr>
            <w:tcW w:w="1890" w:type="dxa"/>
          </w:tcPr>
          <w:p w14:paraId="0308C77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0.1 inch w.c.</w:t>
            </w:r>
          </w:p>
        </w:tc>
        <w:tc>
          <w:tcPr>
            <w:tcW w:w="2058" w:type="dxa"/>
            <w:vMerge/>
          </w:tcPr>
          <w:p w14:paraId="02D9CE7F"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r>
      <w:tr w:rsidR="006B4A66" w:rsidRPr="006B4A66" w14:paraId="27FEC2F7" w14:textId="77777777">
        <w:trPr>
          <w:trHeight w:val="81"/>
        </w:trPr>
        <w:tc>
          <w:tcPr>
            <w:tcW w:w="1998" w:type="dxa"/>
            <w:gridSpan w:val="2"/>
            <w:vMerge/>
          </w:tcPr>
          <w:p w14:paraId="6604EE0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c>
          <w:tcPr>
            <w:tcW w:w="1890" w:type="dxa"/>
          </w:tcPr>
          <w:p w14:paraId="662CA729"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&gt;90 and &lt;200</w:t>
            </w:r>
          </w:p>
        </w:tc>
        <w:tc>
          <w:tcPr>
            <w:tcW w:w="1980" w:type="dxa"/>
          </w:tcPr>
          <w:p w14:paraId="5A15AC3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3.5</w:t>
            </w:r>
          </w:p>
        </w:tc>
        <w:tc>
          <w:tcPr>
            <w:tcW w:w="1890" w:type="dxa"/>
          </w:tcPr>
          <w:p w14:paraId="0C7C3EB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0.1 inch w.c.</w:t>
            </w:r>
          </w:p>
        </w:tc>
        <w:tc>
          <w:tcPr>
            <w:tcW w:w="2058" w:type="dxa"/>
            <w:vMerge/>
          </w:tcPr>
          <w:p w14:paraId="157E43E1"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r>
      <w:tr w:rsidR="006B4A66" w:rsidRPr="006B4A66" w14:paraId="1E35411C" w14:textId="77777777">
        <w:trPr>
          <w:trHeight w:val="81"/>
        </w:trPr>
        <w:tc>
          <w:tcPr>
            <w:tcW w:w="1998" w:type="dxa"/>
            <w:gridSpan w:val="2"/>
            <w:vMerge/>
          </w:tcPr>
          <w:p w14:paraId="738A485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c>
          <w:tcPr>
            <w:tcW w:w="1890" w:type="dxa"/>
          </w:tcPr>
          <w:p w14:paraId="1B06C7F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&gt;200</w:t>
            </w:r>
          </w:p>
        </w:tc>
        <w:tc>
          <w:tcPr>
            <w:tcW w:w="1980" w:type="dxa"/>
          </w:tcPr>
          <w:p w14:paraId="6E3220C6"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4.0</w:t>
            </w:r>
          </w:p>
        </w:tc>
        <w:tc>
          <w:tcPr>
            <w:tcW w:w="1890" w:type="dxa"/>
          </w:tcPr>
          <w:p w14:paraId="1420482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0.1 inch w.c.</w:t>
            </w:r>
          </w:p>
        </w:tc>
        <w:tc>
          <w:tcPr>
            <w:tcW w:w="2058" w:type="dxa"/>
            <w:vMerge/>
          </w:tcPr>
          <w:p w14:paraId="357D2D0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r>
    </w:tbl>
    <w:p w14:paraId="7C0F814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w.c. = inches of water column</w:t>
      </w:r>
    </w:p>
    <w:p w14:paraId="79E02E4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For SI:  1 cubic foot per minute = 47.82 watts.</w:t>
      </w:r>
    </w:p>
    <w:p w14:paraId="285D3D2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Footnotes:</w:t>
      </w:r>
    </w:p>
    <w:p w14:paraId="1C00D54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a.  For balanced systems, HRVs, and ERVs, the efficacy shall be determined as the outdoor airflow divided by the total fan power of the system.</w:t>
      </w:r>
    </w:p>
    <w:p w14:paraId="67027D7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b.  The minimum static pressure for determining HRV or ERV fan efficacy shall be 0.4 inch w.c. for airflows greater than or equal to 100 liters per second.</w:t>
      </w:r>
    </w:p>
    <w:p w14:paraId="65938642" w14:textId="06C2B09C" w:rsidR="006B4A66" w:rsidRPr="006B4A66" w:rsidRDefault="006B4A66" w:rsidP="0073496A">
      <w:pPr>
        <w:tabs>
          <w:tab w:val="left" w:pos="720"/>
        </w:tabs>
        <w:spacing w:after="0" w:line="480" w:lineRule="auto"/>
        <w:ind w:firstLine="720"/>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u w:val="single"/>
          <w14:ligatures w14:val="none"/>
        </w:rPr>
        <w:t>NEW SECTION.  SECTION 69.</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679277E0" w14:textId="20373C4A" w:rsidR="006B4A66" w:rsidRPr="006B4A66" w:rsidRDefault="006B4A66" w:rsidP="0073496A">
      <w:pPr>
        <w:numPr>
          <w:ilvl w:val="0"/>
          <w:numId w:val="4"/>
        </w:num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Section C403.8 of the Washington State Energy Code is supplemented with the following:</w:t>
      </w:r>
    </w:p>
    <w:p w14:paraId="790DCDC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Occupied standby controls (WSEC C403.8.7).</w:t>
      </w:r>
      <w:r w:rsidRPr="006B4A66">
        <w:rPr>
          <w:rFonts w:ascii="Times New Roman" w:eastAsia="Calibri" w:hAnsi="Times New Roman" w:cs="Times New Roman"/>
          <w:color w:val="000000"/>
          <w:kern w:val="0"/>
          <w:sz w:val="24"/>
          <w14:ligatures w14:val="none"/>
        </w:rPr>
        <w:t xml:space="preserve">  Occupied standby controls in compliance with WSEC C403.8.7.1 and C403.8.7.2 are required for zones and systems serving zones where no less than 90 percent of the floor area of the zone consists of use types including those listed below and other space types with similar functions, and none of the spaces within the zone are required by the IMC to have ventilation airflow greater than zero when unoccupied:</w:t>
      </w:r>
    </w:p>
    <w:p w14:paraId="219C195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  Classroom/lecture/training rooms.</w:t>
      </w:r>
    </w:p>
    <w:p w14:paraId="7C860F7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 xml:space="preserve">  2.  Conference/meeting/multipurpose rooms.</w:t>
      </w:r>
    </w:p>
    <w:p w14:paraId="3E0C9D7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3.  Lounges and breakrooms.</w:t>
      </w:r>
    </w:p>
    <w:p w14:paraId="0502295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4.  Enclosed offices/open office areas/reception areas/lobbies.</w:t>
      </w:r>
    </w:p>
    <w:p w14:paraId="3EF998A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5.  Assembly areas.</w:t>
      </w:r>
    </w:p>
    <w:p w14:paraId="0862C7B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6.  Library stacks.</w:t>
      </w:r>
    </w:p>
    <w:p w14:paraId="50939689" w14:textId="77777777" w:rsidR="006B4A66" w:rsidRPr="006B4A66" w:rsidRDefault="006B4A66" w:rsidP="0073496A">
      <w:pPr>
        <w:tabs>
          <w:tab w:val="left" w:pos="720"/>
        </w:tabs>
        <w:spacing w:after="0" w:line="480" w:lineRule="auto"/>
        <w:ind w:firstLine="720"/>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C403.8.7.1 Occupied standby zone controls.  For zones meeting the occupied-standby control criteria, within 5 minutes of all rooms in that zone entering occupied-standby mode, the zone control shall operate as follows:</w:t>
      </w:r>
    </w:p>
    <w:p w14:paraId="4902D950" w14:textId="7E3E722D"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  Active heating set point shall be setback at least 1° Fahrenheit (</w:t>
      </w:r>
      <w:r w:rsidR="0093039D">
        <w:rPr>
          <w:rFonts w:ascii="Times New Roman" w:eastAsia="Calibri" w:hAnsi="Times New Roman" w:cs="Times New Roman"/>
          <w:color w:val="000000"/>
          <w:kern w:val="0"/>
          <w:sz w:val="24"/>
          <w14:ligatures w14:val="none"/>
        </w:rPr>
        <w:t>0.6</w:t>
      </w:r>
      <w:r w:rsidRPr="006B4A66">
        <w:rPr>
          <w:rFonts w:ascii="Times New Roman" w:eastAsia="Calibri" w:hAnsi="Times New Roman" w:cs="Times New Roman"/>
          <w:color w:val="000000"/>
          <w:kern w:val="0"/>
          <w:sz w:val="24"/>
          <w14:ligatures w14:val="none"/>
        </w:rPr>
        <w:t>° Celsius).</w:t>
      </w:r>
    </w:p>
    <w:p w14:paraId="0D57C036" w14:textId="3CAF2853"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2.  Active cooling set point shall be setup at least 1° Fahrenheit (</w:t>
      </w:r>
      <w:r w:rsidR="0093039D">
        <w:rPr>
          <w:rFonts w:ascii="Times New Roman" w:eastAsia="Calibri" w:hAnsi="Times New Roman" w:cs="Times New Roman"/>
          <w:color w:val="000000"/>
          <w:kern w:val="0"/>
          <w:sz w:val="24"/>
          <w14:ligatures w14:val="none"/>
        </w:rPr>
        <w:t>0.6</w:t>
      </w:r>
      <w:r w:rsidRPr="006B4A66">
        <w:rPr>
          <w:rFonts w:ascii="Times New Roman" w:eastAsia="Calibri" w:hAnsi="Times New Roman" w:cs="Times New Roman"/>
          <w:color w:val="000000"/>
          <w:kern w:val="0"/>
          <w:sz w:val="24"/>
          <w14:ligatures w14:val="none"/>
        </w:rPr>
        <w:t>° Celsius).</w:t>
      </w:r>
    </w:p>
    <w:p w14:paraId="7A758B8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3.  Airflow supplied to the zone shall be controlled as follows, depending on system type:</w:t>
      </w:r>
    </w:p>
    <w:p w14:paraId="0A77289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3.1.  Spaces that are required to have occupancy sensors in accordance with WSEC C403.7.2 are required to shut off the outdoor airflow in accordance with that section.</w:t>
      </w:r>
    </w:p>
    <w:p w14:paraId="185DF61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3.2.  DOAS that serve multiple heating and cooling system zones without automatic zone control dampers are not required to shut off the DOAS supply airflow by zone.  A system is considered a small DOAS when:</w:t>
      </w:r>
    </w:p>
    <w:p w14:paraId="67B59449" w14:textId="26AADB49" w:rsidR="006B4A66" w:rsidRPr="006B4A66" w:rsidRDefault="006B4A66" w:rsidP="0073496A">
      <w:pPr>
        <w:tabs>
          <w:tab w:val="left" w:pos="720"/>
        </w:tabs>
        <w:spacing w:after="0" w:line="480" w:lineRule="auto"/>
        <w:ind w:firstLine="720"/>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      a.  The area served is no greater than 25,000 square feet (2,323 square meters) of conditioned floor area; and</w:t>
      </w:r>
    </w:p>
    <w:p w14:paraId="3C069182" w14:textId="77777777" w:rsidR="006B4A66" w:rsidRPr="006B4A66" w:rsidRDefault="006B4A66" w:rsidP="0073496A">
      <w:pPr>
        <w:tabs>
          <w:tab w:val="left" w:pos="720"/>
        </w:tabs>
        <w:spacing w:after="0" w:line="480" w:lineRule="auto"/>
        <w:ind w:firstLine="720"/>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      b.  The DOAS does not serve more than one floor.</w:t>
      </w:r>
    </w:p>
    <w:p w14:paraId="6308EBA9" w14:textId="03AB3EEA" w:rsidR="006B4A66" w:rsidRPr="006B4A66" w:rsidRDefault="006B4A66" w:rsidP="0073496A">
      <w:pPr>
        <w:tabs>
          <w:tab w:val="left" w:pos="720"/>
        </w:tabs>
        <w:spacing w:after="0" w:line="480" w:lineRule="auto"/>
        <w:ind w:firstLine="720"/>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    3.3.  Other DOAS that serve multiple heating and cooling system zones without automatic zone control dampers are required to shut off the DOAS supply airflow when </w:t>
      </w:r>
      <w:r w:rsidRPr="006B4A66">
        <w:rPr>
          <w:rFonts w:ascii="Times New Roman" w:eastAsia="Calibri" w:hAnsi="Times New Roman" w:cs="Times New Roman"/>
          <w:color w:val="000000"/>
          <w:kern w:val="0"/>
          <w:sz w:val="24"/>
          <w14:ligatures w14:val="none"/>
        </w:rPr>
        <w:lastRenderedPageBreak/>
        <w:t>all the zones on any one floor or in any one area up to 25,000 square feet (2,323 square meters) enter occupied-standby mode.  The maximum zone sizes for DOAS supply airflow shutoff are as follows:</w:t>
      </w:r>
    </w:p>
    <w:p w14:paraId="68459E84" w14:textId="5B993DBF" w:rsidR="006B4A66" w:rsidRPr="006B4A66" w:rsidRDefault="006B4A66" w:rsidP="0073496A">
      <w:pPr>
        <w:tabs>
          <w:tab w:val="left" w:pos="720"/>
        </w:tabs>
        <w:spacing w:after="0" w:line="480" w:lineRule="auto"/>
        <w:ind w:firstLine="720"/>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      a.  25,000 square feet (2,323 square meters) of conditioned floor area; or</w:t>
      </w:r>
    </w:p>
    <w:p w14:paraId="51DF0BEA" w14:textId="77777777" w:rsidR="006B4A66" w:rsidRPr="006B4A66" w:rsidRDefault="006B4A66" w:rsidP="0073496A">
      <w:pPr>
        <w:tabs>
          <w:tab w:val="left" w:pos="720"/>
        </w:tabs>
        <w:spacing w:after="0" w:line="480" w:lineRule="auto"/>
        <w:ind w:firstLine="720"/>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      b.  not more than one floor.</w:t>
      </w:r>
    </w:p>
    <w:p w14:paraId="74D8E14D" w14:textId="77777777" w:rsidR="006B4A66" w:rsidRPr="006B4A66" w:rsidRDefault="006B4A66" w:rsidP="0073496A">
      <w:pPr>
        <w:tabs>
          <w:tab w:val="left" w:pos="720"/>
        </w:tabs>
        <w:spacing w:after="0" w:line="480" w:lineRule="auto"/>
        <w:ind w:firstLine="720"/>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    3.4.  For systems other than those identified in subsections 3.2. and 3.3., all airflow (outdoor airflow and supply airflow) supplied to the zone shall be shut off whenever the space temperature is between the active heating and cooling set points.</w:t>
      </w:r>
    </w:p>
    <w:p w14:paraId="3F484A3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w:t>
      </w:r>
      <w:r w:rsidRPr="006B4A66">
        <w:rPr>
          <w:rFonts w:ascii="Times New Roman" w:eastAsia="Calibri" w:hAnsi="Times New Roman" w:cs="Times New Roman"/>
          <w:color w:val="000000"/>
          <w:kern w:val="0"/>
          <w:sz w:val="24"/>
          <w14:ligatures w14:val="none"/>
        </w:rPr>
        <w:t xml:space="preserve">  Airflow (outdoor airflow and supply airflow) for replacement air or makeup air is permitted to be supplied during occupied-standby mode for any of the space types identified in 3.1 through 3.4 above.</w:t>
      </w:r>
    </w:p>
    <w:p w14:paraId="535535B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C403.8.7.2.  Occupied standby system controls.  Multiple zone systems that are capable of automatically resetting or that are required in accordance with WSEC C403.6.10 to reset the effective minimum outdoor air setpoint and that serve zones with occupied-standby zone controls shall reset the effective minimum outdoor air setpoint based on a zone outdoor air requirement of zero for all zones in occupied-standby mode. Sequences of operation for system outside air reset shall comply with an approved method.</w:t>
      </w:r>
    </w:p>
    <w:p w14:paraId="06FA9DBA"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w:t>
      </w:r>
      <w:r w:rsidRPr="006B4A66">
        <w:rPr>
          <w:rFonts w:ascii="Times New Roman" w:eastAsia="Calibri" w:hAnsi="Times New Roman" w:cs="Times New Roman"/>
          <w:color w:val="000000"/>
          <w:kern w:val="0"/>
          <w:sz w:val="24"/>
          <w14:ligatures w14:val="none"/>
        </w:rPr>
        <w:t xml:space="preserve">  Airflow (outdoor airflow and supply airflow) for replacement air or makeup air is permitted to be supplied during occupied-standby mode.</w:t>
      </w:r>
    </w:p>
    <w:p w14:paraId="57819FCB" w14:textId="75FDF443"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70.</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22DC0391" w14:textId="30EF42D2" w:rsidR="006B4A66" w:rsidRPr="006B4A66" w:rsidRDefault="006B4A66" w:rsidP="0073496A">
      <w:pPr>
        <w:numPr>
          <w:ilvl w:val="0"/>
          <w:numId w:val="4"/>
        </w:num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lastRenderedPageBreak/>
        <w:tab/>
        <w:t xml:space="preserve">Section C403.10.1.2 of the Washington State Energy Code is not adopted and </w:t>
      </w:r>
      <w:r w:rsidR="007345BA">
        <w:rPr>
          <w:rFonts w:ascii="Times New Roman" w:eastAsia="Times New Roman" w:hAnsi="Times New Roman" w:cs="Times New Roman"/>
          <w:color w:val="000000"/>
          <w:kern w:val="0"/>
          <w:sz w:val="24"/>
          <w:szCs w:val="24"/>
          <w14:ligatures w14:val="none"/>
        </w:rPr>
        <w:t xml:space="preserve">the following </w:t>
      </w:r>
      <w:r w:rsidRPr="006B4A66">
        <w:rPr>
          <w:rFonts w:ascii="Times New Roman" w:eastAsia="Times New Roman" w:hAnsi="Times New Roman" w:cs="Times New Roman"/>
          <w:color w:val="000000"/>
          <w:kern w:val="0"/>
          <w:sz w:val="24"/>
          <w:szCs w:val="24"/>
          <w14:ligatures w14:val="none"/>
        </w:rPr>
        <w:t>is substituted:</w:t>
      </w:r>
    </w:p>
    <w:p w14:paraId="6D819CD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tab/>
        <w:t>Other supply and return ducts (WSEC C403.10.1.2).</w:t>
      </w:r>
      <w:r w:rsidRPr="006B4A66">
        <w:rPr>
          <w:rFonts w:ascii="Times New Roman" w:eastAsia="Calibri" w:hAnsi="Times New Roman" w:cs="Times New Roman"/>
          <w:color w:val="000000"/>
          <w:kern w:val="0"/>
          <w:sz w:val="24"/>
          <w14:ligatures w14:val="none"/>
        </w:rPr>
        <w:t xml:space="preserve">  All other supply and return air ducts and plenums shall be insulated with a minimum of R-6 insulation where located in unconditioned spaces, and with a minimum of R-8 insulation where located outside the building in Climate Zone 4.  Ducts located underground beneath buildings shall be insulated as required in this section or have an equivalent thermal distribution efficiency.  Underground ducts utilizing the thermal distribution efficiency method shall be listed and labeled to indicate the R-value equivalency.  Where located within a building envelope assembly, the duct or plenum shall be separated from the building exterior or unconditioned or exempt spaces by minimum insulation value as required for exterior walls by WSEC C402.1.3.</w:t>
      </w:r>
    </w:p>
    <w:p w14:paraId="206A51FA" w14:textId="77777777" w:rsidR="006B4A66" w:rsidRPr="006B4A66" w:rsidRDefault="006B4A66" w:rsidP="0073496A">
      <w:pPr>
        <w:tabs>
          <w:tab w:val="left" w:pos="720"/>
        </w:tabs>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EXCEPTIONS:</w:t>
      </w:r>
    </w:p>
    <w:p w14:paraId="29D7991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Where located within equipment.</w:t>
      </w:r>
    </w:p>
    <w:p w14:paraId="4F190D2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Supply and return ductwork located in unconditioned spaces where the design temperature difference between the interior and exterior of the duct or plenum does not exceed 15° Fahrenheit (-9° Celsius) and are insulated in accordance with WSEC Table C403.10.1.2.</w:t>
      </w:r>
    </w:p>
    <w:p w14:paraId="0F1B60E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Where located within conditioned space, ducts that convey air from outside the conditioned space shall be insulated with a minimum insulation R-value in accordance with WSEC Table C403.10.1.2.</w:t>
      </w:r>
    </w:p>
    <w:p w14:paraId="286214F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Where located within conditioned space, ducts that convey ambient air to and from outside for the condenser section of HVAC heat pumps, service hot water heat </w:t>
      </w:r>
      <w:r w:rsidRPr="006B4A66">
        <w:rPr>
          <w:rFonts w:ascii="Times New Roman" w:eastAsia="Calibri" w:hAnsi="Times New Roman" w:cs="Times New Roman"/>
          <w:color w:val="000000"/>
          <w:kern w:val="0"/>
          <w:sz w:val="24"/>
          <w14:ligatures w14:val="none"/>
        </w:rPr>
        <w:lastRenderedPageBreak/>
        <w:t>pumps, or air conditioning units shall be insulated with a minimum insulation R-value in accordance with WSEC Table C403.10.1.2.</w:t>
      </w:r>
    </w:p>
    <w:p w14:paraId="55CA989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All ducts, air handlers, and filter boxes shall be sealed. Joints and seams shall comply with IMC 603.9.</w:t>
      </w:r>
    </w:p>
    <w:p w14:paraId="584D1C1E"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Table C403.10.1.2</w:t>
      </w:r>
    </w:p>
    <w:p w14:paraId="213C9260"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Supply, Return, Exhaust, and Relief Air Ductwork Insulation</w:t>
      </w:r>
    </w:p>
    <w:tbl>
      <w:tblPr>
        <w:tblW w:w="99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8"/>
        <w:gridCol w:w="1988"/>
        <w:gridCol w:w="1988"/>
        <w:gridCol w:w="1988"/>
        <w:gridCol w:w="1988"/>
      </w:tblGrid>
      <w:tr w:rsidR="006B4A66" w:rsidRPr="006B4A66" w14:paraId="41825F61" w14:textId="77777777" w:rsidTr="00A76114">
        <w:trPr>
          <w:trHeight w:val="248"/>
        </w:trPr>
        <w:tc>
          <w:tcPr>
            <w:tcW w:w="1988" w:type="dxa"/>
          </w:tcPr>
          <w:p w14:paraId="2BC840CC"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Duct System</w:t>
            </w:r>
          </w:p>
        </w:tc>
        <w:tc>
          <w:tcPr>
            <w:tcW w:w="1988" w:type="dxa"/>
          </w:tcPr>
          <w:p w14:paraId="3C6A965F"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Duct Location and Use</w:t>
            </w:r>
          </w:p>
        </w:tc>
        <w:tc>
          <w:tcPr>
            <w:tcW w:w="1988" w:type="dxa"/>
          </w:tcPr>
          <w:p w14:paraId="60178032"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Climate Zone</w:t>
            </w:r>
          </w:p>
        </w:tc>
        <w:tc>
          <w:tcPr>
            <w:tcW w:w="1988" w:type="dxa"/>
          </w:tcPr>
          <w:p w14:paraId="009DD529"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Minimum Installed Duct Insulation</w:t>
            </w:r>
          </w:p>
          <w:p w14:paraId="420734F3"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R-value</w:t>
            </w:r>
            <w:r w:rsidRPr="006B4A66">
              <w:rPr>
                <w:rFonts w:ascii="Times New Roman" w:eastAsia="Calibri" w:hAnsi="Times New Roman" w:cs="Times New Roman"/>
                <w:b/>
                <w:bCs/>
                <w:color w:val="000000"/>
                <w:kern w:val="0"/>
                <w:sz w:val="24"/>
                <w:vertAlign w:val="superscript"/>
                <w14:ligatures w14:val="none"/>
              </w:rPr>
              <w:t>a, b</w:t>
            </w:r>
          </w:p>
        </w:tc>
        <w:tc>
          <w:tcPr>
            <w:tcW w:w="1988" w:type="dxa"/>
          </w:tcPr>
          <w:p w14:paraId="29872AD1"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Notes</w:t>
            </w:r>
          </w:p>
        </w:tc>
      </w:tr>
      <w:tr w:rsidR="006B4A66" w:rsidRPr="006B4A66" w14:paraId="73C0F93F" w14:textId="77777777" w:rsidTr="00A76114">
        <w:trPr>
          <w:trHeight w:val="209"/>
        </w:trPr>
        <w:tc>
          <w:tcPr>
            <w:tcW w:w="1988" w:type="dxa"/>
          </w:tcPr>
          <w:p w14:paraId="4191E2B5"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Supply air or return air</w:t>
            </w:r>
          </w:p>
        </w:tc>
        <w:tc>
          <w:tcPr>
            <w:tcW w:w="1988" w:type="dxa"/>
          </w:tcPr>
          <w:p w14:paraId="14B304C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Outside the building (outdoors and </w:t>
            </w:r>
          </w:p>
          <w:p w14:paraId="32CA5980"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exposed to weather)</w:t>
            </w:r>
            <w:r w:rsidRPr="006B4A66">
              <w:rPr>
                <w:rFonts w:ascii="Times New Roman" w:eastAsia="Calibri" w:hAnsi="Times New Roman" w:cs="Times New Roman"/>
                <w:color w:val="000000"/>
                <w:kern w:val="0"/>
                <w:sz w:val="24"/>
                <w:vertAlign w:val="superscript"/>
                <w14:ligatures w14:val="none"/>
              </w:rPr>
              <w:t>c</w:t>
            </w:r>
          </w:p>
        </w:tc>
        <w:tc>
          <w:tcPr>
            <w:tcW w:w="1988" w:type="dxa"/>
          </w:tcPr>
          <w:p w14:paraId="17D840D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4C</w:t>
            </w:r>
          </w:p>
        </w:tc>
        <w:tc>
          <w:tcPr>
            <w:tcW w:w="1988" w:type="dxa"/>
          </w:tcPr>
          <w:p w14:paraId="5E3D556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R-8</w:t>
            </w:r>
          </w:p>
        </w:tc>
        <w:tc>
          <w:tcPr>
            <w:tcW w:w="1988" w:type="dxa"/>
          </w:tcPr>
          <w:p w14:paraId="7202E2B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See WSEC C403.10.1.2 for details</w:t>
            </w:r>
          </w:p>
        </w:tc>
      </w:tr>
      <w:tr w:rsidR="006B4A66" w:rsidRPr="006B4A66" w14:paraId="798CC2BD" w14:textId="77777777" w:rsidTr="00A76114">
        <w:trPr>
          <w:trHeight w:val="185"/>
        </w:trPr>
        <w:tc>
          <w:tcPr>
            <w:tcW w:w="1988" w:type="dxa"/>
          </w:tcPr>
          <w:p w14:paraId="4D26D382"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Supply air or return air</w:t>
            </w:r>
          </w:p>
        </w:tc>
        <w:tc>
          <w:tcPr>
            <w:tcW w:w="1988" w:type="dxa"/>
          </w:tcPr>
          <w:p w14:paraId="658CF22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Unconditioned space (enclosed but not in the building conditioned envelope)</w:t>
            </w:r>
          </w:p>
        </w:tc>
        <w:tc>
          <w:tcPr>
            <w:tcW w:w="1988" w:type="dxa"/>
          </w:tcPr>
          <w:p w14:paraId="6B337AE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4C and 5B </w:t>
            </w:r>
          </w:p>
        </w:tc>
        <w:tc>
          <w:tcPr>
            <w:tcW w:w="1988" w:type="dxa"/>
          </w:tcPr>
          <w:p w14:paraId="30FF69A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R-6</w:t>
            </w:r>
          </w:p>
        </w:tc>
        <w:tc>
          <w:tcPr>
            <w:tcW w:w="1988" w:type="dxa"/>
          </w:tcPr>
          <w:p w14:paraId="5185153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See WSEC C403.10.1.2 for details</w:t>
            </w:r>
          </w:p>
        </w:tc>
      </w:tr>
      <w:tr w:rsidR="006B4A66" w:rsidRPr="006B4A66" w14:paraId="4309704A" w14:textId="77777777" w:rsidTr="00A76114">
        <w:trPr>
          <w:trHeight w:val="385"/>
        </w:trPr>
        <w:tc>
          <w:tcPr>
            <w:tcW w:w="1988" w:type="dxa"/>
          </w:tcPr>
          <w:p w14:paraId="2817B6F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Supply air or return air</w:t>
            </w:r>
          </w:p>
        </w:tc>
        <w:tc>
          <w:tcPr>
            <w:tcW w:w="1988" w:type="dxa"/>
          </w:tcPr>
          <w:p w14:paraId="30D3B1C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Unconditioned space where the </w:t>
            </w:r>
            <w:r w:rsidRPr="006B4A66">
              <w:rPr>
                <w:rFonts w:ascii="Times New Roman" w:eastAsia="Calibri" w:hAnsi="Times New Roman" w:cs="Times New Roman"/>
                <w:color w:val="000000"/>
                <w:kern w:val="0"/>
                <w:sz w:val="24"/>
                <w14:ligatures w14:val="none"/>
              </w:rPr>
              <w:lastRenderedPageBreak/>
              <w:t>duct conveys air that is within 15°F of the air temperature of the surrounding unconditioned space</w:t>
            </w:r>
          </w:p>
        </w:tc>
        <w:tc>
          <w:tcPr>
            <w:tcW w:w="1988" w:type="dxa"/>
          </w:tcPr>
          <w:p w14:paraId="4458A731"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4C and 5B</w:t>
            </w:r>
          </w:p>
        </w:tc>
        <w:tc>
          <w:tcPr>
            <w:tcW w:w="1988" w:type="dxa"/>
          </w:tcPr>
          <w:p w14:paraId="1812D29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R-3.3</w:t>
            </w:r>
          </w:p>
        </w:tc>
        <w:tc>
          <w:tcPr>
            <w:tcW w:w="1988" w:type="dxa"/>
          </w:tcPr>
          <w:p w14:paraId="25262295"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See IMC Section 603.12 for </w:t>
            </w:r>
            <w:r w:rsidRPr="006B4A66">
              <w:rPr>
                <w:rFonts w:ascii="Times New Roman" w:eastAsia="Calibri" w:hAnsi="Times New Roman" w:cs="Times New Roman"/>
                <w:color w:val="000000"/>
                <w:kern w:val="0"/>
                <w:sz w:val="24"/>
                <w14:ligatures w14:val="none"/>
              </w:rPr>
              <w:lastRenderedPageBreak/>
              <w:t>additional requirements for condensation control at ductwork</w:t>
            </w:r>
          </w:p>
        </w:tc>
      </w:tr>
      <w:tr w:rsidR="006B4A66" w:rsidRPr="006B4A66" w14:paraId="4C759EA8" w14:textId="77777777" w:rsidTr="00A76114">
        <w:trPr>
          <w:trHeight w:val="385"/>
        </w:trPr>
        <w:tc>
          <w:tcPr>
            <w:tcW w:w="1988" w:type="dxa"/>
          </w:tcPr>
          <w:p w14:paraId="5C25AFA2"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Supply air or return air</w:t>
            </w:r>
          </w:p>
        </w:tc>
        <w:tc>
          <w:tcPr>
            <w:tcW w:w="1988" w:type="dxa"/>
          </w:tcPr>
          <w:p w14:paraId="2CCFB125"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Where located in a building envelope assembly</w:t>
            </w:r>
          </w:p>
        </w:tc>
        <w:tc>
          <w:tcPr>
            <w:tcW w:w="1988" w:type="dxa"/>
          </w:tcPr>
          <w:p w14:paraId="36CBA35F"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4C and 5B</w:t>
            </w:r>
          </w:p>
        </w:tc>
        <w:tc>
          <w:tcPr>
            <w:tcW w:w="1988" w:type="dxa"/>
          </w:tcPr>
          <w:p w14:paraId="3D473F90"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R-16</w:t>
            </w:r>
          </w:p>
        </w:tc>
        <w:tc>
          <w:tcPr>
            <w:tcW w:w="1988" w:type="dxa"/>
          </w:tcPr>
          <w:p w14:paraId="715E5F29"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Duct or plenum is separated from building envelope assembly with the minimum insulation value</w:t>
            </w:r>
          </w:p>
        </w:tc>
      </w:tr>
      <w:tr w:rsidR="006B4A66" w:rsidRPr="006B4A66" w14:paraId="31117222" w14:textId="77777777" w:rsidTr="00A76114">
        <w:trPr>
          <w:trHeight w:val="285"/>
        </w:trPr>
        <w:tc>
          <w:tcPr>
            <w:tcW w:w="1988" w:type="dxa"/>
          </w:tcPr>
          <w:p w14:paraId="5754691F"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Supply air</w:t>
            </w:r>
          </w:p>
        </w:tc>
        <w:tc>
          <w:tcPr>
            <w:tcW w:w="1988" w:type="dxa"/>
          </w:tcPr>
          <w:p w14:paraId="5C51BF26"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Within conditioned space where the supply duct conveys air that is less than 55°F or greater than 105°F </w:t>
            </w:r>
          </w:p>
        </w:tc>
        <w:tc>
          <w:tcPr>
            <w:tcW w:w="1988" w:type="dxa"/>
          </w:tcPr>
          <w:p w14:paraId="471EFC6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4C and 5B</w:t>
            </w:r>
          </w:p>
        </w:tc>
        <w:tc>
          <w:tcPr>
            <w:tcW w:w="1988" w:type="dxa"/>
          </w:tcPr>
          <w:p w14:paraId="0AC6E9D2"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R-3.3</w:t>
            </w:r>
          </w:p>
        </w:tc>
        <w:tc>
          <w:tcPr>
            <w:tcW w:w="1988" w:type="dxa"/>
          </w:tcPr>
          <w:p w14:paraId="0C04D94F"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See WSEC C403.10.1.2 for details</w:t>
            </w:r>
          </w:p>
        </w:tc>
      </w:tr>
      <w:tr w:rsidR="006B4A66" w:rsidRPr="006B4A66" w14:paraId="05BCCACC" w14:textId="77777777" w:rsidTr="00A76114">
        <w:trPr>
          <w:trHeight w:val="385"/>
        </w:trPr>
        <w:tc>
          <w:tcPr>
            <w:tcW w:w="1988" w:type="dxa"/>
          </w:tcPr>
          <w:p w14:paraId="0554524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Supply air</w:t>
            </w:r>
          </w:p>
        </w:tc>
        <w:tc>
          <w:tcPr>
            <w:tcW w:w="1988" w:type="dxa"/>
          </w:tcPr>
          <w:p w14:paraId="0EE6268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Within conditioned space that the duct </w:t>
            </w:r>
            <w:r w:rsidRPr="006B4A66">
              <w:rPr>
                <w:rFonts w:ascii="Times New Roman" w:eastAsia="Calibri" w:hAnsi="Times New Roman" w:cs="Times New Roman"/>
                <w:color w:val="000000"/>
                <w:kern w:val="0"/>
                <w:sz w:val="24"/>
                <w14:ligatures w14:val="none"/>
              </w:rPr>
              <w:lastRenderedPageBreak/>
              <w:t xml:space="preserve">directly serves where the supply duct conveys air that is less than 55°F or greater than 105°F </w:t>
            </w:r>
          </w:p>
        </w:tc>
        <w:tc>
          <w:tcPr>
            <w:tcW w:w="1988" w:type="dxa"/>
          </w:tcPr>
          <w:p w14:paraId="2E6182C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4C and 5B</w:t>
            </w:r>
          </w:p>
        </w:tc>
        <w:tc>
          <w:tcPr>
            <w:tcW w:w="1988" w:type="dxa"/>
          </w:tcPr>
          <w:p w14:paraId="6DE2F5C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None</w:t>
            </w:r>
          </w:p>
        </w:tc>
        <w:tc>
          <w:tcPr>
            <w:tcW w:w="1988" w:type="dxa"/>
          </w:tcPr>
          <w:p w14:paraId="36FC3CFF"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See WSEC C403.10.1.2 for details</w:t>
            </w:r>
          </w:p>
        </w:tc>
      </w:tr>
      <w:tr w:rsidR="006B4A66" w:rsidRPr="006B4A66" w14:paraId="7AA88BDB" w14:textId="77777777" w:rsidTr="00A76114">
        <w:trPr>
          <w:trHeight w:val="385"/>
        </w:trPr>
        <w:tc>
          <w:tcPr>
            <w:tcW w:w="1988" w:type="dxa"/>
          </w:tcPr>
          <w:p w14:paraId="36BCA48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Supply air</w:t>
            </w:r>
          </w:p>
        </w:tc>
        <w:tc>
          <w:tcPr>
            <w:tcW w:w="1988" w:type="dxa"/>
          </w:tcPr>
          <w:p w14:paraId="7E001C7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Within conditioned space where the supply duct conveys air that is 55°F or greater and 105°F or less </w:t>
            </w:r>
          </w:p>
        </w:tc>
        <w:tc>
          <w:tcPr>
            <w:tcW w:w="1988" w:type="dxa"/>
          </w:tcPr>
          <w:p w14:paraId="6550EA21"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4C and 5B</w:t>
            </w:r>
          </w:p>
        </w:tc>
        <w:tc>
          <w:tcPr>
            <w:tcW w:w="1988" w:type="dxa"/>
          </w:tcPr>
          <w:p w14:paraId="6C32D93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None</w:t>
            </w:r>
          </w:p>
        </w:tc>
        <w:tc>
          <w:tcPr>
            <w:tcW w:w="1988" w:type="dxa"/>
          </w:tcPr>
          <w:p w14:paraId="75C3FC0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r>
      <w:tr w:rsidR="006B4A66" w:rsidRPr="006B4A66" w14:paraId="4EB639AF" w14:textId="77777777" w:rsidTr="00A76114">
        <w:trPr>
          <w:trHeight w:val="385"/>
        </w:trPr>
        <w:tc>
          <w:tcPr>
            <w:tcW w:w="1988" w:type="dxa"/>
          </w:tcPr>
          <w:p w14:paraId="2F0A3F61"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Return or exhaust air</w:t>
            </w:r>
          </w:p>
        </w:tc>
        <w:tc>
          <w:tcPr>
            <w:tcW w:w="1988" w:type="dxa"/>
          </w:tcPr>
          <w:p w14:paraId="372E389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Within conditioned space, downstream of an energy recovery media, upstream of an automatic shutoff damper</w:t>
            </w:r>
          </w:p>
        </w:tc>
        <w:tc>
          <w:tcPr>
            <w:tcW w:w="1988" w:type="dxa"/>
          </w:tcPr>
          <w:p w14:paraId="033DD63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4C</w:t>
            </w:r>
          </w:p>
        </w:tc>
        <w:tc>
          <w:tcPr>
            <w:tcW w:w="1988" w:type="dxa"/>
          </w:tcPr>
          <w:p w14:paraId="764FE241"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R-8</w:t>
            </w:r>
          </w:p>
        </w:tc>
        <w:tc>
          <w:tcPr>
            <w:tcW w:w="1988" w:type="dxa"/>
          </w:tcPr>
          <w:p w14:paraId="71A7D57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r>
      <w:tr w:rsidR="006B4A66" w:rsidRPr="006B4A66" w14:paraId="2045E26A" w14:textId="77777777" w:rsidTr="00A76114">
        <w:trPr>
          <w:trHeight w:val="385"/>
        </w:trPr>
        <w:tc>
          <w:tcPr>
            <w:tcW w:w="1988" w:type="dxa"/>
          </w:tcPr>
          <w:p w14:paraId="3FCFD29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Relief or exhaust air</w:t>
            </w:r>
          </w:p>
        </w:tc>
        <w:tc>
          <w:tcPr>
            <w:tcW w:w="1988" w:type="dxa"/>
          </w:tcPr>
          <w:p w14:paraId="22CF4A9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Conditioned space and </w:t>
            </w:r>
            <w:r w:rsidRPr="006B4A66">
              <w:rPr>
                <w:rFonts w:ascii="Times New Roman" w:eastAsia="Calibri" w:hAnsi="Times New Roman" w:cs="Times New Roman"/>
                <w:color w:val="000000"/>
                <w:kern w:val="0"/>
                <w:sz w:val="24"/>
                <w14:ligatures w14:val="none"/>
              </w:rPr>
              <w:lastRenderedPageBreak/>
              <w:t>downstream of an automatic shutoff damper</w:t>
            </w:r>
          </w:p>
        </w:tc>
        <w:tc>
          <w:tcPr>
            <w:tcW w:w="1988" w:type="dxa"/>
          </w:tcPr>
          <w:p w14:paraId="056D6B3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4C and 5B</w:t>
            </w:r>
          </w:p>
        </w:tc>
        <w:tc>
          <w:tcPr>
            <w:tcW w:w="1988" w:type="dxa"/>
          </w:tcPr>
          <w:p w14:paraId="51B7913F"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R-16</w:t>
            </w:r>
          </w:p>
        </w:tc>
        <w:tc>
          <w:tcPr>
            <w:tcW w:w="1988" w:type="dxa"/>
          </w:tcPr>
          <w:p w14:paraId="0A4BFD6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r>
      <w:tr w:rsidR="006B4A66" w:rsidRPr="006B4A66" w14:paraId="13453BD3" w14:textId="77777777" w:rsidTr="00A76114">
        <w:trPr>
          <w:trHeight w:val="385"/>
        </w:trPr>
        <w:tc>
          <w:tcPr>
            <w:tcW w:w="1988" w:type="dxa"/>
          </w:tcPr>
          <w:p w14:paraId="340BCF9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Exhaust or other air duct</w:t>
            </w:r>
          </w:p>
        </w:tc>
        <w:tc>
          <w:tcPr>
            <w:tcW w:w="1988" w:type="dxa"/>
          </w:tcPr>
          <w:p w14:paraId="442831A5"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Duct conveying air from unconditioned space through conditioned space</w:t>
            </w:r>
          </w:p>
        </w:tc>
        <w:tc>
          <w:tcPr>
            <w:tcW w:w="1988" w:type="dxa"/>
          </w:tcPr>
          <w:p w14:paraId="5505539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4C and 5B</w:t>
            </w:r>
          </w:p>
        </w:tc>
        <w:tc>
          <w:tcPr>
            <w:tcW w:w="1988" w:type="dxa"/>
          </w:tcPr>
          <w:p w14:paraId="4864C11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R-16</w:t>
            </w:r>
          </w:p>
        </w:tc>
        <w:tc>
          <w:tcPr>
            <w:tcW w:w="1988" w:type="dxa"/>
          </w:tcPr>
          <w:p w14:paraId="5C506526"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r>
      <w:tr w:rsidR="006B4A66" w:rsidRPr="006B4A66" w14:paraId="5228A3C9" w14:textId="77777777" w:rsidTr="00A76114">
        <w:trPr>
          <w:trHeight w:val="385"/>
        </w:trPr>
        <w:tc>
          <w:tcPr>
            <w:tcW w:w="1988" w:type="dxa"/>
          </w:tcPr>
          <w:p w14:paraId="6214B909"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Condenser air intake and outlet</w:t>
            </w:r>
          </w:p>
        </w:tc>
        <w:tc>
          <w:tcPr>
            <w:tcW w:w="1988" w:type="dxa"/>
          </w:tcPr>
          <w:p w14:paraId="500B6EA0"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Conditioned space and conveys ambient air to or from the outdoors to heat pump or AC unit condenser</w:t>
            </w:r>
          </w:p>
        </w:tc>
        <w:tc>
          <w:tcPr>
            <w:tcW w:w="1988" w:type="dxa"/>
          </w:tcPr>
          <w:p w14:paraId="619FE09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4C and 5B</w:t>
            </w:r>
          </w:p>
        </w:tc>
        <w:tc>
          <w:tcPr>
            <w:tcW w:w="1988" w:type="dxa"/>
          </w:tcPr>
          <w:p w14:paraId="4D77F35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&lt; 2,800 CFM = R-8 </w:t>
            </w:r>
          </w:p>
          <w:p w14:paraId="0DBF65C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2,800 CFM = R-16</w:t>
            </w:r>
          </w:p>
        </w:tc>
        <w:tc>
          <w:tcPr>
            <w:tcW w:w="1988" w:type="dxa"/>
          </w:tcPr>
          <w:p w14:paraId="02B0C2A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r>
    </w:tbl>
    <w:p w14:paraId="7C20406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Footnotes:</w:t>
      </w:r>
    </w:p>
    <w:p w14:paraId="7C543703" w14:textId="65E34D8D"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a.  Insulation R-values, measured in h•ft2•°F/Btu, are for the insulation as installed and do not include film resistance.  The required minimum thicknesses do not consider water vapor transmission and possible surface condensation.  Insulation resistance measured on a horizontal plane in accordance with ASTM C518 at a mean temperature of 75° Fahrenheit  at the installed thickness.</w:t>
      </w:r>
    </w:p>
    <w:p w14:paraId="45CF6EE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b.  See IMC 603.12 and 604 for further details on duct insulation requirements.</w:t>
      </w:r>
    </w:p>
    <w:p w14:paraId="41DE03F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c.  Includes attics above insulated ceilings, parking garages, and crawl spaces.</w:t>
      </w:r>
    </w:p>
    <w:p w14:paraId="7D4AB3C1" w14:textId="2A9092E5"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color w:val="000000"/>
          <w:kern w:val="0"/>
          <w:sz w:val="24"/>
          <w:u w:val="single"/>
          <w14:ligatures w14:val="none"/>
        </w:rPr>
        <w:t>NEW SECTION.  SECTION 71.</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35DEE694" w14:textId="45588BB5" w:rsidR="006B4A66" w:rsidRPr="006B4A66" w:rsidRDefault="006B4A66" w:rsidP="0073496A">
      <w:pPr>
        <w:numPr>
          <w:ilvl w:val="0"/>
          <w:numId w:val="5"/>
        </w:num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Section C403.10.2 of the Washington State Energy Code is not adopted and </w:t>
      </w:r>
      <w:r w:rsidR="007345BA">
        <w:rPr>
          <w:rFonts w:ascii="Times New Roman" w:eastAsia="Times New Roman" w:hAnsi="Times New Roman" w:cs="Times New Roman"/>
          <w:color w:val="000000"/>
          <w:kern w:val="0"/>
          <w:sz w:val="24"/>
          <w:szCs w:val="24"/>
          <w14:ligatures w14:val="none"/>
        </w:rPr>
        <w:t>the following</w:t>
      </w:r>
      <w:r w:rsidRPr="006B4A66">
        <w:rPr>
          <w:rFonts w:ascii="Times New Roman" w:eastAsia="Times New Roman" w:hAnsi="Times New Roman" w:cs="Times New Roman"/>
          <w:color w:val="000000"/>
          <w:kern w:val="0"/>
          <w:sz w:val="24"/>
          <w:szCs w:val="24"/>
          <w14:ligatures w14:val="none"/>
        </w:rPr>
        <w:t xml:space="preserve"> is substituted:</w:t>
      </w:r>
    </w:p>
    <w:p w14:paraId="4340922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Duct construction (WSEC 403.10.2).</w:t>
      </w:r>
      <w:r w:rsidRPr="006B4A66">
        <w:rPr>
          <w:rFonts w:ascii="Times New Roman" w:eastAsia="Calibri" w:hAnsi="Times New Roman" w:cs="Times New Roman"/>
          <w:color w:val="000000"/>
          <w:kern w:val="0"/>
          <w:sz w:val="24"/>
          <w14:ligatures w14:val="none"/>
        </w:rPr>
        <w:t xml:space="preserve">  Ductwork shall be constructed and erected in accordance with the IMC.  For the purposes of this section, longitudinal seams are joints oriented in the direction of airflow.  Transverse joints are connections of two duct sections oriented perpendicular to airflow.  Duct wall penetrations are openings made by any screw, fastener, pipe, rod, or wire.  All other connections are considered transverse joints including, but not limited to, spin- ins, taps, and other branch connections, access door frames and jambs, and duct connections to equipment.  Ducts shall be leak-tested where required by WSEC C403.10.2.4.</w:t>
      </w:r>
    </w:p>
    <w:p w14:paraId="1F33F2EF" w14:textId="07602C0B"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72.</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26FB6B9B" w14:textId="77777777" w:rsidR="006B4A66" w:rsidRPr="006B4A66" w:rsidRDefault="006B4A66" w:rsidP="0073496A">
      <w:pPr>
        <w:numPr>
          <w:ilvl w:val="0"/>
          <w:numId w:val="5"/>
        </w:num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Section C403.10.2 of the Washington State Energy Code is supplemented with the following:</w:t>
      </w:r>
    </w:p>
    <w:p w14:paraId="165BD64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Duct leak testing (WSEC C403.10.2.4).</w:t>
      </w:r>
      <w:r w:rsidRPr="006B4A66">
        <w:rPr>
          <w:rFonts w:ascii="Times New Roman" w:eastAsia="Calibri" w:hAnsi="Times New Roman" w:cs="Times New Roman"/>
          <w:color w:val="000000"/>
          <w:kern w:val="0"/>
          <w:sz w:val="24"/>
          <w14:ligatures w14:val="none"/>
        </w:rPr>
        <w:t xml:space="preserve">  Ducts and plenums designed to operate at static pressures equal to or greater than 3 inches water gauge (w.g.) (750 pascals) and all supply and return ductwork that is located outside the building thermal envelope and that serves conditioned space, regardless of the Design Construction Pressure Class level, shall be leak-tested in accordance with the SMACNA HVAC Air Duct Leakage Test Manual and shown to have a rate of air leakage (CL) less than or equal to 4, as determined in accordance with Equation 4-12.  Ducts shall be tested using a pressure </w:t>
      </w:r>
      <w:r w:rsidRPr="006B4A66">
        <w:rPr>
          <w:rFonts w:ascii="Times New Roman" w:eastAsia="Calibri" w:hAnsi="Times New Roman" w:cs="Times New Roman"/>
          <w:color w:val="000000"/>
          <w:kern w:val="0"/>
          <w:sz w:val="24"/>
          <w14:ligatures w14:val="none"/>
        </w:rPr>
        <w:lastRenderedPageBreak/>
        <w:t>equal to the average operating pressure or the design Duct Construction Pressure Class level in accordance with the SMACNA HVAC Air Duct Leakage Test Manual.</w:t>
      </w:r>
    </w:p>
    <w:p w14:paraId="5C391C4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Equation 4-12:</w:t>
      </w:r>
    </w:p>
    <w:p w14:paraId="15FE43C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CL = F/P</w:t>
      </w:r>
      <w:r w:rsidRPr="006B4A66">
        <w:rPr>
          <w:rFonts w:ascii="Times New Roman" w:eastAsia="Calibri" w:hAnsi="Times New Roman" w:cs="Times New Roman"/>
          <w:color w:val="000000"/>
          <w:kern w:val="0"/>
          <w:sz w:val="24"/>
          <w:vertAlign w:val="superscript"/>
          <w14:ligatures w14:val="none"/>
        </w:rPr>
        <w:t>0.65</w:t>
      </w:r>
    </w:p>
    <w:p w14:paraId="567C0D4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Where:</w:t>
      </w:r>
    </w:p>
    <w:p w14:paraId="701635A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 = The measured leakage rate in cubic feet per minute per 100 square feet of duct surface.</w:t>
      </w:r>
    </w:p>
    <w:p w14:paraId="1F15583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P = The static pressure of the test.</w:t>
      </w:r>
    </w:p>
    <w:p w14:paraId="10E5AB9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Documentation shall be furnished demonstrating that representative sections totaling at least 25 percent of the duct area have been tested and that all tested sections meet the requirements of this section.</w:t>
      </w:r>
    </w:p>
    <w:p w14:paraId="55F3A9FF" w14:textId="0F86551A"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73.</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7FCD910C" w14:textId="1BB6A2EE" w:rsidR="006B4A66" w:rsidRPr="006B4A66" w:rsidRDefault="006B4A66" w:rsidP="0073496A">
      <w:pPr>
        <w:numPr>
          <w:ilvl w:val="0"/>
          <w:numId w:val="5"/>
        </w:num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Section C403.11.1 of the Washington State Energy Code is not adopted and </w:t>
      </w:r>
      <w:r w:rsidR="007345BA">
        <w:rPr>
          <w:rFonts w:ascii="Times New Roman" w:eastAsia="Times New Roman" w:hAnsi="Times New Roman" w:cs="Times New Roman"/>
          <w:color w:val="000000"/>
          <w:kern w:val="0"/>
          <w:sz w:val="24"/>
          <w:szCs w:val="24"/>
          <w14:ligatures w14:val="none"/>
        </w:rPr>
        <w:t xml:space="preserve">the following </w:t>
      </w:r>
      <w:r w:rsidRPr="006B4A66">
        <w:rPr>
          <w:rFonts w:ascii="Times New Roman" w:eastAsia="Times New Roman" w:hAnsi="Times New Roman" w:cs="Times New Roman"/>
          <w:color w:val="000000"/>
          <w:kern w:val="0"/>
          <w:sz w:val="24"/>
          <w:szCs w:val="24"/>
          <w14:ligatures w14:val="none"/>
        </w:rPr>
        <w:t>is substituted:</w:t>
      </w:r>
    </w:p>
    <w:p w14:paraId="0C426B6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tab/>
        <w:t>Heating outside a building or in unheated spaces (WSEC C403.11.1).</w:t>
      </w:r>
      <w:r w:rsidRPr="006B4A66">
        <w:rPr>
          <w:rFonts w:ascii="Times New Roman" w:eastAsia="Calibri" w:hAnsi="Times New Roman" w:cs="Times New Roman"/>
          <w:color w:val="000000"/>
          <w:kern w:val="0"/>
          <w:sz w:val="24"/>
          <w14:ligatures w14:val="none"/>
        </w:rPr>
        <w:t xml:space="preserve">  Systems installed to provide heat outside a building or in unheated spaces shall be radiant systems.</w:t>
      </w:r>
    </w:p>
    <w:p w14:paraId="6B1F139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Such heating systems shall be controlled by an occupancy sensing device or a timer switch, so that the system is automatically deenergized when no occupants are present in the area heated by each individual device for a period not to exceed 20 minutes.</w:t>
      </w:r>
    </w:p>
    <w:p w14:paraId="223EE158" w14:textId="2F7B754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74.</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6157B905" w14:textId="77777777" w:rsidR="006B4A66" w:rsidRPr="006B4A66" w:rsidRDefault="006B4A66" w:rsidP="0073496A">
      <w:pPr>
        <w:numPr>
          <w:ilvl w:val="0"/>
          <w:numId w:val="5"/>
        </w:num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lastRenderedPageBreak/>
        <w:tab/>
        <w:t>Section C403 of the Washington State Energy Code is supplemented with the following:</w:t>
      </w:r>
    </w:p>
    <w:p w14:paraId="7D61DCA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Clean water pumps (WSEC C403.15).</w:t>
      </w:r>
      <w:r w:rsidRPr="006B4A66">
        <w:rPr>
          <w:rFonts w:ascii="Times New Roman" w:eastAsia="Calibri" w:hAnsi="Times New Roman" w:cs="Times New Roman"/>
          <w:color w:val="000000"/>
          <w:kern w:val="0"/>
          <w:sz w:val="24"/>
          <w14:ligatures w14:val="none"/>
        </w:rPr>
        <w:t xml:space="preserve">  Clean water pumps meeting all the following criteria shall achieve a PEI rating not greater than 1.0 and a Hydraulic Institute Energy Rating (ER) greater than zero:</w:t>
      </w:r>
    </w:p>
    <w:p w14:paraId="2E5B5C85" w14:textId="4E782E40"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Shaft input power is greater than or equal to 1 horsepower (</w:t>
      </w:r>
      <w:r w:rsidR="00D553C9">
        <w:rPr>
          <w:rFonts w:ascii="Times New Roman" w:eastAsia="Calibri" w:hAnsi="Times New Roman" w:cs="Times New Roman"/>
          <w:color w:val="000000"/>
          <w:kern w:val="0"/>
          <w:sz w:val="24"/>
          <w14:ligatures w14:val="none"/>
        </w:rPr>
        <w:t xml:space="preserve">746 </w:t>
      </w:r>
      <w:r w:rsidRPr="006B4A66">
        <w:rPr>
          <w:rFonts w:ascii="Times New Roman" w:eastAsia="Calibri" w:hAnsi="Times New Roman" w:cs="Times New Roman"/>
          <w:color w:val="000000"/>
          <w:kern w:val="0"/>
          <w:sz w:val="24"/>
          <w14:ligatures w14:val="none"/>
        </w:rPr>
        <w:t>watts) and less than or equal to 200 horsepower (14</w:t>
      </w:r>
      <w:r w:rsidR="00327F19">
        <w:rPr>
          <w:rFonts w:ascii="Times New Roman" w:eastAsia="Calibri" w:hAnsi="Times New Roman" w:cs="Times New Roman"/>
          <w:color w:val="000000"/>
          <w:kern w:val="0"/>
          <w:sz w:val="24"/>
          <w14:ligatures w14:val="none"/>
        </w:rPr>
        <w:t>7</w:t>
      </w:r>
      <w:r w:rsidRPr="006B4A66">
        <w:rPr>
          <w:rFonts w:ascii="Times New Roman" w:eastAsia="Calibri" w:hAnsi="Times New Roman" w:cs="Times New Roman"/>
          <w:color w:val="000000"/>
          <w:kern w:val="0"/>
          <w:sz w:val="24"/>
          <w14:ligatures w14:val="none"/>
        </w:rPr>
        <w:t xml:space="preserve"> kilowatt) at its best efficiency point (BEP).</w:t>
      </w:r>
    </w:p>
    <w:p w14:paraId="01F9306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Designated as either an End Suction Close-coupled, End Suction Frame Mounted, In-line, Radially Split Vertical, or Submersible Turbine pump.</w:t>
      </w:r>
    </w:p>
    <w:p w14:paraId="4FC2FAAB" w14:textId="1B2CC35E"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3.  A flow rate of 25 gallons per minute (</w:t>
      </w:r>
      <w:r w:rsidR="005B4ACA">
        <w:rPr>
          <w:rFonts w:ascii="Times New Roman" w:eastAsia="Calibri" w:hAnsi="Times New Roman" w:cs="Times New Roman"/>
          <w:color w:val="000000"/>
          <w:kern w:val="0"/>
          <w:sz w:val="24"/>
          <w14:ligatures w14:val="none"/>
        </w:rPr>
        <w:t>1.6</w:t>
      </w:r>
      <w:r w:rsidRPr="006B4A66">
        <w:rPr>
          <w:rFonts w:ascii="Times New Roman" w:eastAsia="Calibri" w:hAnsi="Times New Roman" w:cs="Times New Roman"/>
          <w:color w:val="000000"/>
          <w:kern w:val="0"/>
          <w:sz w:val="24"/>
          <w14:ligatures w14:val="none"/>
        </w:rPr>
        <w:t xml:space="preserve"> liters per second) or greater at its BEP at full impeller diameter.</w:t>
      </w:r>
    </w:p>
    <w:p w14:paraId="061759C1" w14:textId="36107908"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4.  Maximum head of 459 feet (139</w:t>
      </w:r>
      <w:r w:rsidR="00F26B0B">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14:ligatures w14:val="none"/>
        </w:rPr>
        <w:t>9 meters) at its BEP at full impeller diameter and the number of stages required for testing.</w:t>
      </w:r>
    </w:p>
    <w:p w14:paraId="48DAED3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5.  Design temperature range from 14° Fahrenheit (-10° Celsius) to 248° Fahrenheit (120° Celsius).</w:t>
      </w:r>
    </w:p>
    <w:p w14:paraId="11CC633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6.  Designed to operate with either:</w:t>
      </w:r>
    </w:p>
    <w:p w14:paraId="6906892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6.1.  A 2- or 4-pole induction motor; or</w:t>
      </w:r>
    </w:p>
    <w:p w14:paraId="3AC846A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6.2.  A non-induction motor with a speed of rotation operating range that includes speeds of rotation between 2,880 and 4,320 rpm or 1,440 and 2,160 rpm; and</w:t>
      </w:r>
    </w:p>
    <w:p w14:paraId="304C4CD1" w14:textId="6960E1C5"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6.3.  In either </w:t>
      </w:r>
      <w:r w:rsidR="0093258B">
        <w:rPr>
          <w:rFonts w:ascii="Times New Roman" w:eastAsia="Calibri" w:hAnsi="Times New Roman" w:cs="Times New Roman"/>
          <w:color w:val="000000"/>
          <w:kern w:val="0"/>
          <w:sz w:val="24"/>
          <w14:ligatures w14:val="none"/>
        </w:rPr>
        <w:t>6.1</w:t>
      </w:r>
      <w:r w:rsidRPr="006B4A66">
        <w:rPr>
          <w:rFonts w:ascii="Times New Roman" w:eastAsia="Calibri" w:hAnsi="Times New Roman" w:cs="Times New Roman"/>
          <w:color w:val="000000"/>
          <w:kern w:val="0"/>
          <w:sz w:val="24"/>
          <w14:ligatures w14:val="none"/>
        </w:rPr>
        <w:t xml:space="preserve"> or </w:t>
      </w:r>
      <w:r w:rsidR="0093258B">
        <w:rPr>
          <w:rFonts w:ascii="Times New Roman" w:eastAsia="Calibri" w:hAnsi="Times New Roman" w:cs="Times New Roman"/>
          <w:color w:val="000000"/>
          <w:kern w:val="0"/>
          <w:sz w:val="24"/>
          <w14:ligatures w14:val="none"/>
        </w:rPr>
        <w:t>6.2</w:t>
      </w:r>
      <w:r w:rsidRPr="006B4A66">
        <w:rPr>
          <w:rFonts w:ascii="Times New Roman" w:eastAsia="Calibri" w:hAnsi="Times New Roman" w:cs="Times New Roman"/>
          <w:color w:val="000000"/>
          <w:kern w:val="0"/>
          <w:sz w:val="24"/>
          <w14:ligatures w14:val="none"/>
        </w:rPr>
        <w:t>, the driver and impeller must rotate at the same speed.</w:t>
      </w:r>
    </w:p>
    <w:p w14:paraId="7A2BABF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7.  For submersible turbine pumps, a 6 inch (152 millimeter) or smaller bowl diameter.</w:t>
      </w:r>
    </w:p>
    <w:p w14:paraId="78710BD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8.  For end-suction close-coupled pumps and end-suction frame-mounted/own bearings pumps, specific speed less than or equal to 5,000 rpm when calculated using U.S. customary units.</w:t>
      </w:r>
    </w:p>
    <w:p w14:paraId="23E0A46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EXCEPTIONS:</w:t>
      </w:r>
      <w:r w:rsidRPr="006B4A66">
        <w:rPr>
          <w:rFonts w:ascii="Times New Roman" w:eastAsia="Calibri" w:hAnsi="Times New Roman" w:cs="Times New Roman"/>
          <w:color w:val="000000"/>
          <w:kern w:val="0"/>
          <w:sz w:val="24"/>
          <w14:ligatures w14:val="none"/>
        </w:rPr>
        <w:t xml:space="preserve">  The following pumps are exempt from these requirements:</w:t>
      </w:r>
    </w:p>
    <w:p w14:paraId="7C0FE72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  Fire pumps;</w:t>
      </w:r>
    </w:p>
    <w:p w14:paraId="09236D9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2.  Self-priming pumps;</w:t>
      </w:r>
    </w:p>
    <w:p w14:paraId="2F2F996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3.  Prime-assisted pumps;</w:t>
      </w:r>
    </w:p>
    <w:p w14:paraId="501D386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4.  Magnet-driven pumps;</w:t>
      </w:r>
    </w:p>
    <w:p w14:paraId="0C09601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5.  Pumps designed to be used in a nuclear facility subject to 10 CFR 50, "Domestic Licensing of Production and Utilization Facilities"; and</w:t>
      </w:r>
    </w:p>
    <w:p w14:paraId="5EB7632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6.  Pumps meeting the design and construction requirements set forth in U.S. Military Specification MIL-P-17639F, "Pumps, Centrifugal, Miscellaneous Service, Naval Shipboard Use" (as amended); MIL-P-17881D, "Pumps, Centrifugal, Boiler Feed, (Multi-Stage)" (as amended); MIL-P-17840C, "Pumps, Centrifugal, Close-Coupled, Navy Standard (For Surface Ship Application)" (as amended); MIL-P-18682D, "Pump, Centrifugal, Main Condenser Circulating, Naval Shipboard" (as amended); MIL-P-18472G, "Pumps, Centrifugal, Condensate, Feed Booster, Waste Heat Boiler, and Distilling Plant" (as amended).</w:t>
      </w:r>
    </w:p>
    <w:p w14:paraId="3C6406D1" w14:textId="2E4EEC6D"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75.</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6466617B"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C404.1 of the Washington State Energy Code is not adopted and the following is substituted:</w:t>
      </w:r>
    </w:p>
    <w:p w14:paraId="46B6988E"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lastRenderedPageBreak/>
        <w:tab/>
      </w:r>
      <w:r w:rsidRPr="006B4A66">
        <w:rPr>
          <w:rFonts w:ascii="Times New Roman" w:eastAsia="Times New Roman" w:hAnsi="Times New Roman" w:cs="Times New Roman"/>
          <w:b/>
          <w:bCs/>
          <w:color w:val="000000"/>
          <w:kern w:val="0"/>
          <w:sz w:val="24"/>
          <w:szCs w:val="24"/>
          <w14:ligatures w14:val="none"/>
        </w:rPr>
        <w:t>General (WSEC C404.1)</w:t>
      </w:r>
      <w:r w:rsidRPr="006B4A66">
        <w:rPr>
          <w:rFonts w:ascii="Times New Roman" w:eastAsia="Times New Roman" w:hAnsi="Times New Roman" w:cs="Times New Roman"/>
          <w:color w:val="000000"/>
          <w:kern w:val="0"/>
          <w:sz w:val="24"/>
          <w:szCs w:val="24"/>
          <w14:ligatures w14:val="none"/>
        </w:rPr>
        <w:t>.  This section covers the minimum efficiency of, and controls for, service water-heating equipment and insulation of service hot water piping.</w:t>
      </w:r>
    </w:p>
    <w:p w14:paraId="6607568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w:t>
      </w:r>
      <w:r w:rsidRPr="006B4A66">
        <w:rPr>
          <w:rFonts w:ascii="Times New Roman" w:eastAsia="Calibri" w:hAnsi="Times New Roman" w:cs="Times New Roman"/>
          <w:color w:val="000000"/>
          <w:kern w:val="0"/>
          <w:sz w:val="24"/>
          <w14:ligatures w14:val="none"/>
        </w:rPr>
        <w:t xml:space="preserve">  Energy using equipment used by a manufacturing, industrial, or commercial process other than maintaining comfort and amenities for the occupants are exempt from all WSEC C404 subsections except WSEC C404.2, C404.6, and C404.13.  Laboratory sinks are considered to be process equipment for the purposes of this exception.</w:t>
      </w:r>
    </w:p>
    <w:p w14:paraId="428E6150" w14:textId="24D0DDF4"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76.</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6B381AB8"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Table C404.2 of the Washington State Energy Code is not adopted and the following is substituted:</w:t>
      </w:r>
    </w:p>
    <w:p w14:paraId="6265EAD2" w14:textId="77777777" w:rsidR="006B4A66" w:rsidRPr="006B4A66" w:rsidRDefault="006B4A66" w:rsidP="0073496A">
      <w:pPr>
        <w:widowControl w:val="0"/>
        <w:tabs>
          <w:tab w:val="left" w:pos="720"/>
        </w:tabs>
        <w:autoSpaceDE w:val="0"/>
        <w:autoSpaceDN w:val="0"/>
        <w:adjustRightInd w:val="0"/>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Table C404.2</w:t>
      </w:r>
    </w:p>
    <w:p w14:paraId="7AEE5C5E" w14:textId="77777777" w:rsidR="006B4A66" w:rsidRPr="006B4A66" w:rsidRDefault="006B4A66" w:rsidP="0073496A">
      <w:pPr>
        <w:tabs>
          <w:tab w:val="left" w:pos="720"/>
        </w:tabs>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Minimum Performance of Water-Heating Equipment</w:t>
      </w:r>
    </w:p>
    <w:tbl>
      <w:tblPr>
        <w:tblStyle w:val="TableGrid"/>
        <w:tblW w:w="0" w:type="auto"/>
        <w:tblLook w:val="04A0" w:firstRow="1" w:lastRow="0" w:firstColumn="1" w:lastColumn="0" w:noHBand="0" w:noVBand="1"/>
      </w:tblPr>
      <w:tblGrid>
        <w:gridCol w:w="1524"/>
        <w:gridCol w:w="1416"/>
        <w:gridCol w:w="1496"/>
        <w:gridCol w:w="1224"/>
        <w:gridCol w:w="1549"/>
        <w:gridCol w:w="1421"/>
      </w:tblGrid>
      <w:tr w:rsidR="006B4A66" w:rsidRPr="006B4A66" w14:paraId="15AF90A8" w14:textId="77777777">
        <w:tc>
          <w:tcPr>
            <w:tcW w:w="1523" w:type="dxa"/>
          </w:tcPr>
          <w:p w14:paraId="255A7970" w14:textId="77777777" w:rsidR="006B4A66" w:rsidRPr="006B4A66" w:rsidRDefault="006B4A66" w:rsidP="0073496A">
            <w:pPr>
              <w:spacing w:line="480" w:lineRule="auto"/>
              <w:rPr>
                <w:rFonts w:eastAsia="Calibri"/>
                <w:b/>
                <w:bCs/>
                <w:color w:val="000000"/>
                <w:sz w:val="24"/>
              </w:rPr>
            </w:pPr>
            <w:r w:rsidRPr="006B4A66">
              <w:rPr>
                <w:rFonts w:eastAsia="Calibri"/>
                <w:b/>
                <w:bCs/>
                <w:color w:val="000000"/>
                <w:sz w:val="24"/>
              </w:rPr>
              <w:t>Equipment Type</w:t>
            </w:r>
          </w:p>
        </w:tc>
        <w:tc>
          <w:tcPr>
            <w:tcW w:w="1422" w:type="dxa"/>
          </w:tcPr>
          <w:p w14:paraId="1AF177C2" w14:textId="77777777" w:rsidR="006B4A66" w:rsidRPr="006B4A66" w:rsidRDefault="006B4A66" w:rsidP="0073496A">
            <w:pPr>
              <w:spacing w:line="480" w:lineRule="auto"/>
              <w:rPr>
                <w:rFonts w:eastAsia="Calibri"/>
                <w:b/>
                <w:bCs/>
                <w:color w:val="000000"/>
                <w:sz w:val="24"/>
              </w:rPr>
            </w:pPr>
            <w:r w:rsidRPr="006B4A66">
              <w:rPr>
                <w:rFonts w:eastAsia="Calibri"/>
                <w:b/>
                <w:bCs/>
                <w:color w:val="000000"/>
                <w:sz w:val="24"/>
              </w:rPr>
              <w:t>Size Category (input)</w:t>
            </w:r>
          </w:p>
        </w:tc>
        <w:tc>
          <w:tcPr>
            <w:tcW w:w="1496" w:type="dxa"/>
          </w:tcPr>
          <w:p w14:paraId="3C8C1E8D" w14:textId="77777777" w:rsidR="006B4A66" w:rsidRPr="006B4A66" w:rsidRDefault="006B4A66" w:rsidP="0073496A">
            <w:pPr>
              <w:spacing w:line="480" w:lineRule="auto"/>
              <w:rPr>
                <w:rFonts w:eastAsia="Calibri"/>
                <w:b/>
                <w:bCs/>
                <w:color w:val="000000"/>
                <w:sz w:val="24"/>
              </w:rPr>
            </w:pPr>
            <w:r w:rsidRPr="006B4A66">
              <w:rPr>
                <w:rFonts w:eastAsia="Calibri"/>
                <w:b/>
                <w:bCs/>
                <w:color w:val="000000"/>
                <w:sz w:val="24"/>
              </w:rPr>
              <w:t>Subcategory or Rating Condition</w:t>
            </w:r>
          </w:p>
        </w:tc>
        <w:tc>
          <w:tcPr>
            <w:tcW w:w="1400" w:type="dxa"/>
          </w:tcPr>
          <w:p w14:paraId="667CCF3A" w14:textId="77777777" w:rsidR="006B4A66" w:rsidRPr="006B4A66" w:rsidRDefault="006B4A66" w:rsidP="0073496A">
            <w:pPr>
              <w:spacing w:line="480" w:lineRule="auto"/>
              <w:rPr>
                <w:rFonts w:eastAsia="Calibri"/>
                <w:b/>
                <w:bCs/>
                <w:color w:val="000000"/>
                <w:sz w:val="24"/>
              </w:rPr>
            </w:pPr>
            <w:r w:rsidRPr="006B4A66">
              <w:rPr>
                <w:rFonts w:eastAsia="Calibri"/>
                <w:b/>
                <w:bCs/>
                <w:color w:val="000000"/>
                <w:sz w:val="24"/>
              </w:rPr>
              <w:t>Draw Pattern</w:t>
            </w:r>
          </w:p>
        </w:tc>
        <w:tc>
          <w:tcPr>
            <w:tcW w:w="1549" w:type="dxa"/>
          </w:tcPr>
          <w:p w14:paraId="5D26D343" w14:textId="77777777" w:rsidR="006B4A66" w:rsidRPr="006B4A66" w:rsidRDefault="006B4A66" w:rsidP="0073496A">
            <w:pPr>
              <w:spacing w:line="480" w:lineRule="auto"/>
              <w:rPr>
                <w:rFonts w:eastAsia="Calibri"/>
                <w:b/>
                <w:bCs/>
                <w:color w:val="000000"/>
                <w:sz w:val="24"/>
              </w:rPr>
            </w:pPr>
            <w:r w:rsidRPr="006B4A66">
              <w:rPr>
                <w:rFonts w:eastAsia="Calibri"/>
                <w:b/>
                <w:bCs/>
                <w:color w:val="000000"/>
                <w:sz w:val="24"/>
              </w:rPr>
              <w:t>Performance Required</w:t>
            </w:r>
            <w:r w:rsidRPr="006B4A66">
              <w:rPr>
                <w:rFonts w:eastAsia="Calibri"/>
                <w:b/>
                <w:bCs/>
                <w:color w:val="000000"/>
                <w:sz w:val="24"/>
                <w:vertAlign w:val="superscript"/>
              </w:rPr>
              <w:t>a, j</w:t>
            </w:r>
          </w:p>
        </w:tc>
        <w:tc>
          <w:tcPr>
            <w:tcW w:w="1466" w:type="dxa"/>
          </w:tcPr>
          <w:p w14:paraId="3583A076" w14:textId="77777777" w:rsidR="006B4A66" w:rsidRPr="006B4A66" w:rsidRDefault="006B4A66" w:rsidP="0073496A">
            <w:pPr>
              <w:spacing w:line="480" w:lineRule="auto"/>
              <w:rPr>
                <w:rFonts w:eastAsia="Calibri"/>
                <w:b/>
                <w:bCs/>
                <w:color w:val="000000"/>
                <w:sz w:val="24"/>
              </w:rPr>
            </w:pPr>
            <w:r w:rsidRPr="006B4A66">
              <w:rPr>
                <w:rFonts w:eastAsia="Calibri"/>
                <w:b/>
                <w:bCs/>
                <w:color w:val="000000"/>
                <w:sz w:val="24"/>
              </w:rPr>
              <w:t>Test Procedure</w:t>
            </w:r>
            <w:r w:rsidRPr="006B4A66">
              <w:rPr>
                <w:rFonts w:eastAsia="Calibri"/>
                <w:b/>
                <w:bCs/>
                <w:color w:val="000000"/>
                <w:sz w:val="24"/>
                <w:vertAlign w:val="superscript"/>
              </w:rPr>
              <w:t>b</w:t>
            </w:r>
          </w:p>
        </w:tc>
      </w:tr>
      <w:tr w:rsidR="006B4A66" w:rsidRPr="006B4A66" w14:paraId="324E0DD3" w14:textId="77777777">
        <w:tc>
          <w:tcPr>
            <w:tcW w:w="1523" w:type="dxa"/>
          </w:tcPr>
          <w:p w14:paraId="0B4D42F1"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Electric table-top water heaters</w:t>
            </w:r>
            <w:r w:rsidRPr="006B4A66">
              <w:rPr>
                <w:rFonts w:eastAsia="Calibri"/>
                <w:color w:val="000000"/>
                <w:sz w:val="24"/>
                <w:vertAlign w:val="superscript"/>
              </w:rPr>
              <w:t>11</w:t>
            </w:r>
            <w:r w:rsidRPr="006B4A66">
              <w:rPr>
                <w:rFonts w:eastAsia="Calibri"/>
                <w:color w:val="000000"/>
                <w:sz w:val="24"/>
              </w:rPr>
              <w:t xml:space="preserve"> </w:t>
            </w:r>
          </w:p>
        </w:tc>
        <w:tc>
          <w:tcPr>
            <w:tcW w:w="1422" w:type="dxa"/>
          </w:tcPr>
          <w:p w14:paraId="2E0DDD16"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 12 kWc </w:t>
            </w:r>
          </w:p>
        </w:tc>
        <w:tc>
          <w:tcPr>
            <w:tcW w:w="1496" w:type="dxa"/>
          </w:tcPr>
          <w:p w14:paraId="64E75E0C"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 20 gal </w:t>
            </w:r>
          </w:p>
          <w:p w14:paraId="1B0FD006"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120 gal</w:t>
            </w:r>
          </w:p>
        </w:tc>
        <w:tc>
          <w:tcPr>
            <w:tcW w:w="1400" w:type="dxa"/>
          </w:tcPr>
          <w:p w14:paraId="48AC2B9A"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Very small </w:t>
            </w:r>
          </w:p>
          <w:p w14:paraId="1011A058"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Low</w:t>
            </w:r>
          </w:p>
          <w:p w14:paraId="0F410AF1"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Medium</w:t>
            </w:r>
          </w:p>
          <w:p w14:paraId="4D4D7127"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High</w:t>
            </w:r>
          </w:p>
        </w:tc>
        <w:tc>
          <w:tcPr>
            <w:tcW w:w="1549" w:type="dxa"/>
          </w:tcPr>
          <w:p w14:paraId="2EFAC873"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UEF ≥ 0.6323 - (0.0058 × Vr) </w:t>
            </w:r>
          </w:p>
          <w:p w14:paraId="65E8B11A"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UEF ≥ 0.9188 - (0.0031 × Vr) UEF ≥ </w:t>
            </w:r>
            <w:r w:rsidRPr="006B4A66">
              <w:rPr>
                <w:rFonts w:eastAsia="Calibri"/>
                <w:color w:val="000000"/>
                <w:sz w:val="24"/>
              </w:rPr>
              <w:lastRenderedPageBreak/>
              <w:t>0.9577 - (0.0023 × Vr) UEF ≥ 0.9884 - (0.0016 × Vr)</w:t>
            </w:r>
          </w:p>
        </w:tc>
        <w:tc>
          <w:tcPr>
            <w:tcW w:w="1466" w:type="dxa"/>
          </w:tcPr>
          <w:p w14:paraId="2ADF1DAB" w14:textId="77777777" w:rsidR="006B4A66" w:rsidRPr="006B4A66" w:rsidRDefault="006B4A66" w:rsidP="0073496A">
            <w:pPr>
              <w:spacing w:line="480" w:lineRule="auto"/>
              <w:rPr>
                <w:rFonts w:eastAsia="Calibri"/>
                <w:color w:val="000000"/>
                <w:sz w:val="24"/>
              </w:rPr>
            </w:pPr>
            <w:r w:rsidRPr="006B4A66">
              <w:rPr>
                <w:rFonts w:eastAsia="Calibri"/>
                <w:color w:val="000000"/>
                <w:sz w:val="24"/>
              </w:rPr>
              <w:lastRenderedPageBreak/>
              <w:t xml:space="preserve">DOE 10 C.F.R. </w:t>
            </w:r>
          </w:p>
          <w:p w14:paraId="4C820030"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Part 430 App. E</w:t>
            </w:r>
          </w:p>
        </w:tc>
      </w:tr>
      <w:tr w:rsidR="006B4A66" w:rsidRPr="006B4A66" w14:paraId="702619B5" w14:textId="77777777">
        <w:tc>
          <w:tcPr>
            <w:tcW w:w="1523" w:type="dxa"/>
            <w:vMerge w:val="restart"/>
          </w:tcPr>
          <w:p w14:paraId="77753011"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Electric storage water</w:t>
            </w:r>
          </w:p>
          <w:p w14:paraId="65C1E2E7"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heaters</w:t>
            </w:r>
            <w:r w:rsidRPr="006B4A66">
              <w:rPr>
                <w:rFonts w:eastAsia="Calibri"/>
                <w:color w:val="000000"/>
                <w:sz w:val="24"/>
                <w:vertAlign w:val="superscript"/>
              </w:rPr>
              <w:t xml:space="preserve">g,i </w:t>
            </w:r>
            <w:r w:rsidRPr="006B4A66">
              <w:rPr>
                <w:rFonts w:eastAsia="Calibri"/>
                <w:color w:val="000000"/>
                <w:sz w:val="24"/>
              </w:rPr>
              <w:t>resistance and heat pump</w:t>
            </w:r>
          </w:p>
        </w:tc>
        <w:tc>
          <w:tcPr>
            <w:tcW w:w="1422" w:type="dxa"/>
          </w:tcPr>
          <w:p w14:paraId="5A2A92F4"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12 kW</w:t>
            </w:r>
            <w:r w:rsidRPr="006B4A66">
              <w:rPr>
                <w:rFonts w:eastAsia="Calibri"/>
                <w:color w:val="000000"/>
                <w:sz w:val="24"/>
                <w:vertAlign w:val="superscript"/>
              </w:rPr>
              <w:t>c</w:t>
            </w:r>
          </w:p>
        </w:tc>
        <w:tc>
          <w:tcPr>
            <w:tcW w:w="1496" w:type="dxa"/>
          </w:tcPr>
          <w:p w14:paraId="2E548F15"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 20 gal </w:t>
            </w:r>
          </w:p>
          <w:p w14:paraId="7D01D671"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55 gal</w:t>
            </w:r>
          </w:p>
        </w:tc>
        <w:tc>
          <w:tcPr>
            <w:tcW w:w="1400" w:type="dxa"/>
          </w:tcPr>
          <w:p w14:paraId="4A8CA7A2"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Very small </w:t>
            </w:r>
          </w:p>
          <w:p w14:paraId="1107D1FD"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Low</w:t>
            </w:r>
          </w:p>
          <w:p w14:paraId="740F8C1B"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Medium High</w:t>
            </w:r>
          </w:p>
        </w:tc>
        <w:tc>
          <w:tcPr>
            <w:tcW w:w="1549" w:type="dxa"/>
          </w:tcPr>
          <w:p w14:paraId="137EE6AA"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UEF ≥ 0.8808 - (0.0008 × Vr) </w:t>
            </w:r>
          </w:p>
          <w:p w14:paraId="0663CF2B"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UEF ≥ 0.9254 - (0.0003 × Vr) UEF ≥ 0.9307 - (0.0002 × Vr) UEF ≥ 0.9349 - (0.0001 × Vr)</w:t>
            </w:r>
          </w:p>
        </w:tc>
        <w:tc>
          <w:tcPr>
            <w:tcW w:w="1466" w:type="dxa"/>
          </w:tcPr>
          <w:p w14:paraId="3E0F5C12"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DOE 10 C.F.R. </w:t>
            </w:r>
          </w:p>
          <w:p w14:paraId="6E4BE1E6"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Part 430 App. E</w:t>
            </w:r>
          </w:p>
        </w:tc>
      </w:tr>
      <w:tr w:rsidR="006B4A66" w:rsidRPr="006B4A66" w14:paraId="7CB1A593" w14:textId="77777777">
        <w:tc>
          <w:tcPr>
            <w:tcW w:w="1523" w:type="dxa"/>
            <w:vMerge/>
          </w:tcPr>
          <w:p w14:paraId="00B516FD" w14:textId="77777777" w:rsidR="006B4A66" w:rsidRPr="006B4A66" w:rsidRDefault="006B4A66" w:rsidP="0073496A">
            <w:pPr>
              <w:spacing w:line="480" w:lineRule="auto"/>
              <w:rPr>
                <w:rFonts w:eastAsia="Calibri"/>
                <w:color w:val="000000"/>
                <w:sz w:val="24"/>
              </w:rPr>
            </w:pPr>
          </w:p>
        </w:tc>
        <w:tc>
          <w:tcPr>
            <w:tcW w:w="1422" w:type="dxa"/>
          </w:tcPr>
          <w:p w14:paraId="3E3FA07B"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12 kW</w:t>
            </w:r>
          </w:p>
        </w:tc>
        <w:tc>
          <w:tcPr>
            <w:tcW w:w="1496" w:type="dxa"/>
          </w:tcPr>
          <w:p w14:paraId="29FC6DD8"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 55 gal </w:t>
            </w:r>
          </w:p>
          <w:p w14:paraId="540ED0A2"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 120 gal </w:t>
            </w:r>
          </w:p>
        </w:tc>
        <w:tc>
          <w:tcPr>
            <w:tcW w:w="1400" w:type="dxa"/>
          </w:tcPr>
          <w:p w14:paraId="5766B689"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Very small </w:t>
            </w:r>
          </w:p>
          <w:p w14:paraId="1A757DE3"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Low Medium High</w:t>
            </w:r>
          </w:p>
        </w:tc>
        <w:tc>
          <w:tcPr>
            <w:tcW w:w="1549" w:type="dxa"/>
          </w:tcPr>
          <w:p w14:paraId="286B3852"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UEF ≥ 1.9236 - (0.0011 × Vr) </w:t>
            </w:r>
          </w:p>
          <w:p w14:paraId="345C66E0"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UEF ≥ 2.0440 - (0.0011 × Vr) </w:t>
            </w:r>
            <w:r w:rsidRPr="006B4A66">
              <w:rPr>
                <w:rFonts w:eastAsia="Calibri"/>
                <w:color w:val="000000"/>
                <w:sz w:val="24"/>
              </w:rPr>
              <w:lastRenderedPageBreak/>
              <w:t>UEF ≥ 2.1171 - (0.0011 × Vr) UEF ≥ 2.2418 - (0.0011 × Vr)</w:t>
            </w:r>
          </w:p>
        </w:tc>
        <w:tc>
          <w:tcPr>
            <w:tcW w:w="1466" w:type="dxa"/>
          </w:tcPr>
          <w:p w14:paraId="57E364FB" w14:textId="77777777" w:rsidR="006B4A66" w:rsidRPr="006B4A66" w:rsidRDefault="006B4A66" w:rsidP="0073496A">
            <w:pPr>
              <w:spacing w:line="480" w:lineRule="auto"/>
              <w:rPr>
                <w:rFonts w:eastAsia="Calibri"/>
                <w:color w:val="000000"/>
                <w:sz w:val="24"/>
              </w:rPr>
            </w:pPr>
            <w:r w:rsidRPr="006B4A66">
              <w:rPr>
                <w:rFonts w:eastAsia="Calibri"/>
                <w:color w:val="000000"/>
                <w:sz w:val="24"/>
              </w:rPr>
              <w:lastRenderedPageBreak/>
              <w:t xml:space="preserve">DOE 10 C.F.R. </w:t>
            </w:r>
          </w:p>
          <w:p w14:paraId="49A5E792"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Part 430 App.</w:t>
            </w:r>
          </w:p>
        </w:tc>
      </w:tr>
      <w:tr w:rsidR="006B4A66" w:rsidRPr="006B4A66" w14:paraId="3CA8D80C" w14:textId="77777777">
        <w:tc>
          <w:tcPr>
            <w:tcW w:w="1523" w:type="dxa"/>
          </w:tcPr>
          <w:p w14:paraId="4629FAED"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Electric storage water heaters</w:t>
            </w:r>
            <w:r w:rsidRPr="006B4A66">
              <w:rPr>
                <w:rFonts w:eastAsia="Calibri"/>
                <w:color w:val="000000"/>
                <w:sz w:val="24"/>
                <w:vertAlign w:val="superscript"/>
              </w:rPr>
              <w:t>g</w:t>
            </w:r>
          </w:p>
        </w:tc>
        <w:tc>
          <w:tcPr>
            <w:tcW w:w="1422" w:type="dxa"/>
          </w:tcPr>
          <w:p w14:paraId="538C401F"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12 kW</w:t>
            </w:r>
          </w:p>
        </w:tc>
        <w:tc>
          <w:tcPr>
            <w:tcW w:w="1496" w:type="dxa"/>
          </w:tcPr>
          <w:p w14:paraId="4684BFED" w14:textId="77777777" w:rsidR="006B4A66" w:rsidRPr="006B4A66" w:rsidRDefault="006B4A66" w:rsidP="0073496A">
            <w:pPr>
              <w:spacing w:line="480" w:lineRule="auto"/>
              <w:rPr>
                <w:rFonts w:eastAsia="Calibri"/>
                <w:color w:val="000000"/>
                <w:sz w:val="24"/>
              </w:rPr>
            </w:pPr>
          </w:p>
        </w:tc>
        <w:tc>
          <w:tcPr>
            <w:tcW w:w="1400" w:type="dxa"/>
          </w:tcPr>
          <w:p w14:paraId="6DC3B8B1" w14:textId="77777777" w:rsidR="006B4A66" w:rsidRPr="006B4A66" w:rsidRDefault="006B4A66" w:rsidP="0073496A">
            <w:pPr>
              <w:spacing w:line="480" w:lineRule="auto"/>
              <w:rPr>
                <w:rFonts w:eastAsia="Calibri"/>
                <w:color w:val="000000"/>
                <w:sz w:val="24"/>
              </w:rPr>
            </w:pPr>
          </w:p>
        </w:tc>
        <w:tc>
          <w:tcPr>
            <w:tcW w:w="1549" w:type="dxa"/>
          </w:tcPr>
          <w:p w14:paraId="08915717"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(0.3 + 27/Vm), %</w:t>
            </w:r>
            <w:r w:rsidRPr="006B4A66">
              <w:rPr>
                <w:rFonts w:eastAsia="Calibri"/>
                <w:color w:val="000000"/>
                <w:sz w:val="24"/>
                <w:vertAlign w:val="superscript"/>
              </w:rPr>
              <w:t>h</w:t>
            </w:r>
          </w:p>
        </w:tc>
        <w:tc>
          <w:tcPr>
            <w:tcW w:w="1466" w:type="dxa"/>
          </w:tcPr>
          <w:p w14:paraId="4AC6B957"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DOE 10 C.F.R. </w:t>
            </w:r>
          </w:p>
          <w:p w14:paraId="44C109FC"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431.106 App B.</w:t>
            </w:r>
          </w:p>
        </w:tc>
      </w:tr>
      <w:tr w:rsidR="006B4A66" w:rsidRPr="006B4A66" w14:paraId="3A7171D9" w14:textId="77777777">
        <w:tc>
          <w:tcPr>
            <w:tcW w:w="1523" w:type="dxa"/>
          </w:tcPr>
          <w:p w14:paraId="3475137C"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Grid-enabled water heaters</w:t>
            </w:r>
            <w:r w:rsidRPr="006B4A66">
              <w:rPr>
                <w:rFonts w:eastAsia="Calibri"/>
                <w:color w:val="000000"/>
                <w:sz w:val="24"/>
                <w:vertAlign w:val="superscript"/>
              </w:rPr>
              <w:t>g, l</w:t>
            </w:r>
          </w:p>
        </w:tc>
        <w:tc>
          <w:tcPr>
            <w:tcW w:w="1422" w:type="dxa"/>
          </w:tcPr>
          <w:p w14:paraId="0A794EB2" w14:textId="77777777" w:rsidR="006B4A66" w:rsidRPr="006B4A66" w:rsidRDefault="006B4A66" w:rsidP="0073496A">
            <w:pPr>
              <w:spacing w:line="480" w:lineRule="auto"/>
              <w:rPr>
                <w:rFonts w:eastAsia="Calibri"/>
                <w:color w:val="000000"/>
                <w:sz w:val="24"/>
              </w:rPr>
            </w:pPr>
          </w:p>
        </w:tc>
        <w:tc>
          <w:tcPr>
            <w:tcW w:w="1496" w:type="dxa"/>
          </w:tcPr>
          <w:p w14:paraId="6ACCC38D"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75 gal</w:t>
            </w:r>
          </w:p>
        </w:tc>
        <w:tc>
          <w:tcPr>
            <w:tcW w:w="1400" w:type="dxa"/>
          </w:tcPr>
          <w:p w14:paraId="4C76DD9A"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Very small </w:t>
            </w:r>
          </w:p>
          <w:p w14:paraId="07202DA6"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Low</w:t>
            </w:r>
          </w:p>
          <w:p w14:paraId="7883DE77"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Medium</w:t>
            </w:r>
          </w:p>
          <w:p w14:paraId="75FA7F07"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High</w:t>
            </w:r>
          </w:p>
        </w:tc>
        <w:tc>
          <w:tcPr>
            <w:tcW w:w="1549" w:type="dxa"/>
          </w:tcPr>
          <w:p w14:paraId="25E81CDE"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UEF ≥ 1.0136 - (0.0028 × Vr) </w:t>
            </w:r>
          </w:p>
          <w:p w14:paraId="54A824B9"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UEF ≥ 0.9984 - (0.0014 × Vr) UEF ≥ 0.9853 - (0.0010 × Vr) UEF ≥ 0.9720 - (0.0007 × Vr)</w:t>
            </w:r>
          </w:p>
        </w:tc>
        <w:tc>
          <w:tcPr>
            <w:tcW w:w="1466" w:type="dxa"/>
          </w:tcPr>
          <w:p w14:paraId="5195B043" w14:textId="77777777" w:rsidR="006B4A66" w:rsidRPr="006B4A66" w:rsidRDefault="006B4A66" w:rsidP="0073496A">
            <w:pPr>
              <w:spacing w:line="480" w:lineRule="auto"/>
              <w:rPr>
                <w:rFonts w:eastAsia="Calibri"/>
                <w:color w:val="000000"/>
                <w:sz w:val="24"/>
                <w:lang w:val="de-DE"/>
              </w:rPr>
            </w:pPr>
            <w:r w:rsidRPr="006B4A66">
              <w:rPr>
                <w:rFonts w:eastAsia="Calibri"/>
                <w:color w:val="000000"/>
                <w:sz w:val="24"/>
                <w:lang w:val="de-DE"/>
              </w:rPr>
              <w:t xml:space="preserve">10 C.F.R. 430 </w:t>
            </w:r>
          </w:p>
          <w:p w14:paraId="7697D91F" w14:textId="77777777" w:rsidR="006B4A66" w:rsidRPr="006B4A66" w:rsidRDefault="006B4A66" w:rsidP="0073496A">
            <w:pPr>
              <w:spacing w:line="480" w:lineRule="auto"/>
              <w:rPr>
                <w:rFonts w:eastAsia="Calibri"/>
                <w:color w:val="000000"/>
                <w:sz w:val="24"/>
                <w:lang w:val="de-DE"/>
              </w:rPr>
            </w:pPr>
            <w:r w:rsidRPr="006B4A66">
              <w:rPr>
                <w:rFonts w:eastAsia="Calibri"/>
                <w:color w:val="000000"/>
                <w:sz w:val="24"/>
                <w:lang w:val="de-DE"/>
              </w:rPr>
              <w:t>Appendix E</w:t>
            </w:r>
          </w:p>
        </w:tc>
      </w:tr>
      <w:tr w:rsidR="006B4A66" w:rsidRPr="006B4A66" w14:paraId="2D100164" w14:textId="77777777">
        <w:tc>
          <w:tcPr>
            <w:tcW w:w="1523" w:type="dxa"/>
            <w:vMerge w:val="restart"/>
          </w:tcPr>
          <w:p w14:paraId="2D2967C7" w14:textId="77777777" w:rsidR="006B4A66" w:rsidRPr="006B4A66" w:rsidRDefault="006B4A66" w:rsidP="0073496A">
            <w:pPr>
              <w:spacing w:line="480" w:lineRule="auto"/>
              <w:rPr>
                <w:rFonts w:eastAsia="Calibri"/>
                <w:color w:val="000000"/>
                <w:sz w:val="24"/>
              </w:rPr>
            </w:pPr>
            <w:r w:rsidRPr="006B4A66">
              <w:rPr>
                <w:rFonts w:eastAsia="Calibri"/>
                <w:color w:val="000000"/>
                <w:sz w:val="24"/>
              </w:rPr>
              <w:lastRenderedPageBreak/>
              <w:t>Electric instantaneous water heaters</w:t>
            </w:r>
            <w:r w:rsidRPr="006B4A66">
              <w:rPr>
                <w:rFonts w:eastAsia="Calibri"/>
                <w:color w:val="000000"/>
                <w:sz w:val="24"/>
                <w:vertAlign w:val="superscript"/>
              </w:rPr>
              <w:t>h</w:t>
            </w:r>
            <w:r w:rsidRPr="006B4A66">
              <w:rPr>
                <w:rFonts w:eastAsia="Calibri"/>
                <w:color w:val="000000"/>
                <w:sz w:val="24"/>
              </w:rPr>
              <w:t xml:space="preserve"> </w:t>
            </w:r>
          </w:p>
        </w:tc>
        <w:tc>
          <w:tcPr>
            <w:tcW w:w="1422" w:type="dxa"/>
          </w:tcPr>
          <w:p w14:paraId="287EFDE2" w14:textId="77777777" w:rsidR="006B4A66" w:rsidRPr="006B4A66" w:rsidRDefault="006B4A66" w:rsidP="0073496A">
            <w:pPr>
              <w:spacing w:line="480" w:lineRule="auto"/>
              <w:rPr>
                <w:rFonts w:eastAsia="Calibri"/>
                <w:color w:val="000000"/>
                <w:sz w:val="24"/>
                <w:lang w:val="de-DE"/>
              </w:rPr>
            </w:pPr>
            <w:r w:rsidRPr="006B4A66">
              <w:rPr>
                <w:rFonts w:eastAsia="Calibri"/>
                <w:color w:val="000000"/>
                <w:sz w:val="24"/>
              </w:rPr>
              <w:t xml:space="preserve">≤ 12 kW </w:t>
            </w:r>
          </w:p>
        </w:tc>
        <w:tc>
          <w:tcPr>
            <w:tcW w:w="1496" w:type="dxa"/>
          </w:tcPr>
          <w:p w14:paraId="2ADE909C" w14:textId="77777777" w:rsidR="006B4A66" w:rsidRPr="006B4A66" w:rsidRDefault="006B4A66" w:rsidP="0073496A">
            <w:pPr>
              <w:spacing w:line="480" w:lineRule="auto"/>
              <w:rPr>
                <w:rFonts w:eastAsia="Calibri"/>
                <w:color w:val="000000"/>
                <w:sz w:val="24"/>
                <w:lang w:val="de-DE"/>
              </w:rPr>
            </w:pPr>
            <w:r w:rsidRPr="006B4A66">
              <w:rPr>
                <w:rFonts w:eastAsia="Calibri"/>
                <w:color w:val="000000"/>
                <w:sz w:val="24"/>
              </w:rPr>
              <w:t xml:space="preserve">&lt; 2 gal </w:t>
            </w:r>
          </w:p>
        </w:tc>
        <w:tc>
          <w:tcPr>
            <w:tcW w:w="1400" w:type="dxa"/>
          </w:tcPr>
          <w:p w14:paraId="375E6B6B"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Very small </w:t>
            </w:r>
          </w:p>
          <w:p w14:paraId="3C4BAAEF"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Low</w:t>
            </w:r>
          </w:p>
          <w:p w14:paraId="3DE95C1B"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Medium</w:t>
            </w:r>
          </w:p>
          <w:p w14:paraId="3C7F4403"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High</w:t>
            </w:r>
          </w:p>
        </w:tc>
        <w:tc>
          <w:tcPr>
            <w:tcW w:w="1549" w:type="dxa"/>
          </w:tcPr>
          <w:p w14:paraId="7960F683"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UEF ≥ 0.91 </w:t>
            </w:r>
          </w:p>
          <w:p w14:paraId="17DDEE1D"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UEF ≥ 0.91 </w:t>
            </w:r>
          </w:p>
          <w:p w14:paraId="38047F04"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UEF ≥ 0.91 </w:t>
            </w:r>
          </w:p>
          <w:p w14:paraId="1F8983F0" w14:textId="77777777" w:rsidR="006B4A66" w:rsidRPr="006B4A66" w:rsidRDefault="006B4A66" w:rsidP="0073496A">
            <w:pPr>
              <w:spacing w:line="480" w:lineRule="auto"/>
              <w:rPr>
                <w:rFonts w:eastAsia="Calibri"/>
                <w:color w:val="000000"/>
                <w:sz w:val="24"/>
                <w:lang w:val="de-DE"/>
              </w:rPr>
            </w:pPr>
            <w:r w:rsidRPr="006B4A66">
              <w:rPr>
                <w:rFonts w:eastAsia="Calibri"/>
                <w:color w:val="000000"/>
                <w:sz w:val="24"/>
              </w:rPr>
              <w:t>UEF ≥ 0.92</w:t>
            </w:r>
          </w:p>
        </w:tc>
        <w:tc>
          <w:tcPr>
            <w:tcW w:w="1466" w:type="dxa"/>
          </w:tcPr>
          <w:p w14:paraId="79974C99"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DOE 10 C.F.R. </w:t>
            </w:r>
          </w:p>
          <w:p w14:paraId="3C62958C"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Part 430 </w:t>
            </w:r>
          </w:p>
        </w:tc>
      </w:tr>
      <w:tr w:rsidR="006B4A66" w:rsidRPr="006B4A66" w14:paraId="0BA2333C" w14:textId="77777777">
        <w:tc>
          <w:tcPr>
            <w:tcW w:w="1523" w:type="dxa"/>
            <w:vMerge/>
          </w:tcPr>
          <w:p w14:paraId="5A121186" w14:textId="77777777" w:rsidR="006B4A66" w:rsidRPr="006B4A66" w:rsidRDefault="006B4A66" w:rsidP="0073496A">
            <w:pPr>
              <w:spacing w:line="480" w:lineRule="auto"/>
              <w:rPr>
                <w:rFonts w:eastAsia="Calibri"/>
                <w:color w:val="000000"/>
                <w:sz w:val="24"/>
              </w:rPr>
            </w:pPr>
          </w:p>
        </w:tc>
        <w:tc>
          <w:tcPr>
            <w:tcW w:w="1422" w:type="dxa"/>
          </w:tcPr>
          <w:p w14:paraId="0237245D"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 12 kW &amp; </w:t>
            </w:r>
          </w:p>
          <w:p w14:paraId="187ABFBB"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58.6 kW</w:t>
            </w:r>
            <w:r w:rsidRPr="006B4A66">
              <w:rPr>
                <w:rFonts w:eastAsia="Calibri"/>
                <w:color w:val="000000"/>
                <w:sz w:val="24"/>
                <w:vertAlign w:val="superscript"/>
              </w:rPr>
              <w:t>c</w:t>
            </w:r>
          </w:p>
        </w:tc>
        <w:tc>
          <w:tcPr>
            <w:tcW w:w="1496" w:type="dxa"/>
          </w:tcPr>
          <w:p w14:paraId="381A2867"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 2 gal </w:t>
            </w:r>
          </w:p>
          <w:p w14:paraId="5E8CBC20"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180°F</w:t>
            </w:r>
          </w:p>
        </w:tc>
        <w:tc>
          <w:tcPr>
            <w:tcW w:w="1400" w:type="dxa"/>
          </w:tcPr>
          <w:p w14:paraId="581A071E"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All </w:t>
            </w:r>
          </w:p>
        </w:tc>
        <w:tc>
          <w:tcPr>
            <w:tcW w:w="1549" w:type="dxa"/>
          </w:tcPr>
          <w:p w14:paraId="798FEE86"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UEF ≥ 0.80</w:t>
            </w:r>
          </w:p>
        </w:tc>
        <w:tc>
          <w:tcPr>
            <w:tcW w:w="1466" w:type="dxa"/>
          </w:tcPr>
          <w:p w14:paraId="21BE88B6"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DOE 10 C.F.R. </w:t>
            </w:r>
          </w:p>
          <w:p w14:paraId="258F75AD"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Part 430</w:t>
            </w:r>
          </w:p>
        </w:tc>
      </w:tr>
      <w:tr w:rsidR="006B4A66" w:rsidRPr="006B4A66" w14:paraId="4CCA2EB9" w14:textId="77777777">
        <w:tc>
          <w:tcPr>
            <w:tcW w:w="1523" w:type="dxa"/>
            <w:vMerge w:val="restart"/>
          </w:tcPr>
          <w:p w14:paraId="68943FEA"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Gas storage water heaters</w:t>
            </w:r>
            <w:r w:rsidRPr="006B4A66">
              <w:rPr>
                <w:rFonts w:eastAsia="Calibri"/>
                <w:color w:val="000000"/>
                <w:sz w:val="24"/>
                <w:vertAlign w:val="superscript"/>
              </w:rPr>
              <w:t>g</w:t>
            </w:r>
            <w:r w:rsidRPr="006B4A66">
              <w:rPr>
                <w:rFonts w:eastAsia="Calibri"/>
                <w:color w:val="000000"/>
                <w:sz w:val="24"/>
              </w:rPr>
              <w:t xml:space="preserve"> </w:t>
            </w:r>
          </w:p>
        </w:tc>
        <w:tc>
          <w:tcPr>
            <w:tcW w:w="1422" w:type="dxa"/>
          </w:tcPr>
          <w:p w14:paraId="1A64D9EA"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 75,000Btu/h </w:t>
            </w:r>
          </w:p>
        </w:tc>
        <w:tc>
          <w:tcPr>
            <w:tcW w:w="1496" w:type="dxa"/>
          </w:tcPr>
          <w:p w14:paraId="2A089AAF"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20 gal &amp; ≤ 55 gal</w:t>
            </w:r>
            <w:r w:rsidRPr="006B4A66">
              <w:rPr>
                <w:rFonts w:eastAsia="Calibri"/>
                <w:color w:val="000000"/>
                <w:sz w:val="24"/>
                <w:vertAlign w:val="superscript"/>
              </w:rPr>
              <w:t>f</w:t>
            </w:r>
          </w:p>
        </w:tc>
        <w:tc>
          <w:tcPr>
            <w:tcW w:w="1400" w:type="dxa"/>
          </w:tcPr>
          <w:p w14:paraId="2722F9A7"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Very small </w:t>
            </w:r>
          </w:p>
          <w:p w14:paraId="03D0397D"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Low</w:t>
            </w:r>
          </w:p>
          <w:p w14:paraId="663A1E44"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Medium</w:t>
            </w:r>
          </w:p>
          <w:p w14:paraId="5EA7F6D6"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High</w:t>
            </w:r>
          </w:p>
        </w:tc>
        <w:tc>
          <w:tcPr>
            <w:tcW w:w="1549" w:type="dxa"/>
          </w:tcPr>
          <w:p w14:paraId="6CB54B4D"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UEF ≥ 0.3456 - (0.0020 × Vr) </w:t>
            </w:r>
          </w:p>
          <w:p w14:paraId="0216C7D5"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UEF ≥ 0.5982 - (0.0019 × Vr) UEF ≥ 0.6483 - (0.0017 × Vr) UEF ≥ 0.6920 - (0.0013 × Vr)</w:t>
            </w:r>
          </w:p>
        </w:tc>
        <w:tc>
          <w:tcPr>
            <w:tcW w:w="1466" w:type="dxa"/>
          </w:tcPr>
          <w:p w14:paraId="3EFCD76C"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DOE 10 C.F.R. </w:t>
            </w:r>
          </w:p>
          <w:p w14:paraId="04E1280D"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Part 430 App. E </w:t>
            </w:r>
          </w:p>
        </w:tc>
      </w:tr>
      <w:tr w:rsidR="006B4A66" w:rsidRPr="006B4A66" w14:paraId="6EB0E9FD" w14:textId="77777777">
        <w:tc>
          <w:tcPr>
            <w:tcW w:w="1523" w:type="dxa"/>
            <w:vMerge/>
          </w:tcPr>
          <w:p w14:paraId="036F4B4C" w14:textId="77777777" w:rsidR="006B4A66" w:rsidRPr="006B4A66" w:rsidRDefault="006B4A66" w:rsidP="0073496A">
            <w:pPr>
              <w:spacing w:line="480" w:lineRule="auto"/>
              <w:rPr>
                <w:rFonts w:eastAsia="Calibri"/>
                <w:color w:val="000000"/>
                <w:sz w:val="24"/>
              </w:rPr>
            </w:pPr>
          </w:p>
        </w:tc>
        <w:tc>
          <w:tcPr>
            <w:tcW w:w="1422" w:type="dxa"/>
          </w:tcPr>
          <w:p w14:paraId="5FA85F26"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 75,000 Btu/h </w:t>
            </w:r>
          </w:p>
        </w:tc>
        <w:tc>
          <w:tcPr>
            <w:tcW w:w="1496" w:type="dxa"/>
          </w:tcPr>
          <w:p w14:paraId="59572C04"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 55 gal &amp; </w:t>
            </w:r>
          </w:p>
          <w:p w14:paraId="00406EEC"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100 gal</w:t>
            </w:r>
            <w:r w:rsidRPr="006B4A66">
              <w:rPr>
                <w:rFonts w:eastAsia="Calibri"/>
                <w:color w:val="000000"/>
                <w:sz w:val="24"/>
                <w:vertAlign w:val="superscript"/>
              </w:rPr>
              <w:t>e</w:t>
            </w:r>
            <w:r w:rsidRPr="006B4A66">
              <w:rPr>
                <w:rFonts w:eastAsia="Calibri"/>
                <w:color w:val="000000"/>
                <w:sz w:val="24"/>
              </w:rPr>
              <w:t xml:space="preserve"> </w:t>
            </w:r>
          </w:p>
        </w:tc>
        <w:tc>
          <w:tcPr>
            <w:tcW w:w="1400" w:type="dxa"/>
          </w:tcPr>
          <w:p w14:paraId="42EC0291"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Very small </w:t>
            </w:r>
          </w:p>
          <w:p w14:paraId="732B3C4E" w14:textId="77777777" w:rsidR="006B4A66" w:rsidRPr="006B4A66" w:rsidRDefault="006B4A66" w:rsidP="0073496A">
            <w:pPr>
              <w:spacing w:line="480" w:lineRule="auto"/>
              <w:rPr>
                <w:rFonts w:eastAsia="Calibri"/>
                <w:color w:val="000000"/>
                <w:sz w:val="24"/>
              </w:rPr>
            </w:pPr>
            <w:r w:rsidRPr="006B4A66">
              <w:rPr>
                <w:rFonts w:eastAsia="Calibri"/>
                <w:color w:val="000000"/>
                <w:sz w:val="24"/>
              </w:rPr>
              <w:lastRenderedPageBreak/>
              <w:t xml:space="preserve">Low Medium High </w:t>
            </w:r>
          </w:p>
        </w:tc>
        <w:tc>
          <w:tcPr>
            <w:tcW w:w="1549" w:type="dxa"/>
          </w:tcPr>
          <w:p w14:paraId="5CB57D70" w14:textId="77777777" w:rsidR="006B4A66" w:rsidRPr="006B4A66" w:rsidRDefault="006B4A66" w:rsidP="0073496A">
            <w:pPr>
              <w:spacing w:line="480" w:lineRule="auto"/>
              <w:rPr>
                <w:rFonts w:eastAsia="Calibri"/>
                <w:color w:val="000000"/>
                <w:sz w:val="24"/>
              </w:rPr>
            </w:pPr>
            <w:r w:rsidRPr="006B4A66">
              <w:rPr>
                <w:rFonts w:eastAsia="Calibri"/>
                <w:color w:val="000000"/>
                <w:sz w:val="24"/>
              </w:rPr>
              <w:lastRenderedPageBreak/>
              <w:t xml:space="preserve">UEF ≥ 0.6470 - (0.0006 × Vr) </w:t>
            </w:r>
          </w:p>
          <w:p w14:paraId="399A0A54" w14:textId="77777777" w:rsidR="006B4A66" w:rsidRPr="006B4A66" w:rsidRDefault="006B4A66" w:rsidP="0073496A">
            <w:pPr>
              <w:spacing w:line="480" w:lineRule="auto"/>
              <w:rPr>
                <w:rFonts w:eastAsia="Calibri"/>
                <w:color w:val="000000"/>
                <w:sz w:val="24"/>
              </w:rPr>
            </w:pPr>
            <w:r w:rsidRPr="006B4A66">
              <w:rPr>
                <w:rFonts w:eastAsia="Calibri"/>
                <w:color w:val="000000"/>
                <w:sz w:val="24"/>
              </w:rPr>
              <w:lastRenderedPageBreak/>
              <w:t>UEF ≥ 0.7689 - (0.0005 × Vr) UEF ≥ 0.7897 - (0.0004 × Vr) UEF ≥ 0.8072 - (0.0003 × Vr)</w:t>
            </w:r>
          </w:p>
        </w:tc>
        <w:tc>
          <w:tcPr>
            <w:tcW w:w="1466" w:type="dxa"/>
          </w:tcPr>
          <w:p w14:paraId="658B0DC8" w14:textId="77777777" w:rsidR="006B4A66" w:rsidRPr="006B4A66" w:rsidRDefault="006B4A66" w:rsidP="0073496A">
            <w:pPr>
              <w:spacing w:line="480" w:lineRule="auto"/>
              <w:rPr>
                <w:rFonts w:eastAsia="Calibri"/>
                <w:color w:val="000000"/>
                <w:sz w:val="24"/>
              </w:rPr>
            </w:pPr>
            <w:r w:rsidRPr="006B4A66">
              <w:rPr>
                <w:rFonts w:eastAsia="Calibri"/>
                <w:color w:val="000000"/>
                <w:sz w:val="24"/>
              </w:rPr>
              <w:lastRenderedPageBreak/>
              <w:t xml:space="preserve">DOE 10 C.F.R. </w:t>
            </w:r>
          </w:p>
          <w:p w14:paraId="229CA69F" w14:textId="77777777" w:rsidR="006B4A66" w:rsidRPr="006B4A66" w:rsidRDefault="006B4A66" w:rsidP="0073496A">
            <w:pPr>
              <w:spacing w:line="480" w:lineRule="auto"/>
              <w:rPr>
                <w:rFonts w:eastAsia="Calibri"/>
                <w:color w:val="000000"/>
                <w:sz w:val="24"/>
              </w:rPr>
            </w:pPr>
            <w:r w:rsidRPr="006B4A66">
              <w:rPr>
                <w:rFonts w:eastAsia="Calibri"/>
                <w:color w:val="000000"/>
                <w:sz w:val="24"/>
              </w:rPr>
              <w:lastRenderedPageBreak/>
              <w:t xml:space="preserve">Part 430 App. E </w:t>
            </w:r>
          </w:p>
        </w:tc>
      </w:tr>
      <w:tr w:rsidR="006B4A66" w:rsidRPr="006B4A66" w14:paraId="161B8BF8" w14:textId="77777777">
        <w:tc>
          <w:tcPr>
            <w:tcW w:w="1523" w:type="dxa"/>
            <w:vMerge/>
          </w:tcPr>
          <w:p w14:paraId="140D9303" w14:textId="77777777" w:rsidR="006B4A66" w:rsidRPr="006B4A66" w:rsidRDefault="006B4A66" w:rsidP="0073496A">
            <w:pPr>
              <w:spacing w:line="480" w:lineRule="auto"/>
              <w:rPr>
                <w:rFonts w:eastAsia="Calibri"/>
                <w:color w:val="000000"/>
                <w:sz w:val="24"/>
              </w:rPr>
            </w:pPr>
          </w:p>
        </w:tc>
        <w:tc>
          <w:tcPr>
            <w:tcW w:w="1422" w:type="dxa"/>
          </w:tcPr>
          <w:p w14:paraId="67CD968E"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 75,000 Btu/h and </w:t>
            </w:r>
          </w:p>
          <w:p w14:paraId="5515B5D4"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105,000 Btu/h</w:t>
            </w:r>
            <w:r w:rsidRPr="006B4A66">
              <w:rPr>
                <w:rFonts w:eastAsia="Calibri"/>
                <w:color w:val="000000"/>
                <w:sz w:val="24"/>
                <w:vertAlign w:val="superscript"/>
              </w:rPr>
              <w:t>d</w:t>
            </w:r>
          </w:p>
        </w:tc>
        <w:tc>
          <w:tcPr>
            <w:tcW w:w="1496" w:type="dxa"/>
          </w:tcPr>
          <w:p w14:paraId="3CED639A"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 120 gal </w:t>
            </w:r>
          </w:p>
          <w:p w14:paraId="7A12DFC3"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180°F</w:t>
            </w:r>
          </w:p>
        </w:tc>
        <w:tc>
          <w:tcPr>
            <w:tcW w:w="1400" w:type="dxa"/>
          </w:tcPr>
          <w:p w14:paraId="411F2D5B"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Very small </w:t>
            </w:r>
          </w:p>
          <w:p w14:paraId="641BDD17"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Low</w:t>
            </w:r>
          </w:p>
          <w:p w14:paraId="1BFD9DD0"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Medium</w:t>
            </w:r>
          </w:p>
          <w:p w14:paraId="6B9C01F6"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High </w:t>
            </w:r>
          </w:p>
        </w:tc>
        <w:tc>
          <w:tcPr>
            <w:tcW w:w="1549" w:type="dxa"/>
          </w:tcPr>
          <w:p w14:paraId="5B042C8E"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UEF ≥ 0.2674-0.0009 x Vr </w:t>
            </w:r>
          </w:p>
          <w:p w14:paraId="4A2E3CE5"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UEF ≥ 0.5362-0.0012 x Vr UEF ≥ 0.6002-0.0011 x Vr UEF ≥ 0.6597-0.0009 x Vr</w:t>
            </w:r>
          </w:p>
        </w:tc>
        <w:tc>
          <w:tcPr>
            <w:tcW w:w="1466" w:type="dxa"/>
          </w:tcPr>
          <w:p w14:paraId="6AE2F9F3"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DOE 10 C.F.R. </w:t>
            </w:r>
          </w:p>
          <w:p w14:paraId="209BDA89"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Part 430 App. E</w:t>
            </w:r>
          </w:p>
        </w:tc>
      </w:tr>
      <w:tr w:rsidR="006B4A66" w:rsidRPr="006B4A66" w14:paraId="1D6C633C" w14:textId="77777777">
        <w:tc>
          <w:tcPr>
            <w:tcW w:w="1523" w:type="dxa"/>
            <w:vMerge/>
          </w:tcPr>
          <w:p w14:paraId="39D56689" w14:textId="77777777" w:rsidR="006B4A66" w:rsidRPr="006B4A66" w:rsidRDefault="006B4A66" w:rsidP="0073496A">
            <w:pPr>
              <w:spacing w:line="480" w:lineRule="auto"/>
              <w:rPr>
                <w:rFonts w:eastAsia="Calibri"/>
                <w:color w:val="000000"/>
                <w:sz w:val="24"/>
              </w:rPr>
            </w:pPr>
          </w:p>
        </w:tc>
        <w:tc>
          <w:tcPr>
            <w:tcW w:w="1422" w:type="dxa"/>
          </w:tcPr>
          <w:p w14:paraId="4ACB6D83"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105,000 Btu/h</w:t>
            </w:r>
            <w:r w:rsidRPr="006B4A66">
              <w:rPr>
                <w:rFonts w:eastAsia="Calibri"/>
                <w:color w:val="000000"/>
                <w:sz w:val="24"/>
                <w:vertAlign w:val="superscript"/>
              </w:rPr>
              <w:t>d, f</w:t>
            </w:r>
          </w:p>
        </w:tc>
        <w:tc>
          <w:tcPr>
            <w:tcW w:w="1496" w:type="dxa"/>
          </w:tcPr>
          <w:p w14:paraId="793508F6" w14:textId="77777777" w:rsidR="006B4A66" w:rsidRPr="006B4A66" w:rsidRDefault="006B4A66" w:rsidP="0073496A">
            <w:pPr>
              <w:spacing w:line="480" w:lineRule="auto"/>
              <w:rPr>
                <w:rFonts w:eastAsia="Calibri"/>
                <w:color w:val="000000"/>
                <w:sz w:val="24"/>
              </w:rPr>
            </w:pPr>
          </w:p>
        </w:tc>
        <w:tc>
          <w:tcPr>
            <w:tcW w:w="1400" w:type="dxa"/>
          </w:tcPr>
          <w:p w14:paraId="02A5C56C" w14:textId="77777777" w:rsidR="006B4A66" w:rsidRPr="006B4A66" w:rsidRDefault="006B4A66" w:rsidP="0073496A">
            <w:pPr>
              <w:spacing w:line="480" w:lineRule="auto"/>
              <w:rPr>
                <w:rFonts w:eastAsia="Calibri"/>
                <w:color w:val="000000"/>
                <w:sz w:val="24"/>
              </w:rPr>
            </w:pPr>
          </w:p>
        </w:tc>
        <w:tc>
          <w:tcPr>
            <w:tcW w:w="1549" w:type="dxa"/>
          </w:tcPr>
          <w:p w14:paraId="2C93840C"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80% Et </w:t>
            </w:r>
          </w:p>
          <w:p w14:paraId="323D8299" w14:textId="77777777" w:rsidR="006B4A66" w:rsidRPr="006B4A66" w:rsidRDefault="006B4A66" w:rsidP="0073496A">
            <w:pPr>
              <w:spacing w:line="480" w:lineRule="auto"/>
              <w:rPr>
                <w:rFonts w:eastAsia="Calibri"/>
                <w:color w:val="000000"/>
                <w:sz w:val="24"/>
              </w:rPr>
            </w:pPr>
            <w:r w:rsidRPr="006B4A66">
              <w:rPr>
                <w:rFonts w:eastAsia="Calibri"/>
                <w:color w:val="000000"/>
                <w:sz w:val="24"/>
              </w:rPr>
              <w:lastRenderedPageBreak/>
              <w:t>SL ≤ (Q/800 +110√V), Btu/h</w:t>
            </w:r>
          </w:p>
        </w:tc>
        <w:tc>
          <w:tcPr>
            <w:tcW w:w="1466" w:type="dxa"/>
          </w:tcPr>
          <w:p w14:paraId="7CC807F0" w14:textId="77777777" w:rsidR="006B4A66" w:rsidRPr="006B4A66" w:rsidRDefault="006B4A66" w:rsidP="0073496A">
            <w:pPr>
              <w:spacing w:line="480" w:lineRule="auto"/>
              <w:rPr>
                <w:rFonts w:eastAsia="Calibri"/>
                <w:color w:val="000000"/>
                <w:sz w:val="24"/>
              </w:rPr>
            </w:pPr>
            <w:r w:rsidRPr="006B4A66">
              <w:rPr>
                <w:rFonts w:eastAsia="Calibri"/>
                <w:color w:val="000000"/>
                <w:sz w:val="24"/>
              </w:rPr>
              <w:lastRenderedPageBreak/>
              <w:t xml:space="preserve">DOE 10 C.F.R. </w:t>
            </w:r>
          </w:p>
          <w:p w14:paraId="20E572A8" w14:textId="77777777" w:rsidR="006B4A66" w:rsidRPr="006B4A66" w:rsidRDefault="006B4A66" w:rsidP="0073496A">
            <w:pPr>
              <w:spacing w:line="480" w:lineRule="auto"/>
              <w:rPr>
                <w:rFonts w:eastAsia="Calibri"/>
                <w:color w:val="000000"/>
                <w:sz w:val="24"/>
              </w:rPr>
            </w:pPr>
            <w:r w:rsidRPr="006B4A66">
              <w:rPr>
                <w:rFonts w:eastAsia="Calibri"/>
                <w:color w:val="000000"/>
                <w:sz w:val="24"/>
              </w:rPr>
              <w:lastRenderedPageBreak/>
              <w:t>431.106</w:t>
            </w:r>
          </w:p>
        </w:tc>
      </w:tr>
      <w:tr w:rsidR="006B4A66" w:rsidRPr="006B4A66" w14:paraId="55381286" w14:textId="77777777">
        <w:tc>
          <w:tcPr>
            <w:tcW w:w="1523" w:type="dxa"/>
            <w:vMerge w:val="restart"/>
          </w:tcPr>
          <w:p w14:paraId="6227C438" w14:textId="77777777" w:rsidR="006B4A66" w:rsidRPr="006B4A66" w:rsidRDefault="006B4A66" w:rsidP="0073496A">
            <w:pPr>
              <w:spacing w:line="480" w:lineRule="auto"/>
              <w:rPr>
                <w:rFonts w:eastAsia="Calibri"/>
                <w:color w:val="000000"/>
                <w:sz w:val="24"/>
              </w:rPr>
            </w:pPr>
            <w:r w:rsidRPr="006B4A66">
              <w:rPr>
                <w:rFonts w:eastAsia="Calibri"/>
                <w:color w:val="000000"/>
                <w:sz w:val="24"/>
              </w:rPr>
              <w:lastRenderedPageBreak/>
              <w:t>Gas instantaneous water heaters</w:t>
            </w:r>
            <w:r w:rsidRPr="006B4A66">
              <w:rPr>
                <w:rFonts w:eastAsia="Calibri"/>
                <w:color w:val="000000"/>
                <w:sz w:val="24"/>
                <w:vertAlign w:val="superscript"/>
              </w:rPr>
              <w:t>h</w:t>
            </w:r>
            <w:r w:rsidRPr="006B4A66">
              <w:rPr>
                <w:rFonts w:eastAsia="Calibri"/>
                <w:color w:val="000000"/>
                <w:sz w:val="24"/>
              </w:rPr>
              <w:t xml:space="preserve"> </w:t>
            </w:r>
          </w:p>
        </w:tc>
        <w:tc>
          <w:tcPr>
            <w:tcW w:w="1422" w:type="dxa"/>
          </w:tcPr>
          <w:p w14:paraId="2A9F86DD"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 50,000 Btu/h and </w:t>
            </w:r>
          </w:p>
          <w:p w14:paraId="4505A30D"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&lt; 200,000 Btu/h</w:t>
            </w:r>
          </w:p>
        </w:tc>
        <w:tc>
          <w:tcPr>
            <w:tcW w:w="1496" w:type="dxa"/>
          </w:tcPr>
          <w:p w14:paraId="044D109A"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&lt; 2 gal</w:t>
            </w:r>
          </w:p>
        </w:tc>
        <w:tc>
          <w:tcPr>
            <w:tcW w:w="1400" w:type="dxa"/>
          </w:tcPr>
          <w:p w14:paraId="1B82A67C"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Very small </w:t>
            </w:r>
          </w:p>
          <w:p w14:paraId="7E39A1E9"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Low Medium High</w:t>
            </w:r>
          </w:p>
        </w:tc>
        <w:tc>
          <w:tcPr>
            <w:tcW w:w="1549" w:type="dxa"/>
          </w:tcPr>
          <w:p w14:paraId="040550B3"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UEF ≥ 0.80 </w:t>
            </w:r>
          </w:p>
          <w:p w14:paraId="5AF5899D"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UEF ≥ 0.81 </w:t>
            </w:r>
          </w:p>
          <w:p w14:paraId="18AD3AC8"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UEF ≥ 0.81 </w:t>
            </w:r>
          </w:p>
          <w:p w14:paraId="48B4CFF7"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UEF ≥ 0.81</w:t>
            </w:r>
          </w:p>
        </w:tc>
        <w:tc>
          <w:tcPr>
            <w:tcW w:w="1466" w:type="dxa"/>
          </w:tcPr>
          <w:p w14:paraId="5B9B113E"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DOE 10 C.F.R. </w:t>
            </w:r>
          </w:p>
          <w:p w14:paraId="66F1618B"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Part 430 App. E</w:t>
            </w:r>
          </w:p>
        </w:tc>
      </w:tr>
      <w:tr w:rsidR="006B4A66" w:rsidRPr="006B4A66" w14:paraId="3C0E6E2E" w14:textId="77777777">
        <w:tc>
          <w:tcPr>
            <w:tcW w:w="1523" w:type="dxa"/>
            <w:vMerge/>
          </w:tcPr>
          <w:p w14:paraId="632B7046" w14:textId="77777777" w:rsidR="006B4A66" w:rsidRPr="006B4A66" w:rsidRDefault="006B4A66" w:rsidP="0073496A">
            <w:pPr>
              <w:spacing w:line="480" w:lineRule="auto"/>
              <w:rPr>
                <w:rFonts w:eastAsia="Calibri"/>
                <w:color w:val="000000"/>
                <w:sz w:val="24"/>
              </w:rPr>
            </w:pPr>
          </w:p>
        </w:tc>
        <w:tc>
          <w:tcPr>
            <w:tcW w:w="1422" w:type="dxa"/>
          </w:tcPr>
          <w:p w14:paraId="147F2638"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200,000 Btu/h</w:t>
            </w:r>
            <w:r w:rsidRPr="006B4A66">
              <w:rPr>
                <w:rFonts w:eastAsia="Calibri"/>
                <w:color w:val="000000"/>
                <w:sz w:val="24"/>
                <w:vertAlign w:val="superscript"/>
              </w:rPr>
              <w:t>d, f</w:t>
            </w:r>
          </w:p>
        </w:tc>
        <w:tc>
          <w:tcPr>
            <w:tcW w:w="1496" w:type="dxa"/>
          </w:tcPr>
          <w:p w14:paraId="6CE9DE53"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&lt; 10 gal</w:t>
            </w:r>
          </w:p>
        </w:tc>
        <w:tc>
          <w:tcPr>
            <w:tcW w:w="1400" w:type="dxa"/>
          </w:tcPr>
          <w:p w14:paraId="630307E4" w14:textId="77777777" w:rsidR="006B4A66" w:rsidRPr="006B4A66" w:rsidRDefault="006B4A66" w:rsidP="0073496A">
            <w:pPr>
              <w:spacing w:line="480" w:lineRule="auto"/>
              <w:rPr>
                <w:rFonts w:eastAsia="Calibri"/>
                <w:color w:val="000000"/>
                <w:sz w:val="24"/>
              </w:rPr>
            </w:pPr>
          </w:p>
        </w:tc>
        <w:tc>
          <w:tcPr>
            <w:tcW w:w="1549" w:type="dxa"/>
          </w:tcPr>
          <w:p w14:paraId="0652ABD8"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80% Et</w:t>
            </w:r>
          </w:p>
        </w:tc>
        <w:tc>
          <w:tcPr>
            <w:tcW w:w="1466" w:type="dxa"/>
            <w:vMerge w:val="restart"/>
          </w:tcPr>
          <w:p w14:paraId="2C97342B"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DOE 10 C.F.R. </w:t>
            </w:r>
          </w:p>
          <w:p w14:paraId="3FB92006"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431.106 </w:t>
            </w:r>
          </w:p>
        </w:tc>
      </w:tr>
      <w:tr w:rsidR="006B4A66" w:rsidRPr="006B4A66" w14:paraId="4D6C12F9" w14:textId="77777777">
        <w:tc>
          <w:tcPr>
            <w:tcW w:w="1523" w:type="dxa"/>
            <w:vMerge/>
          </w:tcPr>
          <w:p w14:paraId="10A5B90D" w14:textId="77777777" w:rsidR="006B4A66" w:rsidRPr="006B4A66" w:rsidRDefault="006B4A66" w:rsidP="0073496A">
            <w:pPr>
              <w:spacing w:line="480" w:lineRule="auto"/>
              <w:rPr>
                <w:rFonts w:eastAsia="Calibri"/>
                <w:color w:val="000000"/>
                <w:sz w:val="24"/>
              </w:rPr>
            </w:pPr>
          </w:p>
        </w:tc>
        <w:tc>
          <w:tcPr>
            <w:tcW w:w="1422" w:type="dxa"/>
          </w:tcPr>
          <w:p w14:paraId="40B8CF23"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200,000 Btu/h</w:t>
            </w:r>
            <w:r w:rsidRPr="006B4A66">
              <w:rPr>
                <w:rFonts w:eastAsia="Calibri"/>
                <w:color w:val="000000"/>
                <w:sz w:val="24"/>
                <w:vertAlign w:val="superscript"/>
              </w:rPr>
              <w:t>f</w:t>
            </w:r>
          </w:p>
        </w:tc>
        <w:tc>
          <w:tcPr>
            <w:tcW w:w="1496" w:type="dxa"/>
          </w:tcPr>
          <w:p w14:paraId="0CEF3A06"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10 gal</w:t>
            </w:r>
          </w:p>
        </w:tc>
        <w:tc>
          <w:tcPr>
            <w:tcW w:w="1400" w:type="dxa"/>
          </w:tcPr>
          <w:p w14:paraId="5091B685" w14:textId="77777777" w:rsidR="006B4A66" w:rsidRPr="006B4A66" w:rsidRDefault="006B4A66" w:rsidP="0073496A">
            <w:pPr>
              <w:spacing w:line="480" w:lineRule="auto"/>
              <w:rPr>
                <w:rFonts w:eastAsia="Calibri"/>
                <w:color w:val="000000"/>
                <w:sz w:val="24"/>
              </w:rPr>
            </w:pPr>
          </w:p>
        </w:tc>
        <w:tc>
          <w:tcPr>
            <w:tcW w:w="1549" w:type="dxa"/>
          </w:tcPr>
          <w:p w14:paraId="0113EAF4"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80% Et </w:t>
            </w:r>
          </w:p>
          <w:p w14:paraId="742955EC"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SL ≤ (Q/800 +110√V), Btu/h</w:t>
            </w:r>
          </w:p>
        </w:tc>
        <w:tc>
          <w:tcPr>
            <w:tcW w:w="1466" w:type="dxa"/>
            <w:vMerge/>
          </w:tcPr>
          <w:p w14:paraId="70D24348" w14:textId="77777777" w:rsidR="006B4A66" w:rsidRPr="006B4A66" w:rsidRDefault="006B4A66" w:rsidP="0073496A">
            <w:pPr>
              <w:spacing w:line="480" w:lineRule="auto"/>
              <w:rPr>
                <w:rFonts w:eastAsia="Calibri"/>
                <w:color w:val="000000"/>
                <w:sz w:val="24"/>
              </w:rPr>
            </w:pPr>
          </w:p>
        </w:tc>
      </w:tr>
      <w:tr w:rsidR="006B4A66" w:rsidRPr="006B4A66" w14:paraId="0CB51906" w14:textId="77777777">
        <w:tc>
          <w:tcPr>
            <w:tcW w:w="1523" w:type="dxa"/>
            <w:vMerge w:val="restart"/>
          </w:tcPr>
          <w:p w14:paraId="4620B100"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Oil storage water heaters</w:t>
            </w:r>
            <w:r w:rsidRPr="006B4A66">
              <w:rPr>
                <w:rFonts w:eastAsia="Calibri"/>
                <w:color w:val="000000"/>
                <w:sz w:val="24"/>
                <w:vertAlign w:val="superscript"/>
              </w:rPr>
              <w:t>f</w:t>
            </w:r>
          </w:p>
        </w:tc>
        <w:tc>
          <w:tcPr>
            <w:tcW w:w="1422" w:type="dxa"/>
          </w:tcPr>
          <w:p w14:paraId="6F331EF8"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105,000 Btu/h</w:t>
            </w:r>
          </w:p>
        </w:tc>
        <w:tc>
          <w:tcPr>
            <w:tcW w:w="1496" w:type="dxa"/>
          </w:tcPr>
          <w:p w14:paraId="1738055C"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 50 gal </w:t>
            </w:r>
          </w:p>
        </w:tc>
        <w:tc>
          <w:tcPr>
            <w:tcW w:w="1400" w:type="dxa"/>
          </w:tcPr>
          <w:p w14:paraId="5B32583D"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Very small </w:t>
            </w:r>
          </w:p>
          <w:p w14:paraId="356FF061"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Low Medium High</w:t>
            </w:r>
          </w:p>
        </w:tc>
        <w:tc>
          <w:tcPr>
            <w:tcW w:w="1549" w:type="dxa"/>
          </w:tcPr>
          <w:p w14:paraId="22659960"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UEF = 0.2509 - (0.0012 × Vr) </w:t>
            </w:r>
          </w:p>
          <w:p w14:paraId="2EB9AD13"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UEF = 0.5330 - (0.0016 × Vr) UEF = 0.6078 - (0.0016 × Vr) </w:t>
            </w:r>
            <w:r w:rsidRPr="006B4A66">
              <w:rPr>
                <w:rFonts w:eastAsia="Calibri"/>
                <w:color w:val="000000"/>
                <w:sz w:val="24"/>
              </w:rPr>
              <w:lastRenderedPageBreak/>
              <w:t>UEF = 0.6815 - (0.0014 × Vr)</w:t>
            </w:r>
          </w:p>
        </w:tc>
        <w:tc>
          <w:tcPr>
            <w:tcW w:w="1466" w:type="dxa"/>
          </w:tcPr>
          <w:p w14:paraId="24318A65" w14:textId="77777777" w:rsidR="006B4A66" w:rsidRPr="006B4A66" w:rsidRDefault="006B4A66" w:rsidP="0073496A">
            <w:pPr>
              <w:spacing w:line="480" w:lineRule="auto"/>
              <w:rPr>
                <w:rFonts w:eastAsia="Calibri"/>
                <w:color w:val="000000"/>
                <w:sz w:val="24"/>
              </w:rPr>
            </w:pPr>
            <w:r w:rsidRPr="006B4A66">
              <w:rPr>
                <w:rFonts w:eastAsia="Calibri"/>
                <w:color w:val="000000"/>
                <w:sz w:val="24"/>
              </w:rPr>
              <w:lastRenderedPageBreak/>
              <w:t xml:space="preserve">DOE 10 C.F.R. </w:t>
            </w:r>
          </w:p>
          <w:p w14:paraId="1B970C07"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Part 430 </w:t>
            </w:r>
          </w:p>
        </w:tc>
      </w:tr>
      <w:tr w:rsidR="006B4A66" w:rsidRPr="006B4A66" w14:paraId="3AE79958" w14:textId="77777777">
        <w:tc>
          <w:tcPr>
            <w:tcW w:w="1523" w:type="dxa"/>
            <w:vMerge/>
          </w:tcPr>
          <w:p w14:paraId="1A8DC2AA" w14:textId="77777777" w:rsidR="006B4A66" w:rsidRPr="006B4A66" w:rsidRDefault="006B4A66" w:rsidP="0073496A">
            <w:pPr>
              <w:spacing w:line="480" w:lineRule="auto"/>
              <w:rPr>
                <w:rFonts w:eastAsia="Calibri"/>
                <w:color w:val="000000"/>
                <w:sz w:val="24"/>
              </w:rPr>
            </w:pPr>
          </w:p>
        </w:tc>
        <w:tc>
          <w:tcPr>
            <w:tcW w:w="1422" w:type="dxa"/>
          </w:tcPr>
          <w:p w14:paraId="4B71B22C"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 105,000 Btu/h and </w:t>
            </w:r>
          </w:p>
          <w:p w14:paraId="63CD2796"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140,000 Btu/h</w:t>
            </w:r>
            <w:r w:rsidRPr="006B4A66">
              <w:rPr>
                <w:rFonts w:eastAsia="Calibri"/>
                <w:color w:val="000000"/>
                <w:sz w:val="24"/>
                <w:vertAlign w:val="superscript"/>
              </w:rPr>
              <w:t>e</w:t>
            </w:r>
          </w:p>
        </w:tc>
        <w:tc>
          <w:tcPr>
            <w:tcW w:w="1496" w:type="dxa"/>
          </w:tcPr>
          <w:p w14:paraId="50748B05"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 120 gal </w:t>
            </w:r>
          </w:p>
          <w:p w14:paraId="22061D61"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 180°F </w:t>
            </w:r>
          </w:p>
        </w:tc>
        <w:tc>
          <w:tcPr>
            <w:tcW w:w="1400" w:type="dxa"/>
          </w:tcPr>
          <w:p w14:paraId="5FA1CE8E"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Very small </w:t>
            </w:r>
          </w:p>
          <w:p w14:paraId="5D7DFFE4"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Low Medium High</w:t>
            </w:r>
          </w:p>
        </w:tc>
        <w:tc>
          <w:tcPr>
            <w:tcW w:w="1549" w:type="dxa"/>
          </w:tcPr>
          <w:p w14:paraId="45CEB3A8"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UEF ≥ 0.2932-0.0015 x Vr </w:t>
            </w:r>
          </w:p>
          <w:p w14:paraId="25CF081A"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UEF ≥ 0.5596-0.0018 x Vr UEF ≥ 0.6194-0.0016 x Vr UEF ≥ 0.6740-0.0013 x Vr</w:t>
            </w:r>
          </w:p>
        </w:tc>
        <w:tc>
          <w:tcPr>
            <w:tcW w:w="1466" w:type="dxa"/>
          </w:tcPr>
          <w:p w14:paraId="12769FA5"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DOE 10 C.F.R. </w:t>
            </w:r>
          </w:p>
          <w:p w14:paraId="6BD73A61"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Part 430 App. E</w:t>
            </w:r>
          </w:p>
        </w:tc>
      </w:tr>
      <w:tr w:rsidR="006B4A66" w:rsidRPr="006B4A66" w14:paraId="7F00956E" w14:textId="77777777">
        <w:tc>
          <w:tcPr>
            <w:tcW w:w="1523" w:type="dxa"/>
            <w:vMerge/>
          </w:tcPr>
          <w:p w14:paraId="61F2936B" w14:textId="77777777" w:rsidR="006B4A66" w:rsidRPr="006B4A66" w:rsidRDefault="006B4A66" w:rsidP="0073496A">
            <w:pPr>
              <w:spacing w:line="480" w:lineRule="auto"/>
              <w:rPr>
                <w:rFonts w:eastAsia="Calibri"/>
                <w:color w:val="000000"/>
                <w:sz w:val="24"/>
              </w:rPr>
            </w:pPr>
          </w:p>
        </w:tc>
        <w:tc>
          <w:tcPr>
            <w:tcW w:w="1422" w:type="dxa"/>
          </w:tcPr>
          <w:p w14:paraId="320E5088"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140,000 Btu/h</w:t>
            </w:r>
          </w:p>
        </w:tc>
        <w:tc>
          <w:tcPr>
            <w:tcW w:w="1496" w:type="dxa"/>
          </w:tcPr>
          <w:p w14:paraId="6A343105" w14:textId="77777777" w:rsidR="006B4A66" w:rsidRPr="006B4A66" w:rsidRDefault="006B4A66" w:rsidP="0073496A">
            <w:pPr>
              <w:spacing w:line="480" w:lineRule="auto"/>
              <w:rPr>
                <w:rFonts w:eastAsia="Calibri"/>
                <w:color w:val="000000"/>
                <w:sz w:val="24"/>
              </w:rPr>
            </w:pPr>
          </w:p>
        </w:tc>
        <w:tc>
          <w:tcPr>
            <w:tcW w:w="1400" w:type="dxa"/>
          </w:tcPr>
          <w:p w14:paraId="6F496ED2" w14:textId="77777777" w:rsidR="006B4A66" w:rsidRPr="006B4A66" w:rsidRDefault="006B4A66" w:rsidP="0073496A">
            <w:pPr>
              <w:spacing w:line="480" w:lineRule="auto"/>
              <w:rPr>
                <w:rFonts w:eastAsia="Calibri"/>
                <w:color w:val="000000"/>
                <w:sz w:val="24"/>
              </w:rPr>
            </w:pPr>
          </w:p>
        </w:tc>
        <w:tc>
          <w:tcPr>
            <w:tcW w:w="1549" w:type="dxa"/>
          </w:tcPr>
          <w:p w14:paraId="6F2D5E9B"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80% E</w:t>
            </w:r>
            <w:r w:rsidRPr="006B4A66">
              <w:rPr>
                <w:rFonts w:eastAsia="Calibri"/>
                <w:color w:val="000000"/>
                <w:sz w:val="24"/>
                <w:vertAlign w:val="subscript"/>
              </w:rPr>
              <w:t>t</w:t>
            </w:r>
            <w:r w:rsidRPr="006B4A66">
              <w:rPr>
                <w:rFonts w:eastAsia="Calibri"/>
                <w:color w:val="000000"/>
                <w:sz w:val="24"/>
              </w:rPr>
              <w:t xml:space="preserve"> </w:t>
            </w:r>
          </w:p>
          <w:p w14:paraId="3A9344F0"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SL ≤ (Q/800 +110√V), Btu/h</w:t>
            </w:r>
          </w:p>
        </w:tc>
        <w:tc>
          <w:tcPr>
            <w:tcW w:w="1466" w:type="dxa"/>
          </w:tcPr>
          <w:p w14:paraId="3EC882EE"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DOE 10 C.F.R. </w:t>
            </w:r>
          </w:p>
          <w:p w14:paraId="2D53B2D6"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431.106</w:t>
            </w:r>
          </w:p>
        </w:tc>
      </w:tr>
      <w:tr w:rsidR="006B4A66" w:rsidRPr="006B4A66" w14:paraId="0CA73D7B" w14:textId="77777777">
        <w:tc>
          <w:tcPr>
            <w:tcW w:w="1523" w:type="dxa"/>
            <w:vMerge/>
          </w:tcPr>
          <w:p w14:paraId="5471870F" w14:textId="77777777" w:rsidR="006B4A66" w:rsidRPr="006B4A66" w:rsidRDefault="006B4A66" w:rsidP="0073496A">
            <w:pPr>
              <w:spacing w:line="480" w:lineRule="auto"/>
              <w:rPr>
                <w:rFonts w:eastAsia="Calibri"/>
                <w:color w:val="000000"/>
                <w:sz w:val="24"/>
              </w:rPr>
            </w:pPr>
          </w:p>
        </w:tc>
        <w:tc>
          <w:tcPr>
            <w:tcW w:w="1422" w:type="dxa"/>
          </w:tcPr>
          <w:p w14:paraId="22572C15"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210,000 Btu/h</w:t>
            </w:r>
          </w:p>
        </w:tc>
        <w:tc>
          <w:tcPr>
            <w:tcW w:w="1496" w:type="dxa"/>
          </w:tcPr>
          <w:p w14:paraId="0542EF1C"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&lt; 2 gal</w:t>
            </w:r>
          </w:p>
        </w:tc>
        <w:tc>
          <w:tcPr>
            <w:tcW w:w="1400" w:type="dxa"/>
          </w:tcPr>
          <w:p w14:paraId="73DBB19A" w14:textId="77777777" w:rsidR="006B4A66" w:rsidRPr="006B4A66" w:rsidRDefault="006B4A66" w:rsidP="0073496A">
            <w:pPr>
              <w:spacing w:line="480" w:lineRule="auto"/>
              <w:rPr>
                <w:rFonts w:eastAsia="Calibri"/>
                <w:color w:val="000000"/>
                <w:sz w:val="24"/>
              </w:rPr>
            </w:pPr>
          </w:p>
        </w:tc>
        <w:tc>
          <w:tcPr>
            <w:tcW w:w="1549" w:type="dxa"/>
          </w:tcPr>
          <w:p w14:paraId="4E395622"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80% E</w:t>
            </w:r>
            <w:r w:rsidRPr="006B4A66">
              <w:rPr>
                <w:rFonts w:eastAsia="Calibri"/>
                <w:color w:val="000000"/>
                <w:sz w:val="24"/>
                <w:vertAlign w:val="subscript"/>
              </w:rPr>
              <w:t>t</w:t>
            </w:r>
            <w:r w:rsidRPr="006B4A66">
              <w:rPr>
                <w:rFonts w:eastAsia="Calibri"/>
                <w:color w:val="000000"/>
                <w:sz w:val="24"/>
              </w:rPr>
              <w:t xml:space="preserve"> </w:t>
            </w:r>
          </w:p>
          <w:p w14:paraId="08AA337E"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EF ≥ 0.59 - 0.0005 x V</w:t>
            </w:r>
          </w:p>
        </w:tc>
        <w:tc>
          <w:tcPr>
            <w:tcW w:w="1466" w:type="dxa"/>
          </w:tcPr>
          <w:p w14:paraId="048613C9"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DOE 10 C.F.R. </w:t>
            </w:r>
          </w:p>
          <w:p w14:paraId="26B1C38A"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Part 430 App. E</w:t>
            </w:r>
          </w:p>
        </w:tc>
      </w:tr>
      <w:tr w:rsidR="006B4A66" w:rsidRPr="006B4A66" w14:paraId="141867B1" w14:textId="77777777">
        <w:tc>
          <w:tcPr>
            <w:tcW w:w="1523" w:type="dxa"/>
            <w:vMerge/>
          </w:tcPr>
          <w:p w14:paraId="06EE61F1" w14:textId="77777777" w:rsidR="006B4A66" w:rsidRPr="006B4A66" w:rsidRDefault="006B4A66" w:rsidP="0073496A">
            <w:pPr>
              <w:spacing w:line="480" w:lineRule="auto"/>
              <w:rPr>
                <w:rFonts w:eastAsia="Calibri"/>
                <w:color w:val="000000"/>
                <w:sz w:val="24"/>
              </w:rPr>
            </w:pPr>
          </w:p>
        </w:tc>
        <w:tc>
          <w:tcPr>
            <w:tcW w:w="1422" w:type="dxa"/>
          </w:tcPr>
          <w:p w14:paraId="02300E41"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210,000 Btu/h</w:t>
            </w:r>
          </w:p>
        </w:tc>
        <w:tc>
          <w:tcPr>
            <w:tcW w:w="1496" w:type="dxa"/>
          </w:tcPr>
          <w:p w14:paraId="089F93D5"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&lt; 10 gal</w:t>
            </w:r>
          </w:p>
        </w:tc>
        <w:tc>
          <w:tcPr>
            <w:tcW w:w="1400" w:type="dxa"/>
          </w:tcPr>
          <w:p w14:paraId="6CF6F90B" w14:textId="77777777" w:rsidR="006B4A66" w:rsidRPr="006B4A66" w:rsidRDefault="006B4A66" w:rsidP="0073496A">
            <w:pPr>
              <w:spacing w:line="480" w:lineRule="auto"/>
              <w:rPr>
                <w:rFonts w:eastAsia="Calibri"/>
                <w:color w:val="000000"/>
                <w:sz w:val="24"/>
              </w:rPr>
            </w:pPr>
          </w:p>
        </w:tc>
        <w:tc>
          <w:tcPr>
            <w:tcW w:w="1549" w:type="dxa"/>
          </w:tcPr>
          <w:p w14:paraId="59BD0156"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80% E</w:t>
            </w:r>
            <w:r w:rsidRPr="006B4A66">
              <w:rPr>
                <w:rFonts w:eastAsia="Calibri"/>
                <w:color w:val="000000"/>
                <w:sz w:val="24"/>
                <w:vertAlign w:val="subscript"/>
              </w:rPr>
              <w:t>t</w:t>
            </w:r>
          </w:p>
        </w:tc>
        <w:tc>
          <w:tcPr>
            <w:tcW w:w="1466" w:type="dxa"/>
          </w:tcPr>
          <w:p w14:paraId="42E935F4"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DOE 10 C.F.R. </w:t>
            </w:r>
          </w:p>
          <w:p w14:paraId="07C7B932"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431.106</w:t>
            </w:r>
          </w:p>
        </w:tc>
      </w:tr>
      <w:tr w:rsidR="006B4A66" w:rsidRPr="006B4A66" w14:paraId="69D78738" w14:textId="77777777">
        <w:tc>
          <w:tcPr>
            <w:tcW w:w="1523" w:type="dxa"/>
            <w:vMerge/>
          </w:tcPr>
          <w:p w14:paraId="074EB171" w14:textId="77777777" w:rsidR="006B4A66" w:rsidRPr="006B4A66" w:rsidRDefault="006B4A66" w:rsidP="0073496A">
            <w:pPr>
              <w:spacing w:line="480" w:lineRule="auto"/>
              <w:rPr>
                <w:rFonts w:eastAsia="Calibri"/>
                <w:color w:val="000000"/>
                <w:sz w:val="24"/>
              </w:rPr>
            </w:pPr>
          </w:p>
        </w:tc>
        <w:tc>
          <w:tcPr>
            <w:tcW w:w="1422" w:type="dxa"/>
          </w:tcPr>
          <w:p w14:paraId="70FA021B"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210,000 Btu/h</w:t>
            </w:r>
          </w:p>
        </w:tc>
        <w:tc>
          <w:tcPr>
            <w:tcW w:w="1496" w:type="dxa"/>
          </w:tcPr>
          <w:p w14:paraId="422FBFA4"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10 gal</w:t>
            </w:r>
          </w:p>
        </w:tc>
        <w:tc>
          <w:tcPr>
            <w:tcW w:w="1400" w:type="dxa"/>
          </w:tcPr>
          <w:p w14:paraId="3CD7DDE8" w14:textId="77777777" w:rsidR="006B4A66" w:rsidRPr="006B4A66" w:rsidRDefault="006B4A66" w:rsidP="0073496A">
            <w:pPr>
              <w:spacing w:line="480" w:lineRule="auto"/>
              <w:rPr>
                <w:rFonts w:eastAsia="Calibri"/>
                <w:color w:val="000000"/>
                <w:sz w:val="24"/>
              </w:rPr>
            </w:pPr>
          </w:p>
        </w:tc>
        <w:tc>
          <w:tcPr>
            <w:tcW w:w="1549" w:type="dxa"/>
          </w:tcPr>
          <w:p w14:paraId="4068D344" w14:textId="21A9D23E" w:rsidR="006B4A66" w:rsidRPr="006B4A66" w:rsidRDefault="006B4A66" w:rsidP="0073496A">
            <w:pPr>
              <w:spacing w:line="480" w:lineRule="auto"/>
              <w:rPr>
                <w:rFonts w:eastAsia="Calibri"/>
                <w:color w:val="000000"/>
                <w:sz w:val="24"/>
              </w:rPr>
            </w:pPr>
            <w:r w:rsidRPr="006B4A66">
              <w:rPr>
                <w:rFonts w:eastAsia="Calibri"/>
                <w:color w:val="000000"/>
                <w:sz w:val="24"/>
              </w:rPr>
              <w:t>78% E</w:t>
            </w:r>
            <w:r w:rsidRPr="006B4A66">
              <w:rPr>
                <w:rFonts w:eastAsia="Calibri"/>
                <w:color w:val="000000"/>
                <w:sz w:val="24"/>
                <w:vertAlign w:val="subscript"/>
              </w:rPr>
              <w:t>t</w:t>
            </w:r>
          </w:p>
          <w:p w14:paraId="107DA435"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SL ≤ (Q/800 +110√V), Btu/h</w:t>
            </w:r>
          </w:p>
        </w:tc>
        <w:tc>
          <w:tcPr>
            <w:tcW w:w="1466" w:type="dxa"/>
          </w:tcPr>
          <w:p w14:paraId="3F114A30"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DOE 10 C.F.R. </w:t>
            </w:r>
          </w:p>
          <w:p w14:paraId="1557F17A"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431.106</w:t>
            </w:r>
          </w:p>
        </w:tc>
      </w:tr>
      <w:tr w:rsidR="006B4A66" w:rsidRPr="006B4A66" w14:paraId="32D37D1F" w14:textId="77777777">
        <w:tc>
          <w:tcPr>
            <w:tcW w:w="1523" w:type="dxa"/>
          </w:tcPr>
          <w:p w14:paraId="0C6B6E80"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Hot water supply boilers, gas </w:t>
            </w:r>
          </w:p>
          <w:p w14:paraId="107AE158"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and oil</w:t>
            </w:r>
            <w:r w:rsidRPr="006B4A66">
              <w:rPr>
                <w:rFonts w:eastAsia="Calibri"/>
                <w:color w:val="000000"/>
                <w:sz w:val="24"/>
                <w:vertAlign w:val="superscript"/>
              </w:rPr>
              <w:t>h</w:t>
            </w:r>
          </w:p>
        </w:tc>
        <w:tc>
          <w:tcPr>
            <w:tcW w:w="1422" w:type="dxa"/>
          </w:tcPr>
          <w:p w14:paraId="5523B353"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 300,000 Btu/h and </w:t>
            </w:r>
          </w:p>
          <w:p w14:paraId="55A3667F"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&lt; 12,500,000 Btu/h </w:t>
            </w:r>
          </w:p>
        </w:tc>
        <w:tc>
          <w:tcPr>
            <w:tcW w:w="1496" w:type="dxa"/>
          </w:tcPr>
          <w:p w14:paraId="789FECD3"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&lt; 10 gal</w:t>
            </w:r>
          </w:p>
        </w:tc>
        <w:tc>
          <w:tcPr>
            <w:tcW w:w="1400" w:type="dxa"/>
          </w:tcPr>
          <w:p w14:paraId="2A4D60ED" w14:textId="77777777" w:rsidR="006B4A66" w:rsidRPr="006B4A66" w:rsidRDefault="006B4A66" w:rsidP="0073496A">
            <w:pPr>
              <w:spacing w:line="480" w:lineRule="auto"/>
              <w:rPr>
                <w:rFonts w:eastAsia="Calibri"/>
                <w:color w:val="000000"/>
                <w:sz w:val="24"/>
              </w:rPr>
            </w:pPr>
          </w:p>
        </w:tc>
        <w:tc>
          <w:tcPr>
            <w:tcW w:w="1549" w:type="dxa"/>
          </w:tcPr>
          <w:p w14:paraId="758C2AC1"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80% E</w:t>
            </w:r>
            <w:r w:rsidRPr="006B4A66">
              <w:rPr>
                <w:rFonts w:eastAsia="Calibri"/>
                <w:color w:val="000000"/>
                <w:sz w:val="24"/>
                <w:vertAlign w:val="subscript"/>
              </w:rPr>
              <w:t>t</w:t>
            </w:r>
          </w:p>
        </w:tc>
        <w:tc>
          <w:tcPr>
            <w:tcW w:w="1466" w:type="dxa"/>
          </w:tcPr>
          <w:p w14:paraId="1D5112F8"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DOE 10 C.F.R. </w:t>
            </w:r>
          </w:p>
          <w:p w14:paraId="4A517A73"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431.106</w:t>
            </w:r>
          </w:p>
        </w:tc>
      </w:tr>
      <w:tr w:rsidR="006B4A66" w:rsidRPr="006B4A66" w14:paraId="1DD3A802" w14:textId="77777777">
        <w:tc>
          <w:tcPr>
            <w:tcW w:w="1523" w:type="dxa"/>
          </w:tcPr>
          <w:p w14:paraId="7673E4F3"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Hot water supply boilers, gas</w:t>
            </w:r>
            <w:r w:rsidRPr="006B4A66">
              <w:rPr>
                <w:rFonts w:eastAsia="Calibri"/>
                <w:color w:val="000000"/>
                <w:sz w:val="24"/>
                <w:vertAlign w:val="superscript"/>
              </w:rPr>
              <w:t>h</w:t>
            </w:r>
          </w:p>
        </w:tc>
        <w:tc>
          <w:tcPr>
            <w:tcW w:w="1422" w:type="dxa"/>
          </w:tcPr>
          <w:p w14:paraId="5723448C"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 300,000 Btu/h and </w:t>
            </w:r>
          </w:p>
          <w:p w14:paraId="7F099BE0"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&lt; 12,500,000 Btu/h</w:t>
            </w:r>
          </w:p>
        </w:tc>
        <w:tc>
          <w:tcPr>
            <w:tcW w:w="1496" w:type="dxa"/>
          </w:tcPr>
          <w:p w14:paraId="2EADEB98"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10 gal</w:t>
            </w:r>
          </w:p>
        </w:tc>
        <w:tc>
          <w:tcPr>
            <w:tcW w:w="1400" w:type="dxa"/>
          </w:tcPr>
          <w:p w14:paraId="6133EC93" w14:textId="77777777" w:rsidR="006B4A66" w:rsidRPr="006B4A66" w:rsidRDefault="006B4A66" w:rsidP="0073496A">
            <w:pPr>
              <w:spacing w:line="480" w:lineRule="auto"/>
              <w:rPr>
                <w:rFonts w:eastAsia="Calibri"/>
                <w:color w:val="000000"/>
                <w:sz w:val="24"/>
              </w:rPr>
            </w:pPr>
          </w:p>
        </w:tc>
        <w:tc>
          <w:tcPr>
            <w:tcW w:w="1549" w:type="dxa"/>
          </w:tcPr>
          <w:p w14:paraId="2007B2C0"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80% E</w:t>
            </w:r>
            <w:r w:rsidRPr="006B4A66">
              <w:rPr>
                <w:rFonts w:eastAsia="Calibri"/>
                <w:color w:val="000000"/>
                <w:sz w:val="24"/>
                <w:vertAlign w:val="subscript"/>
              </w:rPr>
              <w:t>t</w:t>
            </w:r>
          </w:p>
        </w:tc>
        <w:tc>
          <w:tcPr>
            <w:tcW w:w="1466" w:type="dxa"/>
          </w:tcPr>
          <w:p w14:paraId="62612014"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DOE 10 C.F.R. </w:t>
            </w:r>
          </w:p>
          <w:p w14:paraId="43187F2D"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431.106</w:t>
            </w:r>
          </w:p>
        </w:tc>
      </w:tr>
      <w:tr w:rsidR="006B4A66" w:rsidRPr="006B4A66" w14:paraId="579CF027" w14:textId="77777777">
        <w:tc>
          <w:tcPr>
            <w:tcW w:w="1523" w:type="dxa"/>
          </w:tcPr>
          <w:p w14:paraId="5BE11337"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Hot water supply boilers, oil</w:t>
            </w:r>
            <w:r w:rsidRPr="006B4A66">
              <w:rPr>
                <w:rFonts w:eastAsia="Calibri"/>
                <w:color w:val="000000"/>
                <w:sz w:val="24"/>
                <w:vertAlign w:val="superscript"/>
              </w:rPr>
              <w:t>h</w:t>
            </w:r>
          </w:p>
        </w:tc>
        <w:tc>
          <w:tcPr>
            <w:tcW w:w="1422" w:type="dxa"/>
          </w:tcPr>
          <w:p w14:paraId="64AB118D"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 300,000 Btu/h and </w:t>
            </w:r>
          </w:p>
          <w:p w14:paraId="11CD2FA2"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&lt; 12,500,000 Btu/h</w:t>
            </w:r>
          </w:p>
        </w:tc>
        <w:tc>
          <w:tcPr>
            <w:tcW w:w="1496" w:type="dxa"/>
          </w:tcPr>
          <w:p w14:paraId="07A9126D"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10 gal</w:t>
            </w:r>
          </w:p>
        </w:tc>
        <w:tc>
          <w:tcPr>
            <w:tcW w:w="1400" w:type="dxa"/>
          </w:tcPr>
          <w:p w14:paraId="7C349864" w14:textId="77777777" w:rsidR="006B4A66" w:rsidRPr="006B4A66" w:rsidRDefault="006B4A66" w:rsidP="0073496A">
            <w:pPr>
              <w:spacing w:line="480" w:lineRule="auto"/>
              <w:rPr>
                <w:rFonts w:eastAsia="Calibri"/>
                <w:color w:val="000000"/>
                <w:sz w:val="24"/>
              </w:rPr>
            </w:pPr>
          </w:p>
        </w:tc>
        <w:tc>
          <w:tcPr>
            <w:tcW w:w="1549" w:type="dxa"/>
          </w:tcPr>
          <w:p w14:paraId="08C72865"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80% E</w:t>
            </w:r>
            <w:r w:rsidRPr="006B4A66">
              <w:rPr>
                <w:rFonts w:eastAsia="Calibri"/>
                <w:color w:val="000000"/>
                <w:sz w:val="24"/>
                <w:vertAlign w:val="subscript"/>
              </w:rPr>
              <w:t>t</w:t>
            </w:r>
          </w:p>
          <w:p w14:paraId="5B656C1A"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SL ≤ (Q/800 +110√V), Btu/h</w:t>
            </w:r>
          </w:p>
        </w:tc>
        <w:tc>
          <w:tcPr>
            <w:tcW w:w="1466" w:type="dxa"/>
          </w:tcPr>
          <w:p w14:paraId="5CF1113D"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DOE 10 C.F.R. </w:t>
            </w:r>
          </w:p>
          <w:p w14:paraId="272F2B4D"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431.106</w:t>
            </w:r>
          </w:p>
        </w:tc>
      </w:tr>
      <w:tr w:rsidR="006B4A66" w:rsidRPr="006B4A66" w14:paraId="00BE5CF3" w14:textId="77777777">
        <w:tc>
          <w:tcPr>
            <w:tcW w:w="1523" w:type="dxa"/>
          </w:tcPr>
          <w:p w14:paraId="3AB5F770" w14:textId="77777777" w:rsidR="006B4A66" w:rsidRPr="006B4A66" w:rsidRDefault="006B4A66" w:rsidP="0073496A">
            <w:pPr>
              <w:spacing w:line="480" w:lineRule="auto"/>
              <w:rPr>
                <w:rFonts w:eastAsia="Calibri"/>
                <w:color w:val="000000"/>
                <w:sz w:val="24"/>
              </w:rPr>
            </w:pPr>
            <w:r w:rsidRPr="006B4A66">
              <w:rPr>
                <w:rFonts w:eastAsia="Calibri"/>
                <w:color w:val="000000"/>
                <w:sz w:val="24"/>
              </w:rPr>
              <w:lastRenderedPageBreak/>
              <w:t>Pool heaters, gas</w:t>
            </w:r>
          </w:p>
        </w:tc>
        <w:tc>
          <w:tcPr>
            <w:tcW w:w="1422" w:type="dxa"/>
          </w:tcPr>
          <w:p w14:paraId="71E25369"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All </w:t>
            </w:r>
          </w:p>
        </w:tc>
        <w:tc>
          <w:tcPr>
            <w:tcW w:w="1496" w:type="dxa"/>
          </w:tcPr>
          <w:p w14:paraId="12A6C72D" w14:textId="77777777" w:rsidR="006B4A66" w:rsidRPr="006B4A66" w:rsidRDefault="006B4A66" w:rsidP="0073496A">
            <w:pPr>
              <w:spacing w:line="480" w:lineRule="auto"/>
              <w:rPr>
                <w:rFonts w:eastAsia="Calibri"/>
                <w:color w:val="000000"/>
                <w:sz w:val="24"/>
              </w:rPr>
            </w:pPr>
          </w:p>
        </w:tc>
        <w:tc>
          <w:tcPr>
            <w:tcW w:w="1400" w:type="dxa"/>
          </w:tcPr>
          <w:p w14:paraId="2333CFB5" w14:textId="77777777" w:rsidR="006B4A66" w:rsidRPr="006B4A66" w:rsidRDefault="006B4A66" w:rsidP="0073496A">
            <w:pPr>
              <w:spacing w:line="480" w:lineRule="auto"/>
              <w:rPr>
                <w:rFonts w:eastAsia="Calibri"/>
                <w:color w:val="000000"/>
                <w:sz w:val="24"/>
              </w:rPr>
            </w:pPr>
          </w:p>
        </w:tc>
        <w:tc>
          <w:tcPr>
            <w:tcW w:w="1549" w:type="dxa"/>
          </w:tcPr>
          <w:p w14:paraId="15B41BBD"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78% E</w:t>
            </w:r>
            <w:r w:rsidRPr="006B4A66">
              <w:rPr>
                <w:rFonts w:eastAsia="Calibri"/>
                <w:color w:val="000000"/>
                <w:sz w:val="24"/>
                <w:vertAlign w:val="subscript"/>
              </w:rPr>
              <w:t>t</w:t>
            </w:r>
          </w:p>
          <w:p w14:paraId="3998D1FD"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SL ≤ (Q/800 +110√V), Btu/h</w:t>
            </w:r>
          </w:p>
        </w:tc>
        <w:tc>
          <w:tcPr>
            <w:tcW w:w="1466" w:type="dxa"/>
          </w:tcPr>
          <w:p w14:paraId="36BCB6D2"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DOE 10 C.F.</w:t>
            </w:r>
          </w:p>
        </w:tc>
      </w:tr>
      <w:tr w:rsidR="006B4A66" w:rsidRPr="006B4A66" w14:paraId="554ED67A" w14:textId="77777777">
        <w:tc>
          <w:tcPr>
            <w:tcW w:w="1523" w:type="dxa"/>
          </w:tcPr>
          <w:p w14:paraId="220094C5"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Heat pump pool heaters</w:t>
            </w:r>
          </w:p>
        </w:tc>
        <w:tc>
          <w:tcPr>
            <w:tcW w:w="1422" w:type="dxa"/>
          </w:tcPr>
          <w:p w14:paraId="0B580FC7"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All</w:t>
            </w:r>
          </w:p>
        </w:tc>
        <w:tc>
          <w:tcPr>
            <w:tcW w:w="1496" w:type="dxa"/>
          </w:tcPr>
          <w:p w14:paraId="4C620BD6"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50°F db 44.2°F </w:t>
            </w:r>
          </w:p>
          <w:p w14:paraId="686CFE53"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wb outdoor air 80.0°F entering water</w:t>
            </w:r>
          </w:p>
        </w:tc>
        <w:tc>
          <w:tcPr>
            <w:tcW w:w="1400" w:type="dxa"/>
          </w:tcPr>
          <w:p w14:paraId="386595C3" w14:textId="77777777" w:rsidR="006B4A66" w:rsidRPr="006B4A66" w:rsidRDefault="006B4A66" w:rsidP="0073496A">
            <w:pPr>
              <w:spacing w:line="480" w:lineRule="auto"/>
              <w:rPr>
                <w:rFonts w:eastAsia="Calibri"/>
                <w:color w:val="000000"/>
                <w:sz w:val="24"/>
              </w:rPr>
            </w:pPr>
          </w:p>
        </w:tc>
        <w:tc>
          <w:tcPr>
            <w:tcW w:w="1549" w:type="dxa"/>
          </w:tcPr>
          <w:p w14:paraId="2C2F2AFD"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4.0 COP </w:t>
            </w:r>
          </w:p>
        </w:tc>
        <w:tc>
          <w:tcPr>
            <w:tcW w:w="1466" w:type="dxa"/>
          </w:tcPr>
          <w:p w14:paraId="2890FAE3"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DOE 10 C.F.R. </w:t>
            </w:r>
          </w:p>
          <w:p w14:paraId="5CF59B2C"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Part 430 App. P</w:t>
            </w:r>
          </w:p>
        </w:tc>
      </w:tr>
      <w:tr w:rsidR="006B4A66" w:rsidRPr="006B4A66" w14:paraId="251F5411" w14:textId="77777777">
        <w:tc>
          <w:tcPr>
            <w:tcW w:w="1523" w:type="dxa"/>
          </w:tcPr>
          <w:p w14:paraId="4C86EAF3"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Unfired storage tanks</w:t>
            </w:r>
            <w:r w:rsidRPr="006B4A66">
              <w:rPr>
                <w:rFonts w:eastAsia="Calibri"/>
                <w:color w:val="000000"/>
                <w:sz w:val="24"/>
                <w:vertAlign w:val="superscript"/>
              </w:rPr>
              <w:t>m</w:t>
            </w:r>
          </w:p>
        </w:tc>
        <w:tc>
          <w:tcPr>
            <w:tcW w:w="1422" w:type="dxa"/>
          </w:tcPr>
          <w:p w14:paraId="6EF043F1"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All</w:t>
            </w:r>
          </w:p>
        </w:tc>
        <w:tc>
          <w:tcPr>
            <w:tcW w:w="1496" w:type="dxa"/>
          </w:tcPr>
          <w:p w14:paraId="126B6253" w14:textId="77777777" w:rsidR="006B4A66" w:rsidRPr="006B4A66" w:rsidRDefault="006B4A66" w:rsidP="0073496A">
            <w:pPr>
              <w:spacing w:line="480" w:lineRule="auto"/>
              <w:rPr>
                <w:rFonts w:eastAsia="Calibri"/>
                <w:color w:val="000000"/>
                <w:sz w:val="24"/>
              </w:rPr>
            </w:pPr>
          </w:p>
        </w:tc>
        <w:tc>
          <w:tcPr>
            <w:tcW w:w="1400" w:type="dxa"/>
          </w:tcPr>
          <w:p w14:paraId="3CA7C1AD" w14:textId="77777777" w:rsidR="006B4A66" w:rsidRPr="006B4A66" w:rsidRDefault="006B4A66" w:rsidP="0073496A">
            <w:pPr>
              <w:spacing w:line="480" w:lineRule="auto"/>
              <w:rPr>
                <w:rFonts w:eastAsia="Calibri"/>
                <w:color w:val="000000"/>
                <w:sz w:val="24"/>
              </w:rPr>
            </w:pPr>
          </w:p>
        </w:tc>
        <w:tc>
          <w:tcPr>
            <w:tcW w:w="1549" w:type="dxa"/>
          </w:tcPr>
          <w:p w14:paraId="0ABDD42E"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Minimum insulation requirement </w:t>
            </w:r>
          </w:p>
          <w:p w14:paraId="2F81A362"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R-12.5 (h-ft2-°F)/Btu </w:t>
            </w:r>
          </w:p>
        </w:tc>
        <w:tc>
          <w:tcPr>
            <w:tcW w:w="1466" w:type="dxa"/>
          </w:tcPr>
          <w:p w14:paraId="1B65A2B2"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(none)</w:t>
            </w:r>
          </w:p>
        </w:tc>
      </w:tr>
    </w:tbl>
    <w:p w14:paraId="3DE8DC0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Footnotes:</w:t>
      </w:r>
    </w:p>
    <w:p w14:paraId="294CE550" w14:textId="3763ABB2"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a.  Thermal efficiency (E</w:t>
      </w:r>
      <w:r w:rsidRPr="006B4A66">
        <w:rPr>
          <w:rFonts w:ascii="Times New Roman" w:eastAsia="Calibri" w:hAnsi="Times New Roman" w:cs="Times New Roman"/>
          <w:color w:val="000000"/>
          <w:kern w:val="0"/>
          <w:sz w:val="24"/>
          <w:vertAlign w:val="subscript"/>
          <w14:ligatures w14:val="none"/>
        </w:rPr>
        <w:t>t</w:t>
      </w:r>
      <w:r w:rsidRPr="006B4A66">
        <w:rPr>
          <w:rFonts w:ascii="Times New Roman" w:eastAsia="Calibri" w:hAnsi="Times New Roman" w:cs="Times New Roman"/>
          <w:color w:val="000000"/>
          <w:kern w:val="0"/>
          <w:sz w:val="24"/>
          <w14:ligatures w14:val="none"/>
        </w:rPr>
        <w:t xml:space="preserve">) is a minimum requirement, while standby loss is a maximum requirement. In the standby loss equation, V is the rated volume in gallons and Q is the nameplate input rate in Btu/h. </w:t>
      </w:r>
      <w:r w:rsidR="00E9146C">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14:ligatures w14:val="none"/>
        </w:rPr>
        <w:t>Vm is the measured volume in the tank in gallons. Standby loss for electric water heaters is in terms of %/h and denoted by the term "S," and standby loss for gas and oil water heaters is in terms of Btu/h and denoted by the term "SL" Draw pattern (DP) refers to the water draw profile in the Uniform Energy.</w:t>
      </w:r>
    </w:p>
    <w:p w14:paraId="0605E47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b.  The 2021 WSEC-C Chapter 6, Reference Standards, contains a complete specification, including the year version, of the referenced test procedure.</w:t>
      </w:r>
    </w:p>
    <w:p w14:paraId="2B1A57C3" w14:textId="739328BC"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c.  Electric instantaneous water heaters with input capacity greater than 12 kilowatts and less than or equal to 58.6 kilowatts that (1)</w:t>
      </w:r>
      <w:r w:rsidR="00B6150D">
        <w:rPr>
          <w:rFonts w:ascii="Times New Roman" w:eastAsia="Calibri" w:hAnsi="Times New Roman" w:cs="Times New Roman"/>
          <w:color w:val="000000"/>
          <w:kern w:val="0"/>
          <w:sz w:val="24"/>
          <w14:ligatures w14:val="none"/>
        </w:rPr>
        <w:t xml:space="preserve"> have</w:t>
      </w:r>
      <w:r w:rsidRPr="006B4A66">
        <w:rPr>
          <w:rFonts w:ascii="Times New Roman" w:eastAsia="Calibri" w:hAnsi="Times New Roman" w:cs="Times New Roman"/>
          <w:color w:val="000000"/>
          <w:kern w:val="0"/>
          <w:sz w:val="24"/>
          <w14:ligatures w14:val="none"/>
        </w:rPr>
        <w:t xml:space="preserve"> a storage volume greater than 2 gallons; (2) </w:t>
      </w:r>
      <w:r w:rsidR="00FA719A">
        <w:rPr>
          <w:rFonts w:ascii="Times New Roman" w:eastAsia="Calibri" w:hAnsi="Times New Roman" w:cs="Times New Roman"/>
          <w:color w:val="000000"/>
          <w:kern w:val="0"/>
          <w:sz w:val="24"/>
          <w14:ligatures w14:val="none"/>
        </w:rPr>
        <w:t>are</w:t>
      </w:r>
      <w:r w:rsidRPr="006B4A66">
        <w:rPr>
          <w:rFonts w:ascii="Times New Roman" w:eastAsia="Calibri" w:hAnsi="Times New Roman" w:cs="Times New Roman"/>
          <w:color w:val="000000"/>
          <w:kern w:val="0"/>
          <w:sz w:val="24"/>
          <w14:ligatures w14:val="none"/>
        </w:rPr>
        <w:t xml:space="preserve"> designed to provide outlet hot water at temperatures greater than 180° Fahrenheit; or (3) use three-phase power.</w:t>
      </w:r>
    </w:p>
    <w:p w14:paraId="2CA5A5F6" w14:textId="2260D01F"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d.  Gas storage water heaters with input capacity greater than 75,000 Btu/h  and less than or equal to 105,000 Btu/h if the water heater either (1) has a storage volume greater than 120 gallons; (2) is designed to provide outlet hot water at temperatures greater than 180° Fahrenheit; or (3) uses three-phase power.</w:t>
      </w:r>
    </w:p>
    <w:p w14:paraId="69DCAB33" w14:textId="01B7C6C9"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e.  Oil storage water heaters with input capacity greater than 105,000 Btu/h  and less than or equal to 140,000 Btu/h  must comply with the requirements for the greater than 140,000 Btu/h  if the water heater either (1) has a storage volume greater than 120 gallons; (2) is designed to provide outlet hot water at temperatures greater than 180° Fahrenheit; or (3) uses three-phase power.</w:t>
      </w:r>
    </w:p>
    <w:p w14:paraId="51A0C5C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  Water heaters or gas pool heaters in this category are regulated as consumer products by the USDOE as defined in 10 C.F.R. Part 430.</w:t>
      </w:r>
    </w:p>
    <w:p w14:paraId="1FCF4B1E" w14:textId="0251AD3E"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g.  Storage water heaters have a ratio of input capacity (Btu/h) to tank volume (gallons) less than 4,000.</w:t>
      </w:r>
    </w:p>
    <w:p w14:paraId="6E8174BE" w14:textId="10ABFC48"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h.  Instantaneous water heaters and hot water supply boilers have an input capacity (Btu/h) divided by storage volume (gallons) greater than or equal to 4,000.</w:t>
      </w:r>
    </w:p>
    <w:p w14:paraId="77689BB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  There are no minimum efficiency requirements for electric heat pump water heaters greater than 12 kilowatts or for gas heat pump water heaters.</w:t>
      </w:r>
    </w:p>
    <w:p w14:paraId="032B0E6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j.  Refer to WSEC C404.2.1 for additional requirements for service water heat system equipment.</w:t>
      </w:r>
    </w:p>
    <w:p w14:paraId="25D46B8C" w14:textId="06445B84"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k.  A tabletop water heater is a storage water heater that is enclosed in a rectangular cabinet with a flat top surface not more than 3 feet in height and have a ratio of input capacity (Btu/h) to tank volume (gallons) less than 4,000.</w:t>
      </w:r>
    </w:p>
    <w:p w14:paraId="612EA37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l.  A grid-enabled water heater is an electric resistance water heater that meets all of the following:</w:t>
      </w:r>
    </w:p>
    <w:p w14:paraId="5540FEC4" w14:textId="07778051"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  Has a rated storage tank volume of more than 75 gallons;</w:t>
      </w:r>
    </w:p>
    <w:p w14:paraId="397A817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2.  Is manufactured on or after April 16, 2015;</w:t>
      </w:r>
    </w:p>
    <w:p w14:paraId="2BC4968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3.  Is equipped at the point of manufacture with an activation lock; and</w:t>
      </w:r>
    </w:p>
    <w:p w14:paraId="2FCFA80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4.  Bears a permanent label applied by the manufacturer that complies with all of the following:</w:t>
      </w:r>
    </w:p>
    <w:p w14:paraId="4C6D554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4.1.  Is made of material not adversely affected by water;</w:t>
      </w:r>
    </w:p>
    <w:p w14:paraId="196E5F7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4.2.  Is attached by means of non-water soluble adhesive; and</w:t>
      </w:r>
    </w:p>
    <w:p w14:paraId="3A52033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4.3.  Advises purchasers and end-users of the intended and appropriate use of the product with the following notice printed in 16.5 point Arial Narrow Bold font: "IMPORTANT INFORMATION:  This water heater is intended only for use as a part of an electric thermal storage or demand response program.  It will not provide adequate hot water unless enrolled in such a program and activated by your utility company or another program operator.  Confirm the availability of a program in your local area before purchasing or installing this product."</w:t>
      </w:r>
    </w:p>
    <w:p w14:paraId="7751654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m.  Unfired storage tanks shall be insulated with additional insulation beyond the minimum insulation required by WSEC Table C404.2, in accordance with Section C404.6.1.</w:t>
      </w:r>
    </w:p>
    <w:p w14:paraId="08A69BDA" w14:textId="7BDF90A2"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77.</w:t>
      </w:r>
      <w:r w:rsidRPr="006B4A66">
        <w:rPr>
          <w:rFonts w:ascii="Times New Roman" w:eastAsia="Times New Roman" w:hAnsi="Times New Roman" w:cs="Times New Roman"/>
          <w:color w:val="000000"/>
          <w:kern w:val="0"/>
          <w:sz w:val="24"/>
          <w:szCs w:val="24"/>
          <w14:ligatures w14:val="none"/>
        </w:rPr>
        <w:t xml:space="preserve">  Ordinance 19485, Section 90, and K.C.C. 16.07.220 are hereby amended to read as follows:</w:t>
      </w:r>
    </w:p>
    <w:p w14:paraId="7AB5ABD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color w:val="000000"/>
          <w:kern w:val="0"/>
          <w:sz w:val="24"/>
          <w14:ligatures w14:val="none"/>
        </w:rPr>
        <w:t>Section((</w:t>
      </w:r>
      <w:r w:rsidRPr="006B4A66">
        <w:rPr>
          <w:rFonts w:ascii="Times New Roman" w:eastAsia="Calibri" w:hAnsi="Times New Roman" w:cs="Times New Roman"/>
          <w:strike/>
          <w:color w:val="000000"/>
          <w:kern w:val="0"/>
          <w:sz w:val="24"/>
          <w14:ligatures w14:val="none"/>
        </w:rPr>
        <w:t>s</w:t>
      </w:r>
      <w:r w:rsidRPr="006B4A66">
        <w:rPr>
          <w:rFonts w:ascii="Times New Roman" w:eastAsia="Calibri" w:hAnsi="Times New Roman" w:cs="Times New Roman"/>
          <w:color w:val="000000"/>
          <w:kern w:val="0"/>
          <w:sz w:val="24"/>
          <w14:ligatures w14:val="none"/>
        </w:rPr>
        <w:t>)) C404.2.1 ((</w:t>
      </w:r>
      <w:r w:rsidRPr="006B4A66">
        <w:rPr>
          <w:rFonts w:ascii="Times New Roman" w:eastAsia="Calibri" w:hAnsi="Times New Roman" w:cs="Times New Roman"/>
          <w:strike/>
          <w:color w:val="000000"/>
          <w:kern w:val="0"/>
          <w:sz w:val="24"/>
          <w14:ligatures w14:val="none"/>
        </w:rPr>
        <w:t>and C404.2.2</w:t>
      </w:r>
      <w:r w:rsidRPr="006B4A66">
        <w:rPr>
          <w:rFonts w:ascii="Times New Roman" w:eastAsia="Calibri" w:hAnsi="Times New Roman" w:cs="Times New Roman"/>
          <w:color w:val="000000"/>
          <w:kern w:val="0"/>
          <w:sz w:val="24"/>
          <w14:ligatures w14:val="none"/>
        </w:rPr>
        <w:t>)) of the ((</w:t>
      </w:r>
      <w:r w:rsidRPr="006B4A66">
        <w:rPr>
          <w:rFonts w:ascii="Times New Roman" w:eastAsia="Calibri" w:hAnsi="Times New Roman" w:cs="Times New Roman"/>
          <w:strike/>
          <w:color w:val="000000"/>
          <w:kern w:val="0"/>
          <w:sz w:val="24"/>
          <w14:ligatures w14:val="none"/>
        </w:rPr>
        <w:t>International Energy Conservation Code are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Washington State Energy Code is</w:t>
      </w:r>
      <w:r w:rsidRPr="006B4A66">
        <w:rPr>
          <w:rFonts w:ascii="Times New Roman" w:eastAsia="Calibri" w:hAnsi="Times New Roman" w:cs="Times New Roman"/>
          <w:color w:val="000000"/>
          <w:kern w:val="0"/>
          <w:sz w:val="24"/>
          <w14:ligatures w14:val="none"/>
        </w:rPr>
        <w:t xml:space="preserve"> not adopted and the following is substituted:</w:t>
      </w:r>
    </w:p>
    <w:p w14:paraId="268F7443" w14:textId="63149460"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Service water heating system type (</w:t>
      </w:r>
      <w:r w:rsidRPr="006B4A66">
        <w:rPr>
          <w:rFonts w:ascii="Times New Roman" w:eastAsia="Calibri" w:hAnsi="Times New Roman" w:cs="Times New Roman"/>
          <w:b/>
          <w:bCs/>
          <w:color w:val="000000"/>
          <w:kern w:val="0"/>
          <w:sz w:val="24"/>
          <w:u w:val="single"/>
          <w14:ligatures w14:val="none"/>
        </w:rPr>
        <w:t>WSEC</w:t>
      </w:r>
      <w:r w:rsidRPr="006B4A66">
        <w:rPr>
          <w:rFonts w:ascii="Times New Roman" w:eastAsia="Calibri" w:hAnsi="Times New Roman" w:cs="Times New Roman"/>
          <w:b/>
          <w:bCs/>
          <w:color w:val="000000"/>
          <w:kern w:val="0"/>
          <w:sz w:val="24"/>
          <w14:ligatures w14:val="none"/>
        </w:rPr>
        <w:t xml:space="preserve"> C404.2.1 ((</w:t>
      </w:r>
      <w:r w:rsidRPr="006B4A66">
        <w:rPr>
          <w:rFonts w:ascii="Times New Roman" w:eastAsia="Calibri" w:hAnsi="Times New Roman" w:cs="Times New Roman"/>
          <w:b/>
          <w:bCs/>
          <w:strike/>
          <w:color w:val="000000"/>
          <w:kern w:val="0"/>
          <w:sz w:val="24"/>
          <w14:ligatures w14:val="none"/>
        </w:rPr>
        <w:t>and C404.2.2</w:t>
      </w:r>
      <w:r w:rsidRPr="006B4A66">
        <w:rPr>
          <w:rFonts w:ascii="Times New Roman" w:eastAsia="Calibri" w:hAnsi="Times New Roman" w:cs="Times New Roman"/>
          <w:b/>
          <w:bCs/>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strike/>
          <w:color w:val="000000"/>
          <w:kern w:val="0"/>
          <w:sz w:val="24"/>
          <w14:ligatures w14:val="none"/>
        </w:rPr>
        <w:t>In buildings with central service water heating systems serving four or more Group R-1 or R-2 dwelling or sleeping units, and in any other building that has a heated water circulation system or a combined water heating capacity greater than 15 kW (51,195 Btu/h) under a single permit, the primary service water heating equipment shall not use fossil fuel combustion or electric resistance.</w:t>
      </w:r>
      <w:r w:rsidRPr="006B4A66">
        <w:rPr>
          <w:rFonts w:ascii="Times New Roman" w:eastAsia="Calibri" w:hAnsi="Times New Roman" w:cs="Times New Roman"/>
          <w:color w:val="000000"/>
          <w:kern w:val="0"/>
          <w:sz w:val="24"/>
          <w14:ligatures w14:val="none"/>
        </w:rPr>
        <w:t>))  Service hot water shall be provided by an air-source HPWH system ((</w:t>
      </w:r>
      <w:r w:rsidRPr="006B4A66">
        <w:rPr>
          <w:rFonts w:ascii="Times New Roman" w:eastAsia="Calibri" w:hAnsi="Times New Roman" w:cs="Times New Roman"/>
          <w:strike/>
          <w:color w:val="000000"/>
          <w:kern w:val="0"/>
          <w:sz w:val="24"/>
          <w14:ligatures w14:val="none"/>
        </w:rPr>
        <w:t>meeting the requirements of this section</w:t>
      </w:r>
      <w:r w:rsidRPr="001216D4">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14:ligatures w14:val="none"/>
        </w:rPr>
        <w:t>, or a ground-source HPWH system</w:t>
      </w:r>
      <w:r w:rsidRPr="006B4A66">
        <w:rPr>
          <w:rFonts w:ascii="Times New Roman" w:eastAsia="Calibri" w:hAnsi="Times New Roman" w:cs="Times New Roman"/>
          <w:color w:val="000000"/>
          <w:kern w:val="0"/>
          <w:sz w:val="24"/>
          <w:u w:val="single"/>
          <w14:ligatures w14:val="none"/>
        </w:rPr>
        <w:t>, meeting the requirements of this section</w:t>
      </w:r>
      <w:r w:rsidRPr="006B4A66">
        <w:rPr>
          <w:rFonts w:ascii="Times New Roman" w:eastAsia="Calibri" w:hAnsi="Times New Roman" w:cs="Times New Roman"/>
          <w:color w:val="000000"/>
          <w:kern w:val="0"/>
          <w:sz w:val="24"/>
          <w14:ligatures w14:val="none"/>
        </w:rPr>
        <w:t>.  Supplemental service water heating equipment is permitted to use electric resistance in compliance with ((</w:t>
      </w:r>
      <w:r w:rsidRPr="006B4A66">
        <w:rPr>
          <w:rFonts w:ascii="Times New Roman" w:eastAsia="Calibri" w:hAnsi="Times New Roman" w:cs="Times New Roman"/>
          <w:strike/>
          <w:color w:val="000000"/>
          <w:kern w:val="0"/>
          <w:sz w:val="24"/>
          <w14:ligatures w14:val="none"/>
        </w:rPr>
        <w:t>IECC C404.2.1.2 and C404.2.2.2</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WSEC Section C404.2.1.4</w:t>
      </w:r>
      <w:r w:rsidRPr="006B4A66">
        <w:rPr>
          <w:rFonts w:ascii="Times New Roman" w:eastAsia="Calibri" w:hAnsi="Times New Roman" w:cs="Times New Roman"/>
          <w:color w:val="000000"/>
          <w:kern w:val="0"/>
          <w:sz w:val="24"/>
          <w14:ligatures w14:val="none"/>
        </w:rPr>
        <w:t>.</w:t>
      </w:r>
    </w:p>
    <w:p w14:paraId="686BF7B1" w14:textId="77777777" w:rsidR="006B4A66" w:rsidRPr="006B4A66" w:rsidRDefault="006B4A66" w:rsidP="0073496A">
      <w:pPr>
        <w:tabs>
          <w:tab w:val="left" w:pos="720"/>
        </w:tabs>
        <w:spacing w:after="0" w:line="480" w:lineRule="auto"/>
        <w:rPr>
          <w:rFonts w:ascii="Times New Roman" w:eastAsia="Calibri" w:hAnsi="Times New Roman" w:cs="Times New Roman"/>
          <w:b/>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color w:val="000000"/>
          <w:kern w:val="0"/>
          <w:sz w:val="24"/>
          <w14:ligatures w14:val="none"/>
        </w:rPr>
        <w:t>EXCEPTIONS:</w:t>
      </w:r>
    </w:p>
    <w:p w14:paraId="110A3AD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w:t>
      </w:r>
      <w:r w:rsidRPr="006B4A66">
        <w:rPr>
          <w:rFonts w:ascii="Times New Roman" w:eastAsia="Calibri" w:hAnsi="Times New Roman" w:cs="Times New Roman"/>
          <w:strike/>
          <w:color w:val="000000"/>
          <w:kern w:val="0"/>
          <w:sz w:val="24"/>
          <w14:ligatures w14:val="none"/>
        </w:rPr>
        <w:t>Unitary heat pump water heaters located in conditioned space are permitted where they are sized to meet all calculated service water heating demand using the heat pump compressor, and not supplementary heat</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 xml:space="preserve">24 kilowatts plus 0.1 watt per square </w:t>
      </w:r>
      <w:r w:rsidRPr="006B4A66">
        <w:rPr>
          <w:rFonts w:ascii="Times New Roman" w:eastAsia="Calibri" w:hAnsi="Times New Roman" w:cs="Times New Roman"/>
          <w:color w:val="000000"/>
          <w:kern w:val="0"/>
          <w:sz w:val="24"/>
          <w:u w:val="single"/>
          <w14:ligatures w14:val="none"/>
        </w:rPr>
        <w:lastRenderedPageBreak/>
        <w:t>foot (per 0.1 square meter) of building area electric resistance service water heating capacity is allowed per building</w:t>
      </w:r>
      <w:r w:rsidRPr="006B4A66">
        <w:rPr>
          <w:rFonts w:ascii="Times New Roman" w:eastAsia="Calibri" w:hAnsi="Times New Roman" w:cs="Times New Roman"/>
          <w:color w:val="000000"/>
          <w:kern w:val="0"/>
          <w:sz w:val="24"/>
          <w14:ligatures w14:val="none"/>
        </w:rPr>
        <w:t>.</w:t>
      </w:r>
    </w:p>
    <w:p w14:paraId="507FEF0B"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t>2.  ((</w:t>
      </w:r>
      <w:r w:rsidRPr="006B4A66">
        <w:rPr>
          <w:rFonts w:ascii="Times New Roman" w:eastAsia="Calibri" w:hAnsi="Times New Roman" w:cs="Times New Roman"/>
          <w:strike/>
          <w:color w:val="000000"/>
          <w:kern w:val="0"/>
          <w:sz w:val="24"/>
          <w14:ligatures w14:val="none"/>
        </w:rPr>
        <w:t>A service water heating system in a tenant space under a separate permit with a total heating capacity no greater than 15 kW (51,195 Btu/h) is permitted to be electric resistance.</w:t>
      </w:r>
    </w:p>
    <w:p w14:paraId="570267E4"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3.  Point of use instantaneous electric water heaters serving fixtures no more than 8 feet of developed pipe length from the water heater are permitted and do not contribute to the building combined water heating capacity calculation.</w:t>
      </w:r>
    </w:p>
    <w:p w14:paraId="1258691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4.</w:t>
      </w:r>
      <w:r w:rsidRPr="006B4A66">
        <w:rPr>
          <w:rFonts w:ascii="Times New Roman" w:eastAsia="Calibri" w:hAnsi="Times New Roman" w:cs="Times New Roman"/>
          <w:color w:val="000000"/>
          <w:kern w:val="0"/>
          <w:sz w:val="24"/>
          <w14:ligatures w14:val="none"/>
        </w:rPr>
        <w:t xml:space="preserve">))  Solar thermal, wastewater heat recovery, other approved waste heat recovery, </w:t>
      </w:r>
      <w:r w:rsidRPr="006B4A66">
        <w:rPr>
          <w:rFonts w:ascii="Times New Roman" w:eastAsia="Calibri" w:hAnsi="Times New Roman" w:cs="Times New Roman"/>
          <w:color w:val="000000"/>
          <w:kern w:val="0"/>
          <w:sz w:val="24"/>
          <w:u w:val="single"/>
          <w14:ligatures w14:val="none"/>
        </w:rPr>
        <w:t>ground-source heat pumps,</w:t>
      </w:r>
      <w:r w:rsidRPr="006B4A66">
        <w:rPr>
          <w:rFonts w:ascii="Times New Roman" w:eastAsia="Calibri" w:hAnsi="Times New Roman" w:cs="Times New Roman"/>
          <w:color w:val="000000"/>
          <w:kern w:val="0"/>
          <w:sz w:val="24"/>
          <w14:ligatures w14:val="none"/>
        </w:rPr>
        <w:t xml:space="preserve"> water-source heat pump system utilizing waste heat</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combinations thereof, are permitted to offset all or any portion of the required HPWH capacity where such systems comply with this code and the (</w:t>
      </w:r>
      <w:r w:rsidRPr="006B4A66">
        <w:rPr>
          <w:rFonts w:ascii="Times New Roman" w:eastAsia="Calibri" w:hAnsi="Times New Roman" w:cs="Times New Roman"/>
          <w:strike/>
          <w:color w:val="000000"/>
          <w:kern w:val="0"/>
          <w:sz w:val="24"/>
          <w14:ligatures w14:val="none"/>
        </w:rPr>
        <w:t>(Plumbing Code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UPC, and are not claimed in WSEC Section C406.2.5, C407, or C411</w:t>
      </w:r>
      <w:r w:rsidRPr="006B4A66">
        <w:rPr>
          <w:rFonts w:ascii="Times New Roman" w:eastAsia="Calibri" w:hAnsi="Times New Roman" w:cs="Times New Roman"/>
          <w:color w:val="000000"/>
          <w:kern w:val="0"/>
          <w:sz w:val="24"/>
          <w14:ligatures w14:val="none"/>
        </w:rPr>
        <w:t>.</w:t>
      </w:r>
    </w:p>
    <w:p w14:paraId="64C3D02C"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w:t>
      </w:r>
      <w:r w:rsidRPr="006B4A66">
        <w:rPr>
          <w:rFonts w:ascii="Times New Roman" w:eastAsia="Times New Roman" w:hAnsi="Times New Roman" w:cs="Times New Roman"/>
          <w:strike/>
          <w:color w:val="000000"/>
          <w:kern w:val="0"/>
          <w:sz w:val="24"/>
          <w:szCs w:val="24"/>
          <w14:ligatures w14:val="none"/>
        </w:rPr>
        <w:t>5.</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3.</w:t>
      </w:r>
      <w:r w:rsidRPr="006B4A66">
        <w:rPr>
          <w:rFonts w:ascii="Times New Roman" w:eastAsia="Times New Roman" w:hAnsi="Times New Roman" w:cs="Times New Roman"/>
          <w:color w:val="000000"/>
          <w:kern w:val="0"/>
          <w:sz w:val="24"/>
          <w:szCs w:val="24"/>
          <w14:ligatures w14:val="none"/>
        </w:rPr>
        <w:t xml:space="preserve">  Systems ((</w:t>
      </w:r>
      <w:r w:rsidRPr="006B4A66">
        <w:rPr>
          <w:rFonts w:ascii="Times New Roman" w:eastAsia="Times New Roman" w:hAnsi="Times New Roman" w:cs="Times New Roman"/>
          <w:strike/>
          <w:color w:val="000000"/>
          <w:kern w:val="0"/>
          <w:sz w:val="24"/>
          <w:szCs w:val="24"/>
          <w14:ligatures w14:val="none"/>
        </w:rPr>
        <w:t>meeting the requirements of</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that comply with</w:t>
      </w:r>
      <w:r w:rsidRPr="006B4A66">
        <w:rPr>
          <w:rFonts w:ascii="Times New Roman" w:eastAsia="Times New Roman" w:hAnsi="Times New Roman" w:cs="Times New Roman"/>
          <w:color w:val="000000"/>
          <w:kern w:val="0"/>
          <w:sz w:val="24"/>
          <w:szCs w:val="24"/>
          <w14:ligatures w14:val="none"/>
        </w:rPr>
        <w:t xml:space="preserve"> the Northwest Energy Efficiency Alliance (NEEA) </w:t>
      </w:r>
      <w:r w:rsidRPr="006B4A66">
        <w:rPr>
          <w:rFonts w:ascii="Times New Roman" w:eastAsia="Times New Roman" w:hAnsi="Times New Roman" w:cs="Times New Roman"/>
          <w:color w:val="000000"/>
          <w:kern w:val="0"/>
          <w:sz w:val="24"/>
          <w:szCs w:val="24"/>
          <w:u w:val="single"/>
          <w14:ligatures w14:val="none"/>
        </w:rPr>
        <w:t>Commercial Electric</w:t>
      </w:r>
      <w:r w:rsidRPr="006B4A66">
        <w:rPr>
          <w:rFonts w:ascii="Times New Roman" w:eastAsia="Times New Roman" w:hAnsi="Times New Roman" w:cs="Times New Roman"/>
          <w:color w:val="000000"/>
          <w:kern w:val="0"/>
          <w:sz w:val="24"/>
          <w:szCs w:val="24"/>
          <w14:ligatures w14:val="none"/>
        </w:rPr>
        <w:t xml:space="preserve"> Advanced Water Heater Specification((</w:t>
      </w:r>
      <w:r w:rsidRPr="006B4A66">
        <w:rPr>
          <w:rFonts w:ascii="Times New Roman" w:eastAsia="Times New Roman" w:hAnsi="Times New Roman" w:cs="Times New Roman"/>
          <w:strike/>
          <w:color w:val="000000"/>
          <w:kern w:val="0"/>
          <w:sz w:val="24"/>
          <w:szCs w:val="24"/>
          <w14:ligatures w14:val="none"/>
        </w:rPr>
        <w:t>s for central service water heating systems</w:t>
      </w:r>
      <w:r w:rsidRPr="006B4A66">
        <w:rPr>
          <w:rFonts w:ascii="Times New Roman" w:eastAsia="Times New Roman" w:hAnsi="Times New Roman" w:cs="Times New Roman"/>
          <w:color w:val="000000"/>
          <w:kern w:val="0"/>
          <w:sz w:val="24"/>
          <w:szCs w:val="24"/>
          <w14:ligatures w14:val="none"/>
        </w:rPr>
        <w:t>)).</w:t>
      </w:r>
    </w:p>
    <w:p w14:paraId="471612C2" w14:textId="77777777" w:rsidR="006B4A66" w:rsidRPr="006B4A66" w:rsidRDefault="006B4A66" w:rsidP="0073496A">
      <w:pPr>
        <w:widowControl w:val="0"/>
        <w:tabs>
          <w:tab w:val="left" w:pos="720"/>
        </w:tabs>
        <w:spacing w:after="0" w:line="480" w:lineRule="auto"/>
        <w:rPr>
          <w:rFonts w:ascii="Times New Roman" w:eastAsia="Times New Roman" w:hAnsi="Times New Roman" w:cs="Times New Roman"/>
          <w:color w:val="000000"/>
          <w:spacing w:val="-2"/>
          <w:kern w:val="0"/>
          <w:sz w:val="24"/>
          <w:szCs w:val="24"/>
          <w:u w:val="single"/>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spacing w:val="-2"/>
          <w:kern w:val="0"/>
          <w:sz w:val="24"/>
          <w:szCs w:val="24"/>
          <w:u w:val="single"/>
          <w14:ligatures w14:val="none"/>
        </w:rPr>
        <w:t>4.  Service hot water systems served by a district energy system that serves multiple buildings and that was in service before the effective date of this code, including more energy-efficient upgrades to such existing systems, are permitted to serve as the primary heating energy source.</w:t>
      </w:r>
    </w:p>
    <w:p w14:paraId="34DA7019" w14:textId="2E3AABD4" w:rsidR="006B4A66" w:rsidRPr="006B4A66" w:rsidRDefault="006B4A66" w:rsidP="0073496A">
      <w:pPr>
        <w:widowControl w:val="0"/>
        <w:tabs>
          <w:tab w:val="left" w:pos="720"/>
        </w:tabs>
        <w:spacing w:after="0" w:line="480" w:lineRule="auto"/>
        <w:rPr>
          <w:rFonts w:ascii="Times New Roman" w:eastAsia="Times New Roman" w:hAnsi="Times New Roman" w:cs="Times New Roman"/>
          <w:color w:val="000000"/>
          <w:spacing w:val="-2"/>
          <w:kern w:val="0"/>
          <w:sz w:val="24"/>
          <w:szCs w:val="24"/>
          <w:u w:val="single"/>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spacing w:val="-2"/>
          <w:kern w:val="0"/>
          <w:sz w:val="24"/>
          <w:szCs w:val="24"/>
          <w:u w:val="single"/>
          <w14:ligatures w14:val="none"/>
        </w:rPr>
        <w:t>5.  Commercial dishwashers, commercial food service equipment, and other approved process equipment are permitted to utilize electric booster heaters for supply water temperatures 120</w:t>
      </w:r>
      <w:r w:rsidRPr="006B4A66">
        <w:rPr>
          <w:rFonts w:ascii="Courier" w:eastAsia="Times New Roman" w:hAnsi="Courier" w:cs="Times New Roman"/>
          <w:color w:val="000000"/>
          <w:kern w:val="0"/>
          <w:sz w:val="24"/>
          <w:szCs w:val="20"/>
          <w:u w:val="single"/>
          <w14:ligatures w14:val="none"/>
        </w:rPr>
        <w:t xml:space="preserve">° </w:t>
      </w:r>
      <w:r w:rsidRPr="006B4A66">
        <w:rPr>
          <w:rFonts w:ascii="Times New Roman" w:eastAsia="Times New Roman" w:hAnsi="Times New Roman" w:cs="Times New Roman"/>
          <w:color w:val="000000"/>
          <w:spacing w:val="-2"/>
          <w:kern w:val="0"/>
          <w:sz w:val="24"/>
          <w:szCs w:val="24"/>
          <w:u w:val="single"/>
          <w14:ligatures w14:val="none"/>
        </w:rPr>
        <w:t>Fahrenheit (49</w:t>
      </w:r>
      <w:r w:rsidRPr="006B4A66">
        <w:rPr>
          <w:rFonts w:ascii="Courier" w:eastAsia="Times New Roman" w:hAnsi="Courier" w:cs="Times New Roman"/>
          <w:color w:val="000000"/>
          <w:kern w:val="0"/>
          <w:sz w:val="24"/>
          <w:szCs w:val="20"/>
          <w:u w:val="single"/>
          <w14:ligatures w14:val="none"/>
        </w:rPr>
        <w:t>°</w:t>
      </w:r>
      <w:r w:rsidRPr="006B4A66">
        <w:rPr>
          <w:rFonts w:ascii="Times New Roman" w:eastAsia="Times New Roman" w:hAnsi="Times New Roman" w:cs="Times New Roman"/>
          <w:color w:val="000000"/>
          <w:spacing w:val="-2"/>
          <w:kern w:val="0"/>
          <w:sz w:val="24"/>
          <w:szCs w:val="24"/>
          <w:u w:val="single"/>
          <w14:ligatures w14:val="none"/>
        </w:rPr>
        <w:t xml:space="preserve"> Celsius) or higher.</w:t>
      </w:r>
    </w:p>
    <w:p w14:paraId="3B0B3DD5" w14:textId="77777777" w:rsidR="006B4A66" w:rsidRPr="006B4A66" w:rsidRDefault="006B4A66" w:rsidP="0073496A">
      <w:pPr>
        <w:widowControl w:val="0"/>
        <w:tabs>
          <w:tab w:val="left" w:pos="720"/>
        </w:tabs>
        <w:spacing w:after="0" w:line="480" w:lineRule="auto"/>
        <w:rPr>
          <w:rFonts w:ascii="Times New Roman" w:eastAsia="Times New Roman" w:hAnsi="Times New Roman" w:cs="Times New Roman"/>
          <w:color w:val="000000"/>
          <w:spacing w:val="-2"/>
          <w:kern w:val="0"/>
          <w:sz w:val="24"/>
          <w:szCs w:val="24"/>
          <w:u w:val="single"/>
          <w14:ligatures w14:val="none"/>
        </w:rPr>
      </w:pPr>
      <w:r w:rsidRPr="006B4A66">
        <w:rPr>
          <w:rFonts w:ascii="Times New Roman" w:eastAsia="Times New Roman" w:hAnsi="Times New Roman" w:cs="Times New Roman"/>
          <w:color w:val="000000"/>
          <w:spacing w:val="-2"/>
          <w:kern w:val="0"/>
          <w:sz w:val="24"/>
          <w:szCs w:val="24"/>
          <w14:ligatures w14:val="none"/>
        </w:rPr>
        <w:lastRenderedPageBreak/>
        <w:tab/>
      </w:r>
      <w:r w:rsidRPr="006B4A66">
        <w:rPr>
          <w:rFonts w:ascii="Times New Roman" w:eastAsia="Times New Roman" w:hAnsi="Times New Roman" w:cs="Times New Roman"/>
          <w:color w:val="000000"/>
          <w:spacing w:val="-2"/>
          <w:kern w:val="0"/>
          <w:sz w:val="24"/>
          <w:szCs w:val="24"/>
          <w:u w:val="single"/>
          <w14:ligatures w14:val="none"/>
        </w:rPr>
        <w:t>6.  Systems connected to a low-carbon district energy exchange system or a low-carbon district heating and cooling or heating only system.</w:t>
      </w:r>
    </w:p>
    <w:p w14:paraId="394FEA8C"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spacing w:val="-2"/>
          <w:kern w:val="0"/>
          <w:sz w:val="24"/>
          <w:szCs w:val="24"/>
          <w:u w:val="single"/>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spacing w:val="-2"/>
          <w:kern w:val="0"/>
          <w:sz w:val="24"/>
          <w:szCs w:val="24"/>
          <w:u w:val="single"/>
          <w14:ligatures w14:val="none"/>
        </w:rPr>
        <w:t>7.  Essential facilities. Groups I-2 and I-3 occupancies that by regulation are required to have in place redundant emergency backup systems are permitted to use electric resistance or fossil fuel combustion equipment for those emergency backup systems.</w:t>
      </w:r>
    </w:p>
    <w:p w14:paraId="49E5D25A" w14:textId="278D01B1"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u w:val="single"/>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 xml:space="preserve">8.  Point of use instantaneous electric water heaters serving fixtures no more than 8 feet (2,438 millimeters) of developed pipe length from the water heater are </w:t>
      </w:r>
      <w:r w:rsidR="008132D8">
        <w:rPr>
          <w:rFonts w:ascii="Times New Roman" w:eastAsia="Times New Roman" w:hAnsi="Times New Roman" w:cs="Times New Roman"/>
          <w:color w:val="000000"/>
          <w:kern w:val="0"/>
          <w:sz w:val="24"/>
          <w:szCs w:val="24"/>
          <w:u w:val="single"/>
          <w14:ligatures w14:val="none"/>
        </w:rPr>
        <w:t>allowed</w:t>
      </w:r>
      <w:r w:rsidR="008132D8" w:rsidRPr="006B4A66">
        <w:rPr>
          <w:rFonts w:ascii="Times New Roman" w:eastAsia="Times New Roman" w:hAnsi="Times New Roman" w:cs="Times New Roman"/>
          <w:color w:val="000000"/>
          <w:kern w:val="0"/>
          <w:sz w:val="24"/>
          <w:szCs w:val="24"/>
          <w:u w:val="single"/>
          <w14:ligatures w14:val="none"/>
        </w:rPr>
        <w:t xml:space="preserve"> </w:t>
      </w:r>
      <w:r w:rsidRPr="006B4A66">
        <w:rPr>
          <w:rFonts w:ascii="Times New Roman" w:eastAsia="Times New Roman" w:hAnsi="Times New Roman" w:cs="Times New Roman"/>
          <w:color w:val="000000"/>
          <w:kern w:val="0"/>
          <w:sz w:val="24"/>
          <w:szCs w:val="24"/>
          <w:u w:val="single"/>
          <w14:ligatures w14:val="none"/>
        </w:rPr>
        <w:t>and do not contribute to the building combined water heating capacity calculation.</w:t>
      </w:r>
    </w:p>
    <w:p w14:paraId="10C3AA34"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u w:val="single"/>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9. For occupancies other than Group R and Group I, unitary electric air-source heat pump water heaters are permitted to extract heat from the conditioned space where the primary source of space heating is electric heat pump or where heat recovery waste heat is available, and where they are sized to meet all calculated service water heating demand using the heat pump compressor, and not supplementary heat.</w:t>
      </w:r>
    </w:p>
    <w:p w14:paraId="3D6548C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10.  Standby service water heating equipment provided in addition to the primary heating system, and controlled such that it will only be used when the primary heating equipment is not available, is permitted to be electric resistance.</w:t>
      </w:r>
    </w:p>
    <w:p w14:paraId="71A51955" w14:textId="4ABCA37E"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78.</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65C9D06E" w14:textId="322D9823"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Table C404.3.1 of the Washington State Energy Code is </w:t>
      </w:r>
      <w:r w:rsidR="00EC774F">
        <w:rPr>
          <w:rFonts w:ascii="Times New Roman" w:eastAsia="Calibri" w:hAnsi="Times New Roman" w:cs="Times New Roman"/>
          <w:color w:val="000000"/>
          <w:kern w:val="0"/>
          <w:sz w:val="24"/>
          <w14:ligatures w14:val="none"/>
        </w:rPr>
        <w:t xml:space="preserve"> not adopted and the following is substituted</w:t>
      </w:r>
      <w:r w:rsidRPr="006B4A66">
        <w:rPr>
          <w:rFonts w:ascii="Times New Roman" w:eastAsia="Calibri" w:hAnsi="Times New Roman" w:cs="Times New Roman"/>
          <w:color w:val="000000"/>
          <w:kern w:val="0"/>
          <w:sz w:val="24"/>
          <w14:ligatures w14:val="none"/>
        </w:rPr>
        <w:t>:</w:t>
      </w:r>
    </w:p>
    <w:p w14:paraId="0A4E0439" w14:textId="77777777" w:rsidR="006B4A66" w:rsidRPr="006B4A66" w:rsidRDefault="006B4A66" w:rsidP="0073496A">
      <w:pPr>
        <w:spacing w:after="0" w:line="480" w:lineRule="auto"/>
        <w:jc w:val="center"/>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Table C404.3.1</w:t>
      </w:r>
    </w:p>
    <w:p w14:paraId="6E04C6A3" w14:textId="77777777" w:rsidR="006B4A66" w:rsidRPr="006B4A66" w:rsidRDefault="006B4A66" w:rsidP="0073496A">
      <w:pPr>
        <w:spacing w:after="0" w:line="480" w:lineRule="auto"/>
        <w:jc w:val="center"/>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Piping Volume and Maximum Piping Lengths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53"/>
        <w:gridCol w:w="2139"/>
        <w:gridCol w:w="2149"/>
        <w:gridCol w:w="2189"/>
      </w:tblGrid>
      <w:tr w:rsidR="006B4A66" w:rsidRPr="006B4A66" w14:paraId="45ECF740" w14:textId="77777777">
        <w:trPr>
          <w:cantSplit/>
          <w:tblHeader/>
          <w:jc w:val="center"/>
        </w:trPr>
        <w:tc>
          <w:tcPr>
            <w:tcW w:w="2217" w:type="dxa"/>
            <w:vMerge w:val="restart"/>
            <w:tcMar>
              <w:top w:w="40" w:type="dxa"/>
              <w:left w:w="120" w:type="dxa"/>
              <w:bottom w:w="40" w:type="dxa"/>
              <w:right w:w="120" w:type="dxa"/>
            </w:tcMar>
            <w:vAlign w:val="bottom"/>
          </w:tcPr>
          <w:p w14:paraId="48454371"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lastRenderedPageBreak/>
              <w:t>Nominal Pipe Size</w:t>
            </w:r>
          </w:p>
          <w:p w14:paraId="24391301"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(inches)</w:t>
            </w:r>
          </w:p>
        </w:tc>
        <w:tc>
          <w:tcPr>
            <w:tcW w:w="2207" w:type="dxa"/>
            <w:vMerge w:val="restart"/>
            <w:tcMar>
              <w:top w:w="40" w:type="dxa"/>
              <w:left w:w="120" w:type="dxa"/>
              <w:bottom w:w="40" w:type="dxa"/>
              <w:right w:w="120" w:type="dxa"/>
            </w:tcMar>
            <w:vAlign w:val="bottom"/>
          </w:tcPr>
          <w:p w14:paraId="3C9AD5BF"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Volume</w:t>
            </w:r>
          </w:p>
          <w:p w14:paraId="1B06C5B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(liquid ounces per foot length)</w:t>
            </w:r>
          </w:p>
        </w:tc>
        <w:tc>
          <w:tcPr>
            <w:tcW w:w="4456" w:type="dxa"/>
            <w:gridSpan w:val="2"/>
            <w:tcMar>
              <w:top w:w="40" w:type="dxa"/>
              <w:left w:w="120" w:type="dxa"/>
              <w:bottom w:w="40" w:type="dxa"/>
              <w:right w:w="120" w:type="dxa"/>
            </w:tcMar>
            <w:vAlign w:val="bottom"/>
          </w:tcPr>
          <w:p w14:paraId="6DDB182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Maximum Piping Length</w:t>
            </w:r>
          </w:p>
          <w:p w14:paraId="093B6060"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(feet)</w:t>
            </w:r>
          </w:p>
        </w:tc>
      </w:tr>
      <w:tr w:rsidR="006B4A66" w:rsidRPr="006B4A66" w14:paraId="4E9D4134" w14:textId="77777777">
        <w:trPr>
          <w:cantSplit/>
          <w:tblHeader/>
          <w:jc w:val="center"/>
        </w:trPr>
        <w:tc>
          <w:tcPr>
            <w:tcW w:w="0" w:type="auto"/>
            <w:vMerge/>
          </w:tcPr>
          <w:p w14:paraId="2ED62AD1"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c>
          <w:tcPr>
            <w:tcW w:w="0" w:type="auto"/>
            <w:vMerge/>
          </w:tcPr>
          <w:p w14:paraId="69356239"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c>
          <w:tcPr>
            <w:tcW w:w="2214" w:type="dxa"/>
            <w:tcMar>
              <w:top w:w="40" w:type="dxa"/>
              <w:left w:w="120" w:type="dxa"/>
              <w:bottom w:w="40" w:type="dxa"/>
              <w:right w:w="120" w:type="dxa"/>
            </w:tcMar>
            <w:vAlign w:val="bottom"/>
          </w:tcPr>
          <w:p w14:paraId="40061DCB" w14:textId="77777777"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b/>
                <w:color w:val="000000"/>
                <w:kern w:val="0"/>
                <w:sz w:val="24"/>
                <w14:ligatures w14:val="none"/>
              </w:rPr>
              <w:t>Public lavatory faucets</w:t>
            </w:r>
            <w:r w:rsidRPr="006B4A66">
              <w:rPr>
                <w:rFonts w:ascii="Times New Roman" w:eastAsia="Calibri" w:hAnsi="Times New Roman" w:cs="Times New Roman"/>
                <w:b/>
                <w:color w:val="000000"/>
                <w:kern w:val="0"/>
                <w:sz w:val="24"/>
                <w:vertAlign w:val="superscript"/>
                <w14:ligatures w14:val="none"/>
              </w:rPr>
              <w:t>a</w:t>
            </w:r>
          </w:p>
        </w:tc>
        <w:tc>
          <w:tcPr>
            <w:tcW w:w="2242" w:type="dxa"/>
            <w:tcMar>
              <w:top w:w="40" w:type="dxa"/>
              <w:left w:w="120" w:type="dxa"/>
              <w:bottom w:w="40" w:type="dxa"/>
              <w:right w:w="120" w:type="dxa"/>
            </w:tcMar>
            <w:vAlign w:val="bottom"/>
          </w:tcPr>
          <w:p w14:paraId="45B1BC9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Other fixtures and appliances</w:t>
            </w:r>
          </w:p>
        </w:tc>
      </w:tr>
      <w:tr w:rsidR="006B4A66" w:rsidRPr="006B4A66" w14:paraId="6DF6681E" w14:textId="77777777">
        <w:trPr>
          <w:jc w:val="center"/>
        </w:trPr>
        <w:tc>
          <w:tcPr>
            <w:tcW w:w="2217" w:type="dxa"/>
            <w:tcMar>
              <w:top w:w="40" w:type="dxa"/>
              <w:left w:w="120" w:type="dxa"/>
              <w:bottom w:w="40" w:type="dxa"/>
              <w:right w:w="120" w:type="dxa"/>
            </w:tcMar>
          </w:tcPr>
          <w:p w14:paraId="01DB38E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1/4</w:t>
            </w:r>
          </w:p>
        </w:tc>
        <w:tc>
          <w:tcPr>
            <w:tcW w:w="2207" w:type="dxa"/>
            <w:tcMar>
              <w:top w:w="40" w:type="dxa"/>
              <w:left w:w="120" w:type="dxa"/>
              <w:bottom w:w="40" w:type="dxa"/>
              <w:right w:w="120" w:type="dxa"/>
            </w:tcMar>
          </w:tcPr>
          <w:p w14:paraId="522243D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0.33</w:t>
            </w:r>
          </w:p>
        </w:tc>
        <w:tc>
          <w:tcPr>
            <w:tcW w:w="2214" w:type="dxa"/>
            <w:tcMar>
              <w:top w:w="40" w:type="dxa"/>
              <w:left w:w="120" w:type="dxa"/>
              <w:bottom w:w="40" w:type="dxa"/>
              <w:right w:w="120" w:type="dxa"/>
            </w:tcMar>
          </w:tcPr>
          <w:p w14:paraId="0792689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6</w:t>
            </w:r>
          </w:p>
        </w:tc>
        <w:tc>
          <w:tcPr>
            <w:tcW w:w="2242" w:type="dxa"/>
            <w:tcMar>
              <w:top w:w="40" w:type="dxa"/>
              <w:left w:w="120" w:type="dxa"/>
              <w:bottom w:w="40" w:type="dxa"/>
              <w:right w:w="120" w:type="dxa"/>
            </w:tcMar>
          </w:tcPr>
          <w:p w14:paraId="16C3BB55"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50</w:t>
            </w:r>
          </w:p>
        </w:tc>
      </w:tr>
      <w:tr w:rsidR="006B4A66" w:rsidRPr="006B4A66" w14:paraId="1D5BF482" w14:textId="77777777">
        <w:trPr>
          <w:jc w:val="center"/>
        </w:trPr>
        <w:tc>
          <w:tcPr>
            <w:tcW w:w="2217" w:type="dxa"/>
            <w:tcMar>
              <w:top w:w="40" w:type="dxa"/>
              <w:left w:w="120" w:type="dxa"/>
              <w:bottom w:w="40" w:type="dxa"/>
              <w:right w:w="120" w:type="dxa"/>
            </w:tcMar>
          </w:tcPr>
          <w:p w14:paraId="2105489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5/16</w:t>
            </w:r>
          </w:p>
        </w:tc>
        <w:tc>
          <w:tcPr>
            <w:tcW w:w="2207" w:type="dxa"/>
            <w:tcMar>
              <w:top w:w="40" w:type="dxa"/>
              <w:left w:w="120" w:type="dxa"/>
              <w:bottom w:w="40" w:type="dxa"/>
              <w:right w:w="120" w:type="dxa"/>
            </w:tcMar>
          </w:tcPr>
          <w:p w14:paraId="62BEFF9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0.5</w:t>
            </w:r>
          </w:p>
        </w:tc>
        <w:tc>
          <w:tcPr>
            <w:tcW w:w="2214" w:type="dxa"/>
            <w:tcMar>
              <w:top w:w="40" w:type="dxa"/>
              <w:left w:w="120" w:type="dxa"/>
              <w:bottom w:w="40" w:type="dxa"/>
              <w:right w:w="120" w:type="dxa"/>
            </w:tcMar>
          </w:tcPr>
          <w:p w14:paraId="5460B7F9"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4</w:t>
            </w:r>
          </w:p>
        </w:tc>
        <w:tc>
          <w:tcPr>
            <w:tcW w:w="2242" w:type="dxa"/>
            <w:tcMar>
              <w:top w:w="40" w:type="dxa"/>
              <w:left w:w="120" w:type="dxa"/>
              <w:bottom w:w="40" w:type="dxa"/>
              <w:right w:w="120" w:type="dxa"/>
            </w:tcMar>
          </w:tcPr>
          <w:p w14:paraId="1D7E9D0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50</w:t>
            </w:r>
          </w:p>
        </w:tc>
      </w:tr>
      <w:tr w:rsidR="006B4A66" w:rsidRPr="006B4A66" w14:paraId="5D9D2F75" w14:textId="77777777">
        <w:trPr>
          <w:jc w:val="center"/>
        </w:trPr>
        <w:tc>
          <w:tcPr>
            <w:tcW w:w="2217" w:type="dxa"/>
            <w:tcMar>
              <w:top w:w="40" w:type="dxa"/>
              <w:left w:w="120" w:type="dxa"/>
              <w:bottom w:w="40" w:type="dxa"/>
              <w:right w:w="120" w:type="dxa"/>
            </w:tcMar>
          </w:tcPr>
          <w:p w14:paraId="6BBFF192"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3/8</w:t>
            </w:r>
          </w:p>
        </w:tc>
        <w:tc>
          <w:tcPr>
            <w:tcW w:w="2207" w:type="dxa"/>
            <w:tcMar>
              <w:top w:w="40" w:type="dxa"/>
              <w:left w:w="120" w:type="dxa"/>
              <w:bottom w:w="40" w:type="dxa"/>
              <w:right w:w="120" w:type="dxa"/>
            </w:tcMar>
          </w:tcPr>
          <w:p w14:paraId="3DA35FC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0.75</w:t>
            </w:r>
          </w:p>
        </w:tc>
        <w:tc>
          <w:tcPr>
            <w:tcW w:w="2214" w:type="dxa"/>
            <w:tcMar>
              <w:top w:w="40" w:type="dxa"/>
              <w:left w:w="120" w:type="dxa"/>
              <w:bottom w:w="40" w:type="dxa"/>
              <w:right w:w="120" w:type="dxa"/>
            </w:tcMar>
          </w:tcPr>
          <w:p w14:paraId="3F9E4B4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8</w:t>
            </w:r>
          </w:p>
        </w:tc>
        <w:tc>
          <w:tcPr>
            <w:tcW w:w="2242" w:type="dxa"/>
            <w:tcMar>
              <w:top w:w="40" w:type="dxa"/>
              <w:left w:w="120" w:type="dxa"/>
              <w:bottom w:w="40" w:type="dxa"/>
              <w:right w:w="120" w:type="dxa"/>
            </w:tcMar>
          </w:tcPr>
          <w:p w14:paraId="36BBCC66"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50</w:t>
            </w:r>
          </w:p>
        </w:tc>
      </w:tr>
      <w:tr w:rsidR="006B4A66" w:rsidRPr="006B4A66" w14:paraId="12C1EE53" w14:textId="77777777">
        <w:trPr>
          <w:jc w:val="center"/>
        </w:trPr>
        <w:tc>
          <w:tcPr>
            <w:tcW w:w="2217" w:type="dxa"/>
            <w:tcMar>
              <w:top w:w="40" w:type="dxa"/>
              <w:left w:w="120" w:type="dxa"/>
              <w:bottom w:w="40" w:type="dxa"/>
              <w:right w:w="120" w:type="dxa"/>
            </w:tcMar>
          </w:tcPr>
          <w:p w14:paraId="72328380"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1/2</w:t>
            </w:r>
          </w:p>
        </w:tc>
        <w:tc>
          <w:tcPr>
            <w:tcW w:w="2207" w:type="dxa"/>
            <w:tcMar>
              <w:top w:w="40" w:type="dxa"/>
              <w:left w:w="120" w:type="dxa"/>
              <w:bottom w:w="40" w:type="dxa"/>
              <w:right w:w="120" w:type="dxa"/>
            </w:tcMar>
          </w:tcPr>
          <w:p w14:paraId="16EBCA3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1.5</w:t>
            </w:r>
          </w:p>
        </w:tc>
        <w:tc>
          <w:tcPr>
            <w:tcW w:w="2214" w:type="dxa"/>
            <w:tcMar>
              <w:top w:w="40" w:type="dxa"/>
              <w:left w:w="120" w:type="dxa"/>
              <w:bottom w:w="40" w:type="dxa"/>
              <w:right w:w="120" w:type="dxa"/>
            </w:tcMar>
          </w:tcPr>
          <w:p w14:paraId="6EB8D460"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8</w:t>
            </w:r>
          </w:p>
        </w:tc>
        <w:tc>
          <w:tcPr>
            <w:tcW w:w="2242" w:type="dxa"/>
            <w:tcMar>
              <w:top w:w="40" w:type="dxa"/>
              <w:left w:w="120" w:type="dxa"/>
              <w:bottom w:w="40" w:type="dxa"/>
              <w:right w:w="120" w:type="dxa"/>
            </w:tcMar>
          </w:tcPr>
          <w:p w14:paraId="43B85C8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43</w:t>
            </w:r>
          </w:p>
        </w:tc>
      </w:tr>
      <w:tr w:rsidR="006B4A66" w:rsidRPr="006B4A66" w14:paraId="6058093B" w14:textId="77777777">
        <w:trPr>
          <w:jc w:val="center"/>
        </w:trPr>
        <w:tc>
          <w:tcPr>
            <w:tcW w:w="2217" w:type="dxa"/>
            <w:tcMar>
              <w:top w:w="40" w:type="dxa"/>
              <w:left w:w="120" w:type="dxa"/>
              <w:bottom w:w="40" w:type="dxa"/>
              <w:right w:w="120" w:type="dxa"/>
            </w:tcMar>
          </w:tcPr>
          <w:p w14:paraId="34E0ACB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5/8</w:t>
            </w:r>
          </w:p>
        </w:tc>
        <w:tc>
          <w:tcPr>
            <w:tcW w:w="2207" w:type="dxa"/>
            <w:tcMar>
              <w:top w:w="40" w:type="dxa"/>
              <w:left w:w="120" w:type="dxa"/>
              <w:bottom w:w="40" w:type="dxa"/>
              <w:right w:w="120" w:type="dxa"/>
            </w:tcMar>
          </w:tcPr>
          <w:p w14:paraId="2A4F862F"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2</w:t>
            </w:r>
          </w:p>
        </w:tc>
        <w:tc>
          <w:tcPr>
            <w:tcW w:w="2214" w:type="dxa"/>
            <w:tcMar>
              <w:top w:w="40" w:type="dxa"/>
              <w:left w:w="120" w:type="dxa"/>
              <w:bottom w:w="40" w:type="dxa"/>
              <w:right w:w="120" w:type="dxa"/>
            </w:tcMar>
          </w:tcPr>
          <w:p w14:paraId="47DB836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8</w:t>
            </w:r>
          </w:p>
        </w:tc>
        <w:tc>
          <w:tcPr>
            <w:tcW w:w="2242" w:type="dxa"/>
            <w:tcMar>
              <w:top w:w="40" w:type="dxa"/>
              <w:left w:w="120" w:type="dxa"/>
              <w:bottom w:w="40" w:type="dxa"/>
              <w:right w:w="120" w:type="dxa"/>
            </w:tcMar>
          </w:tcPr>
          <w:p w14:paraId="4B4CE77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32</w:t>
            </w:r>
          </w:p>
        </w:tc>
      </w:tr>
      <w:tr w:rsidR="006B4A66" w:rsidRPr="006B4A66" w14:paraId="3E9C9D85" w14:textId="77777777">
        <w:trPr>
          <w:jc w:val="center"/>
        </w:trPr>
        <w:tc>
          <w:tcPr>
            <w:tcW w:w="2217" w:type="dxa"/>
            <w:tcMar>
              <w:top w:w="40" w:type="dxa"/>
              <w:left w:w="120" w:type="dxa"/>
              <w:bottom w:w="40" w:type="dxa"/>
              <w:right w:w="120" w:type="dxa"/>
            </w:tcMar>
          </w:tcPr>
          <w:p w14:paraId="2C67103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3/4</w:t>
            </w:r>
          </w:p>
        </w:tc>
        <w:tc>
          <w:tcPr>
            <w:tcW w:w="2207" w:type="dxa"/>
            <w:tcMar>
              <w:top w:w="40" w:type="dxa"/>
              <w:left w:w="120" w:type="dxa"/>
              <w:bottom w:w="40" w:type="dxa"/>
              <w:right w:w="120" w:type="dxa"/>
            </w:tcMar>
          </w:tcPr>
          <w:p w14:paraId="08E5405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3</w:t>
            </w:r>
          </w:p>
        </w:tc>
        <w:tc>
          <w:tcPr>
            <w:tcW w:w="2214" w:type="dxa"/>
            <w:tcMar>
              <w:top w:w="40" w:type="dxa"/>
              <w:left w:w="120" w:type="dxa"/>
              <w:bottom w:w="40" w:type="dxa"/>
              <w:right w:w="120" w:type="dxa"/>
            </w:tcMar>
          </w:tcPr>
          <w:p w14:paraId="5DE2B601"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0.5</w:t>
            </w:r>
          </w:p>
        </w:tc>
        <w:tc>
          <w:tcPr>
            <w:tcW w:w="2242" w:type="dxa"/>
            <w:tcMar>
              <w:top w:w="40" w:type="dxa"/>
              <w:left w:w="120" w:type="dxa"/>
              <w:bottom w:w="40" w:type="dxa"/>
              <w:right w:w="120" w:type="dxa"/>
            </w:tcMar>
          </w:tcPr>
          <w:p w14:paraId="5D6D211F"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21</w:t>
            </w:r>
          </w:p>
        </w:tc>
      </w:tr>
      <w:tr w:rsidR="006B4A66" w:rsidRPr="006B4A66" w14:paraId="55328159" w14:textId="77777777">
        <w:trPr>
          <w:jc w:val="center"/>
        </w:trPr>
        <w:tc>
          <w:tcPr>
            <w:tcW w:w="2217" w:type="dxa"/>
            <w:tcMar>
              <w:top w:w="40" w:type="dxa"/>
              <w:left w:w="120" w:type="dxa"/>
              <w:bottom w:w="40" w:type="dxa"/>
              <w:right w:w="120" w:type="dxa"/>
            </w:tcMar>
          </w:tcPr>
          <w:p w14:paraId="1953C971"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7/8</w:t>
            </w:r>
          </w:p>
        </w:tc>
        <w:tc>
          <w:tcPr>
            <w:tcW w:w="2207" w:type="dxa"/>
            <w:tcMar>
              <w:top w:w="40" w:type="dxa"/>
              <w:left w:w="120" w:type="dxa"/>
              <w:bottom w:w="40" w:type="dxa"/>
              <w:right w:w="120" w:type="dxa"/>
            </w:tcMar>
          </w:tcPr>
          <w:p w14:paraId="3E63AA86"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4</w:t>
            </w:r>
          </w:p>
        </w:tc>
        <w:tc>
          <w:tcPr>
            <w:tcW w:w="2214" w:type="dxa"/>
            <w:tcMar>
              <w:top w:w="40" w:type="dxa"/>
              <w:left w:w="120" w:type="dxa"/>
              <w:bottom w:w="40" w:type="dxa"/>
              <w:right w:w="120" w:type="dxa"/>
            </w:tcMar>
          </w:tcPr>
          <w:p w14:paraId="1091B28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0.5</w:t>
            </w:r>
          </w:p>
        </w:tc>
        <w:tc>
          <w:tcPr>
            <w:tcW w:w="2242" w:type="dxa"/>
            <w:tcMar>
              <w:top w:w="40" w:type="dxa"/>
              <w:left w:w="120" w:type="dxa"/>
              <w:bottom w:w="40" w:type="dxa"/>
              <w:right w:w="120" w:type="dxa"/>
            </w:tcMar>
          </w:tcPr>
          <w:p w14:paraId="407B4C7F"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16</w:t>
            </w:r>
          </w:p>
        </w:tc>
      </w:tr>
      <w:tr w:rsidR="006B4A66" w:rsidRPr="006B4A66" w14:paraId="2583F03E" w14:textId="77777777">
        <w:trPr>
          <w:jc w:val="center"/>
        </w:trPr>
        <w:tc>
          <w:tcPr>
            <w:tcW w:w="2217" w:type="dxa"/>
            <w:tcMar>
              <w:top w:w="40" w:type="dxa"/>
              <w:left w:w="120" w:type="dxa"/>
              <w:bottom w:w="40" w:type="dxa"/>
              <w:right w:w="120" w:type="dxa"/>
            </w:tcMar>
          </w:tcPr>
          <w:p w14:paraId="0D990BA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1</w:t>
            </w:r>
          </w:p>
        </w:tc>
        <w:tc>
          <w:tcPr>
            <w:tcW w:w="2207" w:type="dxa"/>
            <w:tcMar>
              <w:top w:w="40" w:type="dxa"/>
              <w:left w:w="120" w:type="dxa"/>
              <w:bottom w:w="40" w:type="dxa"/>
              <w:right w:w="120" w:type="dxa"/>
            </w:tcMar>
          </w:tcPr>
          <w:p w14:paraId="4361A53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5</w:t>
            </w:r>
          </w:p>
        </w:tc>
        <w:tc>
          <w:tcPr>
            <w:tcW w:w="2214" w:type="dxa"/>
            <w:tcMar>
              <w:top w:w="40" w:type="dxa"/>
              <w:left w:w="120" w:type="dxa"/>
              <w:bottom w:w="40" w:type="dxa"/>
              <w:right w:w="120" w:type="dxa"/>
            </w:tcMar>
          </w:tcPr>
          <w:p w14:paraId="140D1A9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0.5</w:t>
            </w:r>
          </w:p>
        </w:tc>
        <w:tc>
          <w:tcPr>
            <w:tcW w:w="2242" w:type="dxa"/>
            <w:tcMar>
              <w:top w:w="40" w:type="dxa"/>
              <w:left w:w="120" w:type="dxa"/>
              <w:bottom w:w="40" w:type="dxa"/>
              <w:right w:w="120" w:type="dxa"/>
            </w:tcMar>
          </w:tcPr>
          <w:p w14:paraId="55C2996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13</w:t>
            </w:r>
          </w:p>
        </w:tc>
      </w:tr>
      <w:tr w:rsidR="006B4A66" w:rsidRPr="006B4A66" w14:paraId="2263E9BB" w14:textId="77777777">
        <w:trPr>
          <w:jc w:val="center"/>
        </w:trPr>
        <w:tc>
          <w:tcPr>
            <w:tcW w:w="2217" w:type="dxa"/>
            <w:tcMar>
              <w:top w:w="40" w:type="dxa"/>
              <w:left w:w="120" w:type="dxa"/>
              <w:bottom w:w="40" w:type="dxa"/>
              <w:right w:w="120" w:type="dxa"/>
            </w:tcMar>
          </w:tcPr>
          <w:p w14:paraId="51A43C9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1 1/4</w:t>
            </w:r>
          </w:p>
        </w:tc>
        <w:tc>
          <w:tcPr>
            <w:tcW w:w="2207" w:type="dxa"/>
            <w:tcMar>
              <w:top w:w="40" w:type="dxa"/>
              <w:left w:w="120" w:type="dxa"/>
              <w:bottom w:w="40" w:type="dxa"/>
              <w:right w:w="120" w:type="dxa"/>
            </w:tcMar>
          </w:tcPr>
          <w:p w14:paraId="24B60E75"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8</w:t>
            </w:r>
          </w:p>
        </w:tc>
        <w:tc>
          <w:tcPr>
            <w:tcW w:w="2214" w:type="dxa"/>
            <w:tcMar>
              <w:top w:w="40" w:type="dxa"/>
              <w:left w:w="120" w:type="dxa"/>
              <w:bottom w:w="40" w:type="dxa"/>
              <w:right w:w="120" w:type="dxa"/>
            </w:tcMar>
          </w:tcPr>
          <w:p w14:paraId="7755538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0.5</w:t>
            </w:r>
          </w:p>
        </w:tc>
        <w:tc>
          <w:tcPr>
            <w:tcW w:w="2242" w:type="dxa"/>
            <w:tcMar>
              <w:top w:w="40" w:type="dxa"/>
              <w:left w:w="120" w:type="dxa"/>
              <w:bottom w:w="40" w:type="dxa"/>
              <w:right w:w="120" w:type="dxa"/>
            </w:tcMar>
          </w:tcPr>
          <w:p w14:paraId="1F73392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8</w:t>
            </w:r>
          </w:p>
        </w:tc>
      </w:tr>
      <w:tr w:rsidR="006B4A66" w:rsidRPr="006B4A66" w14:paraId="07B2382F" w14:textId="77777777">
        <w:trPr>
          <w:jc w:val="center"/>
        </w:trPr>
        <w:tc>
          <w:tcPr>
            <w:tcW w:w="2217" w:type="dxa"/>
            <w:tcMar>
              <w:top w:w="40" w:type="dxa"/>
              <w:left w:w="120" w:type="dxa"/>
              <w:bottom w:w="40" w:type="dxa"/>
              <w:right w:w="120" w:type="dxa"/>
            </w:tcMar>
          </w:tcPr>
          <w:p w14:paraId="6E0A61A1"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1 1/2</w:t>
            </w:r>
          </w:p>
        </w:tc>
        <w:tc>
          <w:tcPr>
            <w:tcW w:w="2207" w:type="dxa"/>
            <w:tcMar>
              <w:top w:w="40" w:type="dxa"/>
              <w:left w:w="120" w:type="dxa"/>
              <w:bottom w:w="40" w:type="dxa"/>
              <w:right w:w="120" w:type="dxa"/>
            </w:tcMar>
          </w:tcPr>
          <w:p w14:paraId="1F504E42"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11</w:t>
            </w:r>
          </w:p>
        </w:tc>
        <w:tc>
          <w:tcPr>
            <w:tcW w:w="2214" w:type="dxa"/>
            <w:tcMar>
              <w:top w:w="40" w:type="dxa"/>
              <w:left w:w="120" w:type="dxa"/>
              <w:bottom w:w="40" w:type="dxa"/>
              <w:right w:w="120" w:type="dxa"/>
            </w:tcMar>
          </w:tcPr>
          <w:p w14:paraId="66D6FBB0"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0.5</w:t>
            </w:r>
          </w:p>
        </w:tc>
        <w:tc>
          <w:tcPr>
            <w:tcW w:w="2242" w:type="dxa"/>
            <w:tcMar>
              <w:top w:w="40" w:type="dxa"/>
              <w:left w:w="120" w:type="dxa"/>
              <w:bottom w:w="40" w:type="dxa"/>
              <w:right w:w="120" w:type="dxa"/>
            </w:tcMar>
          </w:tcPr>
          <w:p w14:paraId="6082743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6</w:t>
            </w:r>
          </w:p>
        </w:tc>
      </w:tr>
      <w:tr w:rsidR="006B4A66" w:rsidRPr="006B4A66" w14:paraId="207ACB63" w14:textId="77777777">
        <w:trPr>
          <w:jc w:val="center"/>
        </w:trPr>
        <w:tc>
          <w:tcPr>
            <w:tcW w:w="2217" w:type="dxa"/>
            <w:tcMar>
              <w:top w:w="40" w:type="dxa"/>
              <w:left w:w="120" w:type="dxa"/>
              <w:bottom w:w="40" w:type="dxa"/>
              <w:right w:w="120" w:type="dxa"/>
            </w:tcMar>
          </w:tcPr>
          <w:p w14:paraId="5B22056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2 or larger</w:t>
            </w:r>
          </w:p>
        </w:tc>
        <w:tc>
          <w:tcPr>
            <w:tcW w:w="2207" w:type="dxa"/>
            <w:tcMar>
              <w:top w:w="40" w:type="dxa"/>
              <w:left w:w="120" w:type="dxa"/>
              <w:bottom w:w="40" w:type="dxa"/>
              <w:right w:w="120" w:type="dxa"/>
            </w:tcMar>
          </w:tcPr>
          <w:p w14:paraId="4335AE8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18</w:t>
            </w:r>
          </w:p>
        </w:tc>
        <w:tc>
          <w:tcPr>
            <w:tcW w:w="2214" w:type="dxa"/>
            <w:tcMar>
              <w:top w:w="40" w:type="dxa"/>
              <w:left w:w="120" w:type="dxa"/>
              <w:bottom w:w="40" w:type="dxa"/>
              <w:right w:w="120" w:type="dxa"/>
            </w:tcMar>
          </w:tcPr>
          <w:p w14:paraId="7D74A19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0.5</w:t>
            </w:r>
          </w:p>
        </w:tc>
        <w:tc>
          <w:tcPr>
            <w:tcW w:w="2242" w:type="dxa"/>
            <w:tcMar>
              <w:top w:w="40" w:type="dxa"/>
              <w:left w:w="120" w:type="dxa"/>
              <w:bottom w:w="40" w:type="dxa"/>
              <w:right w:w="120" w:type="dxa"/>
            </w:tcMar>
          </w:tcPr>
          <w:p w14:paraId="7E6915E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4</w:t>
            </w:r>
          </w:p>
        </w:tc>
      </w:tr>
    </w:tbl>
    <w:p w14:paraId="21D967EA"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Footnote:</w:t>
      </w:r>
    </w:p>
    <w:p w14:paraId="2C743268"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a.  Includes hand sinks in foodservice establishments, hand washing sinks in labs and exam room sinks in hospitals.</w:t>
      </w:r>
    </w:p>
    <w:p w14:paraId="00BE94AE" w14:textId="41D8F05D"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79.</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2A5A82F9"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Section C404.3 of the Washington State Energy Code is supplemented with the </w:t>
      </w:r>
      <w:r w:rsidRPr="006B4A66">
        <w:rPr>
          <w:rFonts w:ascii="Times New Roman" w:eastAsia="Calibri" w:hAnsi="Times New Roman" w:cs="Times New Roman"/>
          <w:color w:val="000000"/>
          <w:kern w:val="0"/>
          <w:sz w:val="24"/>
          <w14:ligatures w14:val="none"/>
        </w:rPr>
        <w:lastRenderedPageBreak/>
        <w:t>following:</w:t>
      </w:r>
    </w:p>
    <w:p w14:paraId="6D5F40EE" w14:textId="27FF6835" w:rsidR="006B4A66" w:rsidRPr="006B4A66" w:rsidRDefault="006B4A66" w:rsidP="0073496A">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0"/>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b/>
          <w:color w:val="000000"/>
          <w:kern w:val="0"/>
          <w:sz w:val="24"/>
          <w:szCs w:val="20"/>
          <w14:ligatures w14:val="none"/>
        </w:rPr>
        <w:t>Demand load for R-2 occupancies (</w:t>
      </w:r>
      <w:r w:rsidRPr="006B4A66">
        <w:rPr>
          <w:rFonts w:ascii="Times New Roman" w:eastAsia="Times New Roman" w:hAnsi="Times New Roman" w:cs="Times New Roman"/>
          <w:b/>
          <w:bCs/>
          <w:color w:val="000000"/>
          <w:kern w:val="0"/>
          <w:sz w:val="24"/>
          <w:szCs w:val="20"/>
          <w14:ligatures w14:val="none"/>
        </w:rPr>
        <w:t>WSEC</w:t>
      </w:r>
      <w:r w:rsidRPr="006B4A66">
        <w:rPr>
          <w:rFonts w:ascii="Times New Roman" w:eastAsia="Times New Roman" w:hAnsi="Times New Roman" w:cs="Times New Roman"/>
          <w:b/>
          <w:color w:val="000000"/>
          <w:kern w:val="0"/>
          <w:sz w:val="24"/>
          <w:szCs w:val="20"/>
          <w14:ligatures w14:val="none"/>
        </w:rPr>
        <w:t xml:space="preserve"> C404.3.3).</w:t>
      </w:r>
      <w:r w:rsidRPr="006B4A66">
        <w:rPr>
          <w:rFonts w:ascii="Times New Roman" w:eastAsia="Times New Roman" w:hAnsi="Times New Roman" w:cs="Times New Roman"/>
          <w:color w:val="000000"/>
          <w:kern w:val="0"/>
          <w:sz w:val="24"/>
          <w:szCs w:val="20"/>
          <w14:ligatures w14:val="none"/>
        </w:rPr>
        <w:t xml:space="preserve">  Demand load for water supply serving dwelling units within R-2 occupancies shall be determined using </w:t>
      </w:r>
      <w:r w:rsidR="00B471E9">
        <w:rPr>
          <w:rFonts w:ascii="Times New Roman" w:eastAsia="Times New Roman" w:hAnsi="Times New Roman" w:cs="Times New Roman"/>
          <w:color w:val="000000"/>
          <w:kern w:val="0"/>
          <w:sz w:val="24"/>
          <w:szCs w:val="20"/>
          <w14:ligatures w14:val="none"/>
        </w:rPr>
        <w:t>UPC</w:t>
      </w:r>
      <w:r w:rsidRPr="006B4A66">
        <w:rPr>
          <w:rFonts w:ascii="Times New Roman" w:eastAsia="Times New Roman" w:hAnsi="Times New Roman" w:cs="Times New Roman"/>
          <w:color w:val="000000"/>
          <w:kern w:val="0"/>
          <w:sz w:val="24"/>
          <w:szCs w:val="20"/>
          <w14:ligatures w14:val="none"/>
        </w:rPr>
        <w:t xml:space="preserve"> Appendix M.  Piping shall be no more than one pipe size larger than the minimum size permitted when sized for maximum allowable velocity based upon the specified piping material in conjunction with </w:t>
      </w:r>
      <w:r w:rsidR="006C00DF">
        <w:rPr>
          <w:rFonts w:ascii="Times New Roman" w:eastAsia="Times New Roman" w:hAnsi="Times New Roman" w:cs="Times New Roman"/>
          <w:color w:val="000000"/>
          <w:kern w:val="0"/>
          <w:sz w:val="24"/>
          <w:szCs w:val="20"/>
          <w14:ligatures w14:val="none"/>
        </w:rPr>
        <w:t>UPC</w:t>
      </w:r>
      <w:r w:rsidRPr="006B4A66">
        <w:rPr>
          <w:rFonts w:ascii="Times New Roman" w:eastAsia="Times New Roman" w:hAnsi="Times New Roman" w:cs="Times New Roman"/>
          <w:color w:val="000000"/>
          <w:kern w:val="0"/>
          <w:sz w:val="24"/>
          <w:szCs w:val="20"/>
          <w14:ligatures w14:val="none"/>
        </w:rPr>
        <w:t xml:space="preserve"> Appendix M demand load flow rate at any specific node within the water distribution system.</w:t>
      </w:r>
    </w:p>
    <w:p w14:paraId="7A4AD1D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w:t>
      </w:r>
      <w:r w:rsidRPr="006B4A66">
        <w:rPr>
          <w:rFonts w:ascii="Times New Roman" w:eastAsia="Calibri" w:hAnsi="Times New Roman" w:cs="Times New Roman"/>
          <w:color w:val="000000"/>
          <w:kern w:val="0"/>
          <w:sz w:val="24"/>
          <w14:ligatures w14:val="none"/>
        </w:rPr>
        <w:t xml:space="preserve">  Existing buildings are not required to comply with this section if the existing plumbing fixtures have higher flow rates than those listed in UPC Table M102.1.</w:t>
      </w:r>
    </w:p>
    <w:p w14:paraId="23606857" w14:textId="3A8A0696"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80.</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448F9F9B"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C404.6 of the Washington State Energy Code is not adopted and the following is substituted:</w:t>
      </w:r>
    </w:p>
    <w:p w14:paraId="54EADA85"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0"/>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b/>
          <w:color w:val="000000"/>
          <w:kern w:val="0"/>
          <w:sz w:val="24"/>
          <w:szCs w:val="20"/>
          <w14:ligatures w14:val="none"/>
        </w:rPr>
        <w:t>Insulation of piping (WSEC C404.6).</w:t>
      </w:r>
      <w:r w:rsidRPr="006B4A66">
        <w:rPr>
          <w:rFonts w:ascii="Times New Roman" w:eastAsia="Times New Roman" w:hAnsi="Times New Roman" w:cs="Times New Roman"/>
          <w:color w:val="000000"/>
          <w:kern w:val="0"/>
          <w:sz w:val="24"/>
          <w:szCs w:val="20"/>
          <w14:ligatures w14:val="none"/>
        </w:rPr>
        <w:t xml:space="preserve">  Piping from a water heater to the termination of the heated water fixture supply pipe shall be insulated in accordance with WSEC Table C404.6.  On both the inlet and outlet piping of a storage water heater or heated water storage tank, the piping to a heat trap or the first 8 feet (2,438 millimeters) of piping, whichever is less, shall be insulated.  Piping that is heat traced shall be insulated in accordance with WSEC Table C404.6 or the heat trace manufacturer's instructions.  Tubular pipe insulation shall be installed in accordance with the insulation manufacturer's instructions, or WSEC Table C404.6, whichever results in thicker insulation.  Pipe insulation shall be continuous, including through hangers and supports, </w:t>
      </w:r>
      <w:r w:rsidRPr="006B4A66">
        <w:rPr>
          <w:rFonts w:ascii="Times New Roman" w:eastAsia="Times New Roman" w:hAnsi="Times New Roman" w:cs="Times New Roman"/>
          <w:color w:val="000000"/>
          <w:kern w:val="0"/>
          <w:sz w:val="24"/>
          <w:szCs w:val="20"/>
          <w14:ligatures w14:val="none"/>
        </w:rPr>
        <w:lastRenderedPageBreak/>
        <w:t>such that thermal bridging is prevented, except where the piping passes through a framing member.  The minimum insulation thickness requirements of this section shall not supersede any greater insulation thickness requirements necessary for the protection of piping from freezing temperatures or the protection of personnel against external surface temperatures on the insulation.</w:t>
      </w:r>
    </w:p>
    <w:p w14:paraId="50CDF8A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color w:val="000000"/>
          <w:kern w:val="0"/>
          <w:sz w:val="24"/>
          <w14:ligatures w14:val="none"/>
        </w:rPr>
        <w:t>EXCEPTION:</w:t>
      </w:r>
      <w:r w:rsidRPr="006B4A66">
        <w:rPr>
          <w:rFonts w:ascii="Times New Roman" w:eastAsia="Calibri" w:hAnsi="Times New Roman" w:cs="Times New Roman"/>
          <w:color w:val="000000"/>
          <w:kern w:val="0"/>
          <w:sz w:val="24"/>
          <w14:ligatures w14:val="none"/>
        </w:rPr>
        <w:t xml:space="preserve">  Tubular pipe insulation shall not be required on the following:</w:t>
      </w:r>
    </w:p>
    <w:p w14:paraId="08C924C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The tubing from the connection at the termination of the fixture supply piping to a plumbing fixture or plumbing appliance.</w:t>
      </w:r>
    </w:p>
    <w:p w14:paraId="2795387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Valves, pumps, strainers, and threaded unions in piping that is 1 inch (25 millimeters) or less in nominal diameter.</w:t>
      </w:r>
    </w:p>
    <w:p w14:paraId="22A41A5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3.  Piping from user-controlled shower and bath mixing valves to the water outlets.</w:t>
      </w:r>
    </w:p>
    <w:p w14:paraId="0C92CDF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4.  Reserved.</w:t>
      </w:r>
    </w:p>
    <w:p w14:paraId="76F4B1E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5. Tubing from a hot drinking-water heating unit to the water outlet.</w:t>
      </w:r>
    </w:p>
    <w:p w14:paraId="2459F31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6.  Vertical pipe riser locations where a vertical support of the piping is installed.</w:t>
      </w:r>
    </w:p>
    <w:p w14:paraId="29CE884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7.  Reserved.</w:t>
      </w:r>
    </w:p>
    <w:p w14:paraId="734FC37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8.  Hot water piping that is part of the final pipe run to the plumbing fixture and is not part of the heated-water circulation system circulation path is not required to meet the minimum insulation requirements of WSEC C404.6.</w:t>
      </w:r>
    </w:p>
    <w:p w14:paraId="560BAA97" w14:textId="77777777" w:rsidR="006B4A66" w:rsidRPr="006B4A66" w:rsidRDefault="006B4A66" w:rsidP="0073496A">
      <w:pPr>
        <w:tabs>
          <w:tab w:val="left" w:pos="720"/>
        </w:tabs>
        <w:spacing w:after="0" w:line="480" w:lineRule="auto"/>
        <w:jc w:val="center"/>
        <w:rPr>
          <w:rFonts w:ascii="Times New Roman" w:eastAsia="Calibri" w:hAnsi="Times New Roman" w:cs="Times New Roman"/>
          <w:b/>
          <w:color w:val="000000"/>
          <w:kern w:val="0"/>
          <w:sz w:val="24"/>
          <w14:ligatures w14:val="none"/>
        </w:rPr>
      </w:pPr>
      <w:r w:rsidRPr="006B4A66">
        <w:rPr>
          <w:rFonts w:ascii="Times New Roman" w:eastAsia="Calibri" w:hAnsi="Times New Roman" w:cs="Times New Roman"/>
          <w:b/>
          <w:color w:val="000000"/>
          <w:kern w:val="0"/>
          <w:sz w:val="24"/>
          <w14:ligatures w14:val="none"/>
        </w:rPr>
        <w:t>Table C404.6</w:t>
      </w:r>
    </w:p>
    <w:p w14:paraId="189C3966" w14:textId="77777777" w:rsidR="006B4A66" w:rsidRPr="006B4A66" w:rsidRDefault="006B4A66" w:rsidP="0073496A">
      <w:pPr>
        <w:spacing w:after="0" w:line="480" w:lineRule="auto"/>
        <w:jc w:val="center"/>
        <w:rPr>
          <w:rFonts w:ascii="Times New Roman" w:eastAsia="Calibri" w:hAnsi="Times New Roman" w:cs="Times New Roman"/>
          <w:b/>
          <w:color w:val="000000"/>
          <w:kern w:val="0"/>
          <w:sz w:val="24"/>
          <w14:ligatures w14:val="none"/>
        </w:rPr>
      </w:pPr>
      <w:r w:rsidRPr="006B4A66">
        <w:rPr>
          <w:rFonts w:ascii="Times New Roman" w:eastAsia="Calibri" w:hAnsi="Times New Roman" w:cs="Times New Roman"/>
          <w:b/>
          <w:color w:val="000000"/>
          <w:kern w:val="0"/>
          <w:sz w:val="24"/>
          <w14:ligatures w14:val="none"/>
        </w:rPr>
        <w:t>Required Pipe Insulation Thickness for Service Water Heating</w:t>
      </w:r>
    </w:p>
    <w:tbl>
      <w:tblPr>
        <w:tblStyle w:val="TableGrid"/>
        <w:tblW w:w="0" w:type="auto"/>
        <w:tblLook w:val="04A0" w:firstRow="1" w:lastRow="0" w:firstColumn="1" w:lastColumn="0" w:noHBand="0" w:noVBand="1"/>
      </w:tblPr>
      <w:tblGrid>
        <w:gridCol w:w="1466"/>
        <w:gridCol w:w="1127"/>
        <w:gridCol w:w="570"/>
        <w:gridCol w:w="759"/>
        <w:gridCol w:w="821"/>
        <w:gridCol w:w="570"/>
        <w:gridCol w:w="893"/>
        <w:gridCol w:w="1328"/>
        <w:gridCol w:w="1096"/>
      </w:tblGrid>
      <w:tr w:rsidR="006B4A66" w:rsidRPr="006B4A66" w14:paraId="63FB5DE9" w14:textId="77777777">
        <w:tc>
          <w:tcPr>
            <w:tcW w:w="1510" w:type="dxa"/>
          </w:tcPr>
          <w:p w14:paraId="3C52D007" w14:textId="77777777" w:rsidR="006B4A66" w:rsidRPr="006B4A66" w:rsidRDefault="006B4A66" w:rsidP="0073496A">
            <w:pPr>
              <w:spacing w:line="480" w:lineRule="auto"/>
              <w:rPr>
                <w:rFonts w:eastAsia="Calibri"/>
                <w:b/>
                <w:color w:val="000000"/>
              </w:rPr>
            </w:pPr>
          </w:p>
        </w:tc>
        <w:tc>
          <w:tcPr>
            <w:tcW w:w="1174" w:type="dxa"/>
          </w:tcPr>
          <w:p w14:paraId="50036B71" w14:textId="77777777" w:rsidR="006B4A66" w:rsidRPr="006B4A66" w:rsidRDefault="006B4A66" w:rsidP="0073496A">
            <w:pPr>
              <w:spacing w:line="480" w:lineRule="auto"/>
              <w:rPr>
                <w:rFonts w:eastAsia="Calibri"/>
                <w:b/>
                <w:color w:val="000000"/>
              </w:rPr>
            </w:pPr>
          </w:p>
        </w:tc>
        <w:tc>
          <w:tcPr>
            <w:tcW w:w="3741" w:type="dxa"/>
            <w:gridSpan w:val="5"/>
          </w:tcPr>
          <w:p w14:paraId="2E3DB228" w14:textId="77777777" w:rsidR="006B4A66" w:rsidRPr="006B4A66" w:rsidRDefault="006B4A66" w:rsidP="0073496A">
            <w:pPr>
              <w:spacing w:line="480" w:lineRule="auto"/>
              <w:rPr>
                <w:rFonts w:eastAsia="Calibri"/>
                <w:b/>
                <w:color w:val="000000"/>
              </w:rPr>
            </w:pPr>
            <w:r w:rsidRPr="006B4A66">
              <w:rPr>
                <w:rFonts w:eastAsia="Calibri"/>
                <w:b/>
                <w:color w:val="000000"/>
              </w:rPr>
              <w:t>Nominal Pipe or Tube Size</w:t>
            </w:r>
          </w:p>
        </w:tc>
        <w:tc>
          <w:tcPr>
            <w:tcW w:w="2431" w:type="dxa"/>
            <w:gridSpan w:val="2"/>
          </w:tcPr>
          <w:p w14:paraId="0FE875C9" w14:textId="77777777" w:rsidR="006B4A66" w:rsidRPr="006B4A66" w:rsidRDefault="006B4A66" w:rsidP="0073496A">
            <w:pPr>
              <w:spacing w:line="480" w:lineRule="auto"/>
              <w:rPr>
                <w:rFonts w:eastAsia="Calibri"/>
                <w:b/>
                <w:color w:val="000000"/>
              </w:rPr>
            </w:pPr>
            <w:r w:rsidRPr="006B4A66">
              <w:rPr>
                <w:rFonts w:eastAsia="Calibri"/>
                <w:b/>
                <w:color w:val="000000"/>
              </w:rPr>
              <w:t>Insulation Conductivity</w:t>
            </w:r>
          </w:p>
        </w:tc>
      </w:tr>
      <w:tr w:rsidR="006B4A66" w:rsidRPr="006B4A66" w14:paraId="375AE732" w14:textId="77777777">
        <w:tc>
          <w:tcPr>
            <w:tcW w:w="1510" w:type="dxa"/>
          </w:tcPr>
          <w:p w14:paraId="3D4E8ED5" w14:textId="77777777" w:rsidR="006B4A66" w:rsidRPr="006B4A66" w:rsidRDefault="006B4A66" w:rsidP="0073496A">
            <w:pPr>
              <w:spacing w:line="480" w:lineRule="auto"/>
              <w:rPr>
                <w:rFonts w:eastAsia="Calibri"/>
                <w:b/>
                <w:color w:val="000000"/>
              </w:rPr>
            </w:pPr>
            <w:r w:rsidRPr="006B4A66">
              <w:rPr>
                <w:rFonts w:eastAsia="Calibri"/>
                <w:b/>
                <w:color w:val="000000"/>
              </w:rPr>
              <w:lastRenderedPageBreak/>
              <w:t>Location</w:t>
            </w:r>
          </w:p>
        </w:tc>
        <w:tc>
          <w:tcPr>
            <w:tcW w:w="1174" w:type="dxa"/>
          </w:tcPr>
          <w:p w14:paraId="09CA5D65" w14:textId="77777777" w:rsidR="006B4A66" w:rsidRPr="006B4A66" w:rsidRDefault="006B4A66" w:rsidP="0073496A">
            <w:pPr>
              <w:spacing w:line="480" w:lineRule="auto"/>
              <w:rPr>
                <w:rFonts w:eastAsia="Calibri"/>
                <w:b/>
                <w:color w:val="000000"/>
              </w:rPr>
            </w:pPr>
            <w:r w:rsidRPr="006B4A66">
              <w:rPr>
                <w:rFonts w:eastAsia="Calibri"/>
                <w:b/>
                <w:color w:val="000000"/>
              </w:rPr>
              <w:t>Water Temp</w:t>
            </w:r>
          </w:p>
        </w:tc>
        <w:tc>
          <w:tcPr>
            <w:tcW w:w="583" w:type="dxa"/>
          </w:tcPr>
          <w:p w14:paraId="336DA144" w14:textId="77777777" w:rsidR="006B4A66" w:rsidRPr="006B4A66" w:rsidRDefault="006B4A66" w:rsidP="0073496A">
            <w:pPr>
              <w:spacing w:line="480" w:lineRule="auto"/>
              <w:rPr>
                <w:rFonts w:eastAsia="Calibri"/>
                <w:b/>
                <w:color w:val="000000"/>
              </w:rPr>
            </w:pPr>
            <w:r w:rsidRPr="006B4A66">
              <w:rPr>
                <w:rFonts w:eastAsia="Calibri"/>
                <w:b/>
                <w:color w:val="000000"/>
              </w:rPr>
              <w:t>&lt; 1</w:t>
            </w:r>
            <w:r w:rsidRPr="006B4A66">
              <w:rPr>
                <w:rFonts w:eastAsia="Calibri"/>
                <w:color w:val="000000"/>
              </w:rPr>
              <w:t>"</w:t>
            </w:r>
          </w:p>
        </w:tc>
        <w:tc>
          <w:tcPr>
            <w:tcW w:w="796" w:type="dxa"/>
          </w:tcPr>
          <w:p w14:paraId="0FD082AD" w14:textId="77777777" w:rsidR="006B4A66" w:rsidRPr="006B4A66" w:rsidRDefault="006B4A66" w:rsidP="0073496A">
            <w:pPr>
              <w:spacing w:line="480" w:lineRule="auto"/>
              <w:rPr>
                <w:rFonts w:eastAsia="Calibri"/>
                <w:b/>
                <w:color w:val="000000"/>
              </w:rPr>
            </w:pPr>
            <w:r w:rsidRPr="006B4A66">
              <w:rPr>
                <w:rFonts w:eastAsia="Calibri"/>
                <w:b/>
                <w:color w:val="000000"/>
              </w:rPr>
              <w:t xml:space="preserve">1 to </w:t>
            </w:r>
          </w:p>
          <w:p w14:paraId="4D31D993" w14:textId="77777777" w:rsidR="006B4A66" w:rsidRPr="006B4A66" w:rsidRDefault="006B4A66" w:rsidP="0073496A">
            <w:pPr>
              <w:spacing w:line="480" w:lineRule="auto"/>
              <w:rPr>
                <w:rFonts w:eastAsia="Calibri"/>
                <w:b/>
                <w:color w:val="000000"/>
              </w:rPr>
            </w:pPr>
            <w:r w:rsidRPr="006B4A66">
              <w:rPr>
                <w:rFonts w:eastAsia="Calibri"/>
                <w:b/>
                <w:color w:val="000000"/>
              </w:rPr>
              <w:t>&lt; 1-1/2</w:t>
            </w:r>
          </w:p>
        </w:tc>
        <w:tc>
          <w:tcPr>
            <w:tcW w:w="866" w:type="dxa"/>
          </w:tcPr>
          <w:p w14:paraId="0C74B51F" w14:textId="77777777" w:rsidR="006B4A66" w:rsidRPr="006B4A66" w:rsidRDefault="006B4A66" w:rsidP="0073496A">
            <w:pPr>
              <w:spacing w:line="480" w:lineRule="auto"/>
              <w:rPr>
                <w:rFonts w:eastAsia="Calibri"/>
                <w:b/>
                <w:color w:val="000000"/>
              </w:rPr>
            </w:pPr>
            <w:r w:rsidRPr="006B4A66">
              <w:rPr>
                <w:rFonts w:eastAsia="Calibri"/>
                <w:b/>
                <w:color w:val="000000"/>
              </w:rPr>
              <w:t>1-1/2 to &lt; 4</w:t>
            </w:r>
          </w:p>
        </w:tc>
        <w:tc>
          <w:tcPr>
            <w:tcW w:w="583" w:type="dxa"/>
          </w:tcPr>
          <w:p w14:paraId="74551C22" w14:textId="77777777" w:rsidR="006B4A66" w:rsidRPr="006B4A66" w:rsidRDefault="006B4A66" w:rsidP="0073496A">
            <w:pPr>
              <w:spacing w:line="480" w:lineRule="auto"/>
              <w:rPr>
                <w:rFonts w:eastAsia="Calibri"/>
                <w:b/>
                <w:color w:val="000000"/>
              </w:rPr>
            </w:pPr>
            <w:r w:rsidRPr="006B4A66">
              <w:rPr>
                <w:rFonts w:eastAsia="Calibri"/>
                <w:b/>
                <w:color w:val="000000"/>
              </w:rPr>
              <w:t>4 to &lt; 8</w:t>
            </w:r>
          </w:p>
        </w:tc>
        <w:tc>
          <w:tcPr>
            <w:tcW w:w="913" w:type="dxa"/>
          </w:tcPr>
          <w:p w14:paraId="00253533" w14:textId="77777777" w:rsidR="006B4A66" w:rsidRPr="006B4A66" w:rsidRDefault="006B4A66" w:rsidP="0073496A">
            <w:pPr>
              <w:spacing w:line="480" w:lineRule="auto"/>
              <w:rPr>
                <w:rFonts w:eastAsia="Calibri"/>
                <w:b/>
                <w:color w:val="000000"/>
              </w:rPr>
            </w:pPr>
            <w:r w:rsidRPr="006B4A66">
              <w:rPr>
                <w:rFonts w:eastAsia="Calibri"/>
                <w:b/>
                <w:color w:val="000000"/>
              </w:rPr>
              <w:t>8 or larger</w:t>
            </w:r>
          </w:p>
        </w:tc>
        <w:tc>
          <w:tcPr>
            <w:tcW w:w="1297" w:type="dxa"/>
            <w:vAlign w:val="bottom"/>
          </w:tcPr>
          <w:p w14:paraId="2E7687EC" w14:textId="77777777" w:rsidR="006B4A66" w:rsidRPr="006B4A66" w:rsidRDefault="006B4A66" w:rsidP="0073496A">
            <w:pPr>
              <w:spacing w:line="480" w:lineRule="auto"/>
              <w:rPr>
                <w:rFonts w:eastAsia="Calibri"/>
                <w:color w:val="000000"/>
              </w:rPr>
            </w:pPr>
            <w:r w:rsidRPr="006B4A66">
              <w:rPr>
                <w:rFonts w:eastAsia="Calibri"/>
                <w:b/>
                <w:color w:val="000000"/>
              </w:rPr>
              <w:t>Conductivity</w:t>
            </w:r>
          </w:p>
          <w:p w14:paraId="14492A87" w14:textId="77777777" w:rsidR="006B4A66" w:rsidRPr="006B4A66" w:rsidRDefault="006B4A66" w:rsidP="0073496A">
            <w:pPr>
              <w:spacing w:line="480" w:lineRule="auto"/>
              <w:rPr>
                <w:rFonts w:eastAsia="Calibri"/>
                <w:b/>
                <w:color w:val="000000"/>
              </w:rPr>
            </w:pPr>
            <w:r w:rsidRPr="006B4A66">
              <w:rPr>
                <w:rFonts w:eastAsia="Calibri"/>
                <w:b/>
                <w:color w:val="000000"/>
              </w:rPr>
              <w:t>Btu • in. /</w:t>
            </w:r>
          </w:p>
          <w:p w14:paraId="55F12AF9" w14:textId="77777777" w:rsidR="006B4A66" w:rsidRPr="006B4A66" w:rsidRDefault="006B4A66" w:rsidP="0073496A">
            <w:pPr>
              <w:spacing w:line="480" w:lineRule="auto"/>
              <w:rPr>
                <w:rFonts w:eastAsia="Calibri"/>
                <w:b/>
                <w:color w:val="000000"/>
              </w:rPr>
            </w:pPr>
            <w:r w:rsidRPr="006B4A66">
              <w:rPr>
                <w:rFonts w:eastAsia="Calibri"/>
                <w:b/>
                <w:color w:val="000000"/>
              </w:rPr>
              <w:t>(h • ft</w:t>
            </w:r>
            <w:r w:rsidRPr="006B4A66">
              <w:rPr>
                <w:rFonts w:eastAsia="Calibri"/>
                <w:b/>
                <w:color w:val="000000"/>
                <w:vertAlign w:val="superscript"/>
              </w:rPr>
              <w:t>2</w:t>
            </w:r>
            <w:r w:rsidRPr="006B4A66">
              <w:rPr>
                <w:rFonts w:eastAsia="Calibri"/>
                <w:b/>
                <w:color w:val="000000"/>
              </w:rPr>
              <w:t xml:space="preserve"> • F)</w:t>
            </w:r>
            <w:r w:rsidRPr="006B4A66">
              <w:rPr>
                <w:rFonts w:eastAsia="Calibri"/>
                <w:b/>
                <w:color w:val="000000"/>
                <w:vertAlign w:val="superscript"/>
              </w:rPr>
              <w:t>b</w:t>
            </w:r>
          </w:p>
        </w:tc>
        <w:tc>
          <w:tcPr>
            <w:tcW w:w="1134" w:type="dxa"/>
            <w:vAlign w:val="bottom"/>
          </w:tcPr>
          <w:p w14:paraId="200A7990" w14:textId="77777777" w:rsidR="006B4A66" w:rsidRPr="006B4A66" w:rsidRDefault="006B4A66" w:rsidP="0073496A">
            <w:pPr>
              <w:spacing w:line="480" w:lineRule="auto"/>
              <w:rPr>
                <w:rFonts w:eastAsia="Calibri"/>
                <w:color w:val="000000"/>
              </w:rPr>
            </w:pPr>
            <w:r w:rsidRPr="006B4A66">
              <w:rPr>
                <w:rFonts w:eastAsia="Calibri"/>
                <w:b/>
                <w:color w:val="000000"/>
              </w:rPr>
              <w:t>Mean Rating</w:t>
            </w:r>
          </w:p>
          <w:p w14:paraId="4CE63A64" w14:textId="77777777" w:rsidR="006B4A66" w:rsidRPr="006B4A66" w:rsidRDefault="006B4A66" w:rsidP="0073496A">
            <w:pPr>
              <w:spacing w:line="480" w:lineRule="auto"/>
              <w:rPr>
                <w:rFonts w:eastAsia="Calibri"/>
                <w:b/>
                <w:color w:val="000000"/>
              </w:rPr>
            </w:pPr>
            <w:r w:rsidRPr="006B4A66">
              <w:rPr>
                <w:rFonts w:eastAsia="Calibri"/>
                <w:b/>
                <w:color w:val="000000"/>
              </w:rPr>
              <w:t>Temp, °F</w:t>
            </w:r>
          </w:p>
        </w:tc>
      </w:tr>
      <w:tr w:rsidR="006B4A66" w:rsidRPr="006B4A66" w14:paraId="7439D064" w14:textId="77777777">
        <w:tc>
          <w:tcPr>
            <w:tcW w:w="1510" w:type="dxa"/>
            <w:vMerge w:val="restart"/>
          </w:tcPr>
          <w:p w14:paraId="35642CFA" w14:textId="77777777" w:rsidR="006B4A66" w:rsidRPr="006B4A66" w:rsidRDefault="006B4A66" w:rsidP="0073496A">
            <w:pPr>
              <w:spacing w:line="480" w:lineRule="auto"/>
              <w:rPr>
                <w:rFonts w:eastAsia="Calibri"/>
                <w:color w:val="000000"/>
              </w:rPr>
            </w:pPr>
            <w:r w:rsidRPr="006B4A66">
              <w:rPr>
                <w:rFonts w:eastAsia="Calibri"/>
                <w:color w:val="000000"/>
              </w:rPr>
              <w:t>Circulation Loop Piping not in-partition</w:t>
            </w:r>
          </w:p>
        </w:tc>
        <w:tc>
          <w:tcPr>
            <w:tcW w:w="1174" w:type="dxa"/>
          </w:tcPr>
          <w:p w14:paraId="5F1E350E" w14:textId="16057D6C" w:rsidR="006B4A66" w:rsidRPr="006B4A66" w:rsidRDefault="006B4A66" w:rsidP="0073496A">
            <w:pPr>
              <w:spacing w:line="480" w:lineRule="auto"/>
              <w:rPr>
                <w:rFonts w:eastAsia="Calibri"/>
                <w:b/>
                <w:color w:val="000000"/>
              </w:rPr>
            </w:pPr>
            <w:r w:rsidRPr="006B4A66">
              <w:rPr>
                <w:rFonts w:eastAsia="Calibri"/>
                <w:color w:val="000000"/>
              </w:rPr>
              <w:t xml:space="preserve">105 – 140°F </w:t>
            </w:r>
          </w:p>
        </w:tc>
        <w:tc>
          <w:tcPr>
            <w:tcW w:w="583" w:type="dxa"/>
          </w:tcPr>
          <w:p w14:paraId="24E649CE" w14:textId="77777777" w:rsidR="006B4A66" w:rsidRPr="006B4A66" w:rsidRDefault="006B4A66" w:rsidP="0073496A">
            <w:pPr>
              <w:spacing w:line="480" w:lineRule="auto"/>
              <w:rPr>
                <w:rFonts w:eastAsia="Calibri"/>
                <w:b/>
                <w:color w:val="000000"/>
              </w:rPr>
            </w:pPr>
            <w:r w:rsidRPr="006B4A66">
              <w:rPr>
                <w:rFonts w:eastAsia="Calibri"/>
                <w:color w:val="000000"/>
              </w:rPr>
              <w:t>2.0</w:t>
            </w:r>
          </w:p>
        </w:tc>
        <w:tc>
          <w:tcPr>
            <w:tcW w:w="796" w:type="dxa"/>
          </w:tcPr>
          <w:p w14:paraId="31AA3702" w14:textId="77777777" w:rsidR="006B4A66" w:rsidRPr="006B4A66" w:rsidRDefault="006B4A66" w:rsidP="0073496A">
            <w:pPr>
              <w:spacing w:line="480" w:lineRule="auto"/>
              <w:rPr>
                <w:rFonts w:eastAsia="Calibri"/>
                <w:b/>
                <w:color w:val="000000"/>
              </w:rPr>
            </w:pPr>
            <w:r w:rsidRPr="006B4A66">
              <w:rPr>
                <w:rFonts w:eastAsia="Calibri"/>
                <w:color w:val="000000"/>
              </w:rPr>
              <w:t>2.0</w:t>
            </w:r>
          </w:p>
        </w:tc>
        <w:tc>
          <w:tcPr>
            <w:tcW w:w="866" w:type="dxa"/>
          </w:tcPr>
          <w:p w14:paraId="6A0D1307" w14:textId="77777777" w:rsidR="006B4A66" w:rsidRPr="006B4A66" w:rsidRDefault="006B4A66" w:rsidP="0073496A">
            <w:pPr>
              <w:spacing w:line="480" w:lineRule="auto"/>
              <w:rPr>
                <w:rFonts w:eastAsia="Calibri"/>
                <w:b/>
                <w:color w:val="000000"/>
              </w:rPr>
            </w:pPr>
            <w:r w:rsidRPr="006B4A66">
              <w:rPr>
                <w:rFonts w:eastAsia="Calibri"/>
                <w:color w:val="000000"/>
              </w:rPr>
              <w:t>2.5</w:t>
            </w:r>
          </w:p>
        </w:tc>
        <w:tc>
          <w:tcPr>
            <w:tcW w:w="583" w:type="dxa"/>
          </w:tcPr>
          <w:p w14:paraId="129FE271" w14:textId="77777777" w:rsidR="006B4A66" w:rsidRPr="006B4A66" w:rsidRDefault="006B4A66" w:rsidP="0073496A">
            <w:pPr>
              <w:spacing w:line="480" w:lineRule="auto"/>
              <w:rPr>
                <w:rFonts w:eastAsia="Calibri"/>
                <w:b/>
                <w:color w:val="000000"/>
              </w:rPr>
            </w:pPr>
            <w:r w:rsidRPr="006B4A66">
              <w:rPr>
                <w:rFonts w:eastAsia="Calibri"/>
                <w:color w:val="000000"/>
              </w:rPr>
              <w:t>2.5</w:t>
            </w:r>
          </w:p>
        </w:tc>
        <w:tc>
          <w:tcPr>
            <w:tcW w:w="913" w:type="dxa"/>
          </w:tcPr>
          <w:p w14:paraId="1ABEB5EF" w14:textId="77777777" w:rsidR="006B4A66" w:rsidRPr="006B4A66" w:rsidRDefault="006B4A66" w:rsidP="0073496A">
            <w:pPr>
              <w:spacing w:line="480" w:lineRule="auto"/>
              <w:rPr>
                <w:rFonts w:eastAsia="Calibri"/>
                <w:b/>
                <w:color w:val="000000"/>
              </w:rPr>
            </w:pPr>
            <w:r w:rsidRPr="006B4A66">
              <w:rPr>
                <w:rFonts w:eastAsia="Calibri"/>
                <w:color w:val="000000"/>
              </w:rPr>
              <w:t>2.5</w:t>
            </w:r>
          </w:p>
        </w:tc>
        <w:tc>
          <w:tcPr>
            <w:tcW w:w="1297" w:type="dxa"/>
          </w:tcPr>
          <w:p w14:paraId="21566419" w14:textId="77777777" w:rsidR="006B4A66" w:rsidRPr="006B4A66" w:rsidRDefault="006B4A66" w:rsidP="0073496A">
            <w:pPr>
              <w:spacing w:line="480" w:lineRule="auto"/>
              <w:rPr>
                <w:rFonts w:eastAsia="Calibri"/>
                <w:color w:val="000000"/>
              </w:rPr>
            </w:pPr>
            <w:r w:rsidRPr="006B4A66">
              <w:rPr>
                <w:rFonts w:eastAsia="Calibri"/>
                <w:color w:val="000000"/>
              </w:rPr>
              <w:t>0.21 - 0.28</w:t>
            </w:r>
          </w:p>
        </w:tc>
        <w:tc>
          <w:tcPr>
            <w:tcW w:w="1134" w:type="dxa"/>
          </w:tcPr>
          <w:p w14:paraId="0A4AD77F" w14:textId="77777777" w:rsidR="006B4A66" w:rsidRPr="006B4A66" w:rsidRDefault="006B4A66" w:rsidP="0073496A">
            <w:pPr>
              <w:spacing w:line="480" w:lineRule="auto"/>
              <w:rPr>
                <w:rFonts w:eastAsia="Calibri"/>
                <w:color w:val="000000"/>
              </w:rPr>
            </w:pPr>
            <w:r w:rsidRPr="006B4A66">
              <w:rPr>
                <w:rFonts w:eastAsia="Calibri"/>
                <w:color w:val="000000"/>
              </w:rPr>
              <w:t>100</w:t>
            </w:r>
          </w:p>
        </w:tc>
      </w:tr>
      <w:tr w:rsidR="006B4A66" w:rsidRPr="006B4A66" w14:paraId="49097CF2" w14:textId="77777777">
        <w:tc>
          <w:tcPr>
            <w:tcW w:w="1510" w:type="dxa"/>
            <w:vMerge/>
          </w:tcPr>
          <w:p w14:paraId="68FC8170" w14:textId="77777777" w:rsidR="006B4A66" w:rsidRPr="006B4A66" w:rsidRDefault="006B4A66" w:rsidP="0073496A">
            <w:pPr>
              <w:spacing w:line="480" w:lineRule="auto"/>
              <w:rPr>
                <w:rFonts w:eastAsia="Calibri"/>
                <w:b/>
                <w:color w:val="000000"/>
              </w:rPr>
            </w:pPr>
          </w:p>
        </w:tc>
        <w:tc>
          <w:tcPr>
            <w:tcW w:w="1174" w:type="dxa"/>
          </w:tcPr>
          <w:p w14:paraId="39FEA24B" w14:textId="6BA94AE2" w:rsidR="006B4A66" w:rsidRPr="006B4A66" w:rsidRDefault="006B4A66" w:rsidP="0073496A">
            <w:pPr>
              <w:spacing w:line="480" w:lineRule="auto"/>
              <w:rPr>
                <w:rFonts w:eastAsia="Calibri"/>
                <w:b/>
                <w:color w:val="000000"/>
              </w:rPr>
            </w:pPr>
            <w:r w:rsidRPr="006B4A66">
              <w:rPr>
                <w:rFonts w:eastAsia="Calibri"/>
                <w:color w:val="000000"/>
              </w:rPr>
              <w:t>141 – 200°F</w:t>
            </w:r>
          </w:p>
        </w:tc>
        <w:tc>
          <w:tcPr>
            <w:tcW w:w="583" w:type="dxa"/>
          </w:tcPr>
          <w:p w14:paraId="78A4F3B4" w14:textId="77777777" w:rsidR="006B4A66" w:rsidRPr="006B4A66" w:rsidRDefault="006B4A66" w:rsidP="0073496A">
            <w:pPr>
              <w:spacing w:line="480" w:lineRule="auto"/>
              <w:rPr>
                <w:rFonts w:eastAsia="Calibri"/>
                <w:b/>
                <w:color w:val="000000"/>
              </w:rPr>
            </w:pPr>
            <w:r w:rsidRPr="006B4A66">
              <w:rPr>
                <w:rFonts w:eastAsia="Calibri"/>
                <w:color w:val="000000"/>
              </w:rPr>
              <w:t>2.5</w:t>
            </w:r>
          </w:p>
        </w:tc>
        <w:tc>
          <w:tcPr>
            <w:tcW w:w="796" w:type="dxa"/>
          </w:tcPr>
          <w:p w14:paraId="6B264623" w14:textId="77777777" w:rsidR="006B4A66" w:rsidRPr="006B4A66" w:rsidRDefault="006B4A66" w:rsidP="0073496A">
            <w:pPr>
              <w:spacing w:line="480" w:lineRule="auto"/>
              <w:rPr>
                <w:rFonts w:eastAsia="Calibri"/>
                <w:b/>
                <w:color w:val="000000"/>
              </w:rPr>
            </w:pPr>
            <w:r w:rsidRPr="006B4A66">
              <w:rPr>
                <w:rFonts w:eastAsia="Calibri"/>
                <w:color w:val="000000"/>
              </w:rPr>
              <w:t>2.5</w:t>
            </w:r>
          </w:p>
        </w:tc>
        <w:tc>
          <w:tcPr>
            <w:tcW w:w="866" w:type="dxa"/>
          </w:tcPr>
          <w:p w14:paraId="365D8F65" w14:textId="77777777" w:rsidR="006B4A66" w:rsidRPr="006B4A66" w:rsidRDefault="006B4A66" w:rsidP="0073496A">
            <w:pPr>
              <w:spacing w:line="480" w:lineRule="auto"/>
              <w:rPr>
                <w:rFonts w:eastAsia="Calibri"/>
                <w:b/>
                <w:color w:val="000000"/>
              </w:rPr>
            </w:pPr>
            <w:r w:rsidRPr="006B4A66">
              <w:rPr>
                <w:rFonts w:eastAsia="Calibri"/>
                <w:color w:val="000000"/>
              </w:rPr>
              <w:t>3.0</w:t>
            </w:r>
          </w:p>
        </w:tc>
        <w:tc>
          <w:tcPr>
            <w:tcW w:w="583" w:type="dxa"/>
          </w:tcPr>
          <w:p w14:paraId="3E52F813" w14:textId="77777777" w:rsidR="006B4A66" w:rsidRPr="006B4A66" w:rsidRDefault="006B4A66" w:rsidP="0073496A">
            <w:pPr>
              <w:spacing w:line="480" w:lineRule="auto"/>
              <w:rPr>
                <w:rFonts w:eastAsia="Calibri"/>
                <w:b/>
                <w:color w:val="000000"/>
              </w:rPr>
            </w:pPr>
            <w:r w:rsidRPr="006B4A66">
              <w:rPr>
                <w:rFonts w:eastAsia="Calibri"/>
                <w:color w:val="000000"/>
              </w:rPr>
              <w:t>3.0</w:t>
            </w:r>
          </w:p>
        </w:tc>
        <w:tc>
          <w:tcPr>
            <w:tcW w:w="913" w:type="dxa"/>
          </w:tcPr>
          <w:p w14:paraId="1003B757" w14:textId="77777777" w:rsidR="006B4A66" w:rsidRPr="006B4A66" w:rsidRDefault="006B4A66" w:rsidP="0073496A">
            <w:pPr>
              <w:spacing w:line="480" w:lineRule="auto"/>
              <w:rPr>
                <w:rFonts w:eastAsia="Calibri"/>
                <w:b/>
                <w:color w:val="000000"/>
              </w:rPr>
            </w:pPr>
            <w:r w:rsidRPr="006B4A66">
              <w:rPr>
                <w:rFonts w:eastAsia="Calibri"/>
                <w:color w:val="000000"/>
              </w:rPr>
              <w:t>3.0</w:t>
            </w:r>
          </w:p>
        </w:tc>
        <w:tc>
          <w:tcPr>
            <w:tcW w:w="1297" w:type="dxa"/>
          </w:tcPr>
          <w:p w14:paraId="799D2E30" w14:textId="77777777" w:rsidR="006B4A66" w:rsidRPr="006B4A66" w:rsidRDefault="006B4A66" w:rsidP="0073496A">
            <w:pPr>
              <w:spacing w:line="480" w:lineRule="auto"/>
              <w:rPr>
                <w:rFonts w:eastAsia="Calibri"/>
                <w:color w:val="000000"/>
              </w:rPr>
            </w:pPr>
            <w:r w:rsidRPr="006B4A66">
              <w:rPr>
                <w:rFonts w:eastAsia="Calibri"/>
                <w:color w:val="000000"/>
              </w:rPr>
              <w:t>0.25 - 0.29</w:t>
            </w:r>
          </w:p>
        </w:tc>
        <w:tc>
          <w:tcPr>
            <w:tcW w:w="1134" w:type="dxa"/>
          </w:tcPr>
          <w:p w14:paraId="1E01E060" w14:textId="77777777" w:rsidR="006B4A66" w:rsidRPr="006B4A66" w:rsidRDefault="006B4A66" w:rsidP="0073496A">
            <w:pPr>
              <w:spacing w:line="480" w:lineRule="auto"/>
              <w:rPr>
                <w:rFonts w:eastAsia="Calibri"/>
                <w:color w:val="000000"/>
              </w:rPr>
            </w:pPr>
            <w:r w:rsidRPr="006B4A66">
              <w:rPr>
                <w:rFonts w:eastAsia="Calibri"/>
                <w:color w:val="000000"/>
              </w:rPr>
              <w:t>125</w:t>
            </w:r>
          </w:p>
        </w:tc>
      </w:tr>
      <w:tr w:rsidR="006B4A66" w:rsidRPr="006B4A66" w14:paraId="65655496" w14:textId="77777777">
        <w:tc>
          <w:tcPr>
            <w:tcW w:w="1510" w:type="dxa"/>
            <w:vMerge w:val="restart"/>
          </w:tcPr>
          <w:p w14:paraId="0C0B20FD" w14:textId="77777777" w:rsidR="006B4A66" w:rsidRPr="006B4A66" w:rsidRDefault="006B4A66" w:rsidP="0073496A">
            <w:pPr>
              <w:spacing w:line="480" w:lineRule="auto"/>
              <w:rPr>
                <w:rFonts w:eastAsia="Calibri"/>
                <w:color w:val="000000"/>
              </w:rPr>
            </w:pPr>
            <w:r w:rsidRPr="006B4A66">
              <w:rPr>
                <w:rFonts w:eastAsia="Calibri"/>
                <w:color w:val="000000"/>
              </w:rPr>
              <w:t>All other piping not in-partition</w:t>
            </w:r>
          </w:p>
        </w:tc>
        <w:tc>
          <w:tcPr>
            <w:tcW w:w="1174" w:type="dxa"/>
          </w:tcPr>
          <w:p w14:paraId="21FD51EB" w14:textId="58AAB836" w:rsidR="006B4A66" w:rsidRPr="006B4A66" w:rsidRDefault="006B4A66" w:rsidP="0073496A">
            <w:pPr>
              <w:spacing w:line="480" w:lineRule="auto"/>
              <w:rPr>
                <w:rFonts w:eastAsia="Calibri"/>
                <w:b/>
                <w:color w:val="000000"/>
              </w:rPr>
            </w:pPr>
            <w:r w:rsidRPr="006B4A66">
              <w:rPr>
                <w:rFonts w:eastAsia="Calibri"/>
                <w:color w:val="000000"/>
              </w:rPr>
              <w:t xml:space="preserve">105 – 140°F </w:t>
            </w:r>
          </w:p>
        </w:tc>
        <w:tc>
          <w:tcPr>
            <w:tcW w:w="583" w:type="dxa"/>
          </w:tcPr>
          <w:p w14:paraId="0E3C6D34" w14:textId="77777777" w:rsidR="006B4A66" w:rsidRPr="006B4A66" w:rsidRDefault="006B4A66" w:rsidP="0073496A">
            <w:pPr>
              <w:spacing w:line="480" w:lineRule="auto"/>
              <w:rPr>
                <w:rFonts w:eastAsia="Calibri"/>
                <w:b/>
                <w:color w:val="000000"/>
              </w:rPr>
            </w:pPr>
            <w:r w:rsidRPr="006B4A66">
              <w:rPr>
                <w:rFonts w:eastAsia="Calibri"/>
                <w:color w:val="000000"/>
              </w:rPr>
              <w:t>1.0</w:t>
            </w:r>
          </w:p>
        </w:tc>
        <w:tc>
          <w:tcPr>
            <w:tcW w:w="796" w:type="dxa"/>
          </w:tcPr>
          <w:p w14:paraId="3F362CA5" w14:textId="77777777" w:rsidR="006B4A66" w:rsidRPr="006B4A66" w:rsidRDefault="006B4A66" w:rsidP="0073496A">
            <w:pPr>
              <w:spacing w:line="480" w:lineRule="auto"/>
              <w:rPr>
                <w:rFonts w:eastAsia="Calibri"/>
                <w:b/>
                <w:color w:val="000000"/>
              </w:rPr>
            </w:pPr>
            <w:r w:rsidRPr="006B4A66">
              <w:rPr>
                <w:rFonts w:eastAsia="Calibri"/>
                <w:color w:val="000000"/>
              </w:rPr>
              <w:t>1.0</w:t>
            </w:r>
          </w:p>
        </w:tc>
        <w:tc>
          <w:tcPr>
            <w:tcW w:w="866" w:type="dxa"/>
          </w:tcPr>
          <w:p w14:paraId="1C5B9E18" w14:textId="77777777" w:rsidR="006B4A66" w:rsidRPr="006B4A66" w:rsidRDefault="006B4A66" w:rsidP="0073496A">
            <w:pPr>
              <w:spacing w:line="480" w:lineRule="auto"/>
              <w:rPr>
                <w:rFonts w:eastAsia="Calibri"/>
                <w:b/>
                <w:color w:val="000000"/>
              </w:rPr>
            </w:pPr>
            <w:r w:rsidRPr="006B4A66">
              <w:rPr>
                <w:rFonts w:eastAsia="Calibri"/>
                <w:color w:val="000000"/>
              </w:rPr>
              <w:t>1.5</w:t>
            </w:r>
          </w:p>
        </w:tc>
        <w:tc>
          <w:tcPr>
            <w:tcW w:w="583" w:type="dxa"/>
          </w:tcPr>
          <w:p w14:paraId="01CCC4A2" w14:textId="77777777" w:rsidR="006B4A66" w:rsidRPr="006B4A66" w:rsidRDefault="006B4A66" w:rsidP="0073496A">
            <w:pPr>
              <w:spacing w:line="480" w:lineRule="auto"/>
              <w:rPr>
                <w:rFonts w:eastAsia="Calibri"/>
                <w:b/>
                <w:color w:val="000000"/>
              </w:rPr>
            </w:pPr>
            <w:r w:rsidRPr="006B4A66">
              <w:rPr>
                <w:rFonts w:eastAsia="Calibri"/>
                <w:color w:val="000000"/>
              </w:rPr>
              <w:t>1.5</w:t>
            </w:r>
          </w:p>
        </w:tc>
        <w:tc>
          <w:tcPr>
            <w:tcW w:w="913" w:type="dxa"/>
          </w:tcPr>
          <w:p w14:paraId="27A01A06" w14:textId="77777777" w:rsidR="006B4A66" w:rsidRPr="006B4A66" w:rsidRDefault="006B4A66" w:rsidP="0073496A">
            <w:pPr>
              <w:spacing w:line="480" w:lineRule="auto"/>
              <w:rPr>
                <w:rFonts w:eastAsia="Calibri"/>
                <w:b/>
                <w:color w:val="000000"/>
              </w:rPr>
            </w:pPr>
            <w:r w:rsidRPr="006B4A66">
              <w:rPr>
                <w:rFonts w:eastAsia="Calibri"/>
                <w:color w:val="000000"/>
              </w:rPr>
              <w:t>1.5</w:t>
            </w:r>
          </w:p>
        </w:tc>
        <w:tc>
          <w:tcPr>
            <w:tcW w:w="1297" w:type="dxa"/>
          </w:tcPr>
          <w:p w14:paraId="4413213D" w14:textId="77777777" w:rsidR="006B4A66" w:rsidRPr="006B4A66" w:rsidRDefault="006B4A66" w:rsidP="0073496A">
            <w:pPr>
              <w:spacing w:line="480" w:lineRule="auto"/>
              <w:rPr>
                <w:rFonts w:eastAsia="Calibri"/>
                <w:color w:val="000000"/>
              </w:rPr>
            </w:pPr>
            <w:r w:rsidRPr="006B4A66">
              <w:rPr>
                <w:rFonts w:eastAsia="Calibri"/>
                <w:color w:val="000000"/>
              </w:rPr>
              <w:t>0.21 - 0.28</w:t>
            </w:r>
          </w:p>
        </w:tc>
        <w:tc>
          <w:tcPr>
            <w:tcW w:w="1134" w:type="dxa"/>
          </w:tcPr>
          <w:p w14:paraId="2CEEEF76" w14:textId="77777777" w:rsidR="006B4A66" w:rsidRPr="006B4A66" w:rsidRDefault="006B4A66" w:rsidP="0073496A">
            <w:pPr>
              <w:spacing w:line="480" w:lineRule="auto"/>
              <w:rPr>
                <w:rFonts w:eastAsia="Calibri"/>
                <w:color w:val="000000"/>
              </w:rPr>
            </w:pPr>
            <w:r w:rsidRPr="006B4A66">
              <w:rPr>
                <w:rFonts w:eastAsia="Calibri"/>
                <w:color w:val="000000"/>
              </w:rPr>
              <w:t>100</w:t>
            </w:r>
          </w:p>
        </w:tc>
      </w:tr>
      <w:tr w:rsidR="006B4A66" w:rsidRPr="006B4A66" w14:paraId="09D1C915" w14:textId="77777777">
        <w:tc>
          <w:tcPr>
            <w:tcW w:w="1510" w:type="dxa"/>
            <w:vMerge/>
          </w:tcPr>
          <w:p w14:paraId="7B6AECB5" w14:textId="77777777" w:rsidR="006B4A66" w:rsidRPr="006B4A66" w:rsidRDefault="006B4A66" w:rsidP="0073496A">
            <w:pPr>
              <w:spacing w:line="480" w:lineRule="auto"/>
              <w:rPr>
                <w:rFonts w:eastAsia="Calibri"/>
                <w:b/>
                <w:color w:val="000000"/>
              </w:rPr>
            </w:pPr>
          </w:p>
        </w:tc>
        <w:tc>
          <w:tcPr>
            <w:tcW w:w="1174" w:type="dxa"/>
          </w:tcPr>
          <w:p w14:paraId="5007E360" w14:textId="2869D00D" w:rsidR="006B4A66" w:rsidRPr="006B4A66" w:rsidRDefault="006B4A66" w:rsidP="0073496A">
            <w:pPr>
              <w:spacing w:line="480" w:lineRule="auto"/>
              <w:rPr>
                <w:rFonts w:eastAsia="Calibri"/>
                <w:b/>
                <w:color w:val="000000"/>
              </w:rPr>
            </w:pPr>
            <w:r w:rsidRPr="006B4A66">
              <w:rPr>
                <w:rFonts w:eastAsia="Calibri"/>
                <w:color w:val="000000"/>
              </w:rPr>
              <w:t xml:space="preserve">141 – 200°F </w:t>
            </w:r>
          </w:p>
        </w:tc>
        <w:tc>
          <w:tcPr>
            <w:tcW w:w="583" w:type="dxa"/>
          </w:tcPr>
          <w:p w14:paraId="59AAAB05" w14:textId="77777777" w:rsidR="006B4A66" w:rsidRPr="006B4A66" w:rsidRDefault="006B4A66" w:rsidP="0073496A">
            <w:pPr>
              <w:spacing w:line="480" w:lineRule="auto"/>
              <w:rPr>
                <w:rFonts w:eastAsia="Calibri"/>
                <w:b/>
                <w:color w:val="000000"/>
              </w:rPr>
            </w:pPr>
            <w:r w:rsidRPr="006B4A66">
              <w:rPr>
                <w:rFonts w:eastAsia="Calibri"/>
                <w:color w:val="000000"/>
              </w:rPr>
              <w:t>1.5</w:t>
            </w:r>
          </w:p>
        </w:tc>
        <w:tc>
          <w:tcPr>
            <w:tcW w:w="796" w:type="dxa"/>
          </w:tcPr>
          <w:p w14:paraId="036FD428" w14:textId="77777777" w:rsidR="006B4A66" w:rsidRPr="006B4A66" w:rsidRDefault="006B4A66" w:rsidP="0073496A">
            <w:pPr>
              <w:spacing w:line="480" w:lineRule="auto"/>
              <w:rPr>
                <w:rFonts w:eastAsia="Calibri"/>
                <w:b/>
                <w:color w:val="000000"/>
              </w:rPr>
            </w:pPr>
            <w:r w:rsidRPr="006B4A66">
              <w:rPr>
                <w:rFonts w:eastAsia="Calibri"/>
                <w:color w:val="000000"/>
              </w:rPr>
              <w:t>1.5</w:t>
            </w:r>
          </w:p>
        </w:tc>
        <w:tc>
          <w:tcPr>
            <w:tcW w:w="866" w:type="dxa"/>
          </w:tcPr>
          <w:p w14:paraId="742AC73D" w14:textId="77777777" w:rsidR="006B4A66" w:rsidRPr="006B4A66" w:rsidRDefault="006B4A66" w:rsidP="0073496A">
            <w:pPr>
              <w:spacing w:line="480" w:lineRule="auto"/>
              <w:rPr>
                <w:rFonts w:eastAsia="Calibri"/>
                <w:b/>
                <w:color w:val="000000"/>
              </w:rPr>
            </w:pPr>
            <w:r w:rsidRPr="006B4A66">
              <w:rPr>
                <w:rFonts w:eastAsia="Calibri"/>
                <w:color w:val="000000"/>
              </w:rPr>
              <w:t>2.0</w:t>
            </w:r>
          </w:p>
        </w:tc>
        <w:tc>
          <w:tcPr>
            <w:tcW w:w="583" w:type="dxa"/>
          </w:tcPr>
          <w:p w14:paraId="282A5EA8" w14:textId="77777777" w:rsidR="006B4A66" w:rsidRPr="006B4A66" w:rsidRDefault="006B4A66" w:rsidP="0073496A">
            <w:pPr>
              <w:spacing w:line="480" w:lineRule="auto"/>
              <w:rPr>
                <w:rFonts w:eastAsia="Calibri"/>
                <w:b/>
                <w:color w:val="000000"/>
              </w:rPr>
            </w:pPr>
            <w:r w:rsidRPr="006B4A66">
              <w:rPr>
                <w:rFonts w:eastAsia="Calibri"/>
                <w:color w:val="000000"/>
              </w:rPr>
              <w:t>2.0</w:t>
            </w:r>
          </w:p>
        </w:tc>
        <w:tc>
          <w:tcPr>
            <w:tcW w:w="913" w:type="dxa"/>
          </w:tcPr>
          <w:p w14:paraId="7C7E114B" w14:textId="77777777" w:rsidR="006B4A66" w:rsidRPr="006B4A66" w:rsidRDefault="006B4A66" w:rsidP="0073496A">
            <w:pPr>
              <w:spacing w:line="480" w:lineRule="auto"/>
              <w:rPr>
                <w:rFonts w:eastAsia="Calibri"/>
                <w:b/>
                <w:color w:val="000000"/>
              </w:rPr>
            </w:pPr>
            <w:r w:rsidRPr="006B4A66">
              <w:rPr>
                <w:rFonts w:eastAsia="Calibri"/>
                <w:color w:val="000000"/>
              </w:rPr>
              <w:t>2.0</w:t>
            </w:r>
          </w:p>
        </w:tc>
        <w:tc>
          <w:tcPr>
            <w:tcW w:w="1297" w:type="dxa"/>
          </w:tcPr>
          <w:p w14:paraId="0B6A6847" w14:textId="77777777" w:rsidR="006B4A66" w:rsidRPr="006B4A66" w:rsidRDefault="006B4A66" w:rsidP="0073496A">
            <w:pPr>
              <w:spacing w:line="480" w:lineRule="auto"/>
              <w:rPr>
                <w:rFonts w:eastAsia="Calibri"/>
                <w:color w:val="000000"/>
              </w:rPr>
            </w:pPr>
            <w:r w:rsidRPr="006B4A66">
              <w:rPr>
                <w:rFonts w:eastAsia="Calibri"/>
                <w:color w:val="000000"/>
              </w:rPr>
              <w:t>0.25 - 0.29</w:t>
            </w:r>
          </w:p>
        </w:tc>
        <w:tc>
          <w:tcPr>
            <w:tcW w:w="1134" w:type="dxa"/>
          </w:tcPr>
          <w:p w14:paraId="0C2F335A" w14:textId="77777777" w:rsidR="006B4A66" w:rsidRPr="006B4A66" w:rsidRDefault="006B4A66" w:rsidP="0073496A">
            <w:pPr>
              <w:spacing w:line="480" w:lineRule="auto"/>
              <w:rPr>
                <w:rFonts w:eastAsia="Calibri"/>
                <w:color w:val="000000"/>
              </w:rPr>
            </w:pPr>
            <w:r w:rsidRPr="006B4A66">
              <w:rPr>
                <w:rFonts w:eastAsia="Calibri"/>
                <w:color w:val="000000"/>
              </w:rPr>
              <w:t>125</w:t>
            </w:r>
          </w:p>
        </w:tc>
      </w:tr>
      <w:tr w:rsidR="006B4A66" w:rsidRPr="006B4A66" w14:paraId="5462CE2A" w14:textId="77777777">
        <w:tc>
          <w:tcPr>
            <w:tcW w:w="1510" w:type="dxa"/>
            <w:vMerge w:val="restart"/>
          </w:tcPr>
          <w:p w14:paraId="501BE5BF" w14:textId="77777777" w:rsidR="006B4A66" w:rsidRPr="006B4A66" w:rsidRDefault="006B4A66" w:rsidP="0073496A">
            <w:pPr>
              <w:spacing w:line="480" w:lineRule="auto"/>
              <w:rPr>
                <w:rFonts w:eastAsia="Calibri"/>
                <w:color w:val="000000"/>
              </w:rPr>
            </w:pPr>
            <w:r w:rsidRPr="006B4A66">
              <w:rPr>
                <w:rFonts w:eastAsia="Calibri"/>
                <w:color w:val="000000"/>
              </w:rPr>
              <w:t>In-partition</w:t>
            </w:r>
            <w:r w:rsidRPr="006B4A66">
              <w:rPr>
                <w:rFonts w:eastAsia="Calibri"/>
                <w:color w:val="000000"/>
                <w:vertAlign w:val="superscript"/>
              </w:rPr>
              <w:t>a</w:t>
            </w:r>
            <w:r w:rsidRPr="006B4A66">
              <w:rPr>
                <w:rFonts w:eastAsia="Calibri"/>
                <w:color w:val="000000"/>
              </w:rPr>
              <w:t xml:space="preserve"> Circulation Loop Piping</w:t>
            </w:r>
          </w:p>
        </w:tc>
        <w:tc>
          <w:tcPr>
            <w:tcW w:w="1174" w:type="dxa"/>
          </w:tcPr>
          <w:p w14:paraId="5949B64A" w14:textId="7E5F53CB" w:rsidR="006B4A66" w:rsidRPr="006B4A66" w:rsidRDefault="006B4A66" w:rsidP="0073496A">
            <w:pPr>
              <w:spacing w:line="480" w:lineRule="auto"/>
              <w:rPr>
                <w:rFonts w:eastAsia="Calibri"/>
                <w:color w:val="000000"/>
              </w:rPr>
            </w:pPr>
            <w:r w:rsidRPr="006B4A66">
              <w:rPr>
                <w:rFonts w:eastAsia="Calibri"/>
                <w:color w:val="000000"/>
              </w:rPr>
              <w:t xml:space="preserve">105 – 140°F </w:t>
            </w:r>
          </w:p>
        </w:tc>
        <w:tc>
          <w:tcPr>
            <w:tcW w:w="583" w:type="dxa"/>
          </w:tcPr>
          <w:p w14:paraId="7BE30FEB" w14:textId="77777777" w:rsidR="006B4A66" w:rsidRPr="006B4A66" w:rsidRDefault="006B4A66" w:rsidP="0073496A">
            <w:pPr>
              <w:spacing w:line="480" w:lineRule="auto"/>
              <w:rPr>
                <w:rFonts w:eastAsia="Calibri"/>
                <w:color w:val="000000"/>
              </w:rPr>
            </w:pPr>
            <w:r w:rsidRPr="006B4A66">
              <w:rPr>
                <w:rFonts w:eastAsia="Calibri"/>
                <w:color w:val="000000"/>
              </w:rPr>
              <w:t>1.0</w:t>
            </w:r>
          </w:p>
        </w:tc>
        <w:tc>
          <w:tcPr>
            <w:tcW w:w="796" w:type="dxa"/>
          </w:tcPr>
          <w:p w14:paraId="50E69ECF" w14:textId="77777777" w:rsidR="006B4A66" w:rsidRPr="006B4A66" w:rsidRDefault="006B4A66" w:rsidP="0073496A">
            <w:pPr>
              <w:spacing w:line="480" w:lineRule="auto"/>
              <w:rPr>
                <w:rFonts w:eastAsia="Calibri"/>
                <w:color w:val="000000"/>
              </w:rPr>
            </w:pPr>
            <w:r w:rsidRPr="006B4A66">
              <w:rPr>
                <w:rFonts w:eastAsia="Calibri"/>
                <w:color w:val="000000"/>
              </w:rPr>
              <w:t>1.0</w:t>
            </w:r>
          </w:p>
        </w:tc>
        <w:tc>
          <w:tcPr>
            <w:tcW w:w="866" w:type="dxa"/>
          </w:tcPr>
          <w:p w14:paraId="3A674F87" w14:textId="77777777" w:rsidR="006B4A66" w:rsidRPr="006B4A66" w:rsidRDefault="006B4A66" w:rsidP="0073496A">
            <w:pPr>
              <w:spacing w:line="480" w:lineRule="auto"/>
              <w:rPr>
                <w:rFonts w:eastAsia="Calibri"/>
                <w:color w:val="000000"/>
              </w:rPr>
            </w:pPr>
            <w:r w:rsidRPr="006B4A66">
              <w:rPr>
                <w:rFonts w:eastAsia="Calibri"/>
                <w:color w:val="000000"/>
              </w:rPr>
              <w:t>2.5</w:t>
            </w:r>
          </w:p>
        </w:tc>
        <w:tc>
          <w:tcPr>
            <w:tcW w:w="583" w:type="dxa"/>
          </w:tcPr>
          <w:p w14:paraId="2862D033" w14:textId="77777777" w:rsidR="006B4A66" w:rsidRPr="006B4A66" w:rsidRDefault="006B4A66" w:rsidP="0073496A">
            <w:pPr>
              <w:spacing w:line="480" w:lineRule="auto"/>
              <w:rPr>
                <w:rFonts w:eastAsia="Calibri"/>
                <w:color w:val="000000"/>
              </w:rPr>
            </w:pPr>
            <w:r w:rsidRPr="006B4A66">
              <w:rPr>
                <w:rFonts w:eastAsia="Calibri"/>
                <w:color w:val="000000"/>
              </w:rPr>
              <w:t>2.5</w:t>
            </w:r>
          </w:p>
        </w:tc>
        <w:tc>
          <w:tcPr>
            <w:tcW w:w="913" w:type="dxa"/>
          </w:tcPr>
          <w:p w14:paraId="71DA0C6A" w14:textId="77777777" w:rsidR="006B4A66" w:rsidRPr="006B4A66" w:rsidRDefault="006B4A66" w:rsidP="0073496A">
            <w:pPr>
              <w:spacing w:line="480" w:lineRule="auto"/>
              <w:rPr>
                <w:rFonts w:eastAsia="Calibri"/>
                <w:color w:val="000000"/>
              </w:rPr>
            </w:pPr>
            <w:r w:rsidRPr="006B4A66">
              <w:rPr>
                <w:rFonts w:eastAsia="Calibri"/>
                <w:color w:val="000000"/>
              </w:rPr>
              <w:t>2.5</w:t>
            </w:r>
          </w:p>
        </w:tc>
        <w:tc>
          <w:tcPr>
            <w:tcW w:w="1297" w:type="dxa"/>
          </w:tcPr>
          <w:p w14:paraId="551B412F" w14:textId="77777777" w:rsidR="006B4A66" w:rsidRPr="006B4A66" w:rsidRDefault="006B4A66" w:rsidP="0073496A">
            <w:pPr>
              <w:spacing w:line="480" w:lineRule="auto"/>
              <w:rPr>
                <w:rFonts w:eastAsia="Calibri"/>
                <w:color w:val="000000"/>
              </w:rPr>
            </w:pPr>
            <w:r w:rsidRPr="006B4A66">
              <w:rPr>
                <w:rFonts w:eastAsia="Calibri"/>
                <w:color w:val="000000"/>
              </w:rPr>
              <w:t>0.21 - 0.28</w:t>
            </w:r>
          </w:p>
        </w:tc>
        <w:tc>
          <w:tcPr>
            <w:tcW w:w="1134" w:type="dxa"/>
          </w:tcPr>
          <w:p w14:paraId="11A07986" w14:textId="77777777" w:rsidR="006B4A66" w:rsidRPr="006B4A66" w:rsidRDefault="006B4A66" w:rsidP="0073496A">
            <w:pPr>
              <w:spacing w:line="480" w:lineRule="auto"/>
              <w:rPr>
                <w:rFonts w:eastAsia="Calibri"/>
                <w:color w:val="000000"/>
              </w:rPr>
            </w:pPr>
            <w:r w:rsidRPr="006B4A66">
              <w:rPr>
                <w:rFonts w:eastAsia="Calibri"/>
                <w:color w:val="000000"/>
              </w:rPr>
              <w:t>100</w:t>
            </w:r>
          </w:p>
        </w:tc>
      </w:tr>
      <w:tr w:rsidR="006B4A66" w:rsidRPr="006B4A66" w14:paraId="4B3E2E87" w14:textId="77777777">
        <w:tc>
          <w:tcPr>
            <w:tcW w:w="1510" w:type="dxa"/>
            <w:vMerge/>
          </w:tcPr>
          <w:p w14:paraId="6D8BFBD8" w14:textId="77777777" w:rsidR="006B4A66" w:rsidRPr="006B4A66" w:rsidRDefault="006B4A66" w:rsidP="0073496A">
            <w:pPr>
              <w:spacing w:line="480" w:lineRule="auto"/>
              <w:rPr>
                <w:rFonts w:eastAsia="Calibri"/>
                <w:color w:val="000000"/>
              </w:rPr>
            </w:pPr>
          </w:p>
        </w:tc>
        <w:tc>
          <w:tcPr>
            <w:tcW w:w="1174" w:type="dxa"/>
          </w:tcPr>
          <w:p w14:paraId="2E497E76" w14:textId="2A1E811E" w:rsidR="006B4A66" w:rsidRPr="006B4A66" w:rsidRDefault="006B4A66" w:rsidP="0073496A">
            <w:pPr>
              <w:spacing w:line="480" w:lineRule="auto"/>
              <w:rPr>
                <w:rFonts w:eastAsia="Calibri"/>
                <w:color w:val="000000"/>
              </w:rPr>
            </w:pPr>
            <w:r w:rsidRPr="006B4A66">
              <w:rPr>
                <w:rFonts w:eastAsia="Calibri"/>
                <w:color w:val="000000"/>
              </w:rPr>
              <w:t xml:space="preserve">141 – 200°F </w:t>
            </w:r>
          </w:p>
        </w:tc>
        <w:tc>
          <w:tcPr>
            <w:tcW w:w="583" w:type="dxa"/>
          </w:tcPr>
          <w:p w14:paraId="54854B69" w14:textId="77777777" w:rsidR="006B4A66" w:rsidRPr="006B4A66" w:rsidRDefault="006B4A66" w:rsidP="0073496A">
            <w:pPr>
              <w:spacing w:line="480" w:lineRule="auto"/>
              <w:rPr>
                <w:rFonts w:eastAsia="Calibri"/>
                <w:color w:val="000000"/>
              </w:rPr>
            </w:pPr>
            <w:r w:rsidRPr="006B4A66">
              <w:rPr>
                <w:rFonts w:eastAsia="Calibri"/>
                <w:color w:val="000000"/>
              </w:rPr>
              <w:t>1.5</w:t>
            </w:r>
          </w:p>
        </w:tc>
        <w:tc>
          <w:tcPr>
            <w:tcW w:w="796" w:type="dxa"/>
          </w:tcPr>
          <w:p w14:paraId="18AACD1E" w14:textId="77777777" w:rsidR="006B4A66" w:rsidRPr="006B4A66" w:rsidRDefault="006B4A66" w:rsidP="0073496A">
            <w:pPr>
              <w:spacing w:line="480" w:lineRule="auto"/>
              <w:rPr>
                <w:rFonts w:eastAsia="Calibri"/>
                <w:color w:val="000000"/>
              </w:rPr>
            </w:pPr>
            <w:r w:rsidRPr="006B4A66">
              <w:rPr>
                <w:rFonts w:eastAsia="Calibri"/>
                <w:color w:val="000000"/>
              </w:rPr>
              <w:t>1.5</w:t>
            </w:r>
          </w:p>
        </w:tc>
        <w:tc>
          <w:tcPr>
            <w:tcW w:w="866" w:type="dxa"/>
          </w:tcPr>
          <w:p w14:paraId="6B8BC6CC" w14:textId="77777777" w:rsidR="006B4A66" w:rsidRPr="006B4A66" w:rsidRDefault="006B4A66" w:rsidP="0073496A">
            <w:pPr>
              <w:spacing w:line="480" w:lineRule="auto"/>
              <w:rPr>
                <w:rFonts w:eastAsia="Calibri"/>
                <w:color w:val="000000"/>
              </w:rPr>
            </w:pPr>
            <w:r w:rsidRPr="006B4A66">
              <w:rPr>
                <w:rFonts w:eastAsia="Calibri"/>
                <w:color w:val="000000"/>
              </w:rPr>
              <w:t>3.0</w:t>
            </w:r>
          </w:p>
        </w:tc>
        <w:tc>
          <w:tcPr>
            <w:tcW w:w="583" w:type="dxa"/>
          </w:tcPr>
          <w:p w14:paraId="6C566436" w14:textId="77777777" w:rsidR="006B4A66" w:rsidRPr="006B4A66" w:rsidRDefault="006B4A66" w:rsidP="0073496A">
            <w:pPr>
              <w:spacing w:line="480" w:lineRule="auto"/>
              <w:rPr>
                <w:rFonts w:eastAsia="Calibri"/>
                <w:color w:val="000000"/>
              </w:rPr>
            </w:pPr>
            <w:r w:rsidRPr="006B4A66">
              <w:rPr>
                <w:rFonts w:eastAsia="Calibri"/>
                <w:color w:val="000000"/>
              </w:rPr>
              <w:t>3.0</w:t>
            </w:r>
          </w:p>
        </w:tc>
        <w:tc>
          <w:tcPr>
            <w:tcW w:w="913" w:type="dxa"/>
          </w:tcPr>
          <w:p w14:paraId="494F5F3B" w14:textId="77777777" w:rsidR="006B4A66" w:rsidRPr="006B4A66" w:rsidRDefault="006B4A66" w:rsidP="0073496A">
            <w:pPr>
              <w:spacing w:line="480" w:lineRule="auto"/>
              <w:rPr>
                <w:rFonts w:eastAsia="Calibri"/>
                <w:color w:val="000000"/>
              </w:rPr>
            </w:pPr>
            <w:r w:rsidRPr="006B4A66">
              <w:rPr>
                <w:rFonts w:eastAsia="Calibri"/>
                <w:color w:val="000000"/>
              </w:rPr>
              <w:t>3.0</w:t>
            </w:r>
          </w:p>
        </w:tc>
        <w:tc>
          <w:tcPr>
            <w:tcW w:w="1297" w:type="dxa"/>
          </w:tcPr>
          <w:p w14:paraId="05053EC4" w14:textId="77777777" w:rsidR="006B4A66" w:rsidRPr="006B4A66" w:rsidRDefault="006B4A66" w:rsidP="0073496A">
            <w:pPr>
              <w:spacing w:line="480" w:lineRule="auto"/>
              <w:rPr>
                <w:rFonts w:eastAsia="Calibri"/>
                <w:color w:val="000000"/>
              </w:rPr>
            </w:pPr>
            <w:r w:rsidRPr="006B4A66">
              <w:rPr>
                <w:rFonts w:eastAsia="Calibri"/>
                <w:color w:val="000000"/>
              </w:rPr>
              <w:t>0.25 - 0.29</w:t>
            </w:r>
          </w:p>
        </w:tc>
        <w:tc>
          <w:tcPr>
            <w:tcW w:w="1134" w:type="dxa"/>
          </w:tcPr>
          <w:p w14:paraId="3545A0FF" w14:textId="77777777" w:rsidR="006B4A66" w:rsidRPr="006B4A66" w:rsidRDefault="006B4A66" w:rsidP="0073496A">
            <w:pPr>
              <w:spacing w:line="480" w:lineRule="auto"/>
              <w:rPr>
                <w:rFonts w:eastAsia="Calibri"/>
                <w:color w:val="000000"/>
              </w:rPr>
            </w:pPr>
            <w:r w:rsidRPr="006B4A66">
              <w:rPr>
                <w:rFonts w:eastAsia="Calibri"/>
                <w:color w:val="000000"/>
              </w:rPr>
              <w:t>125</w:t>
            </w:r>
          </w:p>
        </w:tc>
      </w:tr>
      <w:tr w:rsidR="006B4A66" w:rsidRPr="006B4A66" w14:paraId="02F52125" w14:textId="77777777">
        <w:tc>
          <w:tcPr>
            <w:tcW w:w="1510" w:type="dxa"/>
            <w:vMerge w:val="restart"/>
            <w:vAlign w:val="center"/>
          </w:tcPr>
          <w:p w14:paraId="2B8BCD5B" w14:textId="77777777" w:rsidR="006B4A66" w:rsidRPr="006B4A66" w:rsidRDefault="006B4A66" w:rsidP="0073496A">
            <w:pPr>
              <w:spacing w:line="480" w:lineRule="auto"/>
              <w:jc w:val="center"/>
              <w:rPr>
                <w:rFonts w:eastAsia="Calibri"/>
                <w:color w:val="000000"/>
              </w:rPr>
            </w:pPr>
            <w:r w:rsidRPr="006B4A66">
              <w:rPr>
                <w:rFonts w:eastAsia="Calibri"/>
                <w:color w:val="000000"/>
              </w:rPr>
              <w:t>In-partition</w:t>
            </w:r>
            <w:r w:rsidRPr="006B4A66">
              <w:rPr>
                <w:rFonts w:eastAsia="Calibri"/>
                <w:color w:val="000000"/>
                <w:vertAlign w:val="superscript"/>
              </w:rPr>
              <w:t>a</w:t>
            </w:r>
          </w:p>
          <w:p w14:paraId="2D51ED82" w14:textId="77777777" w:rsidR="006B4A66" w:rsidRPr="006B4A66" w:rsidRDefault="006B4A66" w:rsidP="0073496A">
            <w:pPr>
              <w:spacing w:line="480" w:lineRule="auto"/>
              <w:jc w:val="center"/>
              <w:rPr>
                <w:rFonts w:eastAsia="Calibri"/>
                <w:color w:val="000000"/>
              </w:rPr>
            </w:pPr>
            <w:r w:rsidRPr="006B4A66">
              <w:rPr>
                <w:rFonts w:eastAsia="Calibri"/>
                <w:color w:val="000000"/>
              </w:rPr>
              <w:t>All other piping</w:t>
            </w:r>
          </w:p>
        </w:tc>
        <w:tc>
          <w:tcPr>
            <w:tcW w:w="1174" w:type="dxa"/>
          </w:tcPr>
          <w:p w14:paraId="3B1158B6" w14:textId="6F4C24CD" w:rsidR="006B4A66" w:rsidRPr="006B4A66" w:rsidRDefault="006B4A66" w:rsidP="0073496A">
            <w:pPr>
              <w:spacing w:line="480" w:lineRule="auto"/>
              <w:rPr>
                <w:rFonts w:eastAsia="Calibri"/>
                <w:color w:val="000000"/>
              </w:rPr>
            </w:pPr>
            <w:r w:rsidRPr="006B4A66">
              <w:rPr>
                <w:rFonts w:eastAsia="Calibri"/>
                <w:color w:val="000000"/>
              </w:rPr>
              <w:t xml:space="preserve">105 – 140°F </w:t>
            </w:r>
          </w:p>
        </w:tc>
        <w:tc>
          <w:tcPr>
            <w:tcW w:w="583" w:type="dxa"/>
          </w:tcPr>
          <w:p w14:paraId="238518B5" w14:textId="77777777" w:rsidR="006B4A66" w:rsidRPr="006B4A66" w:rsidRDefault="006B4A66" w:rsidP="0073496A">
            <w:pPr>
              <w:spacing w:line="480" w:lineRule="auto"/>
              <w:rPr>
                <w:rFonts w:eastAsia="Calibri"/>
                <w:color w:val="000000"/>
              </w:rPr>
            </w:pPr>
            <w:r w:rsidRPr="006B4A66">
              <w:rPr>
                <w:rFonts w:eastAsia="Calibri"/>
                <w:color w:val="000000"/>
              </w:rPr>
              <w:t>1.0</w:t>
            </w:r>
          </w:p>
        </w:tc>
        <w:tc>
          <w:tcPr>
            <w:tcW w:w="796" w:type="dxa"/>
          </w:tcPr>
          <w:p w14:paraId="4411A262" w14:textId="77777777" w:rsidR="006B4A66" w:rsidRPr="006B4A66" w:rsidRDefault="006B4A66" w:rsidP="0073496A">
            <w:pPr>
              <w:spacing w:line="480" w:lineRule="auto"/>
              <w:rPr>
                <w:rFonts w:eastAsia="Calibri"/>
                <w:color w:val="000000"/>
              </w:rPr>
            </w:pPr>
            <w:r w:rsidRPr="006B4A66">
              <w:rPr>
                <w:rFonts w:eastAsia="Calibri"/>
                <w:color w:val="000000"/>
              </w:rPr>
              <w:t>1.0</w:t>
            </w:r>
          </w:p>
        </w:tc>
        <w:tc>
          <w:tcPr>
            <w:tcW w:w="866" w:type="dxa"/>
          </w:tcPr>
          <w:p w14:paraId="738F6024" w14:textId="77777777" w:rsidR="006B4A66" w:rsidRPr="006B4A66" w:rsidRDefault="006B4A66" w:rsidP="0073496A">
            <w:pPr>
              <w:spacing w:line="480" w:lineRule="auto"/>
              <w:rPr>
                <w:rFonts w:eastAsia="Calibri"/>
                <w:color w:val="000000"/>
              </w:rPr>
            </w:pPr>
            <w:r w:rsidRPr="006B4A66">
              <w:rPr>
                <w:rFonts w:eastAsia="Calibri"/>
                <w:color w:val="000000"/>
              </w:rPr>
              <w:t>1.5</w:t>
            </w:r>
          </w:p>
        </w:tc>
        <w:tc>
          <w:tcPr>
            <w:tcW w:w="583" w:type="dxa"/>
          </w:tcPr>
          <w:p w14:paraId="5E683D69" w14:textId="77777777" w:rsidR="006B4A66" w:rsidRPr="006B4A66" w:rsidRDefault="006B4A66" w:rsidP="0073496A">
            <w:pPr>
              <w:spacing w:line="480" w:lineRule="auto"/>
              <w:rPr>
                <w:rFonts w:eastAsia="Calibri"/>
                <w:color w:val="000000"/>
              </w:rPr>
            </w:pPr>
            <w:r w:rsidRPr="006B4A66">
              <w:rPr>
                <w:rFonts w:eastAsia="Calibri"/>
                <w:color w:val="000000"/>
              </w:rPr>
              <w:t>1.5</w:t>
            </w:r>
          </w:p>
        </w:tc>
        <w:tc>
          <w:tcPr>
            <w:tcW w:w="913" w:type="dxa"/>
          </w:tcPr>
          <w:p w14:paraId="6008DA8E" w14:textId="77777777" w:rsidR="006B4A66" w:rsidRPr="006B4A66" w:rsidRDefault="006B4A66" w:rsidP="0073496A">
            <w:pPr>
              <w:spacing w:line="480" w:lineRule="auto"/>
              <w:rPr>
                <w:rFonts w:eastAsia="Calibri"/>
                <w:color w:val="000000"/>
              </w:rPr>
            </w:pPr>
            <w:r w:rsidRPr="006B4A66">
              <w:rPr>
                <w:rFonts w:eastAsia="Calibri"/>
                <w:color w:val="000000"/>
              </w:rPr>
              <w:t>1.5</w:t>
            </w:r>
          </w:p>
        </w:tc>
        <w:tc>
          <w:tcPr>
            <w:tcW w:w="1297" w:type="dxa"/>
          </w:tcPr>
          <w:p w14:paraId="4EB56BA0" w14:textId="77777777" w:rsidR="006B4A66" w:rsidRPr="006B4A66" w:rsidRDefault="006B4A66" w:rsidP="0073496A">
            <w:pPr>
              <w:spacing w:line="480" w:lineRule="auto"/>
              <w:rPr>
                <w:rFonts w:eastAsia="Calibri"/>
                <w:color w:val="000000"/>
              </w:rPr>
            </w:pPr>
            <w:r w:rsidRPr="006B4A66">
              <w:rPr>
                <w:rFonts w:eastAsia="Calibri"/>
                <w:color w:val="000000"/>
              </w:rPr>
              <w:t>0.21 - 0.28</w:t>
            </w:r>
          </w:p>
        </w:tc>
        <w:tc>
          <w:tcPr>
            <w:tcW w:w="1134" w:type="dxa"/>
          </w:tcPr>
          <w:p w14:paraId="20EEC480" w14:textId="77777777" w:rsidR="006B4A66" w:rsidRPr="006B4A66" w:rsidRDefault="006B4A66" w:rsidP="0073496A">
            <w:pPr>
              <w:spacing w:line="480" w:lineRule="auto"/>
              <w:rPr>
                <w:rFonts w:eastAsia="Calibri"/>
                <w:color w:val="000000"/>
              </w:rPr>
            </w:pPr>
            <w:r w:rsidRPr="006B4A66">
              <w:rPr>
                <w:rFonts w:eastAsia="Calibri"/>
                <w:color w:val="000000"/>
              </w:rPr>
              <w:t>100</w:t>
            </w:r>
          </w:p>
        </w:tc>
      </w:tr>
      <w:tr w:rsidR="006B4A66" w:rsidRPr="006B4A66" w14:paraId="4E24C9D5" w14:textId="77777777">
        <w:tc>
          <w:tcPr>
            <w:tcW w:w="1510" w:type="dxa"/>
            <w:vMerge/>
          </w:tcPr>
          <w:p w14:paraId="1105363A" w14:textId="77777777" w:rsidR="006B4A66" w:rsidRPr="006B4A66" w:rsidRDefault="006B4A66" w:rsidP="0073496A">
            <w:pPr>
              <w:spacing w:line="480" w:lineRule="auto"/>
              <w:rPr>
                <w:rFonts w:eastAsia="Calibri"/>
                <w:color w:val="000000"/>
              </w:rPr>
            </w:pPr>
          </w:p>
        </w:tc>
        <w:tc>
          <w:tcPr>
            <w:tcW w:w="1174" w:type="dxa"/>
          </w:tcPr>
          <w:p w14:paraId="0FFE01E1" w14:textId="572CC28F" w:rsidR="006B4A66" w:rsidRPr="006B4A66" w:rsidRDefault="006B4A66" w:rsidP="0073496A">
            <w:pPr>
              <w:spacing w:line="480" w:lineRule="auto"/>
              <w:rPr>
                <w:rFonts w:eastAsia="Calibri"/>
                <w:color w:val="000000"/>
              </w:rPr>
            </w:pPr>
            <w:r w:rsidRPr="006B4A66">
              <w:rPr>
                <w:rFonts w:eastAsia="Calibri"/>
                <w:color w:val="000000"/>
              </w:rPr>
              <w:t>141 – 200°F</w:t>
            </w:r>
          </w:p>
        </w:tc>
        <w:tc>
          <w:tcPr>
            <w:tcW w:w="583" w:type="dxa"/>
          </w:tcPr>
          <w:p w14:paraId="1E9ABEB3" w14:textId="77777777" w:rsidR="006B4A66" w:rsidRPr="006B4A66" w:rsidRDefault="006B4A66" w:rsidP="0073496A">
            <w:pPr>
              <w:spacing w:line="480" w:lineRule="auto"/>
              <w:rPr>
                <w:rFonts w:eastAsia="Calibri"/>
                <w:color w:val="000000"/>
              </w:rPr>
            </w:pPr>
            <w:r w:rsidRPr="006B4A66">
              <w:rPr>
                <w:rFonts w:eastAsia="Calibri"/>
                <w:color w:val="000000"/>
              </w:rPr>
              <w:t>1.0</w:t>
            </w:r>
          </w:p>
        </w:tc>
        <w:tc>
          <w:tcPr>
            <w:tcW w:w="796" w:type="dxa"/>
          </w:tcPr>
          <w:p w14:paraId="3192A814" w14:textId="77777777" w:rsidR="006B4A66" w:rsidRPr="006B4A66" w:rsidRDefault="006B4A66" w:rsidP="0073496A">
            <w:pPr>
              <w:spacing w:line="480" w:lineRule="auto"/>
              <w:rPr>
                <w:rFonts w:eastAsia="Calibri"/>
                <w:color w:val="000000"/>
              </w:rPr>
            </w:pPr>
            <w:r w:rsidRPr="006B4A66">
              <w:rPr>
                <w:rFonts w:eastAsia="Calibri"/>
                <w:color w:val="000000"/>
              </w:rPr>
              <w:t>1.0</w:t>
            </w:r>
          </w:p>
        </w:tc>
        <w:tc>
          <w:tcPr>
            <w:tcW w:w="866" w:type="dxa"/>
          </w:tcPr>
          <w:p w14:paraId="6246D2F1" w14:textId="77777777" w:rsidR="006B4A66" w:rsidRPr="006B4A66" w:rsidRDefault="006B4A66" w:rsidP="0073496A">
            <w:pPr>
              <w:spacing w:line="480" w:lineRule="auto"/>
              <w:rPr>
                <w:rFonts w:eastAsia="Calibri"/>
                <w:color w:val="000000"/>
              </w:rPr>
            </w:pPr>
            <w:r w:rsidRPr="006B4A66">
              <w:rPr>
                <w:rFonts w:eastAsia="Calibri"/>
                <w:color w:val="000000"/>
              </w:rPr>
              <w:t>2.0</w:t>
            </w:r>
          </w:p>
        </w:tc>
        <w:tc>
          <w:tcPr>
            <w:tcW w:w="583" w:type="dxa"/>
          </w:tcPr>
          <w:p w14:paraId="521752EC" w14:textId="77777777" w:rsidR="006B4A66" w:rsidRPr="006B4A66" w:rsidRDefault="006B4A66" w:rsidP="0073496A">
            <w:pPr>
              <w:spacing w:line="480" w:lineRule="auto"/>
              <w:rPr>
                <w:rFonts w:eastAsia="Calibri"/>
                <w:color w:val="000000"/>
              </w:rPr>
            </w:pPr>
            <w:r w:rsidRPr="006B4A66">
              <w:rPr>
                <w:rFonts w:eastAsia="Calibri"/>
                <w:color w:val="000000"/>
              </w:rPr>
              <w:t>2.0</w:t>
            </w:r>
          </w:p>
        </w:tc>
        <w:tc>
          <w:tcPr>
            <w:tcW w:w="913" w:type="dxa"/>
          </w:tcPr>
          <w:p w14:paraId="63D50CBC" w14:textId="77777777" w:rsidR="006B4A66" w:rsidRPr="006B4A66" w:rsidRDefault="006B4A66" w:rsidP="0073496A">
            <w:pPr>
              <w:spacing w:line="480" w:lineRule="auto"/>
              <w:rPr>
                <w:rFonts w:eastAsia="Calibri"/>
                <w:color w:val="000000"/>
              </w:rPr>
            </w:pPr>
            <w:r w:rsidRPr="006B4A66">
              <w:rPr>
                <w:rFonts w:eastAsia="Calibri"/>
                <w:color w:val="000000"/>
              </w:rPr>
              <w:t>2.0</w:t>
            </w:r>
          </w:p>
        </w:tc>
        <w:tc>
          <w:tcPr>
            <w:tcW w:w="1297" w:type="dxa"/>
          </w:tcPr>
          <w:p w14:paraId="7F5682CD" w14:textId="77777777" w:rsidR="006B4A66" w:rsidRPr="006B4A66" w:rsidRDefault="006B4A66" w:rsidP="0073496A">
            <w:pPr>
              <w:spacing w:line="480" w:lineRule="auto"/>
              <w:rPr>
                <w:rFonts w:eastAsia="Calibri"/>
                <w:color w:val="000000"/>
              </w:rPr>
            </w:pPr>
            <w:r w:rsidRPr="006B4A66">
              <w:rPr>
                <w:rFonts w:eastAsia="Calibri"/>
                <w:color w:val="000000"/>
              </w:rPr>
              <w:t>0.25 - 0.29</w:t>
            </w:r>
          </w:p>
        </w:tc>
        <w:tc>
          <w:tcPr>
            <w:tcW w:w="1134" w:type="dxa"/>
          </w:tcPr>
          <w:p w14:paraId="34E4F200" w14:textId="77777777" w:rsidR="006B4A66" w:rsidRPr="006B4A66" w:rsidRDefault="006B4A66" w:rsidP="0073496A">
            <w:pPr>
              <w:spacing w:line="480" w:lineRule="auto"/>
              <w:rPr>
                <w:rFonts w:eastAsia="Calibri"/>
                <w:color w:val="000000"/>
              </w:rPr>
            </w:pPr>
            <w:r w:rsidRPr="006B4A66">
              <w:rPr>
                <w:rFonts w:eastAsia="Calibri"/>
                <w:color w:val="000000"/>
              </w:rPr>
              <w:t>125</w:t>
            </w:r>
          </w:p>
        </w:tc>
      </w:tr>
    </w:tbl>
    <w:p w14:paraId="745FD66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Footnotes:</w:t>
      </w:r>
    </w:p>
    <w:p w14:paraId="1BB222F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a.  In a partition within a conditioned space.</w:t>
      </w:r>
    </w:p>
    <w:p w14:paraId="1BF3171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b.  For insulation outside the stated conductivity range, conform to requirements of WSEC Table C403.10.3.</w:t>
      </w:r>
    </w:p>
    <w:p w14:paraId="57C9DF9D" w14:textId="5C2B8A6C"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81.</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76947973"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Section C404.7.1.2 of the Washington State Energy Code is not adopted and the </w:t>
      </w:r>
      <w:r w:rsidRPr="006B4A66">
        <w:rPr>
          <w:rFonts w:ascii="Times New Roman" w:eastAsia="Calibri" w:hAnsi="Times New Roman" w:cs="Times New Roman"/>
          <w:color w:val="000000"/>
          <w:kern w:val="0"/>
          <w:sz w:val="24"/>
          <w14:ligatures w14:val="none"/>
        </w:rPr>
        <w:lastRenderedPageBreak/>
        <w:t>following is substituted:</w:t>
      </w:r>
    </w:p>
    <w:p w14:paraId="390434C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color w:val="000000"/>
          <w:kern w:val="0"/>
          <w:sz w:val="24"/>
          <w14:ligatures w14:val="none"/>
        </w:rPr>
        <w:t>Multiple riser systems (WSEC C404.7.1.2).</w:t>
      </w:r>
      <w:r w:rsidRPr="006B4A66">
        <w:rPr>
          <w:rFonts w:ascii="Times New Roman" w:eastAsia="Calibri" w:hAnsi="Times New Roman" w:cs="Times New Roman"/>
          <w:color w:val="000000"/>
          <w:kern w:val="0"/>
          <w:sz w:val="24"/>
          <w14:ligatures w14:val="none"/>
        </w:rPr>
        <w:t xml:space="preserve">  Where the circulation system serves multiple domestic hot water risers or piping zones, the following equipment and controls shall be provided:</w:t>
      </w:r>
    </w:p>
    <w:p w14:paraId="716A786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Controls shall be configured to automatically turn off the circulation pump during periods of time exceeding 4 hours when hot water is not required.  Pump circulation may be automatically started a maximum of 4 hours before scheduled occupancy time to warm up the system or may be automatically started and stopped to run a maximum of 50 percent of each hour to maintain water circulation to reduce legionella or other biological growth in circulated water.</w:t>
      </w:r>
    </w:p>
    <w:p w14:paraId="1C9A291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Reserved.</w:t>
      </w:r>
    </w:p>
    <w:p w14:paraId="612816C6" w14:textId="4A0E22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3.  At the end of each riser or piping zone before heated-water is returned to the circulation pump, a thermostatic balancing valve that automatically controls the flow through the riser or piping zone to maintain the domestic hot water supply temperature in the riser at a maximum of 10° Fahrenheit  lower than the design supply water temperature.</w:t>
      </w:r>
    </w:p>
    <w:p w14:paraId="59FE909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4.  A variable speed circulation pump that automatically adjusts speed to reduce flow to maintain a constant pressure.</w:t>
      </w:r>
    </w:p>
    <w:p w14:paraId="15FD7820" w14:textId="77777777" w:rsidR="006B4A66" w:rsidRPr="006B4A66" w:rsidRDefault="006B4A66" w:rsidP="00BD15DC">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color w:val="000000"/>
          <w:kern w:val="0"/>
          <w:sz w:val="24"/>
          <w14:ligatures w14:val="none"/>
        </w:rPr>
        <w:t>EXECPTION:</w:t>
      </w:r>
      <w:r w:rsidRPr="006B4A66">
        <w:rPr>
          <w:rFonts w:ascii="Times New Roman" w:eastAsia="Calibri" w:hAnsi="Times New Roman" w:cs="Times New Roman"/>
          <w:color w:val="000000"/>
          <w:kern w:val="0"/>
          <w:sz w:val="24"/>
          <w14:ligatures w14:val="none"/>
        </w:rPr>
        <w:t xml:space="preserve">  Multiple riser systems serving Group R and Group I occupancies are not required to have controls that automatically turn off the circulation pump.</w:t>
      </w:r>
    </w:p>
    <w:p w14:paraId="37F62EDB" w14:textId="0D6A3A96"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82.</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7A70491E"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Section C404.11.4 of the Washington State Energy Code is not adopted and the </w:t>
      </w:r>
      <w:r w:rsidRPr="006B4A66">
        <w:rPr>
          <w:rFonts w:ascii="Times New Roman" w:eastAsia="Calibri" w:hAnsi="Times New Roman" w:cs="Times New Roman"/>
          <w:color w:val="000000"/>
          <w:kern w:val="0"/>
          <w:sz w:val="24"/>
          <w14:ligatures w14:val="none"/>
        </w:rPr>
        <w:lastRenderedPageBreak/>
        <w:t>following is substituted:</w:t>
      </w:r>
    </w:p>
    <w:p w14:paraId="40B201A1" w14:textId="6F8EAC2E"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Heat recovery (WSEC C404.11.4).</w:t>
      </w:r>
      <w:r w:rsidRPr="006B4A66">
        <w:rPr>
          <w:rFonts w:ascii="Times New Roman" w:eastAsia="Calibri" w:hAnsi="Times New Roman" w:cs="Times New Roman"/>
          <w:color w:val="000000"/>
          <w:kern w:val="0"/>
          <w:sz w:val="24"/>
          <w14:ligatures w14:val="none"/>
        </w:rPr>
        <w:t xml:space="preserve">  Heated indoor swimming pools, spas, or hot tubs with water surface area greater than 200 square feet (18.6 square meters) shall provide for energy conservation by an exhaust air heat recovery system that heats ventilation air, pool water, or domestic hot water.  The heat recovery system shall be configured to decrease the exhaust air temperature at design heating conditions of 80° Fahrenheit indoors by 36° Fahrenheit.</w:t>
      </w:r>
    </w:p>
    <w:p w14:paraId="07F54F8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w:t>
      </w:r>
      <w:r w:rsidRPr="006B4A66">
        <w:rPr>
          <w:rFonts w:ascii="Times New Roman" w:eastAsia="Calibri" w:hAnsi="Times New Roman" w:cs="Times New Roman"/>
          <w:color w:val="000000"/>
          <w:kern w:val="0"/>
          <w:sz w:val="24"/>
          <w14:ligatures w14:val="none"/>
        </w:rPr>
        <w:t xml:space="preserve">  Pools, spas, or hot tubs that include system(s) that provide equivalent recovered energy on an annual basis through one of the following methods:</w:t>
      </w:r>
    </w:p>
    <w:p w14:paraId="68F910A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Solar water heating systems not claimed in WSEC C406.2.5, C407, or C411;</w:t>
      </w:r>
    </w:p>
    <w:p w14:paraId="36001D3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Dehumidification heat recovery;</w:t>
      </w:r>
    </w:p>
    <w:p w14:paraId="3D6CFB2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3.  Waste heat recovery; or</w:t>
      </w:r>
    </w:p>
    <w:p w14:paraId="18EBE7E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4.  A combination of these system sources capable of and configured to provide at least 70 percent of the heating energy required over an operating season.</w:t>
      </w:r>
    </w:p>
    <w:p w14:paraId="2D2C4F80" w14:textId="3F564ECE"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83.</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17F2BF63"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C405.1 of the Washington State Energy Code is not adopted and the following is substituted:</w:t>
      </w:r>
    </w:p>
    <w:p w14:paraId="56A5034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General (WSEC C405.1).</w:t>
      </w:r>
      <w:r w:rsidRPr="006B4A66">
        <w:rPr>
          <w:rFonts w:ascii="Times New Roman" w:eastAsia="Calibri" w:hAnsi="Times New Roman" w:cs="Times New Roman"/>
          <w:color w:val="000000"/>
          <w:kern w:val="0"/>
          <w:sz w:val="24"/>
          <w14:ligatures w14:val="none"/>
        </w:rPr>
        <w:t xml:space="preserve">  Lighting system controls, the maximum lighting power for interior and exterior applications, electrical energy consumption, vertical and horizontal transportation systems, and minimum efficiencies for motors and transformers shall comply with this section.  Receptacles shall be controlled according to Section C405.10.  Controlled receptacles and lighting systems shall be commissioned according </w:t>
      </w:r>
      <w:r w:rsidRPr="006B4A66">
        <w:rPr>
          <w:rFonts w:ascii="Times New Roman" w:eastAsia="Calibri" w:hAnsi="Times New Roman" w:cs="Times New Roman"/>
          <w:color w:val="000000"/>
          <w:kern w:val="0"/>
          <w:sz w:val="24"/>
          <w14:ligatures w14:val="none"/>
        </w:rPr>
        <w:lastRenderedPageBreak/>
        <w:t>to Section C405.12.  Solar readiness shall be provided according to Section C411 and renewable energy shall be provided according to Section C412.</w:t>
      </w:r>
    </w:p>
    <w:p w14:paraId="137C354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Dwelling units shall comply with Sections C405.1.1 and C405.7.</w:t>
      </w:r>
    </w:p>
    <w:p w14:paraId="1F14C74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Sleeping units shall comply with WSEC C405.2.6, item 2, and WSEC C405.1.1, or C405.4.</w:t>
      </w:r>
    </w:p>
    <w:p w14:paraId="7B2CAFA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General lighting shall consist of all lighting included when calculating the total connected interior lighting power in accordance with WSEC C405.4.1 and which does not require specific application controls in accordance with WSEC C405.2.5.</w:t>
      </w:r>
    </w:p>
    <w:p w14:paraId="7C5B657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Lighting installed in walk-in coolers, walk-in freezers, refrigerated warehouse coolers, and refrigerated warehouse freezers shall comply with the lighting requirements of WSEC C410.2.</w:t>
      </w:r>
    </w:p>
    <w:p w14:paraId="59518C1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Transformers, uninterruptable power supplies, motors, and electrical power processing equipment in data center systems shall comply with Section 8 of ASHRAE Standard 90.4 in addition to this code.</w:t>
      </w:r>
    </w:p>
    <w:p w14:paraId="2877DE7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w:t>
      </w:r>
      <w:r w:rsidRPr="006B4A66">
        <w:rPr>
          <w:rFonts w:ascii="Times New Roman" w:eastAsia="Calibri" w:hAnsi="Times New Roman" w:cs="Times New Roman"/>
          <w:color w:val="000000"/>
          <w:kern w:val="0"/>
          <w:sz w:val="24"/>
          <w14:ligatures w14:val="none"/>
        </w:rPr>
        <w:t xml:space="preserve">  Energy using equipment used by a manufacturing, industrial, or commercial process other than maintaining comfort and amenities for the occupants are exempt from all Section C405 subsections except Section C405.8.  Data center and computer room HVAC equipment is not covered by this exemption.</w:t>
      </w:r>
    </w:p>
    <w:p w14:paraId="199E571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0"/>
          <w:szCs w:val="20"/>
          <w14:ligatures w14:val="none"/>
        </w:rPr>
        <w:tab/>
      </w:r>
      <w:r w:rsidRPr="006B4A66">
        <w:rPr>
          <w:rFonts w:ascii="Times New Roman" w:eastAsia="Calibri" w:hAnsi="Times New Roman" w:cs="Times New Roman"/>
          <w:b/>
          <w:bCs/>
          <w:color w:val="000000"/>
          <w:kern w:val="0"/>
          <w:sz w:val="24"/>
          <w14:ligatures w14:val="none"/>
        </w:rPr>
        <w:t>C405.1.1</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b/>
          <w:bCs/>
          <w:color w:val="000000"/>
          <w:kern w:val="0"/>
          <w:sz w:val="24"/>
          <w14:ligatures w14:val="none"/>
        </w:rPr>
        <w:t>Lighting for dwelling and sleeping units.</w:t>
      </w:r>
      <w:r w:rsidRPr="006B4A66">
        <w:rPr>
          <w:rFonts w:ascii="Times New Roman" w:eastAsia="Calibri" w:hAnsi="Times New Roman" w:cs="Times New Roman"/>
          <w:color w:val="000000"/>
          <w:kern w:val="0"/>
          <w:sz w:val="24"/>
          <w14:ligatures w14:val="none"/>
        </w:rPr>
        <w:t xml:space="preserve">  No less than 90 percent of the permanently installed lighting serving dwelling units or sleeping units, excluding kitchen appliance lighting, shall be provided by lamps with a minimum efficacy of 65 lumens per watt or luminaires with an efficacy of not less than 45 lumens per watt.</w:t>
      </w:r>
    </w:p>
    <w:p w14:paraId="6A8001B8" w14:textId="6D1A0528"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0"/>
          <w14:ligatures w14:val="none"/>
        </w:rPr>
      </w:pPr>
      <w:r w:rsidRPr="006B4A66">
        <w:rPr>
          <w:rFonts w:ascii="Times New Roman" w:eastAsia="Times New Roman" w:hAnsi="Times New Roman" w:cs="Times New Roman"/>
          <w:color w:val="000000"/>
          <w:kern w:val="0"/>
          <w:sz w:val="24"/>
          <w:szCs w:val="24"/>
          <w14:ligatures w14:val="none"/>
        </w:rPr>
        <w:lastRenderedPageBreak/>
        <w:tab/>
      </w:r>
      <w:r w:rsidRPr="006B4A66">
        <w:rPr>
          <w:rFonts w:ascii="Times New Roman" w:eastAsia="Times New Roman" w:hAnsi="Times New Roman" w:cs="Times New Roman"/>
          <w:color w:val="000000"/>
          <w:kern w:val="0"/>
          <w:sz w:val="24"/>
          <w:szCs w:val="20"/>
          <w:u w:val="single"/>
          <w14:ligatures w14:val="none"/>
        </w:rPr>
        <w:t>NEW SECTION.  SECTION 84.</w:t>
      </w:r>
      <w:r w:rsidRPr="006B4A66">
        <w:rPr>
          <w:rFonts w:ascii="Times New Roman" w:eastAsia="Times New Roman" w:hAnsi="Times New Roman" w:cs="Times New Roman"/>
          <w:color w:val="000000"/>
          <w:kern w:val="0"/>
          <w:sz w:val="24"/>
          <w:szCs w:val="20"/>
          <w14:ligatures w14:val="none"/>
        </w:rPr>
        <w:t xml:space="preserve">  There is hereby added to K.C.C. chapter 16.07 a new section to read as follows:</w:t>
      </w:r>
    </w:p>
    <w:p w14:paraId="4BCECD0E"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Table C405.2.1 of the Washington State Energy Code is not adopted and the following is substituted:</w:t>
      </w:r>
    </w:p>
    <w:p w14:paraId="579D6A6D" w14:textId="77777777" w:rsidR="006B4A66" w:rsidRPr="006B4A66" w:rsidRDefault="006B4A66" w:rsidP="0073496A">
      <w:pPr>
        <w:spacing w:after="0" w:line="480" w:lineRule="auto"/>
        <w:jc w:val="center"/>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Table C405.2.1</w:t>
      </w:r>
    </w:p>
    <w:p w14:paraId="4D08B75B" w14:textId="77777777" w:rsidR="006B4A66" w:rsidRPr="006B4A66" w:rsidRDefault="006B4A66" w:rsidP="0073496A">
      <w:pPr>
        <w:spacing w:after="0" w:line="480" w:lineRule="auto"/>
        <w:jc w:val="center"/>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Occupant Sensor Compliance Requirements for Space Types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60"/>
        <w:gridCol w:w="3030"/>
      </w:tblGrid>
      <w:tr w:rsidR="006B4A66" w:rsidRPr="006B4A66" w14:paraId="25D4F2CF" w14:textId="77777777">
        <w:trPr>
          <w:cantSplit/>
          <w:trHeight w:val="18"/>
          <w:tblHeader/>
          <w:jc w:val="center"/>
        </w:trPr>
        <w:tc>
          <w:tcPr>
            <w:tcW w:w="3560" w:type="dxa"/>
            <w:tcMar>
              <w:top w:w="40" w:type="dxa"/>
              <w:left w:w="120" w:type="dxa"/>
              <w:bottom w:w="40" w:type="dxa"/>
              <w:right w:w="120" w:type="dxa"/>
            </w:tcMar>
          </w:tcPr>
          <w:p w14:paraId="626EFD24" w14:textId="4F243639" w:rsidR="006B4A66" w:rsidRPr="006B4A66" w:rsidRDefault="006B4A66" w:rsidP="0073496A">
            <w:pPr>
              <w:spacing w:after="0" w:line="480" w:lineRule="auto"/>
              <w:rPr>
                <w:rFonts w:ascii="Times New Roman" w:eastAsia="Calibri" w:hAnsi="Times New Roman" w:cs="Times New Roman"/>
                <w:b/>
                <w:color w:val="000000"/>
                <w:kern w:val="0"/>
                <w:sz w:val="24"/>
                <w14:ligatures w14:val="none"/>
              </w:rPr>
            </w:pPr>
            <w:r w:rsidRPr="006B4A66">
              <w:rPr>
                <w:rFonts w:ascii="Times New Roman" w:eastAsia="Calibri" w:hAnsi="Times New Roman" w:cs="Times New Roman"/>
                <w:b/>
                <w:color w:val="000000"/>
                <w:kern w:val="0"/>
                <w:sz w:val="24"/>
                <w14:ligatures w14:val="none"/>
              </w:rPr>
              <w:t>Space type</w:t>
            </w:r>
            <w:r w:rsidR="00ED3576">
              <w:rPr>
                <w:rFonts w:ascii="Times New Roman" w:eastAsia="Calibri" w:hAnsi="Times New Roman" w:cs="Times New Roman"/>
                <w:b/>
                <w:color w:val="000000"/>
                <w:kern w:val="0"/>
                <w:sz w:val="24"/>
                <w:vertAlign w:val="superscript"/>
                <w14:ligatures w14:val="none"/>
              </w:rPr>
              <w:t>a</w:t>
            </w:r>
          </w:p>
        </w:tc>
        <w:tc>
          <w:tcPr>
            <w:tcW w:w="3030" w:type="dxa"/>
            <w:tcMar>
              <w:top w:w="40" w:type="dxa"/>
              <w:left w:w="120" w:type="dxa"/>
              <w:bottom w:w="40" w:type="dxa"/>
              <w:right w:w="120" w:type="dxa"/>
            </w:tcMar>
          </w:tcPr>
          <w:p w14:paraId="56F23B2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Comply with Section</w:t>
            </w:r>
          </w:p>
        </w:tc>
      </w:tr>
      <w:tr w:rsidR="006B4A66" w:rsidRPr="006B4A66" w14:paraId="2C6EA876" w14:textId="77777777">
        <w:trPr>
          <w:jc w:val="center"/>
        </w:trPr>
        <w:tc>
          <w:tcPr>
            <w:tcW w:w="3560" w:type="dxa"/>
            <w:tcMar>
              <w:top w:w="40" w:type="dxa"/>
              <w:left w:w="120" w:type="dxa"/>
              <w:bottom w:w="40" w:type="dxa"/>
              <w:right w:w="120" w:type="dxa"/>
            </w:tcMar>
          </w:tcPr>
          <w:p w14:paraId="7573B14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Classrooms/lecture/training rooms</w:t>
            </w:r>
          </w:p>
        </w:tc>
        <w:tc>
          <w:tcPr>
            <w:tcW w:w="3030" w:type="dxa"/>
            <w:tcMar>
              <w:top w:w="40" w:type="dxa"/>
              <w:left w:w="120" w:type="dxa"/>
              <w:bottom w:w="40" w:type="dxa"/>
              <w:right w:w="120" w:type="dxa"/>
            </w:tcMar>
          </w:tcPr>
          <w:p w14:paraId="72651F4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C405.2.1.1</w:t>
            </w:r>
          </w:p>
        </w:tc>
      </w:tr>
      <w:tr w:rsidR="006B4A66" w:rsidRPr="006B4A66" w14:paraId="1AEE4C04" w14:textId="77777777">
        <w:trPr>
          <w:jc w:val="center"/>
        </w:trPr>
        <w:tc>
          <w:tcPr>
            <w:tcW w:w="3560" w:type="dxa"/>
            <w:tcMar>
              <w:top w:w="40" w:type="dxa"/>
              <w:left w:w="120" w:type="dxa"/>
              <w:bottom w:w="40" w:type="dxa"/>
              <w:right w:w="120" w:type="dxa"/>
            </w:tcMar>
          </w:tcPr>
          <w:p w14:paraId="2C41887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Conference/meeting/multipurpose rooms</w:t>
            </w:r>
          </w:p>
        </w:tc>
        <w:tc>
          <w:tcPr>
            <w:tcW w:w="3030" w:type="dxa"/>
            <w:tcMar>
              <w:top w:w="40" w:type="dxa"/>
              <w:left w:w="120" w:type="dxa"/>
              <w:bottom w:w="40" w:type="dxa"/>
              <w:right w:w="120" w:type="dxa"/>
            </w:tcMar>
          </w:tcPr>
          <w:p w14:paraId="691D0FA6"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C405.2.1.1</w:t>
            </w:r>
          </w:p>
        </w:tc>
      </w:tr>
      <w:tr w:rsidR="006B4A66" w:rsidRPr="006B4A66" w14:paraId="306918DD" w14:textId="77777777">
        <w:trPr>
          <w:jc w:val="center"/>
        </w:trPr>
        <w:tc>
          <w:tcPr>
            <w:tcW w:w="3560" w:type="dxa"/>
            <w:tcMar>
              <w:top w:w="40" w:type="dxa"/>
              <w:left w:w="120" w:type="dxa"/>
              <w:bottom w:w="40" w:type="dxa"/>
              <w:right w:w="120" w:type="dxa"/>
            </w:tcMar>
          </w:tcPr>
          <w:p w14:paraId="42E700D5"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Copy/print rooms</w:t>
            </w:r>
          </w:p>
        </w:tc>
        <w:tc>
          <w:tcPr>
            <w:tcW w:w="3030" w:type="dxa"/>
            <w:tcMar>
              <w:top w:w="40" w:type="dxa"/>
              <w:left w:w="120" w:type="dxa"/>
              <w:bottom w:w="40" w:type="dxa"/>
              <w:right w:w="120" w:type="dxa"/>
            </w:tcMar>
          </w:tcPr>
          <w:p w14:paraId="3317BAE1"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C405.2.1.1</w:t>
            </w:r>
          </w:p>
        </w:tc>
      </w:tr>
      <w:tr w:rsidR="006B4A66" w:rsidRPr="006B4A66" w14:paraId="5761C07E" w14:textId="77777777">
        <w:trPr>
          <w:jc w:val="center"/>
        </w:trPr>
        <w:tc>
          <w:tcPr>
            <w:tcW w:w="3560" w:type="dxa"/>
            <w:tcMar>
              <w:top w:w="40" w:type="dxa"/>
              <w:left w:w="120" w:type="dxa"/>
              <w:bottom w:w="40" w:type="dxa"/>
              <w:right w:w="120" w:type="dxa"/>
            </w:tcMar>
          </w:tcPr>
          <w:p w14:paraId="4AEBA8E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Lounge/breakrooms</w:t>
            </w:r>
          </w:p>
        </w:tc>
        <w:tc>
          <w:tcPr>
            <w:tcW w:w="3030" w:type="dxa"/>
            <w:tcMar>
              <w:top w:w="40" w:type="dxa"/>
              <w:left w:w="120" w:type="dxa"/>
              <w:bottom w:w="40" w:type="dxa"/>
              <w:right w:w="120" w:type="dxa"/>
            </w:tcMar>
          </w:tcPr>
          <w:p w14:paraId="4DBC99B6"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C405.2.1.1</w:t>
            </w:r>
          </w:p>
        </w:tc>
      </w:tr>
      <w:tr w:rsidR="006B4A66" w:rsidRPr="006B4A66" w14:paraId="7E4C6B9C" w14:textId="77777777">
        <w:trPr>
          <w:jc w:val="center"/>
        </w:trPr>
        <w:tc>
          <w:tcPr>
            <w:tcW w:w="3560" w:type="dxa"/>
            <w:tcMar>
              <w:top w:w="40" w:type="dxa"/>
              <w:left w:w="120" w:type="dxa"/>
              <w:bottom w:w="40" w:type="dxa"/>
              <w:right w:w="120" w:type="dxa"/>
            </w:tcMar>
          </w:tcPr>
          <w:p w14:paraId="5C2298C2"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Enclosed offices</w:t>
            </w:r>
          </w:p>
        </w:tc>
        <w:tc>
          <w:tcPr>
            <w:tcW w:w="3030" w:type="dxa"/>
            <w:tcMar>
              <w:top w:w="40" w:type="dxa"/>
              <w:left w:w="120" w:type="dxa"/>
              <w:bottom w:w="40" w:type="dxa"/>
              <w:right w:w="120" w:type="dxa"/>
            </w:tcMar>
          </w:tcPr>
          <w:p w14:paraId="364B3566"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C405.2.1.1</w:t>
            </w:r>
          </w:p>
        </w:tc>
      </w:tr>
      <w:tr w:rsidR="006B4A66" w:rsidRPr="006B4A66" w14:paraId="612C3BD4" w14:textId="77777777">
        <w:trPr>
          <w:jc w:val="center"/>
        </w:trPr>
        <w:tc>
          <w:tcPr>
            <w:tcW w:w="3560" w:type="dxa"/>
            <w:tcMar>
              <w:top w:w="40" w:type="dxa"/>
              <w:left w:w="120" w:type="dxa"/>
              <w:bottom w:w="40" w:type="dxa"/>
              <w:right w:w="120" w:type="dxa"/>
            </w:tcMar>
          </w:tcPr>
          <w:p w14:paraId="54C92C8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Open plan office areas</w:t>
            </w:r>
          </w:p>
        </w:tc>
        <w:tc>
          <w:tcPr>
            <w:tcW w:w="3030" w:type="dxa"/>
            <w:tcMar>
              <w:top w:w="40" w:type="dxa"/>
              <w:left w:w="120" w:type="dxa"/>
              <w:bottom w:w="40" w:type="dxa"/>
              <w:right w:w="120" w:type="dxa"/>
            </w:tcMar>
          </w:tcPr>
          <w:p w14:paraId="44BEA77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C405.2.1.3</w:t>
            </w:r>
          </w:p>
        </w:tc>
      </w:tr>
      <w:tr w:rsidR="006B4A66" w:rsidRPr="006B4A66" w14:paraId="0066010A" w14:textId="77777777">
        <w:trPr>
          <w:jc w:val="center"/>
        </w:trPr>
        <w:tc>
          <w:tcPr>
            <w:tcW w:w="3560" w:type="dxa"/>
            <w:tcMar>
              <w:top w:w="40" w:type="dxa"/>
              <w:left w:w="120" w:type="dxa"/>
              <w:bottom w:w="40" w:type="dxa"/>
              <w:right w:w="120" w:type="dxa"/>
            </w:tcMar>
          </w:tcPr>
          <w:p w14:paraId="7900108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Restrooms</w:t>
            </w:r>
          </w:p>
        </w:tc>
        <w:tc>
          <w:tcPr>
            <w:tcW w:w="3030" w:type="dxa"/>
            <w:tcMar>
              <w:top w:w="40" w:type="dxa"/>
              <w:left w:w="120" w:type="dxa"/>
              <w:bottom w:w="40" w:type="dxa"/>
              <w:right w:w="120" w:type="dxa"/>
            </w:tcMar>
          </w:tcPr>
          <w:p w14:paraId="1287D79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C405.2.1.1</w:t>
            </w:r>
          </w:p>
        </w:tc>
      </w:tr>
      <w:tr w:rsidR="006B4A66" w:rsidRPr="006B4A66" w14:paraId="2769B42D" w14:textId="77777777">
        <w:trPr>
          <w:jc w:val="center"/>
        </w:trPr>
        <w:tc>
          <w:tcPr>
            <w:tcW w:w="3560" w:type="dxa"/>
            <w:tcMar>
              <w:top w:w="40" w:type="dxa"/>
              <w:left w:w="120" w:type="dxa"/>
              <w:bottom w:w="40" w:type="dxa"/>
              <w:right w:w="120" w:type="dxa"/>
            </w:tcMar>
          </w:tcPr>
          <w:p w14:paraId="64429FE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Storage rooms</w:t>
            </w:r>
          </w:p>
        </w:tc>
        <w:tc>
          <w:tcPr>
            <w:tcW w:w="3030" w:type="dxa"/>
            <w:tcMar>
              <w:top w:w="40" w:type="dxa"/>
              <w:left w:w="120" w:type="dxa"/>
              <w:bottom w:w="40" w:type="dxa"/>
              <w:right w:w="120" w:type="dxa"/>
            </w:tcMar>
          </w:tcPr>
          <w:p w14:paraId="6AFDD88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C405.2.1.1</w:t>
            </w:r>
          </w:p>
        </w:tc>
      </w:tr>
      <w:tr w:rsidR="006B4A66" w:rsidRPr="006B4A66" w14:paraId="455D3B1E" w14:textId="77777777">
        <w:trPr>
          <w:jc w:val="center"/>
        </w:trPr>
        <w:tc>
          <w:tcPr>
            <w:tcW w:w="3560" w:type="dxa"/>
            <w:tcMar>
              <w:top w:w="40" w:type="dxa"/>
              <w:left w:w="120" w:type="dxa"/>
              <w:bottom w:w="40" w:type="dxa"/>
              <w:right w:w="120" w:type="dxa"/>
            </w:tcMar>
          </w:tcPr>
          <w:p w14:paraId="1D31EE1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Locker rooms</w:t>
            </w:r>
          </w:p>
        </w:tc>
        <w:tc>
          <w:tcPr>
            <w:tcW w:w="3030" w:type="dxa"/>
            <w:tcMar>
              <w:top w:w="40" w:type="dxa"/>
              <w:left w:w="120" w:type="dxa"/>
              <w:bottom w:w="40" w:type="dxa"/>
              <w:right w:w="120" w:type="dxa"/>
            </w:tcMar>
          </w:tcPr>
          <w:p w14:paraId="1F88276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C405.2.1.1</w:t>
            </w:r>
          </w:p>
        </w:tc>
      </w:tr>
      <w:tr w:rsidR="006B4A66" w:rsidRPr="006B4A66" w14:paraId="044E8BE6" w14:textId="77777777">
        <w:trPr>
          <w:jc w:val="center"/>
        </w:trPr>
        <w:tc>
          <w:tcPr>
            <w:tcW w:w="3560" w:type="dxa"/>
            <w:tcMar>
              <w:top w:w="40" w:type="dxa"/>
              <w:left w:w="120" w:type="dxa"/>
              <w:bottom w:w="40" w:type="dxa"/>
              <w:right w:w="120" w:type="dxa"/>
            </w:tcMar>
          </w:tcPr>
          <w:p w14:paraId="24B1C26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Other spaces 300 square feet (28 m</w:t>
            </w:r>
            <w:r w:rsidRPr="006B4A66">
              <w:rPr>
                <w:rFonts w:ascii="Times New Roman" w:eastAsia="Calibri" w:hAnsi="Times New Roman" w:cs="Times New Roman"/>
                <w:color w:val="000000"/>
                <w:kern w:val="0"/>
                <w:sz w:val="24"/>
                <w:vertAlign w:val="superscript"/>
                <w14:ligatures w14:val="none"/>
              </w:rPr>
              <w:t>2</w:t>
            </w:r>
            <w:r w:rsidRPr="006B4A66">
              <w:rPr>
                <w:rFonts w:ascii="Times New Roman" w:eastAsia="Calibri" w:hAnsi="Times New Roman" w:cs="Times New Roman"/>
                <w:color w:val="000000"/>
                <w:kern w:val="0"/>
                <w:sz w:val="24"/>
                <w14:ligatures w14:val="none"/>
              </w:rPr>
              <w:t>) or less that are enclosed by</w:t>
            </w:r>
          </w:p>
          <w:p w14:paraId="527C588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floor-to-ceiling height partitions</w:t>
            </w:r>
          </w:p>
        </w:tc>
        <w:tc>
          <w:tcPr>
            <w:tcW w:w="3030" w:type="dxa"/>
            <w:tcMar>
              <w:top w:w="40" w:type="dxa"/>
              <w:left w:w="120" w:type="dxa"/>
              <w:bottom w:w="40" w:type="dxa"/>
              <w:right w:w="120" w:type="dxa"/>
            </w:tcMar>
            <w:vAlign w:val="center"/>
          </w:tcPr>
          <w:p w14:paraId="075C8B09"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C405.2.1.1</w:t>
            </w:r>
          </w:p>
        </w:tc>
      </w:tr>
      <w:tr w:rsidR="006B4A66" w:rsidRPr="006B4A66" w14:paraId="71E8CEBC" w14:textId="77777777">
        <w:trPr>
          <w:jc w:val="center"/>
        </w:trPr>
        <w:tc>
          <w:tcPr>
            <w:tcW w:w="3560" w:type="dxa"/>
            <w:tcMar>
              <w:top w:w="40" w:type="dxa"/>
              <w:left w:w="120" w:type="dxa"/>
              <w:bottom w:w="40" w:type="dxa"/>
              <w:right w:w="120" w:type="dxa"/>
            </w:tcMar>
          </w:tcPr>
          <w:p w14:paraId="5459AFC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Warehouse storage areas</w:t>
            </w:r>
          </w:p>
        </w:tc>
        <w:tc>
          <w:tcPr>
            <w:tcW w:w="3030" w:type="dxa"/>
            <w:tcMar>
              <w:top w:w="40" w:type="dxa"/>
              <w:left w:w="120" w:type="dxa"/>
              <w:bottom w:w="40" w:type="dxa"/>
              <w:right w:w="120" w:type="dxa"/>
            </w:tcMar>
          </w:tcPr>
          <w:p w14:paraId="0FBA1CA0"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C405.2.1.2</w:t>
            </w:r>
          </w:p>
        </w:tc>
      </w:tr>
      <w:tr w:rsidR="006B4A66" w:rsidRPr="006B4A66" w14:paraId="2D713E14" w14:textId="77777777">
        <w:trPr>
          <w:jc w:val="center"/>
        </w:trPr>
        <w:tc>
          <w:tcPr>
            <w:tcW w:w="3560" w:type="dxa"/>
            <w:tcMar>
              <w:top w:w="40" w:type="dxa"/>
              <w:left w:w="120" w:type="dxa"/>
              <w:bottom w:w="40" w:type="dxa"/>
              <w:right w:w="120" w:type="dxa"/>
            </w:tcMar>
          </w:tcPr>
          <w:p w14:paraId="0B4FED5F"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Library stacks</w:t>
            </w:r>
          </w:p>
        </w:tc>
        <w:tc>
          <w:tcPr>
            <w:tcW w:w="3030" w:type="dxa"/>
            <w:tcMar>
              <w:top w:w="40" w:type="dxa"/>
              <w:left w:w="120" w:type="dxa"/>
              <w:bottom w:w="40" w:type="dxa"/>
              <w:right w:w="120" w:type="dxa"/>
            </w:tcMar>
          </w:tcPr>
          <w:p w14:paraId="14521EB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C405.2.1.2</w:t>
            </w:r>
          </w:p>
        </w:tc>
      </w:tr>
      <w:tr w:rsidR="006B4A66" w:rsidRPr="006B4A66" w14:paraId="113F6969" w14:textId="77777777">
        <w:trPr>
          <w:jc w:val="center"/>
        </w:trPr>
        <w:tc>
          <w:tcPr>
            <w:tcW w:w="3560" w:type="dxa"/>
            <w:tcMar>
              <w:top w:w="40" w:type="dxa"/>
              <w:left w:w="120" w:type="dxa"/>
              <w:bottom w:w="40" w:type="dxa"/>
              <w:right w:w="120" w:type="dxa"/>
            </w:tcMar>
          </w:tcPr>
          <w:p w14:paraId="6C6758CF"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Enclosed fire rated stairways</w:t>
            </w:r>
          </w:p>
        </w:tc>
        <w:tc>
          <w:tcPr>
            <w:tcW w:w="3030" w:type="dxa"/>
            <w:tcMar>
              <w:top w:w="40" w:type="dxa"/>
              <w:left w:w="120" w:type="dxa"/>
              <w:bottom w:w="40" w:type="dxa"/>
              <w:right w:w="120" w:type="dxa"/>
            </w:tcMar>
          </w:tcPr>
          <w:p w14:paraId="53C6EB5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C405.2.1.4</w:t>
            </w:r>
          </w:p>
        </w:tc>
      </w:tr>
      <w:tr w:rsidR="006B4A66" w:rsidRPr="006B4A66" w14:paraId="674B8143" w14:textId="77777777">
        <w:trPr>
          <w:jc w:val="center"/>
        </w:trPr>
        <w:tc>
          <w:tcPr>
            <w:tcW w:w="3560" w:type="dxa"/>
            <w:tcMar>
              <w:top w:w="40" w:type="dxa"/>
              <w:left w:w="120" w:type="dxa"/>
              <w:bottom w:w="40" w:type="dxa"/>
              <w:right w:w="120" w:type="dxa"/>
            </w:tcMar>
          </w:tcPr>
          <w:p w14:paraId="48BB9DD6"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Corridors</w:t>
            </w:r>
          </w:p>
        </w:tc>
        <w:tc>
          <w:tcPr>
            <w:tcW w:w="3030" w:type="dxa"/>
            <w:tcMar>
              <w:top w:w="40" w:type="dxa"/>
              <w:left w:w="120" w:type="dxa"/>
              <w:bottom w:w="40" w:type="dxa"/>
              <w:right w:w="120" w:type="dxa"/>
            </w:tcMar>
          </w:tcPr>
          <w:p w14:paraId="60A2F986"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C405.2.1.5</w:t>
            </w:r>
          </w:p>
        </w:tc>
      </w:tr>
      <w:tr w:rsidR="006B4A66" w:rsidRPr="006B4A66" w14:paraId="205D75B3" w14:textId="77777777">
        <w:trPr>
          <w:jc w:val="center"/>
        </w:trPr>
        <w:tc>
          <w:tcPr>
            <w:tcW w:w="3560" w:type="dxa"/>
            <w:tcMar>
              <w:top w:w="40" w:type="dxa"/>
              <w:left w:w="120" w:type="dxa"/>
              <w:bottom w:w="40" w:type="dxa"/>
              <w:right w:w="120" w:type="dxa"/>
            </w:tcMar>
          </w:tcPr>
          <w:p w14:paraId="56AAE3A5"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Covered parking</w:t>
            </w:r>
          </w:p>
        </w:tc>
        <w:tc>
          <w:tcPr>
            <w:tcW w:w="3030" w:type="dxa"/>
            <w:tcMar>
              <w:top w:w="40" w:type="dxa"/>
              <w:left w:w="120" w:type="dxa"/>
              <w:bottom w:w="40" w:type="dxa"/>
              <w:right w:w="120" w:type="dxa"/>
            </w:tcMar>
          </w:tcPr>
          <w:p w14:paraId="74EC17E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C405.2.10</w:t>
            </w:r>
          </w:p>
        </w:tc>
      </w:tr>
    </w:tbl>
    <w:p w14:paraId="3C790ED9"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Footnote:</w:t>
      </w:r>
    </w:p>
    <w:p w14:paraId="0B3B64DD" w14:textId="3B40F97B"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00ED3576">
        <w:rPr>
          <w:rFonts w:ascii="Times New Roman" w:eastAsia="Calibri" w:hAnsi="Times New Roman" w:cs="Times New Roman"/>
          <w:color w:val="000000"/>
          <w:kern w:val="0"/>
          <w:sz w:val="24"/>
          <w14:ligatures w14:val="none"/>
        </w:rPr>
        <w:t>a</w:t>
      </w:r>
      <w:r w:rsidRPr="006B4A66">
        <w:rPr>
          <w:rFonts w:ascii="Times New Roman" w:eastAsia="Calibri" w:hAnsi="Times New Roman" w:cs="Times New Roman"/>
          <w:color w:val="000000"/>
          <w:kern w:val="0"/>
          <w:sz w:val="24"/>
          <w14:ligatures w14:val="none"/>
        </w:rPr>
        <w:t>.  The space types listed include other spaces with substantially similar uses.</w:t>
      </w:r>
    </w:p>
    <w:p w14:paraId="00993773" w14:textId="1A44C4F2"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85.</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10F0DCFE"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C405.2.1.2 of the Washington State Energy Code is not adopted and the following is substituted:</w:t>
      </w:r>
    </w:p>
    <w:p w14:paraId="035AC82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Occupant sensor control function in warehouse storage areas and library stacks (</w:t>
      </w:r>
      <w:r w:rsidRPr="006B4A66">
        <w:rPr>
          <w:rFonts w:ascii="Times New Roman" w:eastAsia="Calibri" w:hAnsi="Times New Roman" w:cs="Times New Roman"/>
          <w:b/>
          <w:color w:val="000000"/>
          <w:kern w:val="0"/>
          <w:sz w:val="24"/>
          <w14:ligatures w14:val="none"/>
        </w:rPr>
        <w:t>WSEC</w:t>
      </w:r>
      <w:r w:rsidRPr="006B4A66">
        <w:rPr>
          <w:rFonts w:ascii="Times New Roman" w:eastAsia="Calibri" w:hAnsi="Times New Roman" w:cs="Times New Roman"/>
          <w:b/>
          <w:bCs/>
          <w:color w:val="000000"/>
          <w:kern w:val="0"/>
          <w:sz w:val="24"/>
          <w14:ligatures w14:val="none"/>
        </w:rPr>
        <w:t xml:space="preserve"> C405.2.1.2).</w:t>
      </w:r>
      <w:r w:rsidRPr="006B4A66">
        <w:rPr>
          <w:rFonts w:ascii="Times New Roman" w:eastAsia="Calibri" w:hAnsi="Times New Roman" w:cs="Times New Roman"/>
          <w:color w:val="000000"/>
          <w:kern w:val="0"/>
          <w:sz w:val="24"/>
          <w14:ligatures w14:val="none"/>
        </w:rPr>
        <w:t xml:space="preserve">  Lighting in library stacks and warehouse storage areas shall be controlled as follows:</w:t>
      </w:r>
    </w:p>
    <w:p w14:paraId="4CBE4BC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Lighting in each aisleway shall be controlled independently of lighting in all other aisleways and open areas.</w:t>
      </w:r>
    </w:p>
    <w:p w14:paraId="3B6D5F2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Occupant sensors shall automatically reduce lighting power within each controlled area to an unoccupied setpoint of not more than 50 percent of full power within 20 minutes after all occupants have left the controlled area.</w:t>
      </w:r>
    </w:p>
    <w:p w14:paraId="6DE74AB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3.  Lights which are not turned off by occupant sensors shall comply with Section C405.2.2 to turn lighting off when the building is vacant.</w:t>
      </w:r>
    </w:p>
    <w:p w14:paraId="5D29D3C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4.  Restore lighting to full power or target light level when occupants enter the space.</w:t>
      </w:r>
    </w:p>
    <w:p w14:paraId="28AF356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5.  A manual control shall be provided to allow occupants to turn off lights in the space.</w:t>
      </w:r>
    </w:p>
    <w:p w14:paraId="64A10A75" w14:textId="5B4443AA"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86.</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111B1A6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C405.2.2 of the Washington State Energy Code is not adopted and the following is substituted:</w:t>
      </w:r>
    </w:p>
    <w:p w14:paraId="57CF8F9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Time switch controls (</w:t>
      </w:r>
      <w:r w:rsidRPr="006B4A66">
        <w:rPr>
          <w:rFonts w:ascii="Times New Roman" w:eastAsia="Calibri" w:hAnsi="Times New Roman" w:cs="Times New Roman"/>
          <w:b/>
          <w:color w:val="000000"/>
          <w:kern w:val="0"/>
          <w:sz w:val="24"/>
          <w14:ligatures w14:val="none"/>
        </w:rPr>
        <w:t>WSEC</w:t>
      </w:r>
      <w:r w:rsidRPr="006B4A66">
        <w:rPr>
          <w:rFonts w:ascii="Times New Roman" w:eastAsia="Calibri" w:hAnsi="Times New Roman" w:cs="Times New Roman"/>
          <w:b/>
          <w:bCs/>
          <w:color w:val="000000"/>
          <w:kern w:val="0"/>
          <w:sz w:val="24"/>
          <w14:ligatures w14:val="none"/>
        </w:rPr>
        <w:t xml:space="preserve"> 405.2.2).</w:t>
      </w:r>
      <w:r w:rsidRPr="006B4A66">
        <w:rPr>
          <w:rFonts w:ascii="Times New Roman" w:eastAsia="Calibri" w:hAnsi="Times New Roman" w:cs="Times New Roman"/>
          <w:color w:val="000000"/>
          <w:kern w:val="0"/>
          <w:sz w:val="24"/>
          <w14:ligatures w14:val="none"/>
        </w:rPr>
        <w:t xml:space="preserve">  Each area of the building that is not provided with occupant sensor controls complying with WSEC C405.2.1.1 through C405.2.1.5 shall be provided with time switch controls complying with WSEC C405.2.2.1.</w:t>
      </w:r>
    </w:p>
    <w:p w14:paraId="50C589D2" w14:textId="77777777" w:rsidR="006B4A66" w:rsidRPr="006B4A66" w:rsidRDefault="006B4A66" w:rsidP="0073496A">
      <w:pPr>
        <w:tabs>
          <w:tab w:val="left" w:pos="720"/>
        </w:tabs>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EXCEPTIONS:</w:t>
      </w:r>
    </w:p>
    <w:p w14:paraId="45452CE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Luminaires that are required to have specific application controls in accordance with WSEC C405.2.6 unless specifically required to comply with this section by WSEC C405.2.6.</w:t>
      </w:r>
    </w:p>
    <w:p w14:paraId="09D9990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Spaces where patient care is directly provided.</w:t>
      </w:r>
    </w:p>
    <w:p w14:paraId="7BD070F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3.  Spaces where an automatic shutoff would endanger occupant safety or security.</w:t>
      </w:r>
    </w:p>
    <w:p w14:paraId="068AA24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4.  Lighting intended for continuous operation.</w:t>
      </w:r>
    </w:p>
    <w:p w14:paraId="0F7F481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5.  Shop and laboratory classrooms.</w:t>
      </w:r>
    </w:p>
    <w:p w14:paraId="20FD883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C405.2.2.1 Time switch control function.</w:t>
      </w:r>
      <w:r w:rsidRPr="006B4A66">
        <w:rPr>
          <w:rFonts w:ascii="Times New Roman" w:eastAsia="Calibri" w:hAnsi="Times New Roman" w:cs="Times New Roman"/>
          <w:color w:val="000000"/>
          <w:kern w:val="0"/>
          <w:sz w:val="24"/>
          <w14:ligatures w14:val="none"/>
        </w:rPr>
        <w:t xml:space="preserve">  Time switch controls shall provide programmed shutoff for lighting when building areas are unoccupied and shall comply with the following:</w:t>
      </w:r>
    </w:p>
    <w:p w14:paraId="395EF14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  Have a minimum 7-day clock.</w:t>
      </w:r>
    </w:p>
    <w:p w14:paraId="0A5C22F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 xml:space="preserve">  2.  Be capable of being set for 7 different day types per week.</w:t>
      </w:r>
    </w:p>
    <w:p w14:paraId="0BB536B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3.  Incorporate an automatic holiday "shut-off" feature, which turns off all controlled lighting loads for at least 24 hours and then resumes normally scheduled operations.</w:t>
      </w:r>
    </w:p>
    <w:p w14:paraId="4200E90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4.  Have program back-up capabilities, which prevent the loss of program and time settings for at least 10 hours, if power is interrupted.</w:t>
      </w:r>
    </w:p>
    <w:p w14:paraId="37F9075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5.  Include an override switching device that complies with the following:</w:t>
      </w:r>
    </w:p>
    <w:p w14:paraId="679A6A5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5.1.  The override switch shall be a manual control;</w:t>
      </w:r>
    </w:p>
    <w:p w14:paraId="29EF7DF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5.2.  The override switch, when initiated, shall permit the controlled lighting to remain on for not more than 2 hours; and</w:t>
      </w:r>
    </w:p>
    <w:p w14:paraId="63C0B3E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5.3.  Any individual override switch shall control the lighting for an area not larger than 2,500 square feet (232.3 square meters).</w:t>
      </w:r>
    </w:p>
    <w:p w14:paraId="72C2040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6.  Time switch controls are allowed to automatically turn on lighting to full power in corridors, lobbies, restrooms, storage rooms less than 50 square feet (4.7 square meters), and medical areas of health care facilities. In all other spaces, time switch controls are allowed to automatically turn on the lighting to not more than 50 percent power.</w:t>
      </w:r>
    </w:p>
    <w:p w14:paraId="18213DF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w:t>
      </w:r>
      <w:r w:rsidRPr="006B4A66">
        <w:rPr>
          <w:rFonts w:ascii="Times New Roman" w:eastAsia="Calibri" w:hAnsi="Times New Roman" w:cs="Times New Roman"/>
          <w:color w:val="000000"/>
          <w:kern w:val="0"/>
          <w:sz w:val="24"/>
          <w14:ligatures w14:val="none"/>
        </w:rPr>
        <w:t xml:space="preserve">  Within mall concourses, auditoriums, sales areas, manufacturing facilities, pools, gymnasiums, skating rinks, and sports arenas:</w:t>
      </w:r>
    </w:p>
    <w:p w14:paraId="4E53C44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The time limit shall be permitted to be greater than 2 hours, provided the switch is a captive key device.</w:t>
      </w:r>
    </w:p>
    <w:p w14:paraId="7E9E1941" w14:textId="3DE7EB59"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2.  The area controlled by the override switch shall not be limited to 5,000 square feet (465 square meters), provided that such area is less than 20,000 square feet (1,858 square meters).</w:t>
      </w:r>
    </w:p>
    <w:p w14:paraId="123BD2AB" w14:textId="64E4C319"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87.</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1C0DADEF"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C405.2.3 of the Washington State Energy Code is not adopted and the following is substituted:</w:t>
      </w:r>
    </w:p>
    <w:p w14:paraId="53D66C0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Manual controls (</w:t>
      </w:r>
      <w:r w:rsidRPr="006B4A66">
        <w:rPr>
          <w:rFonts w:ascii="Times New Roman" w:eastAsia="Calibri" w:hAnsi="Times New Roman" w:cs="Times New Roman"/>
          <w:b/>
          <w:color w:val="000000"/>
          <w:kern w:val="0"/>
          <w:sz w:val="24"/>
          <w14:ligatures w14:val="none"/>
        </w:rPr>
        <w:t>WSEC</w:t>
      </w:r>
      <w:r w:rsidRPr="006B4A66">
        <w:rPr>
          <w:rFonts w:ascii="Times New Roman" w:eastAsia="Calibri" w:hAnsi="Times New Roman" w:cs="Times New Roman"/>
          <w:b/>
          <w:bCs/>
          <w:color w:val="000000"/>
          <w:kern w:val="0"/>
          <w:sz w:val="24"/>
          <w14:ligatures w14:val="none"/>
        </w:rPr>
        <w:t xml:space="preserve"> C405.2.3).</w:t>
      </w:r>
      <w:r w:rsidRPr="006B4A66">
        <w:rPr>
          <w:rFonts w:ascii="Times New Roman" w:eastAsia="Calibri" w:hAnsi="Times New Roman" w:cs="Times New Roman"/>
          <w:color w:val="000000"/>
          <w:kern w:val="0"/>
          <w:sz w:val="24"/>
          <w14:ligatures w14:val="none"/>
        </w:rPr>
        <w:t xml:space="preserve">  Stairwells and parking garages are not permitted to use manual switches.  All other lighting shall have manual controls complying with the following:</w:t>
      </w:r>
    </w:p>
    <w:p w14:paraId="63FC6B2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They shall be in a location with ready access to occupants;</w:t>
      </w:r>
    </w:p>
    <w:p w14:paraId="65A823C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They shall be located where the controlled lights are visible or shall identify the area served by the lights and indicate their status; and</w:t>
      </w:r>
    </w:p>
    <w:p w14:paraId="7E71EE0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3.  Each control device shall control an area no larger than a single room, or 2,500 square feet (232.3 square meters), whichever is less, if the room area is less than or equal to 10,000 square feet (929 square meters); or one-quarter of the room area, whichever is less, if the room area is greater than 10,000 square feet (929 square meters).</w:t>
      </w:r>
    </w:p>
    <w:p w14:paraId="73C63140" w14:textId="77777777" w:rsidR="006B4A66" w:rsidRPr="006B4A66" w:rsidRDefault="006B4A66" w:rsidP="0073496A">
      <w:pPr>
        <w:tabs>
          <w:tab w:val="left" w:pos="720"/>
        </w:tabs>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EXCEPTIONS:</w:t>
      </w:r>
    </w:p>
    <w:p w14:paraId="155C5DDD" w14:textId="44E05489"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A manual control may be installed in a remote location</w:t>
      </w:r>
      <w:r w:rsidR="00B20241">
        <w:rPr>
          <w:rFonts w:ascii="Times New Roman" w:eastAsia="Calibri" w:hAnsi="Times New Roman" w:cs="Times New Roman"/>
          <w:color w:val="000000"/>
          <w:kern w:val="0"/>
          <w:sz w:val="24"/>
          <w14:ligatures w14:val="none"/>
        </w:rPr>
        <w:t>,</w:t>
      </w:r>
      <w:r w:rsidR="00DB5ADB">
        <w:rPr>
          <w:rFonts w:ascii="Times New Roman" w:eastAsia="Calibri" w:hAnsi="Times New Roman" w:cs="Times New Roman"/>
          <w:color w:val="000000"/>
          <w:kern w:val="0"/>
          <w:sz w:val="24"/>
          <w14:ligatures w14:val="none"/>
        </w:rPr>
        <w:t xml:space="preserve"> rather than in a location with ready access to occupants</w:t>
      </w:r>
      <w:r w:rsidR="00B20241">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for the purpose of safety or security provided that each remote control device has an indicator pilot light as part of or next to the control device and the light is clearly labeled to identify the controlled lighting.</w:t>
      </w:r>
    </w:p>
    <w:p w14:paraId="1389934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Restrooms.</w:t>
      </w:r>
    </w:p>
    <w:p w14:paraId="1FE38972" w14:textId="371D76F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color w:val="000000"/>
          <w:kern w:val="0"/>
          <w:sz w:val="24"/>
          <w:u w:val="single"/>
          <w14:ligatures w14:val="none"/>
        </w:rPr>
        <w:t>NEW SECTION.  SECTION 88.</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771CA9E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C405.2.4 of the Washington State Energy Code is not adopted and the following is substituted:</w:t>
      </w:r>
    </w:p>
    <w:p w14:paraId="21AF452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Dimming controls (</w:t>
      </w:r>
      <w:r w:rsidRPr="006B4A66">
        <w:rPr>
          <w:rFonts w:ascii="Times New Roman" w:eastAsia="Calibri" w:hAnsi="Times New Roman" w:cs="Times New Roman"/>
          <w:b/>
          <w:color w:val="000000"/>
          <w:kern w:val="0"/>
          <w:sz w:val="24"/>
          <w14:ligatures w14:val="none"/>
        </w:rPr>
        <w:t>WSEC</w:t>
      </w:r>
      <w:r w:rsidRPr="006B4A66">
        <w:rPr>
          <w:rFonts w:ascii="Times New Roman" w:eastAsia="Calibri" w:hAnsi="Times New Roman" w:cs="Times New Roman"/>
          <w:b/>
          <w:bCs/>
          <w:color w:val="000000"/>
          <w:kern w:val="0"/>
          <w:sz w:val="24"/>
          <w14:ligatures w14:val="none"/>
        </w:rPr>
        <w:t xml:space="preserve"> C405.2.4).</w:t>
      </w:r>
      <w:r w:rsidRPr="006B4A66">
        <w:rPr>
          <w:rFonts w:ascii="Times New Roman" w:eastAsia="Calibri" w:hAnsi="Times New Roman" w:cs="Times New Roman"/>
          <w:color w:val="000000"/>
          <w:kern w:val="0"/>
          <w:sz w:val="24"/>
          <w14:ligatures w14:val="none"/>
        </w:rPr>
        <w:t xml:space="preserve">  Dimming controls complying with WSEC C405.2.4.1 are required for general lighting in the following space types.  The space types listed include other spaces with substantially similar uses.</w:t>
      </w:r>
    </w:p>
    <w:p w14:paraId="5BFBFBF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Classroom/lecture hall/training room.</w:t>
      </w:r>
    </w:p>
    <w:p w14:paraId="6CFF4CE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Conference/multipurpose/meeting room.</w:t>
      </w:r>
    </w:p>
    <w:p w14:paraId="193585D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3.  In a dining area for bar/lounge or leisure, family dining.</w:t>
      </w:r>
    </w:p>
    <w:p w14:paraId="355C802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4.  Laboratory.</w:t>
      </w:r>
    </w:p>
    <w:p w14:paraId="38ADBD2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5.  Lobby.</w:t>
      </w:r>
    </w:p>
    <w:p w14:paraId="7C3E383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6.  Lounge/break room.</w:t>
      </w:r>
    </w:p>
    <w:p w14:paraId="7A00696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7.  Offices.</w:t>
      </w:r>
    </w:p>
    <w:p w14:paraId="7CD88E5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8.  Gymnasium/fitness center.</w:t>
      </w:r>
    </w:p>
    <w:p w14:paraId="1AD8F46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9.  Library reading room.</w:t>
      </w:r>
    </w:p>
    <w:p w14:paraId="1023C1D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10.  In a health care facility for imaging rooms, exam rooms, nursery, and nurses' stations.</w:t>
      </w:r>
    </w:p>
    <w:p w14:paraId="46D0536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11.  Spaces not provided with occupant sensor controls complying with WSEC C405.2.1.1.</w:t>
      </w:r>
    </w:p>
    <w:p w14:paraId="411DAC9B" w14:textId="77777777" w:rsidR="006B4A66" w:rsidRPr="006B4A66" w:rsidRDefault="006B4A66" w:rsidP="0073496A">
      <w:pPr>
        <w:tabs>
          <w:tab w:val="left" w:pos="720"/>
        </w:tabs>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EXCEPTIONS:</w:t>
      </w:r>
    </w:p>
    <w:p w14:paraId="2A7383A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Luminaires controlled by daylight responsive controls complying with WSEC C405.2.5.</w:t>
      </w:r>
    </w:p>
    <w:p w14:paraId="2C8DC91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2.  Luminaires controlled by special application controls complying with WSEC C405.2.6.</w:t>
      </w:r>
    </w:p>
    <w:p w14:paraId="5667B4F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3.  Where provided with manual control, the following areas are not required to have light reduction control:</w:t>
      </w:r>
    </w:p>
    <w:p w14:paraId="63966A7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3.1.  Spaces that have only one luminaire with a rated power of less than 60 watts.</w:t>
      </w:r>
    </w:p>
    <w:p w14:paraId="1C7FC91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3.2.  Spaces that use less than 0.45 watts per square foot (4.9 watts per square meter).</w:t>
      </w:r>
    </w:p>
    <w:p w14:paraId="6D52AAC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3.3.  Corridors, lobbies, electrical rooms, and mechanical rooms.</w:t>
      </w:r>
    </w:p>
    <w:p w14:paraId="176FA22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L.  Spaces required to have dimming control shall be provided with manual controls that allow lights to be dimmed from full output to 10 percent of full power or lower with continuous dimming, as well as turning lights off.  Manual control shall be provided within each space to dim lights.</w:t>
      </w:r>
    </w:p>
    <w:p w14:paraId="30ACEC84" w14:textId="0069B641"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89.</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74FA53D3"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C405.2.4.1 of the Washing State Commercial Energy Code is not adopted and the following is substituted:</w:t>
      </w:r>
    </w:p>
    <w:p w14:paraId="7D493F60" w14:textId="21E21352" w:rsidR="00214CF9" w:rsidRPr="00214CF9"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color w:val="000000"/>
          <w:kern w:val="0"/>
          <w:sz w:val="24"/>
          <w14:ligatures w14:val="none"/>
        </w:rPr>
        <w:t>Dimming control function (</w:t>
      </w:r>
      <w:r w:rsidRPr="006B4A66">
        <w:rPr>
          <w:rFonts w:ascii="Times New Roman" w:eastAsia="Calibri" w:hAnsi="Times New Roman" w:cs="Times New Roman"/>
          <w:b/>
          <w:bCs/>
          <w:color w:val="000000"/>
          <w:kern w:val="0"/>
          <w:sz w:val="24"/>
          <w14:ligatures w14:val="none"/>
        </w:rPr>
        <w:t>WSEC</w:t>
      </w:r>
      <w:r w:rsidRPr="006B4A66">
        <w:rPr>
          <w:rFonts w:ascii="Times New Roman" w:eastAsia="Calibri" w:hAnsi="Times New Roman" w:cs="Times New Roman"/>
          <w:b/>
          <w:color w:val="000000"/>
          <w:kern w:val="0"/>
          <w:sz w:val="24"/>
          <w14:ligatures w14:val="none"/>
        </w:rPr>
        <w:t xml:space="preserve"> C405.2.4.1).</w:t>
      </w:r>
      <w:r w:rsidRPr="006B4A66">
        <w:rPr>
          <w:rFonts w:ascii="Times New Roman" w:eastAsia="Calibri" w:hAnsi="Times New Roman" w:cs="Times New Roman"/>
          <w:color w:val="000000"/>
          <w:kern w:val="0"/>
          <w:sz w:val="24"/>
          <w14:ligatures w14:val="none"/>
        </w:rPr>
        <w:t xml:space="preserve">  </w:t>
      </w:r>
      <w:r w:rsidR="00214CF9" w:rsidRPr="00214CF9">
        <w:rPr>
          <w:rFonts w:ascii="Times New Roman" w:eastAsia="Calibri" w:hAnsi="Times New Roman" w:cs="Times New Roman"/>
          <w:color w:val="000000"/>
          <w:kern w:val="0"/>
          <w:sz w:val="24"/>
          <w14:ligatures w14:val="none"/>
        </w:rPr>
        <w:t>Manual controls shall be configured to provide dimming controls that allow lights to be dimmed from full output to 10 percent of full power or lower with continuous dimming while maintaining uniform illumination in the space, as well as turning off lights. Manual control shall be provided within each room to dim lights.</w:t>
      </w:r>
    </w:p>
    <w:p w14:paraId="7E113AD6" w14:textId="44B011F9" w:rsidR="00214CF9" w:rsidRPr="00214CF9" w:rsidRDefault="00B310B9" w:rsidP="0073496A">
      <w:pPr>
        <w:tabs>
          <w:tab w:val="left" w:pos="720"/>
        </w:tabs>
        <w:spacing w:after="0" w:line="480" w:lineRule="auto"/>
        <w:rPr>
          <w:rFonts w:ascii="Times New Roman" w:eastAsia="Calibri" w:hAnsi="Times New Roman" w:cs="Times New Roman"/>
          <w:color w:val="000000"/>
          <w:kern w:val="0"/>
          <w:sz w:val="24"/>
          <w14:ligatures w14:val="none"/>
        </w:rPr>
      </w:pPr>
      <w:r>
        <w:rPr>
          <w:rFonts w:ascii="Times New Roman" w:eastAsia="Calibri" w:hAnsi="Times New Roman" w:cs="Times New Roman"/>
          <w:b/>
          <w:bCs/>
          <w:color w:val="000000"/>
          <w:kern w:val="0"/>
          <w:sz w:val="24"/>
          <w14:ligatures w14:val="none"/>
        </w:rPr>
        <w:lastRenderedPageBreak/>
        <w:tab/>
      </w:r>
      <w:r w:rsidR="00EB575A">
        <w:rPr>
          <w:rFonts w:ascii="Times New Roman" w:eastAsia="Calibri" w:hAnsi="Times New Roman" w:cs="Times New Roman"/>
          <w:b/>
          <w:bCs/>
          <w:color w:val="000000"/>
          <w:kern w:val="0"/>
          <w:sz w:val="24"/>
          <w14:ligatures w14:val="none"/>
        </w:rPr>
        <w:t>EXCEPTION:</w:t>
      </w:r>
      <w:r w:rsidR="00214CF9" w:rsidRPr="00214CF9">
        <w:rPr>
          <w:rFonts w:ascii="Times New Roman" w:eastAsia="Calibri" w:hAnsi="Times New Roman" w:cs="Times New Roman"/>
          <w:color w:val="000000"/>
          <w:kern w:val="0"/>
          <w:sz w:val="24"/>
          <w14:ligatures w14:val="none"/>
        </w:rPr>
        <w:t xml:space="preserve"> Manual dimming control is not required in spaces where high-end trim lighting controls are provided that comply with the following:</w:t>
      </w:r>
    </w:p>
    <w:p w14:paraId="760B2956" w14:textId="74BAE7A4" w:rsidR="00214CF9" w:rsidRPr="00214CF9" w:rsidRDefault="00B310B9" w:rsidP="0073496A">
      <w:pPr>
        <w:tabs>
          <w:tab w:val="left" w:pos="720"/>
        </w:tabs>
        <w:spacing w:after="0" w:line="480" w:lineRule="auto"/>
        <w:rPr>
          <w:rFonts w:ascii="Times New Roman" w:eastAsia="Calibri" w:hAnsi="Times New Roman" w:cs="Times New Roman"/>
          <w:color w:val="000000"/>
          <w:kern w:val="0"/>
          <w:sz w:val="24"/>
          <w14:ligatures w14:val="none"/>
        </w:rPr>
      </w:pPr>
      <w:r>
        <w:rPr>
          <w:rFonts w:ascii="Times New Roman" w:eastAsia="Calibri" w:hAnsi="Times New Roman" w:cs="Times New Roman"/>
          <w:color w:val="000000"/>
          <w:kern w:val="0"/>
          <w:sz w:val="24"/>
          <w14:ligatures w14:val="none"/>
        </w:rPr>
        <w:tab/>
      </w:r>
      <w:r w:rsidR="00214CF9" w:rsidRPr="00214CF9">
        <w:rPr>
          <w:rFonts w:ascii="Times New Roman" w:eastAsia="Calibri" w:hAnsi="Times New Roman" w:cs="Times New Roman"/>
          <w:color w:val="000000"/>
          <w:kern w:val="0"/>
          <w:sz w:val="24"/>
          <w14:ligatures w14:val="none"/>
        </w:rPr>
        <w:t>1.  The calibration adjustment equipment is located for ready access only by authorized personnel.</w:t>
      </w:r>
    </w:p>
    <w:p w14:paraId="426EB79E" w14:textId="5ED6E102" w:rsidR="006B4A66" w:rsidRPr="006B4A66" w:rsidRDefault="00B310B9" w:rsidP="0073496A">
      <w:pPr>
        <w:tabs>
          <w:tab w:val="left" w:pos="720"/>
        </w:tabs>
        <w:spacing w:after="0" w:line="480" w:lineRule="auto"/>
        <w:rPr>
          <w:rFonts w:ascii="Times New Roman" w:eastAsia="Calibri" w:hAnsi="Times New Roman" w:cs="Times New Roman"/>
          <w:color w:val="000000"/>
          <w:kern w:val="0"/>
          <w:sz w:val="24"/>
          <w14:ligatures w14:val="none"/>
        </w:rPr>
      </w:pPr>
      <w:r>
        <w:rPr>
          <w:rFonts w:ascii="Times New Roman" w:eastAsia="Calibri" w:hAnsi="Times New Roman" w:cs="Times New Roman"/>
          <w:color w:val="000000"/>
          <w:kern w:val="0"/>
          <w:sz w:val="24"/>
          <w14:ligatures w14:val="none"/>
        </w:rPr>
        <w:tab/>
      </w:r>
      <w:r w:rsidR="00214CF9" w:rsidRPr="00214CF9">
        <w:rPr>
          <w:rFonts w:ascii="Times New Roman" w:eastAsia="Calibri" w:hAnsi="Times New Roman" w:cs="Times New Roman"/>
          <w:color w:val="000000"/>
          <w:kern w:val="0"/>
          <w:sz w:val="24"/>
          <w14:ligatures w14:val="none"/>
        </w:rPr>
        <w:t>2.  Lighting controls with ready access for users cannot increase the lighting power above the maximum level established by the high-end trim controls.</w:t>
      </w:r>
    </w:p>
    <w:p w14:paraId="2C870CE1" w14:textId="6EBA3E45"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90.</w:t>
      </w:r>
      <w:r w:rsidRPr="006B4A66">
        <w:rPr>
          <w:rFonts w:ascii="Times New Roman" w:eastAsia="Calibri" w:hAnsi="Times New Roman" w:cs="Times New Roman"/>
          <w:color w:val="000000"/>
          <w:kern w:val="0"/>
          <w:sz w:val="24"/>
          <w14:ligatures w14:val="none"/>
        </w:rPr>
        <w:t>There is hereby added to K.C.C. chapter 16.07 a new section to read as follows:</w:t>
      </w:r>
    </w:p>
    <w:p w14:paraId="5405DD78"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C405.2.5.1 of the Washington State Energy Code is not adopted and the following is substituted:</w:t>
      </w:r>
    </w:p>
    <w:p w14:paraId="000E143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Daylight responsive controls function (</w:t>
      </w:r>
      <w:r w:rsidRPr="006B4A66">
        <w:rPr>
          <w:rFonts w:ascii="Times New Roman" w:eastAsia="Calibri" w:hAnsi="Times New Roman" w:cs="Times New Roman"/>
          <w:b/>
          <w:color w:val="000000"/>
          <w:kern w:val="0"/>
          <w:sz w:val="24"/>
          <w14:ligatures w14:val="none"/>
        </w:rPr>
        <w:t>WSEC</w:t>
      </w:r>
      <w:r w:rsidRPr="006B4A66">
        <w:rPr>
          <w:rFonts w:ascii="Times New Roman" w:eastAsia="Calibri" w:hAnsi="Times New Roman" w:cs="Times New Roman"/>
          <w:b/>
          <w:bCs/>
          <w:color w:val="000000"/>
          <w:kern w:val="0"/>
          <w:sz w:val="24"/>
          <w14:ligatures w14:val="none"/>
        </w:rPr>
        <w:t xml:space="preserve"> C405.2.5.1).</w:t>
      </w:r>
      <w:r w:rsidRPr="006B4A66">
        <w:rPr>
          <w:rFonts w:ascii="Times New Roman" w:eastAsia="Calibri" w:hAnsi="Times New Roman" w:cs="Times New Roman"/>
          <w:color w:val="000000"/>
          <w:kern w:val="0"/>
          <w:sz w:val="24"/>
          <w14:ligatures w14:val="none"/>
        </w:rPr>
        <w:t xml:space="preserve">  Where required, daylight responsive controls shall be provided within each space for control of lights in that space and shall comply with all of the following:</w:t>
      </w:r>
    </w:p>
    <w:p w14:paraId="372B6B9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Lights in primary sidelit daylight zones shall be controlled independently of lights in secondary sidelit daylight zones in accordance with WSEC C405.2.5.2;</w:t>
      </w:r>
    </w:p>
    <w:p w14:paraId="17CB23E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Lights in toplit daylight zones in accordance with WSEC C405.2.5.3 shall be controlled independently of lights in sidelit daylight zones in accordance with WSEC C405.2.5.2;</w:t>
      </w:r>
    </w:p>
    <w:p w14:paraId="672CFDD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3.  Daylight responsive controls within each space shall be configured so that they can be calibrated from within that space by authorized personnel;</w:t>
      </w:r>
    </w:p>
    <w:p w14:paraId="44128E9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4.  Calibration mechanisms shall be in a location with ready access;</w:t>
      </w:r>
    </w:p>
    <w:p w14:paraId="16F5629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5.  Daylight responsive controls shall dim lights continuously from full light output to 15 percent of full light output or lower;</w:t>
      </w:r>
    </w:p>
    <w:p w14:paraId="5ED420F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6.  Daylight responsive controls shall be configured to completely shut off all controlled lights in that zone;</w:t>
      </w:r>
    </w:p>
    <w:p w14:paraId="0B022D2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7.  When occupant sensor controls have reduced the lighting power to an unoccupied setpoint in accordance with WSEC C405.2.1.2 through C405.2.1.5, daylight responsive controls shall continue to adjust electric light levels in response to available daylight but shall be configured to not increase the lighting power above the specified unoccupied setpoint;</w:t>
      </w:r>
    </w:p>
    <w:p w14:paraId="6D8A0CB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8.  Lights in sidelit daylight zones in accordance with WSEC C405.2.5.2 facing different cardinal orientations (i.e., within forty-five degrees of due north, east, south, and west) shall be controlled independently of each other.</w:t>
      </w:r>
    </w:p>
    <w:p w14:paraId="6416145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 xml:space="preserve">EXCEPTION: </w:t>
      </w:r>
      <w:r w:rsidRPr="006B4A66">
        <w:rPr>
          <w:rFonts w:ascii="Times New Roman" w:eastAsia="Calibri" w:hAnsi="Times New Roman" w:cs="Times New Roman"/>
          <w:color w:val="000000"/>
          <w:kern w:val="0"/>
          <w:sz w:val="24"/>
          <w14:ligatures w14:val="none"/>
        </w:rPr>
        <w:t xml:space="preserve"> Up to 75 watts of general lighting are permitted to be controlled together with lighting in a daylight zone facing a different cardinal orientation.</w:t>
      </w:r>
    </w:p>
    <w:p w14:paraId="3E16CA8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9.  Incorporate time-delay circuits to prevent cycling of light level changes of less than 3 minutes;</w:t>
      </w:r>
    </w:p>
    <w:p w14:paraId="0B64B27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10.  The maximum area a single daylight responsive control device serves shall not exceed 2,500 square feet (232.3 square meters) and no more than 60 lineal feet (18.3 lineal meters) of façade;</w:t>
      </w:r>
    </w:p>
    <w:p w14:paraId="311EC6F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11.  Occupant override capability of daylight dimming controls is not permitted, other than a reduction of light output from the level established by the daylighting controls; and</w:t>
      </w:r>
    </w:p>
    <w:p w14:paraId="04C3956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12.  Daylight responsive controls shall be set initially to activate at 30 footcandles (323 lux) or not more than 110 percent of the illuminance level specified on the construction documents.</w:t>
      </w:r>
    </w:p>
    <w:p w14:paraId="5E472F36" w14:textId="79F3C570"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color w:val="000000"/>
          <w:kern w:val="0"/>
          <w:sz w:val="24"/>
          <w:u w:val="single"/>
          <w14:ligatures w14:val="none"/>
        </w:rPr>
        <w:t>NEW SECTION.  SECTION 91.</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6BEB1D8E"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C405.2.5.1.1 of the Washington State Energy Code is not adopted and the following is substituted:</w:t>
      </w:r>
    </w:p>
    <w:p w14:paraId="35D9C2D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color w:val="000000"/>
          <w:kern w:val="0"/>
          <w:sz w:val="24"/>
          <w14:ligatures w14:val="none"/>
        </w:rPr>
        <w:t>Dimming (WSEC C405.2.5.1.1).</w:t>
      </w:r>
      <w:r w:rsidRPr="006B4A66">
        <w:rPr>
          <w:rFonts w:ascii="Times New Roman" w:eastAsia="Calibri" w:hAnsi="Times New Roman" w:cs="Times New Roman"/>
          <w:color w:val="000000"/>
          <w:kern w:val="0"/>
          <w:sz w:val="24"/>
          <w14:ligatures w14:val="none"/>
        </w:rPr>
        <w:t xml:space="preserve">  Daylight responsive controls shall be configured to automatically reduce the power of general lighting in the daylight zone in response to available daylight, while maintaining uniform illumination in the space through continuous dimming using dimming ballasts, dimming drivers, and daylight-sensing automatic controls.  The system shall reduce lighting power continuously to less than 10 percent of rated power at maximum light output.</w:t>
      </w:r>
    </w:p>
    <w:p w14:paraId="7E14FF2E" w14:textId="14AF8FC4"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92.</w:t>
      </w:r>
      <w:r w:rsidRPr="006B4A66">
        <w:rPr>
          <w:rFonts w:ascii="Times New Roman" w:eastAsia="Calibri" w:hAnsi="Times New Roman" w:cs="Times New Roman"/>
          <w:color w:val="000000"/>
          <w:kern w:val="0"/>
          <w:sz w:val="24"/>
          <w14:ligatures w14:val="none"/>
        </w:rPr>
        <w:t>There is hereby added to K.C.C. chapter 16.07 a new section to read as follows:</w:t>
      </w:r>
    </w:p>
    <w:p w14:paraId="068E8DB0"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C405.2.6 of the Washington State Energy Code is not adopted and the following is substituted:</w:t>
      </w:r>
    </w:p>
    <w:p w14:paraId="25DE43B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Additional lighting controls (</w:t>
      </w:r>
      <w:r w:rsidRPr="006B4A66">
        <w:rPr>
          <w:rFonts w:ascii="Times New Roman" w:eastAsia="Calibri" w:hAnsi="Times New Roman" w:cs="Times New Roman"/>
          <w:b/>
          <w:color w:val="000000"/>
          <w:kern w:val="0"/>
          <w:sz w:val="24"/>
          <w14:ligatures w14:val="none"/>
        </w:rPr>
        <w:t>WSEC</w:t>
      </w:r>
      <w:r w:rsidRPr="006B4A66">
        <w:rPr>
          <w:rFonts w:ascii="Times New Roman" w:eastAsia="Calibri" w:hAnsi="Times New Roman" w:cs="Times New Roman"/>
          <w:b/>
          <w:bCs/>
          <w:color w:val="000000"/>
          <w:kern w:val="0"/>
          <w:sz w:val="24"/>
          <w14:ligatures w14:val="none"/>
        </w:rPr>
        <w:t xml:space="preserve"> C405.2.6).</w:t>
      </w:r>
      <w:r w:rsidRPr="006B4A66">
        <w:rPr>
          <w:rFonts w:ascii="Times New Roman" w:eastAsia="Calibri" w:hAnsi="Times New Roman" w:cs="Times New Roman"/>
          <w:color w:val="000000"/>
          <w:kern w:val="0"/>
          <w:sz w:val="24"/>
          <w14:ligatures w14:val="none"/>
        </w:rPr>
        <w:t xml:space="preserve">  Specific application lighting shall be provided with controls, in addition to controls required by other sections, for the following:</w:t>
      </w:r>
    </w:p>
    <w:p w14:paraId="5AD8DF2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The following lighting shall be controlled by an occupant sensor complying with WSEC C405.2.1.1 or a time switch control complying with WSEC C405.2.2.1.  In addition, a manual control shall be provided to control such lighting separately from the general lighting in the space:</w:t>
      </w:r>
    </w:p>
    <w:p w14:paraId="4CF6D2C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1.1.  Luminaires for which additional lighting power is claimed in accordance with WSEC C405.4.2.2.1.</w:t>
      </w:r>
    </w:p>
    <w:p w14:paraId="3401322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 xml:space="preserve">  1.2.  Display and accent.</w:t>
      </w:r>
    </w:p>
    <w:p w14:paraId="2CEDC06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1.3.  Lighting in display cases.</w:t>
      </w:r>
    </w:p>
    <w:p w14:paraId="37FC39F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1.4.  Supplemental task lighting, including permanently installed under-shelf, or under-cabinet lighting.</w:t>
      </w:r>
    </w:p>
    <w:p w14:paraId="62498CA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1.5.  Lighting equipment that is for sale or demonstration in lighting education.</w:t>
      </w:r>
    </w:p>
    <w:p w14:paraId="3AA6CD0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1.6.  Display lighting for exhibits in galleries, museums, and monuments that is in addition to general lighting.</w:t>
      </w:r>
    </w:p>
    <w:p w14:paraId="2C14228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Sleeping units shall have control devices or systems configured to automatically switch off all permanently installed luminaires and switched receptacles, including those installed within furniture, within 20 minutes after all occupants have left the unit.</w:t>
      </w:r>
    </w:p>
    <w:p w14:paraId="1B7DED4A" w14:textId="77777777" w:rsidR="006B4A66" w:rsidRPr="006B4A66" w:rsidRDefault="006B4A66" w:rsidP="0073496A">
      <w:pPr>
        <w:tabs>
          <w:tab w:val="left" w:pos="720"/>
        </w:tabs>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ab/>
        <w:t>EXCEPTIONS:</w:t>
      </w:r>
    </w:p>
    <w:p w14:paraId="4904EB9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Lighting and switched receptacles controlled by card key controls.</w:t>
      </w:r>
    </w:p>
    <w:p w14:paraId="5CCF43D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Spaces where patient care is directly provided.</w:t>
      </w:r>
    </w:p>
    <w:p w14:paraId="166B7C16" w14:textId="6E670FF0"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3.  Lighting for life support of plants and animals and food warming shall be controlled by a dedicated control that is independent of the controls for other lighting within the room or space.</w:t>
      </w:r>
    </w:p>
    <w:p w14:paraId="348402B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4.  Task lighting for medical and dental purposes that is in addition to general lighting shall be provided with a manual control.</w:t>
      </w:r>
    </w:p>
    <w:p w14:paraId="47687B66" w14:textId="02DB4FB8"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5.  Luminaires serving the exit access and providing means of egress illumination required by </w:t>
      </w:r>
      <w:r w:rsidR="004D5CBC">
        <w:rPr>
          <w:rFonts w:ascii="Times New Roman" w:eastAsia="Calibri" w:hAnsi="Times New Roman" w:cs="Times New Roman"/>
          <w:color w:val="000000"/>
          <w:kern w:val="0"/>
          <w:sz w:val="24"/>
          <w14:ligatures w14:val="none"/>
        </w:rPr>
        <w:t xml:space="preserve">IBC </w:t>
      </w:r>
      <w:r w:rsidRPr="006B4A66">
        <w:rPr>
          <w:rFonts w:ascii="Times New Roman" w:eastAsia="Calibri" w:hAnsi="Times New Roman" w:cs="Times New Roman"/>
          <w:color w:val="000000"/>
          <w:kern w:val="0"/>
          <w:sz w:val="24"/>
          <w14:ligatures w14:val="none"/>
        </w:rPr>
        <w:t xml:space="preserve">Section 1008.2, including luminaires that function as both normal and emergency means of egress illumination shall be controlled by a combination of listed emergency relay and occupancy sensors, or signal from another building control system, </w:t>
      </w:r>
      <w:r w:rsidRPr="006B4A66">
        <w:rPr>
          <w:rFonts w:ascii="Times New Roman" w:eastAsia="Calibri" w:hAnsi="Times New Roman" w:cs="Times New Roman"/>
          <w:color w:val="000000"/>
          <w:kern w:val="0"/>
          <w:sz w:val="24"/>
          <w14:ligatures w14:val="none"/>
        </w:rPr>
        <w:lastRenderedPageBreak/>
        <w:t>that automatically shuts off the lighting when the areas served by that illumination are unoccupied.</w:t>
      </w:r>
    </w:p>
    <w:p w14:paraId="0E52C0E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w:t>
      </w:r>
      <w:r w:rsidRPr="006B4A66">
        <w:rPr>
          <w:rFonts w:ascii="Times New Roman" w:eastAsia="Calibri" w:hAnsi="Times New Roman" w:cs="Times New Roman"/>
          <w:color w:val="000000"/>
          <w:kern w:val="0"/>
          <w:sz w:val="24"/>
          <w14:ligatures w14:val="none"/>
        </w:rPr>
        <w:t xml:space="preserve">  Means of egress illumination serving the exit access that does not exceed 0.01 watts per square foot (0.11 watts per square meter) of building area is exempt from this requirement.</w:t>
      </w:r>
    </w:p>
    <w:p w14:paraId="17BE8D39" w14:textId="2E2B1F3B"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93.</w:t>
      </w:r>
      <w:r w:rsidRPr="006B4A66">
        <w:rPr>
          <w:rFonts w:ascii="Times New Roman" w:eastAsia="Calibri" w:hAnsi="Times New Roman" w:cs="Times New Roman"/>
          <w:color w:val="000000"/>
          <w:kern w:val="0"/>
          <w:sz w:val="24"/>
          <w14:ligatures w14:val="none"/>
        </w:rPr>
        <w:t xml:space="preserve">  Ordinance 19485, Section 99, and K.C.C. 16.07.310 are hereby amended to read as follows:</w:t>
      </w:r>
    </w:p>
    <w:p w14:paraId="043C858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color w:val="000000"/>
          <w:kern w:val="0"/>
          <w:sz w:val="24"/>
          <w14:ligatures w14:val="none"/>
        </w:rPr>
        <w:t>Table C405.4.2(1) of the ((</w:t>
      </w:r>
      <w:r w:rsidRPr="006B4A66">
        <w:rPr>
          <w:rFonts w:ascii="Times New Roman" w:eastAsia="Calibri" w:hAnsi="Times New Roman" w:cs="Times New Roman"/>
          <w:strike/>
          <w:color w:val="000000"/>
          <w:kern w:val="0"/>
          <w:sz w:val="24"/>
          <w14:ligatures w14:val="none"/>
        </w:rPr>
        <w:t>International Energy Conservation</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Washington State Energy</w:t>
      </w:r>
      <w:r w:rsidRPr="006B4A66">
        <w:rPr>
          <w:rFonts w:ascii="Times New Roman" w:eastAsia="Calibri" w:hAnsi="Times New Roman" w:cs="Times New Roman"/>
          <w:color w:val="000000"/>
          <w:kern w:val="0"/>
          <w:sz w:val="24"/>
          <w14:ligatures w14:val="none"/>
        </w:rPr>
        <w:t xml:space="preserve"> Code is not adopted and the following is substituted:</w:t>
      </w:r>
    </w:p>
    <w:p w14:paraId="20DA1F0C" w14:textId="77777777" w:rsidR="006B4A66" w:rsidRPr="006B4A66" w:rsidRDefault="006B4A66" w:rsidP="0073496A">
      <w:pPr>
        <w:tabs>
          <w:tab w:val="left" w:pos="720"/>
        </w:tabs>
        <w:spacing w:after="0" w:line="480" w:lineRule="auto"/>
        <w:jc w:val="center"/>
        <w:rPr>
          <w:rFonts w:ascii="Times New Roman" w:eastAsia="Calibri" w:hAnsi="Times New Roman" w:cs="Times New Roman"/>
          <w:b/>
          <w:color w:val="000000"/>
          <w:kern w:val="0"/>
          <w:sz w:val="24"/>
          <w14:ligatures w14:val="none"/>
        </w:rPr>
      </w:pPr>
      <w:r w:rsidRPr="006B4A66">
        <w:rPr>
          <w:rFonts w:ascii="Times New Roman" w:eastAsia="Calibri" w:hAnsi="Times New Roman" w:cs="Times New Roman"/>
          <w:b/>
          <w:color w:val="000000"/>
          <w:kern w:val="0"/>
          <w:sz w:val="24"/>
          <w14:ligatures w14:val="none"/>
        </w:rPr>
        <w:t>Table C405.4.2(1)</w:t>
      </w:r>
    </w:p>
    <w:p w14:paraId="6AE5D4E4" w14:textId="77777777" w:rsidR="006B4A66" w:rsidRPr="006B4A66" w:rsidRDefault="006B4A66" w:rsidP="0073496A">
      <w:pPr>
        <w:tabs>
          <w:tab w:val="left" w:pos="720"/>
        </w:tabs>
        <w:spacing w:after="0" w:line="480" w:lineRule="auto"/>
        <w:jc w:val="center"/>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Interior Lighting Power Allowances—Building Area Method</w:t>
      </w:r>
    </w:p>
    <w:tbl>
      <w:tblPr>
        <w:tblW w:w="8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0"/>
        <w:gridCol w:w="4320"/>
      </w:tblGrid>
      <w:tr w:rsidR="006B4A66" w:rsidRPr="006B4A66" w14:paraId="261D9A85" w14:textId="77777777">
        <w:trPr>
          <w:jc w:val="center"/>
        </w:trPr>
        <w:tc>
          <w:tcPr>
            <w:tcW w:w="4320" w:type="dxa"/>
            <w:tcBorders>
              <w:top w:val="single" w:sz="4" w:space="0" w:color="auto"/>
              <w:left w:val="single" w:sz="4" w:space="0" w:color="auto"/>
              <w:bottom w:val="single" w:sz="4" w:space="0" w:color="auto"/>
              <w:right w:val="single" w:sz="4" w:space="0" w:color="auto"/>
            </w:tcBorders>
            <w:hideMark/>
          </w:tcPr>
          <w:p w14:paraId="0E251E40"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b/>
                <w:color w:val="000000"/>
                <w:kern w:val="0"/>
                <w:sz w:val="24"/>
                <w14:ligatures w14:val="none"/>
              </w:rPr>
            </w:pPr>
            <w:r w:rsidRPr="006B4A66">
              <w:rPr>
                <w:rFonts w:ascii="Times New Roman" w:eastAsia="Calibri" w:hAnsi="Times New Roman" w:cs="Times New Roman"/>
                <w:b/>
                <w:color w:val="000000"/>
                <w:kern w:val="0"/>
                <w:sz w:val="24"/>
                <w14:ligatures w14:val="none"/>
              </w:rPr>
              <w:t>Building Area Type</w:t>
            </w:r>
          </w:p>
        </w:tc>
        <w:tc>
          <w:tcPr>
            <w:tcW w:w="4320" w:type="dxa"/>
            <w:tcBorders>
              <w:top w:val="single" w:sz="4" w:space="0" w:color="auto"/>
              <w:left w:val="single" w:sz="4" w:space="0" w:color="auto"/>
              <w:bottom w:val="single" w:sz="4" w:space="0" w:color="auto"/>
              <w:right w:val="single" w:sz="4" w:space="0" w:color="auto"/>
            </w:tcBorders>
            <w:hideMark/>
          </w:tcPr>
          <w:p w14:paraId="4106349F"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b/>
                <w:color w:val="000000"/>
                <w:kern w:val="0"/>
                <w:sz w:val="24"/>
                <w14:ligatures w14:val="none"/>
              </w:rPr>
            </w:pPr>
            <w:r w:rsidRPr="006B4A66">
              <w:rPr>
                <w:rFonts w:ascii="Times New Roman" w:eastAsia="Calibri" w:hAnsi="Times New Roman" w:cs="Times New Roman"/>
                <w:b/>
                <w:color w:val="000000"/>
                <w:kern w:val="0"/>
                <w:sz w:val="24"/>
                <w14:ligatures w14:val="none"/>
              </w:rPr>
              <w:t>LPD (w/ft</w:t>
            </w:r>
            <w:r w:rsidRPr="006B4A66">
              <w:rPr>
                <w:rFonts w:ascii="Times New Roman" w:eastAsia="Calibri" w:hAnsi="Times New Roman" w:cs="Times New Roman"/>
                <w:b/>
                <w:color w:val="000000"/>
                <w:kern w:val="0"/>
                <w:sz w:val="24"/>
                <w:vertAlign w:val="superscript"/>
                <w14:ligatures w14:val="none"/>
              </w:rPr>
              <w:t>2</w:t>
            </w:r>
            <w:r w:rsidRPr="006B4A66">
              <w:rPr>
                <w:rFonts w:ascii="Times New Roman" w:eastAsia="Calibri" w:hAnsi="Times New Roman" w:cs="Times New Roman"/>
                <w:b/>
                <w:color w:val="000000"/>
                <w:kern w:val="0"/>
                <w:sz w:val="24"/>
                <w14:ligatures w14:val="none"/>
              </w:rPr>
              <w:t>)</w:t>
            </w:r>
          </w:p>
        </w:tc>
      </w:tr>
      <w:tr w:rsidR="006B4A66" w:rsidRPr="006B4A66" w14:paraId="70E8ABBC" w14:textId="77777777">
        <w:trPr>
          <w:jc w:val="center"/>
        </w:trPr>
        <w:tc>
          <w:tcPr>
            <w:tcW w:w="4320" w:type="dxa"/>
            <w:tcBorders>
              <w:top w:val="single" w:sz="4" w:space="0" w:color="auto"/>
              <w:left w:val="single" w:sz="4" w:space="0" w:color="auto"/>
              <w:bottom w:val="single" w:sz="4" w:space="0" w:color="auto"/>
              <w:right w:val="single" w:sz="4" w:space="0" w:color="auto"/>
            </w:tcBorders>
            <w:hideMark/>
          </w:tcPr>
          <w:p w14:paraId="58BDA33A"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Automotive facility</w:t>
            </w:r>
          </w:p>
        </w:tc>
        <w:tc>
          <w:tcPr>
            <w:tcW w:w="4320" w:type="dxa"/>
            <w:tcBorders>
              <w:top w:val="single" w:sz="4" w:space="0" w:color="auto"/>
              <w:left w:val="single" w:sz="4" w:space="0" w:color="auto"/>
              <w:bottom w:val="single" w:sz="4" w:space="0" w:color="auto"/>
              <w:right w:val="single" w:sz="4" w:space="0" w:color="auto"/>
            </w:tcBorders>
            <w:hideMark/>
          </w:tcPr>
          <w:p w14:paraId="7E2BC9C6"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0.58</w:t>
            </w:r>
          </w:p>
        </w:tc>
      </w:tr>
      <w:tr w:rsidR="006B4A66" w:rsidRPr="006B4A66" w14:paraId="6CF3FC6D" w14:textId="77777777">
        <w:trPr>
          <w:jc w:val="center"/>
        </w:trPr>
        <w:tc>
          <w:tcPr>
            <w:tcW w:w="4320" w:type="dxa"/>
            <w:tcBorders>
              <w:top w:val="single" w:sz="4" w:space="0" w:color="auto"/>
              <w:left w:val="single" w:sz="4" w:space="0" w:color="auto"/>
              <w:bottom w:val="single" w:sz="4" w:space="0" w:color="auto"/>
              <w:right w:val="single" w:sz="4" w:space="0" w:color="auto"/>
            </w:tcBorders>
            <w:hideMark/>
          </w:tcPr>
          <w:p w14:paraId="29114069"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Convention center</w:t>
            </w:r>
          </w:p>
        </w:tc>
        <w:tc>
          <w:tcPr>
            <w:tcW w:w="4320" w:type="dxa"/>
            <w:tcBorders>
              <w:top w:val="single" w:sz="4" w:space="0" w:color="auto"/>
              <w:left w:val="single" w:sz="4" w:space="0" w:color="auto"/>
              <w:bottom w:val="single" w:sz="4" w:space="0" w:color="auto"/>
              <w:right w:val="single" w:sz="4" w:space="0" w:color="auto"/>
            </w:tcBorders>
            <w:hideMark/>
          </w:tcPr>
          <w:p w14:paraId="15E0D264"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0.58</w:t>
            </w:r>
          </w:p>
        </w:tc>
      </w:tr>
      <w:tr w:rsidR="006B4A66" w:rsidRPr="006B4A66" w14:paraId="1255E398" w14:textId="77777777">
        <w:trPr>
          <w:jc w:val="center"/>
        </w:trPr>
        <w:tc>
          <w:tcPr>
            <w:tcW w:w="4320" w:type="dxa"/>
            <w:tcBorders>
              <w:top w:val="single" w:sz="4" w:space="0" w:color="auto"/>
              <w:left w:val="single" w:sz="4" w:space="0" w:color="auto"/>
              <w:bottom w:val="single" w:sz="4" w:space="0" w:color="auto"/>
              <w:right w:val="single" w:sz="4" w:space="0" w:color="auto"/>
            </w:tcBorders>
            <w:hideMark/>
          </w:tcPr>
          <w:p w14:paraId="6727C0FB"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Court house</w:t>
            </w:r>
          </w:p>
        </w:tc>
        <w:tc>
          <w:tcPr>
            <w:tcW w:w="4320" w:type="dxa"/>
            <w:tcBorders>
              <w:top w:val="single" w:sz="4" w:space="0" w:color="auto"/>
              <w:left w:val="single" w:sz="4" w:space="0" w:color="auto"/>
              <w:bottom w:val="single" w:sz="4" w:space="0" w:color="auto"/>
              <w:right w:val="single" w:sz="4" w:space="0" w:color="auto"/>
            </w:tcBorders>
            <w:hideMark/>
          </w:tcPr>
          <w:p w14:paraId="7B233FDC"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0.71</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0.68</w:t>
            </w:r>
          </w:p>
        </w:tc>
      </w:tr>
      <w:tr w:rsidR="006B4A66" w:rsidRPr="006B4A66" w14:paraId="551AEA23" w14:textId="77777777">
        <w:trPr>
          <w:jc w:val="center"/>
        </w:trPr>
        <w:tc>
          <w:tcPr>
            <w:tcW w:w="4320" w:type="dxa"/>
            <w:tcBorders>
              <w:top w:val="single" w:sz="4" w:space="0" w:color="auto"/>
              <w:left w:val="single" w:sz="4" w:space="0" w:color="auto"/>
              <w:bottom w:val="single" w:sz="4" w:space="0" w:color="auto"/>
              <w:right w:val="single" w:sz="4" w:space="0" w:color="auto"/>
            </w:tcBorders>
            <w:hideMark/>
          </w:tcPr>
          <w:p w14:paraId="0408FDB0"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Dining: Bar lounge/leisure</w:t>
            </w:r>
          </w:p>
        </w:tc>
        <w:tc>
          <w:tcPr>
            <w:tcW w:w="4320" w:type="dxa"/>
            <w:tcBorders>
              <w:top w:val="single" w:sz="4" w:space="0" w:color="auto"/>
              <w:left w:val="single" w:sz="4" w:space="0" w:color="auto"/>
              <w:bottom w:val="single" w:sz="4" w:space="0" w:color="auto"/>
              <w:right w:val="single" w:sz="4" w:space="0" w:color="auto"/>
            </w:tcBorders>
            <w:hideMark/>
          </w:tcPr>
          <w:p w14:paraId="67F8F6A4"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0.71</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0.68</w:t>
            </w:r>
          </w:p>
        </w:tc>
      </w:tr>
      <w:tr w:rsidR="006B4A66" w:rsidRPr="006B4A66" w14:paraId="64083FD3" w14:textId="77777777">
        <w:trPr>
          <w:jc w:val="center"/>
        </w:trPr>
        <w:tc>
          <w:tcPr>
            <w:tcW w:w="4320" w:type="dxa"/>
            <w:tcBorders>
              <w:top w:val="single" w:sz="4" w:space="0" w:color="auto"/>
              <w:left w:val="single" w:sz="4" w:space="0" w:color="auto"/>
              <w:bottom w:val="single" w:sz="4" w:space="0" w:color="auto"/>
              <w:right w:val="single" w:sz="4" w:space="0" w:color="auto"/>
            </w:tcBorders>
            <w:hideMark/>
          </w:tcPr>
          <w:p w14:paraId="04952486"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Dining: Cafeteria/fast food</w:t>
            </w:r>
          </w:p>
        </w:tc>
        <w:tc>
          <w:tcPr>
            <w:tcW w:w="4320" w:type="dxa"/>
            <w:tcBorders>
              <w:top w:val="single" w:sz="4" w:space="0" w:color="auto"/>
              <w:left w:val="single" w:sz="4" w:space="0" w:color="auto"/>
              <w:bottom w:val="single" w:sz="4" w:space="0" w:color="auto"/>
              <w:right w:val="single" w:sz="4" w:space="0" w:color="auto"/>
            </w:tcBorders>
            <w:hideMark/>
          </w:tcPr>
          <w:p w14:paraId="68A6DA0E"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0.65</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0.63</w:t>
            </w:r>
          </w:p>
        </w:tc>
      </w:tr>
      <w:tr w:rsidR="006B4A66" w:rsidRPr="006B4A66" w14:paraId="528A9505" w14:textId="77777777">
        <w:trPr>
          <w:jc w:val="center"/>
        </w:trPr>
        <w:tc>
          <w:tcPr>
            <w:tcW w:w="4320" w:type="dxa"/>
            <w:tcBorders>
              <w:top w:val="single" w:sz="4" w:space="0" w:color="auto"/>
              <w:left w:val="single" w:sz="4" w:space="0" w:color="auto"/>
              <w:bottom w:val="single" w:sz="4" w:space="0" w:color="auto"/>
              <w:right w:val="single" w:sz="4" w:space="0" w:color="auto"/>
            </w:tcBorders>
            <w:hideMark/>
          </w:tcPr>
          <w:p w14:paraId="2B855B58"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Dining: Family</w:t>
            </w:r>
          </w:p>
        </w:tc>
        <w:tc>
          <w:tcPr>
            <w:tcW w:w="4320" w:type="dxa"/>
            <w:tcBorders>
              <w:top w:val="single" w:sz="4" w:space="0" w:color="auto"/>
              <w:left w:val="single" w:sz="4" w:space="0" w:color="auto"/>
              <w:bottom w:val="single" w:sz="4" w:space="0" w:color="auto"/>
              <w:right w:val="single" w:sz="4" w:space="0" w:color="auto"/>
            </w:tcBorders>
            <w:hideMark/>
          </w:tcPr>
          <w:p w14:paraId="360E02B4"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0.64</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0.59</w:t>
            </w:r>
          </w:p>
        </w:tc>
      </w:tr>
      <w:tr w:rsidR="006B4A66" w:rsidRPr="006B4A66" w14:paraId="33D9AAD7" w14:textId="77777777">
        <w:trPr>
          <w:jc w:val="center"/>
        </w:trPr>
        <w:tc>
          <w:tcPr>
            <w:tcW w:w="4320" w:type="dxa"/>
            <w:tcBorders>
              <w:top w:val="single" w:sz="4" w:space="0" w:color="auto"/>
              <w:left w:val="single" w:sz="4" w:space="0" w:color="auto"/>
              <w:bottom w:val="single" w:sz="4" w:space="0" w:color="auto"/>
              <w:right w:val="single" w:sz="4" w:space="0" w:color="auto"/>
            </w:tcBorders>
            <w:hideMark/>
          </w:tcPr>
          <w:p w14:paraId="2983D4A8"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Dormitory</w:t>
            </w:r>
            <w:r w:rsidRPr="006B4A66">
              <w:rPr>
                <w:rFonts w:ascii="Times New Roman" w:eastAsia="Calibri" w:hAnsi="Times New Roman" w:cs="Times New Roman"/>
                <w:color w:val="000000"/>
                <w:kern w:val="0"/>
                <w:sz w:val="24"/>
                <w:vertAlign w:val="superscript"/>
                <w14:ligatures w14:val="none"/>
              </w:rPr>
              <w:t>((</w:t>
            </w:r>
            <w:r w:rsidRPr="006B4A66">
              <w:rPr>
                <w:rFonts w:ascii="Times New Roman" w:eastAsia="Calibri" w:hAnsi="Times New Roman" w:cs="Times New Roman"/>
                <w:strike/>
                <w:color w:val="000000"/>
                <w:kern w:val="0"/>
                <w:sz w:val="24"/>
                <w:vertAlign w:val="superscript"/>
                <w14:ligatures w14:val="none"/>
              </w:rPr>
              <w:t>a,b</w:t>
            </w:r>
            <w:r w:rsidRPr="006B4A66">
              <w:rPr>
                <w:rFonts w:ascii="Times New Roman" w:eastAsia="Calibri" w:hAnsi="Times New Roman" w:cs="Times New Roman"/>
                <w:color w:val="000000"/>
                <w:kern w:val="0"/>
                <w:sz w:val="24"/>
                <w:vertAlign w:val="superscript"/>
                <w14:ligatures w14:val="none"/>
              </w:rPr>
              <w:t>))</w:t>
            </w:r>
          </w:p>
        </w:tc>
        <w:tc>
          <w:tcPr>
            <w:tcW w:w="4320" w:type="dxa"/>
            <w:tcBorders>
              <w:top w:val="single" w:sz="4" w:space="0" w:color="auto"/>
              <w:left w:val="single" w:sz="4" w:space="0" w:color="auto"/>
              <w:bottom w:val="single" w:sz="4" w:space="0" w:color="auto"/>
              <w:right w:val="single" w:sz="4" w:space="0" w:color="auto"/>
            </w:tcBorders>
            <w:hideMark/>
          </w:tcPr>
          <w:p w14:paraId="418203D4"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0.41</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0.46</w:t>
            </w:r>
          </w:p>
        </w:tc>
      </w:tr>
      <w:tr w:rsidR="006B4A66" w:rsidRPr="006B4A66" w14:paraId="322FD312" w14:textId="77777777">
        <w:trPr>
          <w:jc w:val="center"/>
        </w:trPr>
        <w:tc>
          <w:tcPr>
            <w:tcW w:w="4320" w:type="dxa"/>
            <w:tcBorders>
              <w:top w:val="single" w:sz="4" w:space="0" w:color="auto"/>
              <w:left w:val="single" w:sz="4" w:space="0" w:color="auto"/>
              <w:bottom w:val="single" w:sz="4" w:space="0" w:color="auto"/>
              <w:right w:val="single" w:sz="4" w:space="0" w:color="auto"/>
            </w:tcBorders>
            <w:hideMark/>
          </w:tcPr>
          <w:p w14:paraId="407BD73E"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Exercise center</w:t>
            </w:r>
          </w:p>
        </w:tc>
        <w:tc>
          <w:tcPr>
            <w:tcW w:w="4320" w:type="dxa"/>
            <w:tcBorders>
              <w:top w:val="single" w:sz="4" w:space="0" w:color="auto"/>
              <w:left w:val="single" w:sz="4" w:space="0" w:color="auto"/>
              <w:bottom w:val="single" w:sz="4" w:space="0" w:color="auto"/>
              <w:right w:val="single" w:sz="4" w:space="0" w:color="auto"/>
            </w:tcBorders>
            <w:hideMark/>
          </w:tcPr>
          <w:p w14:paraId="69FD36E5"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0.60</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0.54</w:t>
            </w:r>
          </w:p>
        </w:tc>
      </w:tr>
      <w:tr w:rsidR="006B4A66" w:rsidRPr="006B4A66" w14:paraId="71B46400" w14:textId="77777777">
        <w:trPr>
          <w:jc w:val="center"/>
        </w:trPr>
        <w:tc>
          <w:tcPr>
            <w:tcW w:w="4320" w:type="dxa"/>
            <w:tcBorders>
              <w:top w:val="single" w:sz="4" w:space="0" w:color="auto"/>
              <w:left w:val="single" w:sz="4" w:space="0" w:color="auto"/>
              <w:bottom w:val="single" w:sz="4" w:space="0" w:color="auto"/>
              <w:right w:val="single" w:sz="4" w:space="0" w:color="auto"/>
            </w:tcBorders>
            <w:hideMark/>
          </w:tcPr>
          <w:p w14:paraId="6FC1383F"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Fire station</w:t>
            </w:r>
            <w:r w:rsidRPr="006B4A66">
              <w:rPr>
                <w:rFonts w:ascii="Times New Roman" w:eastAsia="Calibri" w:hAnsi="Times New Roman" w:cs="Times New Roman"/>
                <w:color w:val="000000"/>
                <w:kern w:val="0"/>
                <w:sz w:val="24"/>
                <w:vertAlign w:val="superscript"/>
                <w14:ligatures w14:val="none"/>
              </w:rPr>
              <w:t>((</w:t>
            </w:r>
            <w:r w:rsidRPr="006B4A66">
              <w:rPr>
                <w:rFonts w:ascii="Times New Roman" w:eastAsia="Calibri" w:hAnsi="Times New Roman" w:cs="Times New Roman"/>
                <w:strike/>
                <w:color w:val="000000"/>
                <w:kern w:val="0"/>
                <w:sz w:val="24"/>
                <w:vertAlign w:val="superscript"/>
                <w14:ligatures w14:val="none"/>
              </w:rPr>
              <w:t>a</w:t>
            </w:r>
            <w:r w:rsidRPr="006B4A66">
              <w:rPr>
                <w:rFonts w:ascii="Times New Roman" w:eastAsia="Calibri" w:hAnsi="Times New Roman" w:cs="Times New Roman"/>
                <w:color w:val="000000"/>
                <w:kern w:val="0"/>
                <w:sz w:val="24"/>
                <w:vertAlign w:val="superscript"/>
                <w14:ligatures w14:val="none"/>
              </w:rPr>
              <w:t>))</w:t>
            </w:r>
          </w:p>
        </w:tc>
        <w:tc>
          <w:tcPr>
            <w:tcW w:w="4320" w:type="dxa"/>
            <w:tcBorders>
              <w:top w:val="single" w:sz="4" w:space="0" w:color="auto"/>
              <w:left w:val="single" w:sz="4" w:space="0" w:color="auto"/>
              <w:bottom w:val="single" w:sz="4" w:space="0" w:color="auto"/>
              <w:right w:val="single" w:sz="4" w:space="0" w:color="auto"/>
            </w:tcBorders>
            <w:hideMark/>
          </w:tcPr>
          <w:p w14:paraId="6297B981"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0.49</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0.51</w:t>
            </w:r>
          </w:p>
        </w:tc>
      </w:tr>
      <w:tr w:rsidR="006B4A66" w:rsidRPr="006B4A66" w14:paraId="272ACEAC" w14:textId="77777777">
        <w:trPr>
          <w:jc w:val="center"/>
        </w:trPr>
        <w:tc>
          <w:tcPr>
            <w:tcW w:w="4320" w:type="dxa"/>
            <w:tcBorders>
              <w:top w:val="single" w:sz="4" w:space="0" w:color="auto"/>
              <w:left w:val="single" w:sz="4" w:space="0" w:color="auto"/>
              <w:bottom w:val="single" w:sz="4" w:space="0" w:color="auto"/>
              <w:right w:val="single" w:sz="4" w:space="0" w:color="auto"/>
            </w:tcBorders>
            <w:hideMark/>
          </w:tcPr>
          <w:p w14:paraId="306D418C"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Gymnasium</w:t>
            </w:r>
          </w:p>
        </w:tc>
        <w:tc>
          <w:tcPr>
            <w:tcW w:w="4320" w:type="dxa"/>
            <w:tcBorders>
              <w:top w:val="single" w:sz="4" w:space="0" w:color="auto"/>
              <w:left w:val="single" w:sz="4" w:space="0" w:color="auto"/>
              <w:bottom w:val="single" w:sz="4" w:space="0" w:color="auto"/>
              <w:right w:val="single" w:sz="4" w:space="0" w:color="auto"/>
            </w:tcBorders>
            <w:hideMark/>
          </w:tcPr>
          <w:p w14:paraId="6A7860EA"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0.68</w:t>
            </w:r>
          </w:p>
        </w:tc>
      </w:tr>
      <w:tr w:rsidR="006B4A66" w:rsidRPr="006B4A66" w14:paraId="0D8BB42F" w14:textId="77777777">
        <w:trPr>
          <w:jc w:val="center"/>
        </w:trPr>
        <w:tc>
          <w:tcPr>
            <w:tcW w:w="4320" w:type="dxa"/>
            <w:tcBorders>
              <w:top w:val="single" w:sz="4" w:space="0" w:color="auto"/>
              <w:left w:val="single" w:sz="4" w:space="0" w:color="auto"/>
              <w:bottom w:val="single" w:sz="4" w:space="0" w:color="auto"/>
              <w:right w:val="single" w:sz="4" w:space="0" w:color="auto"/>
            </w:tcBorders>
            <w:hideMark/>
          </w:tcPr>
          <w:p w14:paraId="304751E9"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Health care clinic</w:t>
            </w:r>
          </w:p>
        </w:tc>
        <w:tc>
          <w:tcPr>
            <w:tcW w:w="4320" w:type="dxa"/>
            <w:tcBorders>
              <w:top w:val="single" w:sz="4" w:space="0" w:color="auto"/>
              <w:left w:val="single" w:sz="4" w:space="0" w:color="auto"/>
              <w:bottom w:val="single" w:sz="4" w:space="0" w:color="auto"/>
              <w:right w:val="single" w:sz="4" w:space="0" w:color="auto"/>
            </w:tcBorders>
            <w:hideMark/>
          </w:tcPr>
          <w:p w14:paraId="3B1E1EAD"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0.63</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0.69</w:t>
            </w:r>
          </w:p>
        </w:tc>
      </w:tr>
      <w:tr w:rsidR="006B4A66" w:rsidRPr="006B4A66" w14:paraId="17B06F51" w14:textId="77777777">
        <w:trPr>
          <w:jc w:val="center"/>
        </w:trPr>
        <w:tc>
          <w:tcPr>
            <w:tcW w:w="4320" w:type="dxa"/>
            <w:tcBorders>
              <w:top w:val="single" w:sz="4" w:space="0" w:color="auto"/>
              <w:left w:val="single" w:sz="4" w:space="0" w:color="auto"/>
              <w:bottom w:val="single" w:sz="4" w:space="0" w:color="auto"/>
              <w:right w:val="single" w:sz="4" w:space="0" w:color="auto"/>
            </w:tcBorders>
            <w:hideMark/>
          </w:tcPr>
          <w:p w14:paraId="438C20AD"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Hospital</w:t>
            </w:r>
            <w:r w:rsidRPr="006B4A66">
              <w:rPr>
                <w:rFonts w:ascii="Times New Roman" w:eastAsia="Calibri" w:hAnsi="Times New Roman" w:cs="Times New Roman"/>
                <w:color w:val="000000"/>
                <w:kern w:val="0"/>
                <w:sz w:val="24"/>
                <w:vertAlign w:val="superscript"/>
                <w14:ligatures w14:val="none"/>
              </w:rPr>
              <w:t>((</w:t>
            </w:r>
            <w:r w:rsidRPr="006B4A66">
              <w:rPr>
                <w:rFonts w:ascii="Times New Roman" w:eastAsia="Calibri" w:hAnsi="Times New Roman" w:cs="Times New Roman"/>
                <w:strike/>
                <w:color w:val="000000"/>
                <w:kern w:val="0"/>
                <w:sz w:val="24"/>
                <w:vertAlign w:val="superscript"/>
                <w14:ligatures w14:val="none"/>
              </w:rPr>
              <w:t>a</w:t>
            </w:r>
            <w:r w:rsidRPr="006B4A66">
              <w:rPr>
                <w:rFonts w:ascii="Times New Roman" w:eastAsia="Calibri" w:hAnsi="Times New Roman" w:cs="Times New Roman"/>
                <w:color w:val="000000"/>
                <w:kern w:val="0"/>
                <w:sz w:val="24"/>
                <w:vertAlign w:val="superscript"/>
                <w14:ligatures w14:val="none"/>
              </w:rPr>
              <w:t>))</w:t>
            </w:r>
          </w:p>
        </w:tc>
        <w:tc>
          <w:tcPr>
            <w:tcW w:w="4320" w:type="dxa"/>
            <w:tcBorders>
              <w:top w:val="single" w:sz="4" w:space="0" w:color="auto"/>
              <w:left w:val="single" w:sz="4" w:space="0" w:color="auto"/>
              <w:bottom w:val="single" w:sz="4" w:space="0" w:color="auto"/>
              <w:right w:val="single" w:sz="4" w:space="0" w:color="auto"/>
            </w:tcBorders>
            <w:hideMark/>
          </w:tcPr>
          <w:p w14:paraId="71CE7020"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0.84</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0.83</w:t>
            </w:r>
          </w:p>
        </w:tc>
      </w:tr>
      <w:tr w:rsidR="006B4A66" w:rsidRPr="006B4A66" w14:paraId="0650F4E2" w14:textId="77777777">
        <w:trPr>
          <w:jc w:val="center"/>
        </w:trPr>
        <w:tc>
          <w:tcPr>
            <w:tcW w:w="4320" w:type="dxa"/>
            <w:tcBorders>
              <w:top w:val="single" w:sz="4" w:space="0" w:color="auto"/>
              <w:left w:val="single" w:sz="4" w:space="0" w:color="auto"/>
              <w:bottom w:val="single" w:sz="4" w:space="0" w:color="auto"/>
              <w:right w:val="single" w:sz="4" w:space="0" w:color="auto"/>
            </w:tcBorders>
            <w:hideMark/>
          </w:tcPr>
          <w:p w14:paraId="66AB3B48"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Hotel/motel</w:t>
            </w:r>
            <w:r w:rsidRPr="006B4A66">
              <w:rPr>
                <w:rFonts w:ascii="Times New Roman" w:eastAsia="Calibri" w:hAnsi="Times New Roman" w:cs="Times New Roman"/>
                <w:color w:val="000000"/>
                <w:kern w:val="0"/>
                <w:sz w:val="24"/>
                <w:vertAlign w:val="superscript"/>
                <w14:ligatures w14:val="none"/>
              </w:rPr>
              <w:t>((</w:t>
            </w:r>
            <w:r w:rsidRPr="006B4A66">
              <w:rPr>
                <w:rFonts w:ascii="Times New Roman" w:eastAsia="Calibri" w:hAnsi="Times New Roman" w:cs="Times New Roman"/>
                <w:strike/>
                <w:color w:val="000000"/>
                <w:kern w:val="0"/>
                <w:sz w:val="24"/>
                <w:vertAlign w:val="superscript"/>
                <w14:ligatures w14:val="none"/>
              </w:rPr>
              <w:t>a,b</w:t>
            </w:r>
            <w:r w:rsidRPr="006B4A66">
              <w:rPr>
                <w:rFonts w:ascii="Times New Roman" w:eastAsia="Calibri" w:hAnsi="Times New Roman" w:cs="Times New Roman"/>
                <w:color w:val="000000"/>
                <w:kern w:val="0"/>
                <w:sz w:val="24"/>
                <w:vertAlign w:val="superscript"/>
                <w14:ligatures w14:val="none"/>
              </w:rPr>
              <w:t>))</w:t>
            </w:r>
          </w:p>
        </w:tc>
        <w:tc>
          <w:tcPr>
            <w:tcW w:w="4320" w:type="dxa"/>
            <w:tcBorders>
              <w:top w:val="single" w:sz="4" w:space="0" w:color="auto"/>
              <w:left w:val="single" w:sz="4" w:space="0" w:color="auto"/>
              <w:bottom w:val="single" w:sz="4" w:space="0" w:color="auto"/>
              <w:right w:val="single" w:sz="4" w:space="0" w:color="auto"/>
            </w:tcBorders>
            <w:hideMark/>
          </w:tcPr>
          <w:p w14:paraId="520E3696"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0.50</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0.48</w:t>
            </w:r>
          </w:p>
        </w:tc>
      </w:tr>
      <w:tr w:rsidR="006B4A66" w:rsidRPr="006B4A66" w14:paraId="5B46063A" w14:textId="77777777">
        <w:trPr>
          <w:jc w:val="center"/>
        </w:trPr>
        <w:tc>
          <w:tcPr>
            <w:tcW w:w="4320" w:type="dxa"/>
            <w:tcBorders>
              <w:top w:val="single" w:sz="4" w:space="0" w:color="auto"/>
              <w:left w:val="single" w:sz="4" w:space="0" w:color="auto"/>
              <w:bottom w:val="single" w:sz="4" w:space="0" w:color="auto"/>
              <w:right w:val="single" w:sz="4" w:space="0" w:color="auto"/>
            </w:tcBorders>
            <w:hideMark/>
          </w:tcPr>
          <w:p w14:paraId="6ACF3427"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Library</w:t>
            </w:r>
          </w:p>
        </w:tc>
        <w:tc>
          <w:tcPr>
            <w:tcW w:w="4320" w:type="dxa"/>
            <w:tcBorders>
              <w:top w:val="single" w:sz="4" w:space="0" w:color="auto"/>
              <w:left w:val="single" w:sz="4" w:space="0" w:color="auto"/>
              <w:bottom w:val="single" w:sz="4" w:space="0" w:color="auto"/>
              <w:right w:val="single" w:sz="4" w:space="0" w:color="auto"/>
            </w:tcBorders>
            <w:hideMark/>
          </w:tcPr>
          <w:p w14:paraId="2A10A2E5"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0.75</w:t>
            </w:r>
          </w:p>
        </w:tc>
      </w:tr>
      <w:tr w:rsidR="006B4A66" w:rsidRPr="006B4A66" w14:paraId="0CD69801" w14:textId="77777777">
        <w:trPr>
          <w:jc w:val="center"/>
        </w:trPr>
        <w:tc>
          <w:tcPr>
            <w:tcW w:w="4320" w:type="dxa"/>
            <w:tcBorders>
              <w:top w:val="single" w:sz="4" w:space="0" w:color="auto"/>
              <w:left w:val="single" w:sz="4" w:space="0" w:color="auto"/>
              <w:bottom w:val="single" w:sz="4" w:space="0" w:color="auto"/>
              <w:right w:val="single" w:sz="4" w:space="0" w:color="auto"/>
            </w:tcBorders>
            <w:hideMark/>
          </w:tcPr>
          <w:p w14:paraId="2869D383"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Manufacturing facility</w:t>
            </w:r>
          </w:p>
        </w:tc>
        <w:tc>
          <w:tcPr>
            <w:tcW w:w="4320" w:type="dxa"/>
            <w:tcBorders>
              <w:top w:val="single" w:sz="4" w:space="0" w:color="auto"/>
              <w:left w:val="single" w:sz="4" w:space="0" w:color="auto"/>
              <w:bottom w:val="single" w:sz="4" w:space="0" w:color="auto"/>
              <w:right w:val="single" w:sz="4" w:space="0" w:color="auto"/>
            </w:tcBorders>
            <w:hideMark/>
          </w:tcPr>
          <w:p w14:paraId="7EE40667"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0.74</w:t>
            </w:r>
          </w:p>
        </w:tc>
      </w:tr>
      <w:tr w:rsidR="006B4A66" w:rsidRPr="006B4A66" w14:paraId="28340880" w14:textId="77777777">
        <w:trPr>
          <w:jc w:val="center"/>
        </w:trPr>
        <w:tc>
          <w:tcPr>
            <w:tcW w:w="4320" w:type="dxa"/>
            <w:tcBorders>
              <w:top w:val="single" w:sz="4" w:space="0" w:color="auto"/>
              <w:left w:val="single" w:sz="4" w:space="0" w:color="auto"/>
              <w:bottom w:val="single" w:sz="4" w:space="0" w:color="auto"/>
              <w:right w:val="single" w:sz="4" w:space="0" w:color="auto"/>
            </w:tcBorders>
            <w:hideMark/>
          </w:tcPr>
          <w:p w14:paraId="1F921823"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Motion picture theater</w:t>
            </w:r>
          </w:p>
        </w:tc>
        <w:tc>
          <w:tcPr>
            <w:tcW w:w="4320" w:type="dxa"/>
            <w:tcBorders>
              <w:top w:val="single" w:sz="4" w:space="0" w:color="auto"/>
              <w:left w:val="single" w:sz="4" w:space="0" w:color="auto"/>
              <w:bottom w:val="single" w:sz="4" w:space="0" w:color="auto"/>
              <w:right w:val="single" w:sz="4" w:space="0" w:color="auto"/>
            </w:tcBorders>
            <w:hideMark/>
          </w:tcPr>
          <w:p w14:paraId="42B4ABEA"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0.40</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0.39</w:t>
            </w:r>
          </w:p>
        </w:tc>
      </w:tr>
      <w:tr w:rsidR="006B4A66" w:rsidRPr="006B4A66" w14:paraId="55605143" w14:textId="77777777">
        <w:trPr>
          <w:jc w:val="center"/>
        </w:trPr>
        <w:tc>
          <w:tcPr>
            <w:tcW w:w="4320" w:type="dxa"/>
            <w:tcBorders>
              <w:top w:val="single" w:sz="4" w:space="0" w:color="auto"/>
              <w:left w:val="single" w:sz="4" w:space="0" w:color="auto"/>
              <w:bottom w:val="single" w:sz="4" w:space="0" w:color="auto"/>
              <w:right w:val="single" w:sz="4" w:space="0" w:color="auto"/>
            </w:tcBorders>
            <w:hideMark/>
          </w:tcPr>
          <w:p w14:paraId="6F36DDD4"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Multifamily</w:t>
            </w:r>
            <w:r w:rsidRPr="006B4A66">
              <w:rPr>
                <w:rFonts w:ascii="Times New Roman" w:eastAsia="Calibri" w:hAnsi="Times New Roman" w:cs="Times New Roman"/>
                <w:color w:val="000000"/>
                <w:kern w:val="0"/>
                <w:sz w:val="24"/>
                <w:vertAlign w:val="superscript"/>
                <w14:ligatures w14:val="none"/>
              </w:rPr>
              <w:t>((</w:t>
            </w:r>
            <w:r w:rsidRPr="006B4A66">
              <w:rPr>
                <w:rFonts w:ascii="Times New Roman" w:eastAsia="Calibri" w:hAnsi="Times New Roman" w:cs="Times New Roman"/>
                <w:strike/>
                <w:color w:val="000000"/>
                <w:kern w:val="0"/>
                <w:sz w:val="24"/>
                <w:vertAlign w:val="superscript"/>
                <w14:ligatures w14:val="none"/>
              </w:rPr>
              <w:t>c</w:t>
            </w:r>
            <w:r w:rsidRPr="006B4A66">
              <w:rPr>
                <w:rFonts w:ascii="Times New Roman" w:eastAsia="Calibri" w:hAnsi="Times New Roman" w:cs="Times New Roman"/>
                <w:color w:val="000000"/>
                <w:kern w:val="0"/>
                <w:sz w:val="24"/>
                <w:vertAlign w:val="superscript"/>
                <w14:ligatures w14:val="none"/>
              </w:rPr>
              <w:t>))</w:t>
            </w:r>
            <w:r w:rsidRPr="006B4A66">
              <w:rPr>
                <w:rFonts w:ascii="Times New Roman" w:eastAsia="Calibri" w:hAnsi="Times New Roman" w:cs="Times New Roman"/>
                <w:color w:val="000000"/>
                <w:kern w:val="0"/>
                <w:sz w:val="24"/>
                <w14:ligatures w14:val="none"/>
              </w:rPr>
              <w:t xml:space="preserve"> </w:t>
            </w:r>
          </w:p>
        </w:tc>
        <w:tc>
          <w:tcPr>
            <w:tcW w:w="4320" w:type="dxa"/>
            <w:tcBorders>
              <w:top w:val="single" w:sz="4" w:space="0" w:color="auto"/>
              <w:left w:val="single" w:sz="4" w:space="0" w:color="auto"/>
              <w:bottom w:val="single" w:sz="4" w:space="0" w:color="auto"/>
              <w:right w:val="single" w:sz="4" w:space="0" w:color="auto"/>
            </w:tcBorders>
            <w:hideMark/>
          </w:tcPr>
          <w:p w14:paraId="26E90B39"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0.37</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0.41</w:t>
            </w:r>
          </w:p>
        </w:tc>
      </w:tr>
      <w:tr w:rsidR="006B4A66" w:rsidRPr="006B4A66" w14:paraId="467C1BEF" w14:textId="77777777">
        <w:trPr>
          <w:jc w:val="center"/>
        </w:trPr>
        <w:tc>
          <w:tcPr>
            <w:tcW w:w="4320" w:type="dxa"/>
            <w:tcBorders>
              <w:top w:val="single" w:sz="4" w:space="0" w:color="auto"/>
              <w:left w:val="single" w:sz="4" w:space="0" w:color="auto"/>
              <w:bottom w:val="single" w:sz="4" w:space="0" w:color="auto"/>
              <w:right w:val="single" w:sz="4" w:space="0" w:color="auto"/>
            </w:tcBorders>
            <w:hideMark/>
          </w:tcPr>
          <w:p w14:paraId="6B1A6316"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Museum</w:t>
            </w:r>
          </w:p>
        </w:tc>
        <w:tc>
          <w:tcPr>
            <w:tcW w:w="4320" w:type="dxa"/>
            <w:tcBorders>
              <w:top w:val="single" w:sz="4" w:space="0" w:color="auto"/>
              <w:left w:val="single" w:sz="4" w:space="0" w:color="auto"/>
              <w:bottom w:val="single" w:sz="4" w:space="0" w:color="auto"/>
              <w:right w:val="single" w:sz="4" w:space="0" w:color="auto"/>
            </w:tcBorders>
            <w:hideMark/>
          </w:tcPr>
          <w:p w14:paraId="6E582479"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0.50</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0.51</w:t>
            </w:r>
          </w:p>
        </w:tc>
      </w:tr>
      <w:tr w:rsidR="006B4A66" w:rsidRPr="006B4A66" w14:paraId="3CA61553" w14:textId="77777777">
        <w:trPr>
          <w:jc w:val="center"/>
        </w:trPr>
        <w:tc>
          <w:tcPr>
            <w:tcW w:w="4320" w:type="dxa"/>
            <w:tcBorders>
              <w:top w:val="single" w:sz="4" w:space="0" w:color="auto"/>
              <w:left w:val="single" w:sz="4" w:space="0" w:color="auto"/>
              <w:bottom w:val="single" w:sz="4" w:space="0" w:color="auto"/>
              <w:right w:val="single" w:sz="4" w:space="0" w:color="auto"/>
            </w:tcBorders>
            <w:hideMark/>
          </w:tcPr>
          <w:p w14:paraId="224881E8"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Office</w:t>
            </w:r>
          </w:p>
        </w:tc>
        <w:tc>
          <w:tcPr>
            <w:tcW w:w="4320" w:type="dxa"/>
            <w:tcBorders>
              <w:top w:val="single" w:sz="4" w:space="0" w:color="auto"/>
              <w:left w:val="single" w:sz="4" w:space="0" w:color="auto"/>
              <w:bottom w:val="single" w:sz="4" w:space="0" w:color="auto"/>
              <w:right w:val="single" w:sz="4" w:space="0" w:color="auto"/>
            </w:tcBorders>
            <w:hideMark/>
          </w:tcPr>
          <w:p w14:paraId="52AC7234"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0.58</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0.56</w:t>
            </w:r>
          </w:p>
        </w:tc>
      </w:tr>
      <w:tr w:rsidR="006B4A66" w:rsidRPr="006B4A66" w14:paraId="4B4A2F18" w14:textId="77777777">
        <w:trPr>
          <w:jc w:val="center"/>
        </w:trPr>
        <w:tc>
          <w:tcPr>
            <w:tcW w:w="4320" w:type="dxa"/>
            <w:tcBorders>
              <w:top w:val="single" w:sz="4" w:space="0" w:color="auto"/>
              <w:left w:val="single" w:sz="4" w:space="0" w:color="auto"/>
              <w:bottom w:val="single" w:sz="4" w:space="0" w:color="auto"/>
              <w:right w:val="single" w:sz="4" w:space="0" w:color="auto"/>
            </w:tcBorders>
            <w:hideMark/>
          </w:tcPr>
          <w:p w14:paraId="4A8CE239"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Parking garage</w:t>
            </w:r>
          </w:p>
        </w:tc>
        <w:tc>
          <w:tcPr>
            <w:tcW w:w="4320" w:type="dxa"/>
            <w:tcBorders>
              <w:top w:val="single" w:sz="4" w:space="0" w:color="auto"/>
              <w:left w:val="single" w:sz="4" w:space="0" w:color="auto"/>
              <w:bottom w:val="single" w:sz="4" w:space="0" w:color="auto"/>
              <w:right w:val="single" w:sz="4" w:space="0" w:color="auto"/>
            </w:tcBorders>
            <w:hideMark/>
          </w:tcPr>
          <w:p w14:paraId="19CF9314"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0.13</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0.14</w:t>
            </w:r>
          </w:p>
        </w:tc>
      </w:tr>
      <w:tr w:rsidR="006B4A66" w:rsidRPr="006B4A66" w14:paraId="7E4B763F" w14:textId="77777777">
        <w:trPr>
          <w:jc w:val="center"/>
        </w:trPr>
        <w:tc>
          <w:tcPr>
            <w:tcW w:w="4320" w:type="dxa"/>
            <w:tcBorders>
              <w:top w:val="single" w:sz="4" w:space="0" w:color="auto"/>
              <w:left w:val="single" w:sz="4" w:space="0" w:color="auto"/>
              <w:bottom w:val="single" w:sz="4" w:space="0" w:color="auto"/>
              <w:right w:val="single" w:sz="4" w:space="0" w:color="auto"/>
            </w:tcBorders>
            <w:hideMark/>
          </w:tcPr>
          <w:p w14:paraId="77FD9AD6"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Penitentiary</w:t>
            </w:r>
          </w:p>
        </w:tc>
        <w:tc>
          <w:tcPr>
            <w:tcW w:w="4320" w:type="dxa"/>
            <w:tcBorders>
              <w:top w:val="single" w:sz="4" w:space="0" w:color="auto"/>
              <w:left w:val="single" w:sz="4" w:space="0" w:color="auto"/>
              <w:bottom w:val="single" w:sz="4" w:space="0" w:color="auto"/>
              <w:right w:val="single" w:sz="4" w:space="0" w:color="auto"/>
            </w:tcBorders>
            <w:hideMark/>
          </w:tcPr>
          <w:p w14:paraId="5729EBE4"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0.65</w:t>
            </w:r>
          </w:p>
        </w:tc>
      </w:tr>
      <w:tr w:rsidR="006B4A66" w:rsidRPr="006B4A66" w14:paraId="0F6837F8" w14:textId="77777777">
        <w:trPr>
          <w:jc w:val="center"/>
        </w:trPr>
        <w:tc>
          <w:tcPr>
            <w:tcW w:w="4320" w:type="dxa"/>
            <w:tcBorders>
              <w:top w:val="single" w:sz="4" w:space="0" w:color="auto"/>
              <w:left w:val="single" w:sz="4" w:space="0" w:color="auto"/>
              <w:bottom w:val="single" w:sz="4" w:space="0" w:color="auto"/>
              <w:right w:val="single" w:sz="4" w:space="0" w:color="auto"/>
            </w:tcBorders>
            <w:hideMark/>
          </w:tcPr>
          <w:p w14:paraId="300448B9"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Performing arts theater</w:t>
            </w:r>
          </w:p>
        </w:tc>
        <w:tc>
          <w:tcPr>
            <w:tcW w:w="4320" w:type="dxa"/>
            <w:tcBorders>
              <w:top w:val="single" w:sz="4" w:space="0" w:color="auto"/>
              <w:left w:val="single" w:sz="4" w:space="0" w:color="auto"/>
              <w:bottom w:val="single" w:sz="4" w:space="0" w:color="auto"/>
              <w:right w:val="single" w:sz="4" w:space="0" w:color="auto"/>
            </w:tcBorders>
            <w:hideMark/>
          </w:tcPr>
          <w:p w14:paraId="2F66A22C"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0.76</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0.74</w:t>
            </w:r>
          </w:p>
        </w:tc>
      </w:tr>
      <w:tr w:rsidR="006B4A66" w:rsidRPr="006B4A66" w14:paraId="175D88FE" w14:textId="77777777">
        <w:trPr>
          <w:jc w:val="center"/>
        </w:trPr>
        <w:tc>
          <w:tcPr>
            <w:tcW w:w="4320" w:type="dxa"/>
            <w:tcBorders>
              <w:top w:val="single" w:sz="4" w:space="0" w:color="auto"/>
              <w:left w:val="single" w:sz="4" w:space="0" w:color="auto"/>
              <w:bottom w:val="single" w:sz="4" w:space="0" w:color="auto"/>
              <w:right w:val="single" w:sz="4" w:space="0" w:color="auto"/>
            </w:tcBorders>
            <w:hideMark/>
          </w:tcPr>
          <w:p w14:paraId="2C37F199"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Police station</w:t>
            </w:r>
          </w:p>
        </w:tc>
        <w:tc>
          <w:tcPr>
            <w:tcW w:w="4320" w:type="dxa"/>
            <w:tcBorders>
              <w:top w:val="single" w:sz="4" w:space="0" w:color="auto"/>
              <w:left w:val="single" w:sz="4" w:space="0" w:color="auto"/>
              <w:bottom w:val="single" w:sz="4" w:space="0" w:color="auto"/>
              <w:right w:val="single" w:sz="4" w:space="0" w:color="auto"/>
            </w:tcBorders>
            <w:hideMark/>
          </w:tcPr>
          <w:p w14:paraId="793C3F83"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0.60</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0.56</w:t>
            </w:r>
          </w:p>
        </w:tc>
      </w:tr>
      <w:tr w:rsidR="006B4A66" w:rsidRPr="006B4A66" w14:paraId="790860F5" w14:textId="77777777">
        <w:trPr>
          <w:jc w:val="center"/>
        </w:trPr>
        <w:tc>
          <w:tcPr>
            <w:tcW w:w="4320" w:type="dxa"/>
            <w:tcBorders>
              <w:top w:val="single" w:sz="4" w:space="0" w:color="auto"/>
              <w:left w:val="single" w:sz="4" w:space="0" w:color="auto"/>
              <w:bottom w:val="single" w:sz="4" w:space="0" w:color="auto"/>
              <w:right w:val="single" w:sz="4" w:space="0" w:color="auto"/>
            </w:tcBorders>
            <w:hideMark/>
          </w:tcPr>
          <w:p w14:paraId="7A5D2A3F"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Post office</w:t>
            </w:r>
          </w:p>
        </w:tc>
        <w:tc>
          <w:tcPr>
            <w:tcW w:w="4320" w:type="dxa"/>
            <w:tcBorders>
              <w:top w:val="single" w:sz="4" w:space="0" w:color="auto"/>
              <w:left w:val="single" w:sz="4" w:space="0" w:color="auto"/>
              <w:bottom w:val="single" w:sz="4" w:space="0" w:color="auto"/>
              <w:right w:val="single" w:sz="4" w:space="0" w:color="auto"/>
            </w:tcBorders>
            <w:hideMark/>
          </w:tcPr>
          <w:p w14:paraId="632AB902"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0.59</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0.58</w:t>
            </w:r>
          </w:p>
        </w:tc>
      </w:tr>
      <w:tr w:rsidR="006B4A66" w:rsidRPr="006B4A66" w14:paraId="6CDF9BC5" w14:textId="77777777">
        <w:trPr>
          <w:jc w:val="center"/>
        </w:trPr>
        <w:tc>
          <w:tcPr>
            <w:tcW w:w="4320" w:type="dxa"/>
            <w:tcBorders>
              <w:top w:val="single" w:sz="4" w:space="0" w:color="auto"/>
              <w:left w:val="single" w:sz="4" w:space="0" w:color="auto"/>
              <w:bottom w:val="single" w:sz="4" w:space="0" w:color="auto"/>
              <w:right w:val="single" w:sz="4" w:space="0" w:color="auto"/>
            </w:tcBorders>
            <w:hideMark/>
          </w:tcPr>
          <w:p w14:paraId="517C9209"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Religious building</w:t>
            </w:r>
          </w:p>
        </w:tc>
        <w:tc>
          <w:tcPr>
            <w:tcW w:w="4320" w:type="dxa"/>
            <w:tcBorders>
              <w:top w:val="single" w:sz="4" w:space="0" w:color="auto"/>
              <w:left w:val="single" w:sz="4" w:space="0" w:color="auto"/>
              <w:bottom w:val="single" w:sz="4" w:space="0" w:color="auto"/>
              <w:right w:val="single" w:sz="4" w:space="0" w:color="auto"/>
            </w:tcBorders>
            <w:hideMark/>
          </w:tcPr>
          <w:p w14:paraId="32FB4700"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0.60 </w:t>
            </w:r>
          </w:p>
        </w:tc>
      </w:tr>
      <w:tr w:rsidR="006B4A66" w:rsidRPr="006B4A66" w14:paraId="11796323" w14:textId="77777777">
        <w:trPr>
          <w:jc w:val="center"/>
        </w:trPr>
        <w:tc>
          <w:tcPr>
            <w:tcW w:w="4320" w:type="dxa"/>
            <w:tcBorders>
              <w:top w:val="single" w:sz="4" w:space="0" w:color="auto"/>
              <w:left w:val="single" w:sz="4" w:space="0" w:color="auto"/>
              <w:bottom w:val="single" w:sz="4" w:space="0" w:color="auto"/>
              <w:right w:val="single" w:sz="4" w:space="0" w:color="auto"/>
            </w:tcBorders>
            <w:hideMark/>
          </w:tcPr>
          <w:p w14:paraId="5967CD6D"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Retail</w:t>
            </w:r>
          </w:p>
        </w:tc>
        <w:tc>
          <w:tcPr>
            <w:tcW w:w="4320" w:type="dxa"/>
            <w:tcBorders>
              <w:top w:val="single" w:sz="4" w:space="0" w:color="auto"/>
              <w:left w:val="single" w:sz="4" w:space="0" w:color="auto"/>
              <w:bottom w:val="single" w:sz="4" w:space="0" w:color="auto"/>
              <w:right w:val="single" w:sz="4" w:space="0" w:color="auto"/>
            </w:tcBorders>
            <w:hideMark/>
          </w:tcPr>
          <w:p w14:paraId="7E40A7FC"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0.76</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0.70</w:t>
            </w:r>
          </w:p>
        </w:tc>
      </w:tr>
      <w:tr w:rsidR="006B4A66" w:rsidRPr="006B4A66" w14:paraId="551DD612" w14:textId="77777777">
        <w:trPr>
          <w:jc w:val="center"/>
        </w:trPr>
        <w:tc>
          <w:tcPr>
            <w:tcW w:w="4320" w:type="dxa"/>
            <w:tcBorders>
              <w:top w:val="single" w:sz="4" w:space="0" w:color="auto"/>
              <w:left w:val="single" w:sz="4" w:space="0" w:color="auto"/>
              <w:bottom w:val="single" w:sz="4" w:space="0" w:color="auto"/>
              <w:right w:val="single" w:sz="4" w:space="0" w:color="auto"/>
            </w:tcBorders>
            <w:hideMark/>
          </w:tcPr>
          <w:p w14:paraId="78DD0177"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School/university</w:t>
            </w:r>
          </w:p>
        </w:tc>
        <w:tc>
          <w:tcPr>
            <w:tcW w:w="4320" w:type="dxa"/>
            <w:tcBorders>
              <w:top w:val="single" w:sz="4" w:space="0" w:color="auto"/>
              <w:left w:val="single" w:sz="4" w:space="0" w:color="auto"/>
              <w:bottom w:val="single" w:sz="4" w:space="0" w:color="auto"/>
              <w:right w:val="single" w:sz="4" w:space="0" w:color="auto"/>
            </w:tcBorders>
            <w:hideMark/>
          </w:tcPr>
          <w:p w14:paraId="518E2492"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0.63</w:t>
            </w:r>
          </w:p>
        </w:tc>
      </w:tr>
      <w:tr w:rsidR="006B4A66" w:rsidRPr="006B4A66" w14:paraId="1573218A" w14:textId="77777777">
        <w:trPr>
          <w:jc w:val="center"/>
        </w:trPr>
        <w:tc>
          <w:tcPr>
            <w:tcW w:w="4320" w:type="dxa"/>
            <w:tcBorders>
              <w:top w:val="single" w:sz="4" w:space="0" w:color="auto"/>
              <w:left w:val="single" w:sz="4" w:space="0" w:color="auto"/>
              <w:bottom w:val="single" w:sz="4" w:space="0" w:color="auto"/>
              <w:right w:val="single" w:sz="4" w:space="0" w:color="auto"/>
            </w:tcBorders>
            <w:hideMark/>
          </w:tcPr>
          <w:p w14:paraId="74AA52FE"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Sports arena</w:t>
            </w:r>
          </w:p>
        </w:tc>
        <w:tc>
          <w:tcPr>
            <w:tcW w:w="4320" w:type="dxa"/>
            <w:tcBorders>
              <w:top w:val="single" w:sz="4" w:space="0" w:color="auto"/>
              <w:left w:val="single" w:sz="4" w:space="0" w:color="auto"/>
              <w:bottom w:val="single" w:sz="4" w:space="0" w:color="auto"/>
              <w:right w:val="single" w:sz="4" w:space="0" w:color="auto"/>
            </w:tcBorders>
            <w:hideMark/>
          </w:tcPr>
          <w:p w14:paraId="453ECE0A"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0.54</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0.62</w:t>
            </w:r>
          </w:p>
        </w:tc>
      </w:tr>
      <w:tr w:rsidR="006B4A66" w:rsidRPr="006B4A66" w14:paraId="25CC6B53" w14:textId="77777777">
        <w:trPr>
          <w:jc w:val="center"/>
        </w:trPr>
        <w:tc>
          <w:tcPr>
            <w:tcW w:w="4320" w:type="dxa"/>
            <w:tcBorders>
              <w:top w:val="single" w:sz="4" w:space="0" w:color="auto"/>
              <w:left w:val="single" w:sz="4" w:space="0" w:color="auto"/>
              <w:bottom w:val="single" w:sz="4" w:space="0" w:color="auto"/>
              <w:right w:val="single" w:sz="4" w:space="0" w:color="auto"/>
            </w:tcBorders>
            <w:hideMark/>
          </w:tcPr>
          <w:p w14:paraId="7CDA5EAE"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Town hall</w:t>
            </w:r>
          </w:p>
        </w:tc>
        <w:tc>
          <w:tcPr>
            <w:tcW w:w="4320" w:type="dxa"/>
            <w:tcBorders>
              <w:top w:val="single" w:sz="4" w:space="0" w:color="auto"/>
              <w:left w:val="single" w:sz="4" w:space="0" w:color="auto"/>
              <w:bottom w:val="single" w:sz="4" w:space="0" w:color="auto"/>
              <w:right w:val="single" w:sz="4" w:space="0" w:color="auto"/>
            </w:tcBorders>
            <w:hideMark/>
          </w:tcPr>
          <w:p w14:paraId="606F3836"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0.62</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0.60</w:t>
            </w:r>
          </w:p>
        </w:tc>
      </w:tr>
      <w:tr w:rsidR="006B4A66" w:rsidRPr="006B4A66" w14:paraId="06BAAE8A" w14:textId="77777777">
        <w:trPr>
          <w:jc w:val="center"/>
        </w:trPr>
        <w:tc>
          <w:tcPr>
            <w:tcW w:w="4320" w:type="dxa"/>
            <w:tcBorders>
              <w:top w:val="single" w:sz="4" w:space="0" w:color="auto"/>
              <w:left w:val="single" w:sz="4" w:space="0" w:color="auto"/>
              <w:bottom w:val="single" w:sz="4" w:space="0" w:color="auto"/>
              <w:right w:val="single" w:sz="4" w:space="0" w:color="auto"/>
            </w:tcBorders>
            <w:hideMark/>
          </w:tcPr>
          <w:p w14:paraId="2E3E24B9"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Transportation</w:t>
            </w:r>
          </w:p>
        </w:tc>
        <w:tc>
          <w:tcPr>
            <w:tcW w:w="4320" w:type="dxa"/>
            <w:tcBorders>
              <w:top w:val="single" w:sz="4" w:space="0" w:color="auto"/>
              <w:left w:val="single" w:sz="4" w:space="0" w:color="auto"/>
              <w:bottom w:val="single" w:sz="4" w:space="0" w:color="auto"/>
              <w:right w:val="single" w:sz="4" w:space="0" w:color="auto"/>
            </w:tcBorders>
            <w:hideMark/>
          </w:tcPr>
          <w:p w14:paraId="21139152"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0.45</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0.50</w:t>
            </w:r>
          </w:p>
        </w:tc>
      </w:tr>
      <w:tr w:rsidR="006B4A66" w:rsidRPr="006B4A66" w14:paraId="0EE18A7D" w14:textId="77777777">
        <w:trPr>
          <w:jc w:val="center"/>
        </w:trPr>
        <w:tc>
          <w:tcPr>
            <w:tcW w:w="4320" w:type="dxa"/>
            <w:tcBorders>
              <w:top w:val="single" w:sz="4" w:space="0" w:color="auto"/>
              <w:left w:val="single" w:sz="4" w:space="0" w:color="auto"/>
              <w:bottom w:val="single" w:sz="4" w:space="0" w:color="auto"/>
              <w:right w:val="single" w:sz="4" w:space="0" w:color="auto"/>
            </w:tcBorders>
            <w:hideMark/>
          </w:tcPr>
          <w:p w14:paraId="42C69D01"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Warehouse</w:t>
            </w:r>
          </w:p>
        </w:tc>
        <w:tc>
          <w:tcPr>
            <w:tcW w:w="4320" w:type="dxa"/>
            <w:tcBorders>
              <w:top w:val="single" w:sz="4" w:space="0" w:color="auto"/>
              <w:left w:val="single" w:sz="4" w:space="0" w:color="auto"/>
              <w:bottom w:val="single" w:sz="4" w:space="0" w:color="auto"/>
              <w:right w:val="single" w:sz="4" w:space="0" w:color="auto"/>
            </w:tcBorders>
            <w:hideMark/>
          </w:tcPr>
          <w:p w14:paraId="58820408"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0.36</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0.40</w:t>
            </w:r>
          </w:p>
        </w:tc>
      </w:tr>
      <w:tr w:rsidR="006B4A66" w:rsidRPr="006B4A66" w14:paraId="0B57B1C5" w14:textId="77777777">
        <w:trPr>
          <w:jc w:val="center"/>
        </w:trPr>
        <w:tc>
          <w:tcPr>
            <w:tcW w:w="4320" w:type="dxa"/>
            <w:tcBorders>
              <w:top w:val="single" w:sz="4" w:space="0" w:color="auto"/>
              <w:left w:val="single" w:sz="4" w:space="0" w:color="auto"/>
              <w:bottom w:val="single" w:sz="4" w:space="0" w:color="auto"/>
              <w:right w:val="single" w:sz="4" w:space="0" w:color="auto"/>
            </w:tcBorders>
            <w:hideMark/>
          </w:tcPr>
          <w:p w14:paraId="7D8AA03E"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Workshop</w:t>
            </w:r>
          </w:p>
        </w:tc>
        <w:tc>
          <w:tcPr>
            <w:tcW w:w="4320" w:type="dxa"/>
            <w:tcBorders>
              <w:top w:val="single" w:sz="4" w:space="0" w:color="auto"/>
              <w:left w:val="single" w:sz="4" w:space="0" w:color="auto"/>
              <w:bottom w:val="single" w:sz="4" w:space="0" w:color="auto"/>
              <w:right w:val="single" w:sz="4" w:space="0" w:color="auto"/>
            </w:tcBorders>
            <w:hideMark/>
          </w:tcPr>
          <w:p w14:paraId="4A326BA0"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0.82</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0.78</w:t>
            </w:r>
          </w:p>
        </w:tc>
      </w:tr>
    </w:tbl>
    <w:p w14:paraId="3E4B8179"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Footnotes:</w:t>
      </w:r>
    </w:p>
    <w:p w14:paraId="71B2CD8E"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strike/>
          <w:color w:val="000000"/>
          <w:kern w:val="0"/>
          <w:sz w:val="24"/>
          <w14:ligatures w14:val="none"/>
        </w:rPr>
        <w:t>a.  Where sleeping units are excluded from lighting power calculations by application of IECC R404.1, neither the area of the sleeping units nor the wattage of lighting in the sleeping units shall be counted.</w:t>
      </w:r>
    </w:p>
    <w:p w14:paraId="7384AF2D"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b.  Where dwelling units are excluded from lighting power calculations by application of IECC R404.1, neither the area of the dwelling units nor the wattage of lighting in the dwelling units shall be counted.</w:t>
      </w:r>
    </w:p>
    <w:p w14:paraId="4441557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c.  Dwelling units are excluded.  Neither the area of the dwelling units nor the wattage of lighting in the dwelling units shall be counted.</w:t>
      </w:r>
      <w:r w:rsidRPr="006B4A66">
        <w:rPr>
          <w:rFonts w:ascii="Times New Roman" w:eastAsia="Calibri" w:hAnsi="Times New Roman" w:cs="Times New Roman"/>
          <w:color w:val="000000"/>
          <w:kern w:val="0"/>
          <w:sz w:val="24"/>
          <w14:ligatures w14:val="none"/>
        </w:rPr>
        <w:t>))</w:t>
      </w:r>
    </w:p>
    <w:p w14:paraId="1977D93F" w14:textId="4759E9C8"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94.</w:t>
      </w:r>
      <w:r w:rsidRPr="006B4A66">
        <w:rPr>
          <w:rFonts w:ascii="Times New Roman" w:eastAsia="Times New Roman" w:hAnsi="Times New Roman" w:cs="Times New Roman"/>
          <w:color w:val="000000"/>
          <w:kern w:val="0"/>
          <w:sz w:val="24"/>
          <w:szCs w:val="24"/>
          <w14:ligatures w14:val="none"/>
        </w:rPr>
        <w:t xml:space="preserve">  Ordinance 19485, Section 100, and K.C.C. 16.07.320 are hereby amended to read as follows:</w:t>
      </w:r>
    </w:p>
    <w:p w14:paraId="25D60FC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color w:val="000000"/>
          <w:kern w:val="0"/>
          <w:sz w:val="24"/>
          <w14:ligatures w14:val="none"/>
        </w:rPr>
        <w:t>Table C405.4.2(2) of the ((</w:t>
      </w:r>
      <w:r w:rsidRPr="006B4A66">
        <w:rPr>
          <w:rFonts w:ascii="Times New Roman" w:eastAsia="Calibri" w:hAnsi="Times New Roman" w:cs="Times New Roman"/>
          <w:strike/>
          <w:color w:val="000000"/>
          <w:kern w:val="0"/>
          <w:sz w:val="24"/>
          <w14:ligatures w14:val="none"/>
        </w:rPr>
        <w:t>International Energy Conservation</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Washington State Energy</w:t>
      </w:r>
      <w:r w:rsidRPr="006B4A66">
        <w:rPr>
          <w:rFonts w:ascii="Times New Roman" w:eastAsia="Calibri" w:hAnsi="Times New Roman" w:cs="Times New Roman"/>
          <w:color w:val="000000"/>
          <w:kern w:val="0"/>
          <w:sz w:val="24"/>
          <w14:ligatures w14:val="none"/>
        </w:rPr>
        <w:t xml:space="preserve"> Code is not adopted and the following is substituted:</w:t>
      </w:r>
    </w:p>
    <w:p w14:paraId="2027AFCA" w14:textId="77777777" w:rsidR="006B4A66" w:rsidRPr="006B4A66" w:rsidRDefault="006B4A66" w:rsidP="0073496A">
      <w:pPr>
        <w:tabs>
          <w:tab w:val="left" w:pos="720"/>
        </w:tabs>
        <w:spacing w:after="0" w:line="480" w:lineRule="auto"/>
        <w:jc w:val="center"/>
        <w:rPr>
          <w:rFonts w:ascii="Times New Roman" w:eastAsia="Calibri" w:hAnsi="Times New Roman" w:cs="Times New Roman"/>
          <w:b/>
          <w:color w:val="000000"/>
          <w:kern w:val="0"/>
          <w:sz w:val="24"/>
          <w14:ligatures w14:val="none"/>
        </w:rPr>
      </w:pPr>
      <w:r w:rsidRPr="006B4A66">
        <w:rPr>
          <w:rFonts w:ascii="Times New Roman" w:eastAsia="Calibri" w:hAnsi="Times New Roman" w:cs="Times New Roman"/>
          <w:b/>
          <w:color w:val="000000"/>
          <w:kern w:val="0"/>
          <w:sz w:val="24"/>
          <w14:ligatures w14:val="none"/>
        </w:rPr>
        <w:t>Table C405.4.2(2)</w:t>
      </w:r>
    </w:p>
    <w:p w14:paraId="2D8FAD34" w14:textId="77777777" w:rsidR="006B4A66" w:rsidRPr="006B4A66" w:rsidRDefault="006B4A66" w:rsidP="0073496A">
      <w:pPr>
        <w:tabs>
          <w:tab w:val="left" w:pos="720"/>
        </w:tabs>
        <w:spacing w:after="0" w:line="480" w:lineRule="auto"/>
        <w:jc w:val="center"/>
        <w:rPr>
          <w:rFonts w:ascii="Times New Roman" w:eastAsia="Calibri" w:hAnsi="Times New Roman" w:cs="Times New Roman"/>
          <w:b/>
          <w:color w:val="000000"/>
          <w:kern w:val="0"/>
          <w:sz w:val="24"/>
          <w14:ligatures w14:val="none"/>
        </w:rPr>
      </w:pPr>
      <w:r w:rsidRPr="006B4A66">
        <w:rPr>
          <w:rFonts w:ascii="Times New Roman" w:eastAsia="Calibri" w:hAnsi="Times New Roman" w:cs="Times New Roman"/>
          <w:b/>
          <w:color w:val="000000"/>
          <w:kern w:val="0"/>
          <w:sz w:val="24"/>
          <w14:ligatures w14:val="none"/>
        </w:rPr>
        <w:t>Interior Lighting Power Allowances—Space-by-Space Method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5"/>
        <w:gridCol w:w="3415"/>
      </w:tblGrid>
      <w:tr w:rsidR="006B4A66" w:rsidRPr="006B4A66" w14:paraId="313A4147" w14:textId="77777777">
        <w:trPr>
          <w:jc w:val="center"/>
        </w:trPr>
        <w:tc>
          <w:tcPr>
            <w:tcW w:w="4495" w:type="dxa"/>
            <w:hideMark/>
          </w:tcPr>
          <w:p w14:paraId="7BF46F0A" w14:textId="77777777" w:rsidR="006B4A66" w:rsidRPr="006B4A66" w:rsidRDefault="006B4A66" w:rsidP="00BD15DC">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b/>
                <w:color w:val="000000"/>
                <w:kern w:val="0"/>
                <w:sz w:val="24"/>
                <w14:ligatures w14:val="none"/>
              </w:rPr>
              <w:t>Common Space-by-Space Types</w:t>
            </w:r>
            <w:r w:rsidRPr="006B4A66">
              <w:rPr>
                <w:rFonts w:ascii="Times New Roman" w:eastAsia="Calibri" w:hAnsi="Times New Roman" w:cs="Times New Roman"/>
                <w:b/>
                <w:color w:val="000000"/>
                <w:kern w:val="0"/>
                <w:sz w:val="24"/>
                <w:vertAlign w:val="superscript"/>
                <w14:ligatures w14:val="none"/>
              </w:rPr>
              <w:t xml:space="preserve">a </w:t>
            </w:r>
          </w:p>
        </w:tc>
        <w:tc>
          <w:tcPr>
            <w:tcW w:w="3415" w:type="dxa"/>
            <w:hideMark/>
          </w:tcPr>
          <w:p w14:paraId="6B54D9F3"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LPD (w/ft</w:t>
            </w:r>
            <w:r w:rsidRPr="006B4A66">
              <w:rPr>
                <w:rFonts w:ascii="Times New Roman" w:eastAsia="Calibri" w:hAnsi="Times New Roman" w:cs="Times New Roman"/>
                <w:b/>
                <w:color w:val="000000"/>
                <w:kern w:val="0"/>
                <w:sz w:val="24"/>
                <w:vertAlign w:val="superscript"/>
                <w14:ligatures w14:val="none"/>
              </w:rPr>
              <w:t>2</w:t>
            </w:r>
            <w:r w:rsidRPr="006B4A66">
              <w:rPr>
                <w:rFonts w:ascii="Times New Roman" w:eastAsia="Calibri" w:hAnsi="Times New Roman" w:cs="Times New Roman"/>
                <w:b/>
                <w:color w:val="000000"/>
                <w:kern w:val="0"/>
                <w:sz w:val="24"/>
                <w14:ligatures w14:val="none"/>
              </w:rPr>
              <w:t>)</w:t>
            </w:r>
            <w:r w:rsidRPr="006B4A66">
              <w:rPr>
                <w:rFonts w:ascii="Times New Roman" w:eastAsia="Calibri" w:hAnsi="Times New Roman" w:cs="Times New Roman"/>
                <w:b/>
                <w:bCs/>
                <w:color w:val="000000"/>
                <w:kern w:val="0"/>
                <w:sz w:val="24"/>
                <w14:ligatures w14:val="none"/>
              </w:rPr>
              <w:t xml:space="preserve"> </w:t>
            </w:r>
          </w:p>
        </w:tc>
      </w:tr>
      <w:tr w:rsidR="006B4A66" w:rsidRPr="006B4A66" w14:paraId="21B77FC3" w14:textId="77777777">
        <w:trPr>
          <w:trHeight w:val="422"/>
          <w:jc w:val="center"/>
        </w:trPr>
        <w:tc>
          <w:tcPr>
            <w:tcW w:w="4495" w:type="dxa"/>
            <w:hideMark/>
          </w:tcPr>
          <w:p w14:paraId="22E72054" w14:textId="6AD7AF79"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highlight w:val="yellow"/>
                <w14:ligatures w14:val="none"/>
              </w:rPr>
            </w:pPr>
            <w:r w:rsidRPr="006B4A66">
              <w:rPr>
                <w:rFonts w:ascii="Times New Roman" w:eastAsia="Calibri" w:hAnsi="Times New Roman" w:cs="Times New Roman"/>
                <w:color w:val="000000"/>
                <w:kern w:val="0"/>
                <w:sz w:val="24"/>
                <w14:ligatures w14:val="none"/>
              </w:rPr>
              <w:t>Atrium - Less than 20 feet in height</w:t>
            </w:r>
          </w:p>
        </w:tc>
        <w:tc>
          <w:tcPr>
            <w:tcW w:w="3415" w:type="dxa"/>
            <w:hideMark/>
          </w:tcPr>
          <w:p w14:paraId="17D000B3"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0.35</w:t>
            </w:r>
          </w:p>
        </w:tc>
      </w:tr>
      <w:tr w:rsidR="006B4A66" w:rsidRPr="006B4A66" w14:paraId="1F5671DF" w14:textId="77777777">
        <w:trPr>
          <w:jc w:val="center"/>
        </w:trPr>
        <w:tc>
          <w:tcPr>
            <w:tcW w:w="4495" w:type="dxa"/>
            <w:hideMark/>
          </w:tcPr>
          <w:p w14:paraId="17AD202D" w14:textId="6F73ACB1"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highlight w:val="yellow"/>
                <w14:ligatures w14:val="none"/>
              </w:rPr>
            </w:pPr>
            <w:r w:rsidRPr="006B4A66">
              <w:rPr>
                <w:rFonts w:ascii="Times New Roman" w:eastAsia="Calibri" w:hAnsi="Times New Roman" w:cs="Times New Roman"/>
                <w:color w:val="000000"/>
                <w:kern w:val="0"/>
                <w:sz w:val="24"/>
                <w14:ligatures w14:val="none"/>
              </w:rPr>
              <w:t>Atrium - 20 to 40 feet in height</w:t>
            </w:r>
          </w:p>
        </w:tc>
        <w:tc>
          <w:tcPr>
            <w:tcW w:w="3415" w:type="dxa"/>
            <w:hideMark/>
          </w:tcPr>
          <w:p w14:paraId="67B82AFF"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0.43</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0.39</w:t>
            </w:r>
          </w:p>
        </w:tc>
      </w:tr>
      <w:tr w:rsidR="006B4A66" w:rsidRPr="006B4A66" w14:paraId="7BC16CF0" w14:textId="77777777">
        <w:trPr>
          <w:jc w:val="center"/>
        </w:trPr>
        <w:tc>
          <w:tcPr>
            <w:tcW w:w="4495" w:type="dxa"/>
            <w:hideMark/>
          </w:tcPr>
          <w:p w14:paraId="525B4DCE" w14:textId="0DF5113D"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highlight w:val="yellow"/>
                <w14:ligatures w14:val="none"/>
              </w:rPr>
            </w:pPr>
            <w:r w:rsidRPr="006B4A66">
              <w:rPr>
                <w:rFonts w:ascii="Times New Roman" w:eastAsia="Calibri" w:hAnsi="Times New Roman" w:cs="Times New Roman"/>
                <w:color w:val="000000"/>
                <w:kern w:val="0"/>
                <w:sz w:val="24"/>
                <w14:ligatures w14:val="none"/>
              </w:rPr>
              <w:t>Atrium - Above 40 feet in height</w:t>
            </w:r>
          </w:p>
        </w:tc>
        <w:tc>
          <w:tcPr>
            <w:tcW w:w="3415" w:type="dxa"/>
            <w:hideMark/>
          </w:tcPr>
          <w:p w14:paraId="13C4B0DB"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0.54</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0.46</w:t>
            </w:r>
          </w:p>
        </w:tc>
      </w:tr>
      <w:tr w:rsidR="006B4A66" w:rsidRPr="006B4A66" w14:paraId="355B41D0" w14:textId="77777777">
        <w:trPr>
          <w:jc w:val="center"/>
        </w:trPr>
        <w:tc>
          <w:tcPr>
            <w:tcW w:w="4495" w:type="dxa"/>
            <w:hideMark/>
          </w:tcPr>
          <w:p w14:paraId="571B7595" w14:textId="757A1FAC" w:rsidR="00A46B08"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Audience/seating area – Permanent</w:t>
            </w:r>
            <w:r w:rsidR="00872D4A">
              <w:rPr>
                <w:rFonts w:ascii="Times New Roman" w:eastAsia="Calibri" w:hAnsi="Times New Roman" w:cs="Times New Roman"/>
                <w:color w:val="000000"/>
                <w:kern w:val="0"/>
                <w:sz w:val="24"/>
                <w:u w:val="single"/>
                <w:vertAlign w:val="superscript"/>
                <w14:ligatures w14:val="none"/>
              </w:rPr>
              <w:t>i</w:t>
            </w:r>
            <w:r w:rsidRPr="006B4A66">
              <w:rPr>
                <w:rFonts w:ascii="Times New Roman" w:eastAsia="Calibri" w:hAnsi="Times New Roman" w:cs="Times New Roman"/>
                <w:color w:val="000000"/>
                <w:kern w:val="0"/>
                <w:sz w:val="24"/>
                <w14:ligatures w14:val="none"/>
              </w:rPr>
              <w:tab/>
            </w:r>
          </w:p>
          <w:p w14:paraId="4D2369E6" w14:textId="15A34873" w:rsidR="006B4A66" w:rsidRPr="006B4A66" w:rsidRDefault="0082091F"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Pr>
                <w:rFonts w:ascii="Times New Roman" w:eastAsia="Calibri" w:hAnsi="Times New Roman" w:cs="Times New Roman"/>
                <w:color w:val="000000"/>
                <w:kern w:val="0"/>
                <w:sz w:val="24"/>
                <w14:ligatures w14:val="none"/>
              </w:rPr>
              <w:tab/>
            </w:r>
            <w:r w:rsidR="006B4A66" w:rsidRPr="006B4A66">
              <w:rPr>
                <w:rFonts w:ascii="Times New Roman" w:eastAsia="Calibri" w:hAnsi="Times New Roman" w:cs="Times New Roman"/>
                <w:color w:val="000000"/>
                <w:kern w:val="0"/>
                <w:sz w:val="24"/>
                <w14:ligatures w14:val="none"/>
              </w:rPr>
              <w:t>In an auditorium</w:t>
            </w:r>
          </w:p>
          <w:p w14:paraId="62A2769E"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 gymnasium</w:t>
            </w:r>
          </w:p>
          <w:p w14:paraId="0DAD71FB"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 motion picture theater</w:t>
            </w:r>
          </w:p>
          <w:p w14:paraId="51FA50D9"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 penitentiary</w:t>
            </w:r>
          </w:p>
          <w:p w14:paraId="0AFC642F"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In a performing arts theater</w:t>
            </w:r>
          </w:p>
          <w:p w14:paraId="0F9C2044"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 religious building</w:t>
            </w:r>
          </w:p>
          <w:p w14:paraId="738E853A"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 sports arena</w:t>
            </w:r>
          </w:p>
          <w:p w14:paraId="3D99E893"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Otherwise</w:t>
            </w:r>
          </w:p>
        </w:tc>
        <w:tc>
          <w:tcPr>
            <w:tcW w:w="3415" w:type="dxa"/>
          </w:tcPr>
          <w:p w14:paraId="547C1576"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p>
          <w:p w14:paraId="37502357"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0.55</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0.52</w:t>
            </w:r>
          </w:p>
          <w:p w14:paraId="1868816C"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0.21</w:t>
            </w:r>
          </w:p>
          <w:p w14:paraId="7C39C447"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0.24</w:t>
            </w:r>
          </w:p>
          <w:p w14:paraId="4F2BD2E6"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0.67</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0.56</w:t>
            </w:r>
          </w:p>
          <w:p w14:paraId="5F46AC2D"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w:t>
            </w:r>
            <w:r w:rsidRPr="006B4A66">
              <w:rPr>
                <w:rFonts w:ascii="Times New Roman" w:eastAsia="Calibri" w:hAnsi="Times New Roman" w:cs="Times New Roman"/>
                <w:strike/>
                <w:color w:val="000000"/>
                <w:kern w:val="0"/>
                <w:sz w:val="24"/>
                <w14:ligatures w14:val="none"/>
              </w:rPr>
              <w:t>1.04</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0.98</w:t>
            </w:r>
          </w:p>
          <w:p w14:paraId="35482665"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0.65</w:t>
            </w:r>
          </w:p>
          <w:p w14:paraId="2BF5C7AF"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0.30</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0.24</w:t>
            </w:r>
          </w:p>
          <w:p w14:paraId="0EFA59FF"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0.21</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0.23</w:t>
            </w:r>
          </w:p>
        </w:tc>
      </w:tr>
      <w:tr w:rsidR="006B4A66" w:rsidRPr="006B4A66" w14:paraId="01E66678" w14:textId="77777777">
        <w:trPr>
          <w:jc w:val="center"/>
        </w:trPr>
        <w:tc>
          <w:tcPr>
            <w:tcW w:w="4495" w:type="dxa"/>
            <w:hideMark/>
          </w:tcPr>
          <w:p w14:paraId="08F8888E"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Banking activity area</w:t>
            </w:r>
            <w:r w:rsidRPr="006B4A66">
              <w:rPr>
                <w:rFonts w:ascii="Times New Roman" w:eastAsia="Calibri" w:hAnsi="Times New Roman" w:cs="Times New Roman"/>
                <w:color w:val="000000"/>
                <w:kern w:val="0"/>
                <w:sz w:val="24"/>
                <w:u w:val="single"/>
                <w:vertAlign w:val="superscript"/>
                <w14:ligatures w14:val="none"/>
              </w:rPr>
              <w:t>i</w:t>
            </w:r>
          </w:p>
        </w:tc>
        <w:tc>
          <w:tcPr>
            <w:tcW w:w="3415" w:type="dxa"/>
            <w:hideMark/>
          </w:tcPr>
          <w:p w14:paraId="419B67B5"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0.55</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0.51</w:t>
            </w:r>
          </w:p>
        </w:tc>
      </w:tr>
      <w:tr w:rsidR="006B4A66" w:rsidRPr="006B4A66" w14:paraId="39FFDEB7" w14:textId="77777777">
        <w:trPr>
          <w:jc w:val="center"/>
        </w:trPr>
        <w:tc>
          <w:tcPr>
            <w:tcW w:w="4495" w:type="dxa"/>
            <w:hideMark/>
          </w:tcPr>
          <w:p w14:paraId="7EF5C9A7" w14:textId="77777777" w:rsidR="006B4A66" w:rsidRPr="006B4A66" w:rsidRDefault="006B4A66" w:rsidP="00BD15DC">
            <w:pPr>
              <w:tabs>
                <w:tab w:val="left" w:pos="720"/>
                <w:tab w:val="left" w:pos="1752"/>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Breakroom (see Lounge/breakroom)</w:t>
            </w:r>
          </w:p>
        </w:tc>
        <w:tc>
          <w:tcPr>
            <w:tcW w:w="3415" w:type="dxa"/>
          </w:tcPr>
          <w:p w14:paraId="3646177D"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p>
        </w:tc>
      </w:tr>
      <w:tr w:rsidR="006B4A66" w:rsidRPr="006B4A66" w14:paraId="4904FC8A" w14:textId="77777777">
        <w:trPr>
          <w:jc w:val="center"/>
        </w:trPr>
        <w:tc>
          <w:tcPr>
            <w:tcW w:w="4495" w:type="dxa"/>
            <w:hideMark/>
          </w:tcPr>
          <w:p w14:paraId="280FF730"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Classroom/lecture hall/training room</w:t>
            </w:r>
          </w:p>
          <w:p w14:paraId="078AA4B6"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 penitentiary</w:t>
            </w:r>
          </w:p>
          <w:p w14:paraId="6CDD9D66"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Otherwise</w:t>
            </w:r>
            <w:r w:rsidRPr="006B4A66">
              <w:rPr>
                <w:rFonts w:ascii="Times New Roman" w:eastAsia="Calibri" w:hAnsi="Times New Roman" w:cs="Times New Roman"/>
                <w:color w:val="000000"/>
                <w:kern w:val="0"/>
                <w:sz w:val="24"/>
                <w:vertAlign w:val="superscript"/>
                <w14:ligatures w14:val="none"/>
              </w:rPr>
              <w:t>((</w:t>
            </w:r>
            <w:r w:rsidRPr="006B4A66">
              <w:rPr>
                <w:rFonts w:ascii="Times New Roman" w:eastAsia="Calibri" w:hAnsi="Times New Roman" w:cs="Times New Roman"/>
                <w:strike/>
                <w:color w:val="000000"/>
                <w:kern w:val="0"/>
                <w:sz w:val="24"/>
                <w:vertAlign w:val="superscript"/>
                <w14:ligatures w14:val="none"/>
              </w:rPr>
              <w:t>m</w:t>
            </w:r>
            <w:r w:rsidRPr="006B4A66">
              <w:rPr>
                <w:rFonts w:ascii="Times New Roman" w:eastAsia="Calibri" w:hAnsi="Times New Roman" w:cs="Times New Roman"/>
                <w:color w:val="000000"/>
                <w:kern w:val="0"/>
                <w:sz w:val="24"/>
                <w:vertAlign w:val="superscript"/>
                <w14:ligatures w14:val="none"/>
              </w:rPr>
              <w:t xml:space="preserve">)) </w:t>
            </w:r>
            <w:r w:rsidRPr="006B4A66">
              <w:rPr>
                <w:rFonts w:ascii="Times New Roman" w:eastAsia="Calibri" w:hAnsi="Times New Roman" w:cs="Times New Roman"/>
                <w:color w:val="000000"/>
                <w:kern w:val="0"/>
                <w:sz w:val="24"/>
                <w:u w:val="single"/>
                <w:vertAlign w:val="superscript"/>
                <w14:ligatures w14:val="none"/>
              </w:rPr>
              <w:t>g</w:t>
            </w:r>
          </w:p>
        </w:tc>
        <w:tc>
          <w:tcPr>
            <w:tcW w:w="3415" w:type="dxa"/>
          </w:tcPr>
          <w:p w14:paraId="0CEC569B"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p>
          <w:p w14:paraId="61C33838"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0.89</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0.74</w:t>
            </w:r>
          </w:p>
          <w:p w14:paraId="1950BA3A"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0.64</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0.65</w:t>
            </w:r>
          </w:p>
        </w:tc>
      </w:tr>
      <w:tr w:rsidR="006B4A66" w:rsidRPr="006B4A66" w14:paraId="71207C8E" w14:textId="77777777">
        <w:trPr>
          <w:jc w:val="center"/>
        </w:trPr>
        <w:tc>
          <w:tcPr>
            <w:tcW w:w="4495" w:type="dxa"/>
            <w:hideMark/>
          </w:tcPr>
          <w:p w14:paraId="5F59202F"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Computer room, data center</w:t>
            </w:r>
          </w:p>
        </w:tc>
        <w:tc>
          <w:tcPr>
            <w:tcW w:w="3415" w:type="dxa"/>
            <w:hideMark/>
          </w:tcPr>
          <w:p w14:paraId="7934940C"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0.85</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0.68</w:t>
            </w:r>
          </w:p>
        </w:tc>
      </w:tr>
      <w:tr w:rsidR="006B4A66" w:rsidRPr="006B4A66" w14:paraId="72DBC824" w14:textId="77777777">
        <w:trPr>
          <w:jc w:val="center"/>
        </w:trPr>
        <w:tc>
          <w:tcPr>
            <w:tcW w:w="4495" w:type="dxa"/>
            <w:hideMark/>
          </w:tcPr>
          <w:p w14:paraId="06573885"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Conference/meeting/multipurpose</w:t>
            </w:r>
          </w:p>
        </w:tc>
        <w:tc>
          <w:tcPr>
            <w:tcW w:w="3415" w:type="dxa"/>
            <w:hideMark/>
          </w:tcPr>
          <w:p w14:paraId="5B1FED34"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0.87</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0.79</w:t>
            </w:r>
          </w:p>
        </w:tc>
      </w:tr>
      <w:tr w:rsidR="006B4A66" w:rsidRPr="006B4A66" w14:paraId="30457462" w14:textId="77777777">
        <w:trPr>
          <w:jc w:val="center"/>
        </w:trPr>
        <w:tc>
          <w:tcPr>
            <w:tcW w:w="4495" w:type="dxa"/>
            <w:hideMark/>
          </w:tcPr>
          <w:p w14:paraId="749A0EA0"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Confinement cell</w:t>
            </w:r>
          </w:p>
        </w:tc>
        <w:tc>
          <w:tcPr>
            <w:tcW w:w="3415" w:type="dxa"/>
            <w:hideMark/>
          </w:tcPr>
          <w:p w14:paraId="55301293"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0.63</w:t>
            </w:r>
          </w:p>
        </w:tc>
      </w:tr>
      <w:tr w:rsidR="006B4A66" w:rsidRPr="006B4A66" w14:paraId="61C8FC9F" w14:textId="77777777">
        <w:trPr>
          <w:jc w:val="center"/>
        </w:trPr>
        <w:tc>
          <w:tcPr>
            <w:tcW w:w="4495" w:type="dxa"/>
            <w:hideMark/>
          </w:tcPr>
          <w:p w14:paraId="738EAB6A"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Copy/print room</w:t>
            </w:r>
          </w:p>
        </w:tc>
        <w:tc>
          <w:tcPr>
            <w:tcW w:w="3415" w:type="dxa"/>
            <w:hideMark/>
          </w:tcPr>
          <w:p w14:paraId="4352FD37"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0.28</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0.31</w:t>
            </w:r>
          </w:p>
        </w:tc>
      </w:tr>
      <w:tr w:rsidR="006B4A66" w:rsidRPr="006B4A66" w14:paraId="355E15D6" w14:textId="77777777">
        <w:trPr>
          <w:jc w:val="center"/>
        </w:trPr>
        <w:tc>
          <w:tcPr>
            <w:tcW w:w="4495" w:type="dxa"/>
            <w:hideMark/>
          </w:tcPr>
          <w:p w14:paraId="76905133"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Corridor</w:t>
            </w:r>
          </w:p>
          <w:p w14:paraId="198811E2"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 facility for the visually impaired (and not used primarily by the staff)</w:t>
            </w:r>
            <w:r w:rsidRPr="006B4A66">
              <w:rPr>
                <w:rFonts w:ascii="Times New Roman" w:eastAsia="Calibri" w:hAnsi="Times New Roman" w:cs="Times New Roman"/>
                <w:color w:val="000000"/>
                <w:kern w:val="0"/>
                <w:sz w:val="24"/>
                <w:vertAlign w:val="superscript"/>
                <w14:ligatures w14:val="none"/>
              </w:rPr>
              <w:t>b</w:t>
            </w:r>
          </w:p>
          <w:p w14:paraId="1422C46D"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 hospital</w:t>
            </w:r>
          </w:p>
          <w:p w14:paraId="14D63B5A"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 manufacturing facility</w:t>
            </w:r>
          </w:p>
          <w:p w14:paraId="79AFB68C"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Otherwise</w:t>
            </w:r>
            <w:r w:rsidRPr="006B4A66">
              <w:rPr>
                <w:rFonts w:ascii="Times New Roman" w:eastAsia="Calibri" w:hAnsi="Times New Roman" w:cs="Times New Roman"/>
                <w:color w:val="000000"/>
                <w:kern w:val="0"/>
                <w:sz w:val="24"/>
                <w:vertAlign w:val="superscript"/>
                <w14:ligatures w14:val="none"/>
              </w:rPr>
              <w:t>c, ((</w:t>
            </w:r>
            <w:r w:rsidRPr="006B4A66">
              <w:rPr>
                <w:rFonts w:ascii="Times New Roman" w:eastAsia="Calibri" w:hAnsi="Times New Roman" w:cs="Times New Roman"/>
                <w:strike/>
                <w:color w:val="000000"/>
                <w:kern w:val="0"/>
                <w:sz w:val="24"/>
                <w:vertAlign w:val="superscript"/>
                <w14:ligatures w14:val="none"/>
              </w:rPr>
              <w:t>f</w:t>
            </w:r>
            <w:r w:rsidRPr="006B4A66">
              <w:rPr>
                <w:rFonts w:ascii="Times New Roman" w:eastAsia="Calibri" w:hAnsi="Times New Roman" w:cs="Times New Roman"/>
                <w:color w:val="000000"/>
                <w:kern w:val="0"/>
                <w:sz w:val="24"/>
                <w:vertAlign w:val="superscript"/>
                <w14:ligatures w14:val="none"/>
              </w:rPr>
              <w:t xml:space="preserve">)) </w:t>
            </w:r>
            <w:r w:rsidRPr="006B4A66">
              <w:rPr>
                <w:rFonts w:ascii="Times New Roman" w:eastAsia="Calibri" w:hAnsi="Times New Roman" w:cs="Times New Roman"/>
                <w:color w:val="000000"/>
                <w:kern w:val="0"/>
                <w:sz w:val="24"/>
                <w:u w:val="single"/>
                <w:vertAlign w:val="superscript"/>
                <w14:ligatures w14:val="none"/>
              </w:rPr>
              <w:t>i</w:t>
            </w:r>
          </w:p>
        </w:tc>
        <w:tc>
          <w:tcPr>
            <w:tcW w:w="3415" w:type="dxa"/>
          </w:tcPr>
          <w:p w14:paraId="64FB044E"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p>
          <w:p w14:paraId="0CE11076"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0.71</w:t>
            </w:r>
          </w:p>
          <w:p w14:paraId="31413677"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p>
          <w:p w14:paraId="2DD34487"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0.71</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0.61</w:t>
            </w:r>
          </w:p>
          <w:p w14:paraId="1CF8CBF5"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0.37</w:t>
            </w:r>
          </w:p>
          <w:p w14:paraId="0FB53279"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0.37</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0.40</w:t>
            </w:r>
          </w:p>
        </w:tc>
      </w:tr>
      <w:tr w:rsidR="006B4A66" w:rsidRPr="006B4A66" w14:paraId="67309D65" w14:textId="77777777">
        <w:trPr>
          <w:jc w:val="center"/>
        </w:trPr>
        <w:tc>
          <w:tcPr>
            <w:tcW w:w="4495" w:type="dxa"/>
            <w:hideMark/>
          </w:tcPr>
          <w:p w14:paraId="75789053"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Courtroom</w:t>
            </w:r>
            <w:r w:rsidRPr="006B4A66">
              <w:rPr>
                <w:rFonts w:ascii="Times New Roman" w:eastAsia="Calibri" w:hAnsi="Times New Roman" w:cs="Times New Roman"/>
                <w:color w:val="000000"/>
                <w:kern w:val="0"/>
                <w:sz w:val="24"/>
                <w:vertAlign w:val="superscript"/>
                <w14:ligatures w14:val="none"/>
              </w:rPr>
              <w:t>c</w:t>
            </w:r>
          </w:p>
        </w:tc>
        <w:tc>
          <w:tcPr>
            <w:tcW w:w="3415" w:type="dxa"/>
            <w:hideMark/>
          </w:tcPr>
          <w:p w14:paraId="2D45BB56"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1.08</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0.97</w:t>
            </w:r>
          </w:p>
        </w:tc>
      </w:tr>
      <w:tr w:rsidR="006B4A66" w:rsidRPr="006B4A66" w14:paraId="7A8FE827" w14:textId="77777777">
        <w:trPr>
          <w:jc w:val="center"/>
        </w:trPr>
        <w:tc>
          <w:tcPr>
            <w:tcW w:w="4495" w:type="dxa"/>
            <w:hideMark/>
          </w:tcPr>
          <w:p w14:paraId="4F130CA6"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Dining area</w:t>
            </w:r>
          </w:p>
          <w:p w14:paraId="28D917CB"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 penitentiary</w:t>
            </w:r>
          </w:p>
          <w:p w14:paraId="2B729845"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lastRenderedPageBreak/>
              <w:tab/>
              <w:t>In a facility for the visually impaired (and not used primarily by the staff)</w:t>
            </w:r>
            <w:r w:rsidRPr="006B4A66">
              <w:rPr>
                <w:rFonts w:ascii="Times New Roman" w:eastAsia="Calibri" w:hAnsi="Times New Roman" w:cs="Times New Roman"/>
                <w:color w:val="000000"/>
                <w:kern w:val="0"/>
                <w:sz w:val="24"/>
                <w:vertAlign w:val="superscript"/>
                <w14:ligatures w14:val="none"/>
              </w:rPr>
              <w:t>b</w:t>
            </w:r>
          </w:p>
          <w:p w14:paraId="66485A84"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 bar/lounge or leisure dining</w:t>
            </w:r>
            <w:r w:rsidRPr="006B4A66">
              <w:rPr>
                <w:rFonts w:ascii="Times New Roman" w:eastAsia="Calibri" w:hAnsi="Times New Roman" w:cs="Times New Roman"/>
                <w:color w:val="000000"/>
                <w:kern w:val="0"/>
                <w:sz w:val="24"/>
                <w:vertAlign w:val="superscript"/>
                <w14:ligatures w14:val="none"/>
              </w:rPr>
              <w:t>((</w:t>
            </w:r>
            <w:r w:rsidRPr="006B4A66">
              <w:rPr>
                <w:rFonts w:ascii="Times New Roman" w:eastAsia="Calibri" w:hAnsi="Times New Roman" w:cs="Times New Roman"/>
                <w:strike/>
                <w:color w:val="000000"/>
                <w:kern w:val="0"/>
                <w:sz w:val="24"/>
                <w:vertAlign w:val="superscript"/>
                <w14:ligatures w14:val="none"/>
              </w:rPr>
              <w:t>n</w:t>
            </w:r>
            <w:r w:rsidRPr="006B4A66">
              <w:rPr>
                <w:rFonts w:ascii="Times New Roman" w:eastAsia="Calibri" w:hAnsi="Times New Roman" w:cs="Times New Roman"/>
                <w:color w:val="000000"/>
                <w:kern w:val="0"/>
                <w:sz w:val="24"/>
                <w:vertAlign w:val="superscript"/>
                <w14:ligatures w14:val="none"/>
              </w:rPr>
              <w:t xml:space="preserve">)) </w:t>
            </w:r>
            <w:r w:rsidRPr="006B4A66">
              <w:rPr>
                <w:rFonts w:ascii="Times New Roman" w:eastAsia="Calibri" w:hAnsi="Times New Roman" w:cs="Times New Roman"/>
                <w:color w:val="000000"/>
                <w:kern w:val="0"/>
                <w:sz w:val="24"/>
                <w:u w:val="single"/>
                <w:vertAlign w:val="superscript"/>
                <w14:ligatures w14:val="none"/>
              </w:rPr>
              <w:t>i</w:t>
            </w:r>
          </w:p>
          <w:p w14:paraId="00C576CA"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cafeteria or fast food dining</w:t>
            </w:r>
          </w:p>
          <w:p w14:paraId="326AC806"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 family dining area</w:t>
            </w:r>
            <w:r w:rsidRPr="006B4A66">
              <w:rPr>
                <w:rFonts w:ascii="Times New Roman" w:eastAsia="Calibri" w:hAnsi="Times New Roman" w:cs="Times New Roman"/>
                <w:color w:val="000000"/>
                <w:kern w:val="0"/>
                <w:sz w:val="24"/>
                <w:vertAlign w:val="superscript"/>
                <w14:ligatures w14:val="none"/>
              </w:rPr>
              <w:t>((</w:t>
            </w:r>
            <w:r w:rsidRPr="006B4A66">
              <w:rPr>
                <w:rFonts w:ascii="Times New Roman" w:eastAsia="Calibri" w:hAnsi="Times New Roman" w:cs="Times New Roman"/>
                <w:strike/>
                <w:color w:val="000000"/>
                <w:kern w:val="0"/>
                <w:sz w:val="24"/>
                <w:vertAlign w:val="superscript"/>
                <w14:ligatures w14:val="none"/>
              </w:rPr>
              <w:t>n</w:t>
            </w:r>
            <w:r w:rsidRPr="006B4A66">
              <w:rPr>
                <w:rFonts w:ascii="Times New Roman" w:eastAsia="Calibri" w:hAnsi="Times New Roman" w:cs="Times New Roman"/>
                <w:color w:val="000000"/>
                <w:kern w:val="0"/>
                <w:sz w:val="24"/>
                <w:vertAlign w:val="superscript"/>
                <w14:ligatures w14:val="none"/>
              </w:rPr>
              <w:t xml:space="preserve">)) </w:t>
            </w:r>
            <w:r w:rsidRPr="006B4A66">
              <w:rPr>
                <w:rFonts w:ascii="Times New Roman" w:eastAsia="Calibri" w:hAnsi="Times New Roman" w:cs="Times New Roman"/>
                <w:color w:val="000000"/>
                <w:kern w:val="0"/>
                <w:sz w:val="24"/>
                <w:u w:val="single"/>
                <w:vertAlign w:val="superscript"/>
                <w14:ligatures w14:val="none"/>
              </w:rPr>
              <w:t>i</w:t>
            </w:r>
          </w:p>
          <w:p w14:paraId="45886134" w14:textId="6B4BAE82"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Otherwise</w:t>
            </w:r>
          </w:p>
        </w:tc>
        <w:tc>
          <w:tcPr>
            <w:tcW w:w="3415" w:type="dxa"/>
          </w:tcPr>
          <w:p w14:paraId="1C05D0C3"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p>
          <w:p w14:paraId="262681F0"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0.42</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0.35</w:t>
            </w:r>
          </w:p>
          <w:p w14:paraId="2E539766"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1.27</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1.22</w:t>
            </w:r>
          </w:p>
          <w:p w14:paraId="57E3FB45"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p>
          <w:p w14:paraId="602B7063" w14:textId="5305A5D2"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0.77</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0.69</w:t>
            </w:r>
          </w:p>
          <w:p w14:paraId="7D837C7F"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0.36</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0.33</w:t>
            </w:r>
          </w:p>
          <w:p w14:paraId="384C21FA" w14:textId="1AB7539D"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0.54</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0.47</w:t>
            </w:r>
          </w:p>
          <w:p w14:paraId="5BC047D0"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0.39</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0.38</w:t>
            </w:r>
          </w:p>
        </w:tc>
      </w:tr>
      <w:tr w:rsidR="006B4A66" w:rsidRPr="006B4A66" w14:paraId="4433F5D6" w14:textId="77777777">
        <w:trPr>
          <w:jc w:val="center"/>
        </w:trPr>
        <w:tc>
          <w:tcPr>
            <w:tcW w:w="4495" w:type="dxa"/>
            <w:hideMark/>
          </w:tcPr>
          <w:p w14:paraId="7DCA0817"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Electrical/mechanical</w:t>
            </w:r>
          </w:p>
        </w:tc>
        <w:tc>
          <w:tcPr>
            <w:tcW w:w="3415" w:type="dxa"/>
            <w:hideMark/>
          </w:tcPr>
          <w:p w14:paraId="4AA55829"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0.39</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0.43</w:t>
            </w:r>
          </w:p>
        </w:tc>
      </w:tr>
      <w:tr w:rsidR="006B4A66" w:rsidRPr="006B4A66" w14:paraId="49542AD7" w14:textId="77777777">
        <w:trPr>
          <w:jc w:val="center"/>
        </w:trPr>
        <w:tc>
          <w:tcPr>
            <w:tcW w:w="4495" w:type="dxa"/>
            <w:hideMark/>
          </w:tcPr>
          <w:p w14:paraId="186ADD86"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Emergency vehicle garage</w:t>
            </w:r>
          </w:p>
        </w:tc>
        <w:tc>
          <w:tcPr>
            <w:tcW w:w="3415" w:type="dxa"/>
            <w:hideMark/>
          </w:tcPr>
          <w:p w14:paraId="56C11BCB"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0.47</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0.46</w:t>
            </w:r>
          </w:p>
        </w:tc>
      </w:tr>
      <w:tr w:rsidR="006B4A66" w:rsidRPr="006B4A66" w14:paraId="4811DEC0" w14:textId="77777777">
        <w:trPr>
          <w:jc w:val="center"/>
        </w:trPr>
        <w:tc>
          <w:tcPr>
            <w:tcW w:w="4495" w:type="dxa"/>
            <w:hideMark/>
          </w:tcPr>
          <w:p w14:paraId="3CFC49C1"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Food preparation</w:t>
            </w:r>
          </w:p>
        </w:tc>
        <w:tc>
          <w:tcPr>
            <w:tcW w:w="3415" w:type="dxa"/>
            <w:hideMark/>
          </w:tcPr>
          <w:p w14:paraId="35A64E2D"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0.98</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1.07</w:t>
            </w:r>
          </w:p>
        </w:tc>
      </w:tr>
      <w:tr w:rsidR="006B4A66" w:rsidRPr="006B4A66" w14:paraId="2AC3D8D8" w14:textId="77777777">
        <w:trPr>
          <w:jc w:val="center"/>
        </w:trPr>
        <w:tc>
          <w:tcPr>
            <w:tcW w:w="4495" w:type="dxa"/>
            <w:hideMark/>
          </w:tcPr>
          <w:p w14:paraId="709B53BF" w14:textId="717F0151"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Guest room</w:t>
            </w:r>
            <w:r w:rsidR="00256738">
              <w:rPr>
                <w:rFonts w:ascii="Times New Roman" w:eastAsia="Calibri" w:hAnsi="Times New Roman" w:cs="Times New Roman"/>
                <w:color w:val="000000"/>
                <w:kern w:val="0"/>
                <w:sz w:val="24"/>
                <w:vertAlign w:val="superscript"/>
                <w14:ligatures w14:val="none"/>
              </w:rPr>
              <w:t>((</w:t>
            </w:r>
            <w:r w:rsidRPr="001216D4">
              <w:rPr>
                <w:rFonts w:ascii="Times New Roman" w:eastAsia="Calibri" w:hAnsi="Times New Roman" w:cs="Times New Roman"/>
                <w:strike/>
                <w:color w:val="000000"/>
                <w:kern w:val="0"/>
                <w:sz w:val="24"/>
                <w:vertAlign w:val="superscript"/>
                <w14:ligatures w14:val="none"/>
              </w:rPr>
              <w:t>a,</w:t>
            </w:r>
            <w:r w:rsidR="00256738">
              <w:rPr>
                <w:rFonts w:ascii="Times New Roman" w:eastAsia="Calibri" w:hAnsi="Times New Roman" w:cs="Times New Roman"/>
                <w:color w:val="000000"/>
                <w:kern w:val="0"/>
                <w:sz w:val="24"/>
                <w:vertAlign w:val="superscript"/>
                <w14:ligatures w14:val="none"/>
              </w:rPr>
              <w:t>))</w:t>
            </w:r>
            <w:r w:rsidRPr="006B4A66">
              <w:rPr>
                <w:rFonts w:ascii="Times New Roman" w:eastAsia="Calibri" w:hAnsi="Times New Roman" w:cs="Times New Roman"/>
                <w:color w:val="000000"/>
                <w:kern w:val="0"/>
                <w:sz w:val="24"/>
                <w:vertAlign w:val="superscript"/>
                <w14:ligatures w14:val="none"/>
              </w:rPr>
              <w:t>b</w:t>
            </w:r>
          </w:p>
        </w:tc>
        <w:tc>
          <w:tcPr>
            <w:tcW w:w="3415" w:type="dxa"/>
            <w:hideMark/>
          </w:tcPr>
          <w:p w14:paraId="11E8CB16"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0.37</w:t>
            </w:r>
          </w:p>
        </w:tc>
      </w:tr>
      <w:tr w:rsidR="006B4A66" w:rsidRPr="006B4A66" w14:paraId="5568E374" w14:textId="77777777">
        <w:trPr>
          <w:jc w:val="center"/>
        </w:trPr>
        <w:tc>
          <w:tcPr>
            <w:tcW w:w="4495" w:type="dxa"/>
            <w:hideMark/>
          </w:tcPr>
          <w:p w14:paraId="3662A5BE"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Laboratory</w:t>
            </w:r>
          </w:p>
          <w:p w14:paraId="017D4A9C"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or as a classroom</w:t>
            </w:r>
          </w:p>
          <w:p w14:paraId="3EA3FB51"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Otherwise</w:t>
            </w:r>
          </w:p>
        </w:tc>
        <w:tc>
          <w:tcPr>
            <w:tcW w:w="3415" w:type="dxa"/>
          </w:tcPr>
          <w:p w14:paraId="33ED388E"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p>
          <w:p w14:paraId="2E9F74A2"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1.00</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0.95</w:t>
            </w:r>
          </w:p>
          <w:p w14:paraId="364A248C" w14:textId="20B6D5E6"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1.20</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1.09</w:t>
            </w:r>
          </w:p>
        </w:tc>
      </w:tr>
      <w:tr w:rsidR="006B4A66" w:rsidRPr="006B4A66" w14:paraId="3FB0B0E7" w14:textId="77777777">
        <w:trPr>
          <w:jc w:val="center"/>
        </w:trPr>
        <w:tc>
          <w:tcPr>
            <w:tcW w:w="4495" w:type="dxa"/>
            <w:hideMark/>
          </w:tcPr>
          <w:p w14:paraId="33EAB5C1"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Laundry/washing area</w:t>
            </w:r>
          </w:p>
        </w:tc>
        <w:tc>
          <w:tcPr>
            <w:tcW w:w="3415" w:type="dxa"/>
            <w:hideMark/>
          </w:tcPr>
          <w:p w14:paraId="4E4B7412"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0.48</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0.46</w:t>
            </w:r>
          </w:p>
        </w:tc>
      </w:tr>
      <w:tr w:rsidR="006B4A66" w:rsidRPr="006B4A66" w14:paraId="2175A6EB" w14:textId="77777777">
        <w:trPr>
          <w:jc w:val="center"/>
        </w:trPr>
        <w:tc>
          <w:tcPr>
            <w:tcW w:w="4495" w:type="dxa"/>
            <w:hideMark/>
          </w:tcPr>
          <w:p w14:paraId="787F6A00"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Loading dock, interior</w:t>
            </w:r>
          </w:p>
        </w:tc>
        <w:tc>
          <w:tcPr>
            <w:tcW w:w="3415" w:type="dxa"/>
            <w:hideMark/>
          </w:tcPr>
          <w:p w14:paraId="4B128B45"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0.79</w:t>
            </w:r>
          </w:p>
        </w:tc>
      </w:tr>
      <w:tr w:rsidR="006B4A66" w:rsidRPr="006B4A66" w14:paraId="189023AE" w14:textId="77777777">
        <w:trPr>
          <w:jc w:val="center"/>
        </w:trPr>
        <w:tc>
          <w:tcPr>
            <w:tcW w:w="4495" w:type="dxa"/>
            <w:hideMark/>
          </w:tcPr>
          <w:p w14:paraId="39913879" w14:textId="37D13D80"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Lobby</w:t>
            </w:r>
            <w:r w:rsidRPr="006B4A66">
              <w:rPr>
                <w:rFonts w:ascii="Times New Roman" w:eastAsia="Calibri" w:hAnsi="Times New Roman" w:cs="Times New Roman"/>
                <w:color w:val="000000"/>
                <w:kern w:val="0"/>
                <w:sz w:val="24"/>
                <w:vertAlign w:val="superscript"/>
                <w14:ligatures w14:val="none"/>
              </w:rPr>
              <w:t>c</w:t>
            </w:r>
          </w:p>
          <w:p w14:paraId="13304F27"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 facility for the visually impaired (and not used primarily by the staff)</w:t>
            </w:r>
            <w:r w:rsidRPr="006B4A66">
              <w:rPr>
                <w:rFonts w:ascii="Times New Roman" w:eastAsia="Calibri" w:hAnsi="Times New Roman" w:cs="Times New Roman"/>
                <w:color w:val="000000"/>
                <w:kern w:val="0"/>
                <w:sz w:val="24"/>
                <w:vertAlign w:val="superscript"/>
                <w14:ligatures w14:val="none"/>
              </w:rPr>
              <w:t>b</w:t>
            </w:r>
          </w:p>
          <w:p w14:paraId="3F5952CD"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For an elevator</w:t>
            </w:r>
          </w:p>
          <w:p w14:paraId="60CA4ED3"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 hotel</w:t>
            </w:r>
          </w:p>
          <w:p w14:paraId="4C3ED203"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 motion picture theater</w:t>
            </w:r>
          </w:p>
          <w:p w14:paraId="210BA35F"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 performing arts theater</w:t>
            </w:r>
          </w:p>
          <w:p w14:paraId="568724AA"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Otherwise</w:t>
            </w:r>
          </w:p>
        </w:tc>
        <w:tc>
          <w:tcPr>
            <w:tcW w:w="3415" w:type="dxa"/>
          </w:tcPr>
          <w:p w14:paraId="19966D98"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p>
          <w:p w14:paraId="3AF71FE9"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1.69</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1.44</w:t>
            </w:r>
          </w:p>
          <w:p w14:paraId="358FF042"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p>
          <w:p w14:paraId="6E00D9CF"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0.59</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0.58</w:t>
            </w:r>
          </w:p>
          <w:p w14:paraId="31B0BF21"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0.46</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0.43</w:t>
            </w:r>
          </w:p>
          <w:p w14:paraId="64A1223D"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0.21</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0.18</w:t>
            </w:r>
          </w:p>
          <w:p w14:paraId="14AB626B"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1.13</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1.09</w:t>
            </w:r>
          </w:p>
          <w:p w14:paraId="0DEB57B3"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0.76</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0.72</w:t>
            </w:r>
          </w:p>
        </w:tc>
      </w:tr>
      <w:tr w:rsidR="006B4A66" w:rsidRPr="006B4A66" w14:paraId="7422C126" w14:textId="77777777">
        <w:trPr>
          <w:jc w:val="center"/>
        </w:trPr>
        <w:tc>
          <w:tcPr>
            <w:tcW w:w="4495" w:type="dxa"/>
            <w:hideMark/>
          </w:tcPr>
          <w:p w14:paraId="6CB57FC8"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Locker room</w:t>
            </w:r>
          </w:p>
        </w:tc>
        <w:tc>
          <w:tcPr>
            <w:tcW w:w="3415" w:type="dxa"/>
            <w:hideMark/>
          </w:tcPr>
          <w:p w14:paraId="09F416FE"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0.47</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0.39</w:t>
            </w:r>
          </w:p>
        </w:tc>
      </w:tr>
      <w:tr w:rsidR="006B4A66" w:rsidRPr="006B4A66" w14:paraId="798447F3" w14:textId="77777777">
        <w:trPr>
          <w:jc w:val="center"/>
        </w:trPr>
        <w:tc>
          <w:tcPr>
            <w:tcW w:w="4495" w:type="dxa"/>
            <w:hideMark/>
          </w:tcPr>
          <w:p w14:paraId="7458B574"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Lounge /breakroom</w:t>
            </w:r>
            <w:r w:rsidRPr="006B4A66">
              <w:rPr>
                <w:rFonts w:ascii="Times New Roman" w:eastAsia="Calibri" w:hAnsi="Times New Roman" w:cs="Times New Roman"/>
                <w:color w:val="000000"/>
                <w:kern w:val="0"/>
                <w:sz w:val="24"/>
                <w:vertAlign w:val="superscript"/>
                <w14:ligatures w14:val="none"/>
              </w:rPr>
              <w:t>((</w:t>
            </w:r>
            <w:r w:rsidRPr="006B4A66">
              <w:rPr>
                <w:rFonts w:ascii="Times New Roman" w:eastAsia="Calibri" w:hAnsi="Times New Roman" w:cs="Times New Roman"/>
                <w:strike/>
                <w:color w:val="000000"/>
                <w:kern w:val="0"/>
                <w:sz w:val="24"/>
                <w:vertAlign w:val="superscript"/>
                <w14:ligatures w14:val="none"/>
              </w:rPr>
              <w:t>n</w:t>
            </w:r>
            <w:r w:rsidRPr="006B4A66">
              <w:rPr>
                <w:rFonts w:ascii="Times New Roman" w:eastAsia="Calibri" w:hAnsi="Times New Roman" w:cs="Times New Roman"/>
                <w:color w:val="000000"/>
                <w:kern w:val="0"/>
                <w:sz w:val="24"/>
                <w:vertAlign w:val="superscript"/>
                <w14:ligatures w14:val="none"/>
              </w:rPr>
              <w:t xml:space="preserve">)) </w:t>
            </w:r>
            <w:r w:rsidRPr="006B4A66">
              <w:rPr>
                <w:rFonts w:ascii="Times New Roman" w:eastAsia="Calibri" w:hAnsi="Times New Roman" w:cs="Times New Roman"/>
                <w:color w:val="000000"/>
                <w:kern w:val="0"/>
                <w:sz w:val="24"/>
                <w:u w:val="single"/>
                <w:vertAlign w:val="superscript"/>
                <w14:ligatures w14:val="none"/>
              </w:rPr>
              <w:t>i</w:t>
            </w:r>
          </w:p>
          <w:p w14:paraId="0A361DA7"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 health care facility</w:t>
            </w:r>
            <w:r w:rsidRPr="006B4A66">
              <w:rPr>
                <w:rFonts w:ascii="Times New Roman" w:eastAsia="Calibri" w:hAnsi="Times New Roman" w:cs="Times New Roman"/>
                <w:color w:val="000000"/>
                <w:kern w:val="0"/>
                <w:sz w:val="24"/>
                <w:u w:val="single"/>
                <w:vertAlign w:val="superscript"/>
                <w14:ligatures w14:val="none"/>
              </w:rPr>
              <w:t>c,i</w:t>
            </w:r>
          </w:p>
          <w:p w14:paraId="591C428B"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Otherwise</w:t>
            </w:r>
            <w:r w:rsidRPr="006B4A66">
              <w:rPr>
                <w:rFonts w:ascii="Times New Roman" w:eastAsia="Calibri" w:hAnsi="Times New Roman" w:cs="Times New Roman"/>
                <w:color w:val="000000"/>
                <w:kern w:val="0"/>
                <w:sz w:val="24"/>
                <w:u w:val="single"/>
                <w:vertAlign w:val="superscript"/>
                <w14:ligatures w14:val="none"/>
              </w:rPr>
              <w:t>i</w:t>
            </w:r>
          </w:p>
        </w:tc>
        <w:tc>
          <w:tcPr>
            <w:tcW w:w="3415" w:type="dxa"/>
          </w:tcPr>
          <w:p w14:paraId="2C31B526"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p>
          <w:p w14:paraId="09FF46CE"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0.42</w:t>
            </w:r>
          </w:p>
          <w:p w14:paraId="214BF1B4"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0.53</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0.50</w:t>
            </w:r>
          </w:p>
        </w:tc>
      </w:tr>
      <w:tr w:rsidR="006B4A66" w:rsidRPr="006B4A66" w14:paraId="429DE94C" w14:textId="77777777">
        <w:trPr>
          <w:jc w:val="center"/>
        </w:trPr>
        <w:tc>
          <w:tcPr>
            <w:tcW w:w="4495" w:type="dxa"/>
            <w:hideMark/>
          </w:tcPr>
          <w:p w14:paraId="62C93301"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Office</w:t>
            </w:r>
          </w:p>
          <w:p w14:paraId="5BB6A5C6"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 xml:space="preserve">Enclosed </w:t>
            </w:r>
            <w:r w:rsidRPr="006B4A66">
              <w:rPr>
                <w:rFonts w:ascii="Times New Roman" w:eastAsia="Calibri" w:hAnsi="Times New Roman" w:cs="Times New Roman"/>
                <w:color w:val="000000"/>
                <w:kern w:val="0"/>
                <w:sz w:val="24"/>
                <w:u w:val="single"/>
                <w14:ligatures w14:val="none"/>
              </w:rPr>
              <w:t>&lt;</w:t>
            </w:r>
            <w:r w:rsidRPr="006B4A66">
              <w:rPr>
                <w:rFonts w:ascii="Times New Roman" w:eastAsia="Calibri" w:hAnsi="Times New Roman" w:cs="Times New Roman"/>
                <w:color w:val="000000"/>
                <w:kern w:val="0"/>
                <w:sz w:val="24"/>
                <w14:ligatures w14:val="none"/>
              </w:rPr>
              <w:t xml:space="preserve"> 250</w:t>
            </w:r>
          </w:p>
          <w:p w14:paraId="090272CD"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 xml:space="preserve">Enclosed </w:t>
            </w:r>
            <w:r w:rsidRPr="006B4A66">
              <w:rPr>
                <w:rFonts w:ascii="Times New Roman" w:eastAsia="Calibri" w:hAnsi="Times New Roman" w:cs="Times New Roman"/>
                <w:color w:val="000000"/>
                <w:kern w:val="0"/>
                <w:sz w:val="24"/>
                <w:u w:val="single"/>
                <w14:ligatures w14:val="none"/>
              </w:rPr>
              <w:t>&gt;</w:t>
            </w:r>
            <w:r w:rsidRPr="006B4A66">
              <w:rPr>
                <w:rFonts w:ascii="Times New Roman" w:eastAsia="Calibri" w:hAnsi="Times New Roman" w:cs="Times New Roman"/>
                <w:color w:val="000000"/>
                <w:kern w:val="0"/>
                <w:sz w:val="24"/>
                <w14:ligatures w14:val="none"/>
              </w:rPr>
              <w:t xml:space="preserve"> 250</w:t>
            </w:r>
          </w:p>
          <w:p w14:paraId="3DFADC18"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Open plan</w:t>
            </w:r>
          </w:p>
        </w:tc>
        <w:tc>
          <w:tcPr>
            <w:tcW w:w="3415" w:type="dxa"/>
          </w:tcPr>
          <w:p w14:paraId="5BDA5258"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p>
          <w:p w14:paraId="6195DAB3"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0.67</w:t>
            </w:r>
          </w:p>
          <w:p w14:paraId="4CF3F1F9"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0.59</w:t>
            </w:r>
          </w:p>
          <w:p w14:paraId="4596BB58"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0.55</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0.51</w:t>
            </w:r>
          </w:p>
        </w:tc>
      </w:tr>
      <w:tr w:rsidR="006B4A66" w:rsidRPr="006B4A66" w14:paraId="298CF5AC" w14:textId="77777777">
        <w:trPr>
          <w:jc w:val="center"/>
        </w:trPr>
        <w:tc>
          <w:tcPr>
            <w:tcW w:w="4495" w:type="dxa"/>
            <w:hideMark/>
          </w:tcPr>
          <w:p w14:paraId="3F0BE9A4"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Parking area, interior</w:t>
            </w:r>
          </w:p>
        </w:tc>
        <w:tc>
          <w:tcPr>
            <w:tcW w:w="3415" w:type="dxa"/>
            <w:hideMark/>
          </w:tcPr>
          <w:p w14:paraId="470F1B09"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0.14</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0.10</w:t>
            </w:r>
          </w:p>
        </w:tc>
      </w:tr>
      <w:tr w:rsidR="006B4A66" w:rsidRPr="006B4A66" w14:paraId="392C247D" w14:textId="77777777">
        <w:trPr>
          <w:jc w:val="center"/>
        </w:trPr>
        <w:tc>
          <w:tcPr>
            <w:tcW w:w="4495" w:type="dxa"/>
            <w:hideMark/>
          </w:tcPr>
          <w:p w14:paraId="1FB99350"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Pharmacy area</w:t>
            </w:r>
          </w:p>
        </w:tc>
        <w:tc>
          <w:tcPr>
            <w:tcW w:w="3415" w:type="dxa"/>
            <w:hideMark/>
          </w:tcPr>
          <w:p w14:paraId="2D553702"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1.66</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1.43</w:t>
            </w:r>
          </w:p>
        </w:tc>
      </w:tr>
      <w:tr w:rsidR="006B4A66" w:rsidRPr="006B4A66" w14:paraId="164F121A" w14:textId="77777777">
        <w:trPr>
          <w:jc w:val="center"/>
        </w:trPr>
        <w:tc>
          <w:tcPr>
            <w:tcW w:w="4495" w:type="dxa"/>
            <w:hideMark/>
          </w:tcPr>
          <w:p w14:paraId="6D80A44D"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Restroom</w:t>
            </w:r>
          </w:p>
          <w:p w14:paraId="7B2C1674"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 facility for the visually impaired (and not used primarily by the staff)</w:t>
            </w:r>
            <w:r w:rsidRPr="006B4A66">
              <w:rPr>
                <w:rFonts w:ascii="Times New Roman" w:eastAsia="Calibri" w:hAnsi="Times New Roman" w:cs="Times New Roman"/>
                <w:color w:val="000000"/>
                <w:kern w:val="0"/>
                <w:sz w:val="24"/>
                <w:vertAlign w:val="superscript"/>
                <w14:ligatures w14:val="none"/>
              </w:rPr>
              <w:t>b</w:t>
            </w:r>
          </w:p>
          <w:p w14:paraId="65666357"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Otherwise</w:t>
            </w:r>
            <w:r w:rsidRPr="006B4A66">
              <w:rPr>
                <w:rFonts w:ascii="Times New Roman" w:eastAsia="Calibri" w:hAnsi="Times New Roman" w:cs="Times New Roman"/>
                <w:color w:val="000000"/>
                <w:kern w:val="0"/>
                <w:sz w:val="24"/>
                <w:vertAlign w:val="superscript"/>
                <w14:ligatures w14:val="none"/>
              </w:rPr>
              <w:t>((</w:t>
            </w:r>
            <w:r w:rsidRPr="006B4A66">
              <w:rPr>
                <w:rFonts w:ascii="Times New Roman" w:eastAsia="Calibri" w:hAnsi="Times New Roman" w:cs="Times New Roman"/>
                <w:strike/>
                <w:color w:val="000000"/>
                <w:kern w:val="0"/>
                <w:sz w:val="24"/>
                <w:vertAlign w:val="superscript"/>
                <w14:ligatures w14:val="none"/>
              </w:rPr>
              <w:t>n</w:t>
            </w:r>
            <w:r w:rsidRPr="006B4A66">
              <w:rPr>
                <w:rFonts w:ascii="Times New Roman" w:eastAsia="Calibri" w:hAnsi="Times New Roman" w:cs="Times New Roman"/>
                <w:color w:val="000000"/>
                <w:kern w:val="0"/>
                <w:sz w:val="24"/>
                <w:vertAlign w:val="superscript"/>
                <w14:ligatures w14:val="none"/>
              </w:rPr>
              <w:t xml:space="preserve">)) </w:t>
            </w:r>
            <w:r w:rsidRPr="006B4A66">
              <w:rPr>
                <w:rFonts w:ascii="Times New Roman" w:eastAsia="Calibri" w:hAnsi="Times New Roman" w:cs="Times New Roman"/>
                <w:color w:val="000000"/>
                <w:kern w:val="0"/>
                <w:sz w:val="24"/>
                <w:u w:val="single"/>
                <w:vertAlign w:val="superscript"/>
                <w14:ligatures w14:val="none"/>
              </w:rPr>
              <w:t>i</w:t>
            </w:r>
          </w:p>
        </w:tc>
        <w:tc>
          <w:tcPr>
            <w:tcW w:w="3415" w:type="dxa"/>
          </w:tcPr>
          <w:p w14:paraId="23FDDC8B"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p>
          <w:p w14:paraId="5D029577"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1.26</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0.96</w:t>
            </w:r>
          </w:p>
          <w:p w14:paraId="472CCF52"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p>
          <w:p w14:paraId="1D1A5582"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0.57</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0.67</w:t>
            </w:r>
          </w:p>
        </w:tc>
      </w:tr>
      <w:tr w:rsidR="006B4A66" w:rsidRPr="006B4A66" w14:paraId="54E330AE" w14:textId="77777777">
        <w:trPr>
          <w:jc w:val="center"/>
        </w:trPr>
        <w:tc>
          <w:tcPr>
            <w:tcW w:w="4495" w:type="dxa"/>
            <w:hideMark/>
          </w:tcPr>
          <w:p w14:paraId="727639EC"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Sales area</w:t>
            </w:r>
          </w:p>
        </w:tc>
        <w:tc>
          <w:tcPr>
            <w:tcW w:w="3415" w:type="dxa"/>
            <w:hideMark/>
          </w:tcPr>
          <w:p w14:paraId="3C9901B4"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0.95</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0.87</w:t>
            </w:r>
          </w:p>
        </w:tc>
      </w:tr>
      <w:tr w:rsidR="006B4A66" w:rsidRPr="006B4A66" w14:paraId="14B625F9" w14:textId="77777777">
        <w:trPr>
          <w:jc w:val="center"/>
        </w:trPr>
        <w:tc>
          <w:tcPr>
            <w:tcW w:w="4495" w:type="dxa"/>
            <w:hideMark/>
          </w:tcPr>
          <w:p w14:paraId="2ACF5855"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Seating area, general</w:t>
            </w:r>
          </w:p>
        </w:tc>
        <w:tc>
          <w:tcPr>
            <w:tcW w:w="3415" w:type="dxa"/>
            <w:hideMark/>
          </w:tcPr>
          <w:p w14:paraId="6F7C758A"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0.21</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0.19</w:t>
            </w:r>
          </w:p>
        </w:tc>
      </w:tr>
      <w:tr w:rsidR="006B4A66" w:rsidRPr="006B4A66" w14:paraId="5EE302B7" w14:textId="77777777">
        <w:trPr>
          <w:jc w:val="center"/>
        </w:trPr>
        <w:tc>
          <w:tcPr>
            <w:tcW w:w="4495" w:type="dxa"/>
          </w:tcPr>
          <w:p w14:paraId="2ADB783B"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Security screening general area</w:t>
            </w:r>
          </w:p>
        </w:tc>
        <w:tc>
          <w:tcPr>
            <w:tcW w:w="3415" w:type="dxa"/>
          </w:tcPr>
          <w:p w14:paraId="40A040CE"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0.64</w:t>
            </w:r>
          </w:p>
        </w:tc>
      </w:tr>
      <w:tr w:rsidR="006B4A66" w:rsidRPr="006B4A66" w14:paraId="4F6C3A26" w14:textId="77777777">
        <w:trPr>
          <w:jc w:val="center"/>
        </w:trPr>
        <w:tc>
          <w:tcPr>
            <w:tcW w:w="4495" w:type="dxa"/>
          </w:tcPr>
          <w:p w14:paraId="45EC0531"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Security screening in transportation facilities</w:t>
            </w:r>
          </w:p>
        </w:tc>
        <w:tc>
          <w:tcPr>
            <w:tcW w:w="3415" w:type="dxa"/>
          </w:tcPr>
          <w:p w14:paraId="0A8FF30F"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0.93</w:t>
            </w:r>
          </w:p>
        </w:tc>
      </w:tr>
      <w:tr w:rsidR="006B4A66" w:rsidRPr="006B4A66" w14:paraId="54C775D6" w14:textId="77777777">
        <w:trPr>
          <w:jc w:val="center"/>
        </w:trPr>
        <w:tc>
          <w:tcPr>
            <w:tcW w:w="4495" w:type="dxa"/>
          </w:tcPr>
          <w:p w14:paraId="05FFAA63"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Security screening transportation waiting area</w:t>
            </w:r>
          </w:p>
        </w:tc>
        <w:tc>
          <w:tcPr>
            <w:tcW w:w="3415" w:type="dxa"/>
          </w:tcPr>
          <w:p w14:paraId="3C383EA1"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0.56</w:t>
            </w:r>
          </w:p>
        </w:tc>
      </w:tr>
      <w:tr w:rsidR="006B4A66" w:rsidRPr="006B4A66" w14:paraId="41D480DB" w14:textId="77777777">
        <w:trPr>
          <w:jc w:val="center"/>
        </w:trPr>
        <w:tc>
          <w:tcPr>
            <w:tcW w:w="4495" w:type="dxa"/>
            <w:hideMark/>
          </w:tcPr>
          <w:p w14:paraId="03007A4C"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Stairwell</w:t>
            </w:r>
            <w:r w:rsidRPr="006B4A66">
              <w:rPr>
                <w:rFonts w:ascii="Times New Roman" w:eastAsia="Calibri" w:hAnsi="Times New Roman" w:cs="Times New Roman"/>
                <w:color w:val="000000"/>
                <w:kern w:val="0"/>
                <w:sz w:val="24"/>
                <w:vertAlign w:val="superscript"/>
                <w14:ligatures w14:val="none"/>
              </w:rPr>
              <w:t>((</w:t>
            </w:r>
            <w:r w:rsidRPr="006B4A66">
              <w:rPr>
                <w:rFonts w:ascii="Times New Roman" w:eastAsia="Calibri" w:hAnsi="Times New Roman" w:cs="Times New Roman"/>
                <w:strike/>
                <w:color w:val="000000"/>
                <w:kern w:val="0"/>
                <w:sz w:val="24"/>
                <w:vertAlign w:val="superscript"/>
                <w14:ligatures w14:val="none"/>
              </w:rPr>
              <w:t>n</w:t>
            </w:r>
            <w:r w:rsidRPr="006B4A66">
              <w:rPr>
                <w:rFonts w:ascii="Times New Roman" w:eastAsia="Calibri" w:hAnsi="Times New Roman" w:cs="Times New Roman"/>
                <w:color w:val="000000"/>
                <w:kern w:val="0"/>
                <w:sz w:val="24"/>
                <w:vertAlign w:val="superscript"/>
                <w14:ligatures w14:val="none"/>
              </w:rPr>
              <w:t xml:space="preserve">)) </w:t>
            </w:r>
            <w:r w:rsidRPr="006B4A66">
              <w:rPr>
                <w:rFonts w:ascii="Times New Roman" w:eastAsia="Calibri" w:hAnsi="Times New Roman" w:cs="Times New Roman"/>
                <w:color w:val="000000"/>
                <w:kern w:val="0"/>
                <w:sz w:val="24"/>
                <w:u w:val="single"/>
                <w:vertAlign w:val="superscript"/>
                <w14:ligatures w14:val="none"/>
              </w:rPr>
              <w:t>c,i</w:t>
            </w:r>
          </w:p>
        </w:tc>
        <w:tc>
          <w:tcPr>
            <w:tcW w:w="3415" w:type="dxa"/>
            <w:hideMark/>
          </w:tcPr>
          <w:p w14:paraId="44606A22"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0.44</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0.43</w:t>
            </w:r>
          </w:p>
        </w:tc>
      </w:tr>
      <w:tr w:rsidR="006B4A66" w:rsidRPr="006B4A66" w14:paraId="557B22C5" w14:textId="77777777">
        <w:trPr>
          <w:jc w:val="center"/>
        </w:trPr>
        <w:tc>
          <w:tcPr>
            <w:tcW w:w="4495" w:type="dxa"/>
            <w:hideMark/>
          </w:tcPr>
          <w:p w14:paraId="10602E9F"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Storage room</w:t>
            </w:r>
          </w:p>
          <w:p w14:paraId="54E9542A"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w:t>
            </w:r>
            <w:r w:rsidRPr="006B4A66">
              <w:rPr>
                <w:rFonts w:ascii="Times New Roman" w:eastAsia="Calibri" w:hAnsi="Times New Roman" w:cs="Times New Roman"/>
                <w:strike/>
                <w:color w:val="000000"/>
                <w:kern w:val="0"/>
                <w:sz w:val="24"/>
                <w14:ligatures w14:val="none"/>
              </w:rPr>
              <w:t>&lt; 50 ft</w:t>
            </w:r>
            <w:r w:rsidRPr="006B4A66">
              <w:rPr>
                <w:rFonts w:ascii="Times New Roman" w:eastAsia="Calibri" w:hAnsi="Times New Roman" w:cs="Times New Roman"/>
                <w:strike/>
                <w:color w:val="000000"/>
                <w:kern w:val="0"/>
                <w:sz w:val="24"/>
                <w:vertAlign w:val="superscript"/>
                <w14:ligatures w14:val="none"/>
              </w:rPr>
              <w:t>2</w:t>
            </w:r>
          </w:p>
          <w:p w14:paraId="164EB743"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50-100 ft</w:t>
            </w:r>
            <w:r w:rsidRPr="006B4A66">
              <w:rPr>
                <w:rFonts w:ascii="Times New Roman" w:eastAsia="Calibri" w:hAnsi="Times New Roman" w:cs="Times New Roman"/>
                <w:strike/>
                <w:color w:val="000000"/>
                <w:kern w:val="0"/>
                <w:sz w:val="24"/>
                <w:vertAlign w:val="superscript"/>
                <w14:ligatures w14:val="none"/>
              </w:rPr>
              <w:t>2</w:t>
            </w:r>
            <w:r w:rsidRPr="006B4A66">
              <w:rPr>
                <w:rFonts w:ascii="Times New Roman" w:eastAsia="Calibri" w:hAnsi="Times New Roman" w:cs="Times New Roman"/>
                <w:color w:val="000000"/>
                <w:kern w:val="0"/>
                <w:sz w:val="24"/>
                <w14:ligatures w14:val="none"/>
              </w:rPr>
              <w:t>))</w:t>
            </w:r>
          </w:p>
          <w:p w14:paraId="64D93D4F"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All ((</w:t>
            </w:r>
            <w:r w:rsidRPr="006B4A66">
              <w:rPr>
                <w:rFonts w:ascii="Times New Roman" w:eastAsia="Calibri" w:hAnsi="Times New Roman" w:cs="Times New Roman"/>
                <w:strike/>
                <w:color w:val="000000"/>
                <w:kern w:val="0"/>
                <w:sz w:val="24"/>
                <w14:ligatures w14:val="none"/>
              </w:rPr>
              <w:t>of the</w:t>
            </w:r>
            <w:r w:rsidRPr="006B4A66">
              <w:rPr>
                <w:rFonts w:ascii="Times New Roman" w:eastAsia="Calibri" w:hAnsi="Times New Roman" w:cs="Times New Roman"/>
                <w:color w:val="000000"/>
                <w:kern w:val="0"/>
                <w:sz w:val="24"/>
                <w14:ligatures w14:val="none"/>
              </w:rPr>
              <w:t>)) storage</w:t>
            </w:r>
            <w:r w:rsidRPr="006B4A66">
              <w:rPr>
                <w:rFonts w:ascii="Times New Roman" w:eastAsia="Calibri" w:hAnsi="Times New Roman" w:cs="Times New Roman"/>
                <w:color w:val="000000"/>
                <w:kern w:val="0"/>
                <w:sz w:val="24"/>
                <w:vertAlign w:val="superscript"/>
                <w14:ligatures w14:val="none"/>
              </w:rPr>
              <w:t>b</w:t>
            </w:r>
          </w:p>
        </w:tc>
        <w:tc>
          <w:tcPr>
            <w:tcW w:w="3415" w:type="dxa"/>
          </w:tcPr>
          <w:p w14:paraId="7D11F3D6"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p>
          <w:p w14:paraId="34C4476A"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w:t>
            </w:r>
            <w:r w:rsidRPr="006B4A66">
              <w:rPr>
                <w:rFonts w:ascii="Times New Roman" w:eastAsia="Calibri" w:hAnsi="Times New Roman" w:cs="Times New Roman"/>
                <w:strike/>
                <w:color w:val="000000"/>
                <w:kern w:val="0"/>
                <w:sz w:val="24"/>
                <w14:ligatures w14:val="none"/>
              </w:rPr>
              <w:t>0.46</w:t>
            </w:r>
            <w:r w:rsidRPr="006B4A66">
              <w:rPr>
                <w:rFonts w:ascii="Times New Roman" w:eastAsia="Calibri" w:hAnsi="Times New Roman" w:cs="Times New Roman"/>
                <w:color w:val="000000"/>
                <w:kern w:val="0"/>
                <w:sz w:val="24"/>
                <w14:ligatures w14:val="none"/>
              </w:rPr>
              <w:t>))</w:t>
            </w:r>
          </w:p>
          <w:p w14:paraId="68F46BEC"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0.34</w:t>
            </w:r>
            <w:r w:rsidRPr="006B4A66">
              <w:rPr>
                <w:rFonts w:ascii="Times New Roman" w:eastAsia="Calibri" w:hAnsi="Times New Roman" w:cs="Times New Roman"/>
                <w:color w:val="000000"/>
                <w:kern w:val="0"/>
                <w:sz w:val="24"/>
                <w14:ligatures w14:val="none"/>
              </w:rPr>
              <w:t>))</w:t>
            </w:r>
          </w:p>
          <w:p w14:paraId="03DD2257"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w:t>
            </w:r>
            <w:r w:rsidRPr="006B4A66">
              <w:rPr>
                <w:rFonts w:ascii="Times New Roman" w:eastAsia="Calibri" w:hAnsi="Times New Roman" w:cs="Times New Roman"/>
                <w:strike/>
                <w:color w:val="000000"/>
                <w:kern w:val="0"/>
                <w:sz w:val="24"/>
                <w14:ligatures w14:val="none"/>
              </w:rPr>
              <w:t>.34</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0.32</w:t>
            </w:r>
          </w:p>
        </w:tc>
      </w:tr>
      <w:tr w:rsidR="006B4A66" w:rsidRPr="006B4A66" w14:paraId="306CF6B8" w14:textId="77777777">
        <w:trPr>
          <w:jc w:val="center"/>
        </w:trPr>
        <w:tc>
          <w:tcPr>
            <w:tcW w:w="4495" w:type="dxa"/>
            <w:hideMark/>
          </w:tcPr>
          <w:p w14:paraId="6FF1BE20"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Vehicular maintenance</w:t>
            </w:r>
          </w:p>
        </w:tc>
        <w:tc>
          <w:tcPr>
            <w:tcW w:w="3415" w:type="dxa"/>
            <w:hideMark/>
          </w:tcPr>
          <w:p w14:paraId="2817B44F"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0.54</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0.53</w:t>
            </w:r>
          </w:p>
        </w:tc>
      </w:tr>
      <w:tr w:rsidR="006B4A66" w:rsidRPr="006B4A66" w14:paraId="4573C198" w14:textId="77777777">
        <w:trPr>
          <w:jc w:val="center"/>
        </w:trPr>
        <w:tc>
          <w:tcPr>
            <w:tcW w:w="4495" w:type="dxa"/>
            <w:hideMark/>
          </w:tcPr>
          <w:p w14:paraId="5F41B746"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Workshop</w:t>
            </w:r>
          </w:p>
        </w:tc>
        <w:tc>
          <w:tcPr>
            <w:tcW w:w="3415" w:type="dxa"/>
            <w:hideMark/>
          </w:tcPr>
          <w:p w14:paraId="7720EEBD"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1.13</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1.05</w:t>
            </w:r>
          </w:p>
        </w:tc>
      </w:tr>
    </w:tbl>
    <w:p w14:paraId="04D6C4A8" w14:textId="77777777" w:rsidR="006B4A66" w:rsidRPr="006B4A66" w:rsidRDefault="006B4A66" w:rsidP="0073496A">
      <w:pPr>
        <w:tabs>
          <w:tab w:val="left" w:pos="720"/>
        </w:tabs>
        <w:spacing w:after="0" w:line="480" w:lineRule="auto"/>
        <w:rPr>
          <w:rFonts w:ascii="Times New Roman" w:eastAsia="Calibri" w:hAnsi="Times New Roman" w:cs="Times New Roman"/>
          <w:b/>
          <w:color w:val="000000"/>
          <w:kern w:val="0"/>
          <w:sz w:val="24"/>
          <w14:ligatures w14:val="none"/>
        </w:rPr>
      </w:pPr>
      <w:r w:rsidRPr="006B4A66">
        <w:rPr>
          <w:rFonts w:ascii="Times New Roman" w:eastAsia="Calibri" w:hAnsi="Times New Roman" w:cs="Times New Roman"/>
          <w:b/>
          <w:color w:val="000000"/>
          <w:kern w:val="0"/>
          <w:sz w:val="24"/>
          <w14:ligatures w14:val="none"/>
        </w:rPr>
        <w:tab/>
        <w:t>Building Specific Space-by-Space Types</w:t>
      </w:r>
      <w:r w:rsidRPr="006B4A66">
        <w:rPr>
          <w:rFonts w:ascii="Times New Roman" w:eastAsia="Calibri" w:hAnsi="Times New Roman" w:cs="Times New Roman"/>
          <w:b/>
          <w:color w:val="000000"/>
          <w:kern w:val="0"/>
          <w:sz w:val="24"/>
          <w:vertAlign w:val="superscript"/>
          <w14:ligatures w14:val="none"/>
        </w:rPr>
        <w:t>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6"/>
        <w:gridCol w:w="3674"/>
      </w:tblGrid>
      <w:tr w:rsidR="006B4A66" w:rsidRPr="006B4A66" w14:paraId="2F733BBD" w14:textId="77777777">
        <w:trPr>
          <w:jc w:val="center"/>
        </w:trPr>
        <w:tc>
          <w:tcPr>
            <w:tcW w:w="4236" w:type="dxa"/>
            <w:tcBorders>
              <w:top w:val="single" w:sz="4" w:space="0" w:color="auto"/>
              <w:left w:val="single" w:sz="4" w:space="0" w:color="auto"/>
              <w:bottom w:val="single" w:sz="4" w:space="0" w:color="auto"/>
              <w:right w:val="single" w:sz="4" w:space="0" w:color="auto"/>
            </w:tcBorders>
            <w:hideMark/>
          </w:tcPr>
          <w:p w14:paraId="3E430BBE" w14:textId="77777777" w:rsidR="006B4A66" w:rsidRPr="006B4A66" w:rsidRDefault="006B4A66" w:rsidP="00BD15DC">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Building Specific Space-by-Space Types</w:t>
            </w:r>
            <w:r w:rsidRPr="006B4A66">
              <w:rPr>
                <w:rFonts w:ascii="Times New Roman" w:eastAsia="Calibri" w:hAnsi="Times New Roman" w:cs="Times New Roman"/>
                <w:b/>
                <w:color w:val="000000"/>
                <w:kern w:val="0"/>
                <w:sz w:val="24"/>
                <w:vertAlign w:val="superscript"/>
                <w14:ligatures w14:val="none"/>
              </w:rPr>
              <w:t>a</w:t>
            </w:r>
          </w:p>
        </w:tc>
        <w:tc>
          <w:tcPr>
            <w:tcW w:w="3674" w:type="dxa"/>
            <w:tcBorders>
              <w:top w:val="single" w:sz="4" w:space="0" w:color="auto"/>
              <w:left w:val="single" w:sz="4" w:space="0" w:color="auto"/>
              <w:bottom w:val="single" w:sz="4" w:space="0" w:color="auto"/>
              <w:right w:val="single" w:sz="4" w:space="0" w:color="auto"/>
            </w:tcBorders>
            <w:hideMark/>
          </w:tcPr>
          <w:p w14:paraId="2D264008" w14:textId="7E7BD84B"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b/>
                <w:color w:val="000000"/>
                <w:kern w:val="0"/>
                <w:sz w:val="24"/>
                <w14:ligatures w14:val="none"/>
              </w:rPr>
            </w:pPr>
            <w:r w:rsidRPr="006B4A66">
              <w:rPr>
                <w:rFonts w:ascii="Times New Roman" w:eastAsia="Calibri" w:hAnsi="Times New Roman" w:cs="Times New Roman"/>
                <w:b/>
                <w:color w:val="000000"/>
                <w:kern w:val="0"/>
                <w:sz w:val="24"/>
                <w14:ligatures w14:val="none"/>
              </w:rPr>
              <w:t>LPD</w:t>
            </w:r>
            <w:r w:rsidR="00B92AC1">
              <w:rPr>
                <w:rFonts w:ascii="Times New Roman" w:eastAsia="Calibri" w:hAnsi="Times New Roman" w:cs="Times New Roman"/>
                <w:b/>
                <w:color w:val="000000"/>
                <w:kern w:val="0"/>
                <w:sz w:val="24"/>
                <w14:ligatures w14:val="none"/>
              </w:rPr>
              <w:t>((</w:t>
            </w:r>
            <w:r w:rsidRPr="001216D4">
              <w:rPr>
                <w:rFonts w:ascii="Times New Roman" w:eastAsia="Calibri" w:hAnsi="Times New Roman" w:cs="Times New Roman"/>
                <w:b/>
                <w:strike/>
                <w:color w:val="000000"/>
                <w:kern w:val="0"/>
                <w:sz w:val="24"/>
                <w:vertAlign w:val="superscript"/>
                <w14:ligatures w14:val="none"/>
              </w:rPr>
              <w:t>d</w:t>
            </w:r>
            <w:r w:rsidR="00B92AC1">
              <w:rPr>
                <w:rFonts w:ascii="Times New Roman" w:eastAsia="Calibri" w:hAnsi="Times New Roman" w:cs="Times New Roman"/>
                <w:b/>
                <w:color w:val="000000"/>
                <w:kern w:val="0"/>
                <w:sz w:val="24"/>
                <w14:ligatures w14:val="none"/>
              </w:rPr>
              <w:t>))</w:t>
            </w:r>
            <w:r w:rsidRPr="006B4A66">
              <w:rPr>
                <w:rFonts w:ascii="Times New Roman" w:eastAsia="Calibri" w:hAnsi="Times New Roman" w:cs="Times New Roman"/>
                <w:b/>
                <w:color w:val="000000"/>
                <w:kern w:val="0"/>
                <w:sz w:val="24"/>
                <w14:ligatures w14:val="none"/>
              </w:rPr>
              <w:t xml:space="preserve"> (w/ft</w:t>
            </w:r>
            <w:r w:rsidRPr="006B4A66">
              <w:rPr>
                <w:rFonts w:ascii="Times New Roman" w:eastAsia="Calibri" w:hAnsi="Times New Roman" w:cs="Times New Roman"/>
                <w:b/>
                <w:color w:val="000000"/>
                <w:kern w:val="0"/>
                <w:sz w:val="24"/>
                <w:vertAlign w:val="superscript"/>
                <w14:ligatures w14:val="none"/>
              </w:rPr>
              <w:t>2</w:t>
            </w:r>
            <w:r w:rsidRPr="006B4A66">
              <w:rPr>
                <w:rFonts w:ascii="Times New Roman" w:eastAsia="Calibri" w:hAnsi="Times New Roman" w:cs="Times New Roman"/>
                <w:b/>
                <w:color w:val="000000"/>
                <w:kern w:val="0"/>
                <w:sz w:val="24"/>
                <w14:ligatures w14:val="none"/>
              </w:rPr>
              <w:t>)</w:t>
            </w:r>
          </w:p>
        </w:tc>
      </w:tr>
      <w:tr w:rsidR="006B4A66" w:rsidRPr="006B4A66" w14:paraId="2024D574" w14:textId="77777777">
        <w:trPr>
          <w:jc w:val="center"/>
        </w:trPr>
        <w:tc>
          <w:tcPr>
            <w:tcW w:w="4236" w:type="dxa"/>
            <w:tcBorders>
              <w:top w:val="single" w:sz="4" w:space="0" w:color="auto"/>
              <w:left w:val="single" w:sz="4" w:space="0" w:color="auto"/>
              <w:bottom w:val="single" w:sz="4" w:space="0" w:color="auto"/>
              <w:right w:val="single" w:sz="4" w:space="0" w:color="auto"/>
            </w:tcBorders>
            <w:hideMark/>
          </w:tcPr>
          <w:p w14:paraId="72C78A6A"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Automotive - (See Vehicular maintenance, above)</w:t>
            </w:r>
          </w:p>
        </w:tc>
        <w:tc>
          <w:tcPr>
            <w:tcW w:w="3674" w:type="dxa"/>
            <w:tcBorders>
              <w:top w:val="single" w:sz="4" w:space="0" w:color="auto"/>
              <w:left w:val="single" w:sz="4" w:space="0" w:color="auto"/>
              <w:bottom w:val="single" w:sz="4" w:space="0" w:color="auto"/>
              <w:right w:val="single" w:sz="4" w:space="0" w:color="auto"/>
            </w:tcBorders>
          </w:tcPr>
          <w:p w14:paraId="6C15ECA8"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p>
        </w:tc>
      </w:tr>
      <w:tr w:rsidR="006B4A66" w:rsidRPr="006B4A66" w14:paraId="61245E21" w14:textId="77777777">
        <w:trPr>
          <w:jc w:val="center"/>
        </w:trPr>
        <w:tc>
          <w:tcPr>
            <w:tcW w:w="4236" w:type="dxa"/>
            <w:tcBorders>
              <w:top w:val="single" w:sz="4" w:space="0" w:color="auto"/>
              <w:left w:val="single" w:sz="4" w:space="0" w:color="auto"/>
              <w:bottom w:val="single" w:sz="4" w:space="0" w:color="auto"/>
              <w:right w:val="single" w:sz="4" w:space="0" w:color="auto"/>
            </w:tcBorders>
            <w:hideMark/>
          </w:tcPr>
          <w:p w14:paraId="401D96B0"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Convention center - Exhibit space</w:t>
            </w:r>
            <w:r w:rsidRPr="006B4A66">
              <w:rPr>
                <w:rFonts w:ascii="Times New Roman" w:eastAsia="Calibri" w:hAnsi="Times New Roman" w:cs="Times New Roman"/>
                <w:color w:val="000000"/>
                <w:kern w:val="0"/>
                <w:sz w:val="24"/>
                <w:u w:val="single"/>
                <w:vertAlign w:val="superscript"/>
                <w14:ligatures w14:val="none"/>
              </w:rPr>
              <w:t>i</w:t>
            </w:r>
          </w:p>
        </w:tc>
        <w:tc>
          <w:tcPr>
            <w:tcW w:w="3674" w:type="dxa"/>
            <w:tcBorders>
              <w:top w:val="single" w:sz="4" w:space="0" w:color="auto"/>
              <w:left w:val="single" w:sz="4" w:space="0" w:color="auto"/>
              <w:bottom w:val="single" w:sz="4" w:space="0" w:color="auto"/>
              <w:right w:val="single" w:sz="4" w:space="0" w:color="auto"/>
            </w:tcBorders>
            <w:hideMark/>
          </w:tcPr>
          <w:p w14:paraId="4A2AA5B8"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0.55</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0.45</w:t>
            </w:r>
          </w:p>
        </w:tc>
      </w:tr>
      <w:tr w:rsidR="006B4A66" w:rsidRPr="006B4A66" w14:paraId="241AA93D" w14:textId="77777777">
        <w:trPr>
          <w:jc w:val="center"/>
        </w:trPr>
        <w:tc>
          <w:tcPr>
            <w:tcW w:w="4236" w:type="dxa"/>
            <w:tcBorders>
              <w:top w:val="single" w:sz="4" w:space="0" w:color="auto"/>
              <w:left w:val="single" w:sz="4" w:space="0" w:color="auto"/>
              <w:bottom w:val="single" w:sz="4" w:space="0" w:color="auto"/>
              <w:right w:val="single" w:sz="4" w:space="0" w:color="auto"/>
            </w:tcBorders>
            <w:hideMark/>
          </w:tcPr>
          <w:p w14:paraId="4B3C1378" w14:textId="490EBFE1"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Dormitory living quarters</w:t>
            </w:r>
            <w:r w:rsidR="00261B23">
              <w:rPr>
                <w:rFonts w:ascii="Times New Roman" w:eastAsia="Calibri" w:hAnsi="Times New Roman" w:cs="Times New Roman"/>
                <w:color w:val="000000"/>
                <w:kern w:val="0"/>
                <w:sz w:val="24"/>
                <w:vertAlign w:val="superscript"/>
                <w14:ligatures w14:val="none"/>
              </w:rPr>
              <w:t>((</w:t>
            </w:r>
            <w:r w:rsidRPr="001216D4">
              <w:rPr>
                <w:rFonts w:ascii="Times New Roman" w:eastAsia="Calibri" w:hAnsi="Times New Roman" w:cs="Times New Roman"/>
                <w:strike/>
                <w:color w:val="000000"/>
                <w:kern w:val="0"/>
                <w:sz w:val="24"/>
                <w:vertAlign w:val="superscript"/>
                <w14:ligatures w14:val="none"/>
              </w:rPr>
              <w:t>a,</w:t>
            </w:r>
            <w:r w:rsidR="00261B23">
              <w:rPr>
                <w:rFonts w:ascii="Times New Roman" w:eastAsia="Calibri" w:hAnsi="Times New Roman" w:cs="Times New Roman"/>
                <w:color w:val="000000"/>
                <w:kern w:val="0"/>
                <w:sz w:val="24"/>
                <w:vertAlign w:val="superscript"/>
                <w14:ligatures w14:val="none"/>
              </w:rPr>
              <w:t>))</w:t>
            </w:r>
            <w:r w:rsidRPr="006B4A66">
              <w:rPr>
                <w:rFonts w:ascii="Times New Roman" w:eastAsia="Calibri" w:hAnsi="Times New Roman" w:cs="Times New Roman"/>
                <w:color w:val="000000"/>
                <w:kern w:val="0"/>
                <w:sz w:val="24"/>
                <w:vertAlign w:val="superscript"/>
                <w14:ligatures w14:val="none"/>
              </w:rPr>
              <w:t>b</w:t>
            </w:r>
            <w:r w:rsidRPr="006B4A66">
              <w:rPr>
                <w:rFonts w:ascii="Times New Roman" w:eastAsia="Calibri" w:hAnsi="Times New Roman" w:cs="Times New Roman"/>
                <w:color w:val="000000"/>
                <w:kern w:val="0"/>
                <w:sz w:val="24"/>
                <w14:ligatures w14:val="none"/>
              </w:rPr>
              <w:t xml:space="preserve"> </w:t>
            </w:r>
          </w:p>
        </w:tc>
        <w:tc>
          <w:tcPr>
            <w:tcW w:w="3674" w:type="dxa"/>
            <w:tcBorders>
              <w:top w:val="single" w:sz="4" w:space="0" w:color="auto"/>
              <w:left w:val="single" w:sz="4" w:space="0" w:color="auto"/>
              <w:bottom w:val="single" w:sz="4" w:space="0" w:color="auto"/>
              <w:right w:val="single" w:sz="4" w:space="0" w:color="auto"/>
            </w:tcBorders>
            <w:hideMark/>
          </w:tcPr>
          <w:p w14:paraId="5AC3C99E"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0.45</w:t>
            </w:r>
          </w:p>
        </w:tc>
      </w:tr>
      <w:tr w:rsidR="006B4A66" w:rsidRPr="006B4A66" w14:paraId="01B4D28D" w14:textId="77777777">
        <w:trPr>
          <w:jc w:val="center"/>
        </w:trPr>
        <w:tc>
          <w:tcPr>
            <w:tcW w:w="4236" w:type="dxa"/>
            <w:tcBorders>
              <w:top w:val="single" w:sz="4" w:space="0" w:color="auto"/>
              <w:left w:val="single" w:sz="4" w:space="0" w:color="auto"/>
              <w:bottom w:val="single" w:sz="4" w:space="0" w:color="auto"/>
              <w:right w:val="single" w:sz="4" w:space="0" w:color="auto"/>
            </w:tcBorders>
            <w:hideMark/>
          </w:tcPr>
          <w:p w14:paraId="2DDB3FC9"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Facility for the visually impaired</w:t>
            </w:r>
            <w:r w:rsidRPr="006B4A66">
              <w:rPr>
                <w:rFonts w:ascii="Times New Roman" w:eastAsia="Calibri" w:hAnsi="Times New Roman" w:cs="Times New Roman"/>
                <w:color w:val="000000"/>
                <w:kern w:val="0"/>
                <w:sz w:val="24"/>
                <w:vertAlign w:val="superscript"/>
                <w14:ligatures w14:val="none"/>
              </w:rPr>
              <w:t>b</w:t>
            </w:r>
          </w:p>
          <w:p w14:paraId="4F2AC574"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 chapel (and not used primarily by the staff)</w:t>
            </w:r>
            <w:r w:rsidRPr="006B4A66">
              <w:rPr>
                <w:rFonts w:ascii="Times New Roman" w:eastAsia="Calibri" w:hAnsi="Times New Roman" w:cs="Times New Roman"/>
                <w:color w:val="000000"/>
                <w:kern w:val="0"/>
                <w:sz w:val="24"/>
                <w:vertAlign w:val="superscript"/>
                <w14:ligatures w14:val="none"/>
              </w:rPr>
              <w:t>b</w:t>
            </w:r>
          </w:p>
          <w:p w14:paraId="36E5DF43"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 recreation room (and not used primarily by the staff)</w:t>
            </w:r>
            <w:r w:rsidRPr="006B4A66">
              <w:rPr>
                <w:rFonts w:ascii="Times New Roman" w:eastAsia="Calibri" w:hAnsi="Times New Roman" w:cs="Times New Roman"/>
                <w:color w:val="000000"/>
                <w:kern w:val="0"/>
                <w:sz w:val="24"/>
                <w:vertAlign w:val="superscript"/>
                <w14:ligatures w14:val="none"/>
              </w:rPr>
              <w:t>b</w:t>
            </w:r>
          </w:p>
        </w:tc>
        <w:tc>
          <w:tcPr>
            <w:tcW w:w="3674" w:type="dxa"/>
            <w:tcBorders>
              <w:top w:val="single" w:sz="4" w:space="0" w:color="auto"/>
              <w:left w:val="single" w:sz="4" w:space="0" w:color="auto"/>
              <w:bottom w:val="single" w:sz="4" w:space="0" w:color="auto"/>
              <w:right w:val="single" w:sz="4" w:space="0" w:color="auto"/>
            </w:tcBorders>
          </w:tcPr>
          <w:p w14:paraId="2BB2EB4D"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p>
          <w:p w14:paraId="09F9BA46"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0.70</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0.58</w:t>
            </w:r>
          </w:p>
          <w:p w14:paraId="4C6BC5FA"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p>
          <w:p w14:paraId="5D96EAA6"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1.77</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1.20</w:t>
            </w:r>
          </w:p>
        </w:tc>
      </w:tr>
      <w:tr w:rsidR="006B4A66" w:rsidRPr="006B4A66" w14:paraId="3A5293F4" w14:textId="77777777">
        <w:trPr>
          <w:jc w:val="center"/>
        </w:trPr>
        <w:tc>
          <w:tcPr>
            <w:tcW w:w="4236" w:type="dxa"/>
            <w:tcBorders>
              <w:top w:val="single" w:sz="4" w:space="0" w:color="auto"/>
              <w:left w:val="single" w:sz="4" w:space="0" w:color="auto"/>
              <w:bottom w:val="single" w:sz="4" w:space="0" w:color="auto"/>
              <w:right w:val="single" w:sz="4" w:space="0" w:color="auto"/>
            </w:tcBorders>
          </w:tcPr>
          <w:p w14:paraId="10FE2273"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Fire stations – Sleeping quarters</w:t>
            </w:r>
            <w:r w:rsidRPr="006B4A66">
              <w:rPr>
                <w:rFonts w:ascii="Times New Roman" w:eastAsia="Calibri" w:hAnsi="Times New Roman" w:cs="Times New Roman"/>
                <w:color w:val="000000"/>
                <w:kern w:val="0"/>
                <w:sz w:val="24"/>
                <w:vertAlign w:val="superscript"/>
                <w14:ligatures w14:val="none"/>
              </w:rPr>
              <w:t>((</w:t>
            </w:r>
            <w:r w:rsidRPr="006B4A66">
              <w:rPr>
                <w:rFonts w:ascii="Times New Roman" w:eastAsia="Calibri" w:hAnsi="Times New Roman" w:cs="Times New Roman"/>
                <w:strike/>
                <w:color w:val="000000"/>
                <w:kern w:val="0"/>
                <w:sz w:val="24"/>
                <w:vertAlign w:val="superscript"/>
                <w14:ligatures w14:val="none"/>
              </w:rPr>
              <w:t>g</w:t>
            </w:r>
            <w:r w:rsidRPr="006B4A66">
              <w:rPr>
                <w:rFonts w:ascii="Times New Roman" w:eastAsia="Calibri" w:hAnsi="Times New Roman" w:cs="Times New Roman"/>
                <w:color w:val="000000"/>
                <w:kern w:val="0"/>
                <w:sz w:val="24"/>
                <w:vertAlign w:val="superscript"/>
                <w14:ligatures w14:val="none"/>
              </w:rPr>
              <w:t>))</w:t>
            </w:r>
          </w:p>
        </w:tc>
        <w:tc>
          <w:tcPr>
            <w:tcW w:w="3674" w:type="dxa"/>
            <w:tcBorders>
              <w:top w:val="single" w:sz="4" w:space="0" w:color="auto"/>
              <w:left w:val="single" w:sz="4" w:space="0" w:color="auto"/>
              <w:bottom w:val="single" w:sz="4" w:space="0" w:color="auto"/>
              <w:right w:val="single" w:sz="4" w:space="0" w:color="auto"/>
            </w:tcBorders>
          </w:tcPr>
          <w:p w14:paraId="007C443D"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0.21</w:t>
            </w:r>
          </w:p>
        </w:tc>
      </w:tr>
      <w:tr w:rsidR="006B4A66" w:rsidRPr="006B4A66" w14:paraId="20D121DE" w14:textId="77777777">
        <w:trPr>
          <w:jc w:val="center"/>
        </w:trPr>
        <w:tc>
          <w:tcPr>
            <w:tcW w:w="4236" w:type="dxa"/>
            <w:tcBorders>
              <w:top w:val="single" w:sz="4" w:space="0" w:color="auto"/>
              <w:left w:val="single" w:sz="4" w:space="0" w:color="auto"/>
              <w:bottom w:val="single" w:sz="4" w:space="0" w:color="auto"/>
              <w:right w:val="single" w:sz="4" w:space="0" w:color="auto"/>
            </w:tcBorders>
          </w:tcPr>
          <w:p w14:paraId="0D02CF89" w14:textId="77777777" w:rsidR="006B4A66" w:rsidRPr="006B4A66" w:rsidRDefault="006B4A66" w:rsidP="00BD15DC">
            <w:pPr>
              <w:tabs>
                <w:tab w:val="left" w:pos="720"/>
                <w:tab w:val="left" w:pos="1752"/>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u w:val="single"/>
                <w14:ligatures w14:val="none"/>
              </w:rPr>
              <w:t>Gaming establishments</w:t>
            </w:r>
          </w:p>
          <w:p w14:paraId="3FE07C2F" w14:textId="77777777" w:rsidR="006B4A66" w:rsidRPr="006B4A66" w:rsidRDefault="006B4A66" w:rsidP="00BD15DC">
            <w:pPr>
              <w:tabs>
                <w:tab w:val="left" w:pos="720"/>
              </w:tabs>
              <w:autoSpaceDE w:val="0"/>
              <w:autoSpaceDN w:val="0"/>
              <w:adjustRightInd w:val="0"/>
              <w:spacing w:after="0" w:line="480" w:lineRule="auto"/>
              <w:ind w:left="60"/>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High limits game</w:t>
            </w:r>
          </w:p>
          <w:p w14:paraId="2208E082" w14:textId="77777777" w:rsidR="006B4A66" w:rsidRPr="006B4A66" w:rsidRDefault="006B4A66" w:rsidP="00BD15DC">
            <w:pPr>
              <w:tabs>
                <w:tab w:val="left" w:pos="720"/>
              </w:tabs>
              <w:autoSpaceDE w:val="0"/>
              <w:autoSpaceDN w:val="0"/>
              <w:adjustRightInd w:val="0"/>
              <w:spacing w:after="0" w:line="480" w:lineRule="auto"/>
              <w:ind w:left="60"/>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Slots</w:t>
            </w:r>
          </w:p>
          <w:p w14:paraId="49998F00" w14:textId="77777777" w:rsidR="006B4A66" w:rsidRPr="006B4A66" w:rsidRDefault="006B4A66" w:rsidP="00BD15DC">
            <w:pPr>
              <w:tabs>
                <w:tab w:val="left" w:pos="720"/>
              </w:tabs>
              <w:autoSpaceDE w:val="0"/>
              <w:autoSpaceDN w:val="0"/>
              <w:adjustRightInd w:val="0"/>
              <w:spacing w:after="0" w:line="480" w:lineRule="auto"/>
              <w:ind w:left="60"/>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Sportsbook</w:t>
            </w:r>
          </w:p>
          <w:p w14:paraId="230FE08C" w14:textId="77777777" w:rsidR="006B4A66" w:rsidRPr="006B4A66" w:rsidRDefault="006B4A66" w:rsidP="00BD15DC">
            <w:pPr>
              <w:tabs>
                <w:tab w:val="left" w:pos="720"/>
              </w:tabs>
              <w:autoSpaceDE w:val="0"/>
              <w:autoSpaceDN w:val="0"/>
              <w:adjustRightInd w:val="0"/>
              <w:spacing w:after="0" w:line="480" w:lineRule="auto"/>
              <w:ind w:left="60"/>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Table games</w:t>
            </w:r>
          </w:p>
        </w:tc>
        <w:tc>
          <w:tcPr>
            <w:tcW w:w="3674" w:type="dxa"/>
            <w:tcBorders>
              <w:top w:val="single" w:sz="4" w:space="0" w:color="auto"/>
              <w:left w:val="single" w:sz="4" w:space="0" w:color="auto"/>
              <w:bottom w:val="single" w:sz="4" w:space="0" w:color="auto"/>
              <w:right w:val="single" w:sz="4" w:space="0" w:color="auto"/>
            </w:tcBorders>
          </w:tcPr>
          <w:p w14:paraId="332623C4"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p>
          <w:p w14:paraId="5936E5ED"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1.51</w:t>
            </w:r>
          </w:p>
          <w:p w14:paraId="2A1F9921"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0.49</w:t>
            </w:r>
          </w:p>
          <w:p w14:paraId="19424D46"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0.74</w:t>
            </w:r>
          </w:p>
          <w:p w14:paraId="1F9B3872"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0.98</w:t>
            </w:r>
          </w:p>
        </w:tc>
      </w:tr>
      <w:tr w:rsidR="006B4A66" w:rsidRPr="006B4A66" w14:paraId="5A0A041C" w14:textId="77777777">
        <w:trPr>
          <w:jc w:val="center"/>
        </w:trPr>
        <w:tc>
          <w:tcPr>
            <w:tcW w:w="4236" w:type="dxa"/>
            <w:tcBorders>
              <w:top w:val="single" w:sz="4" w:space="0" w:color="auto"/>
              <w:left w:val="single" w:sz="4" w:space="0" w:color="auto"/>
              <w:bottom w:val="single" w:sz="4" w:space="0" w:color="auto"/>
              <w:right w:val="single" w:sz="4" w:space="0" w:color="auto"/>
            </w:tcBorders>
            <w:hideMark/>
          </w:tcPr>
          <w:p w14:paraId="120CFAD2" w14:textId="77777777" w:rsidR="006B4A66" w:rsidRPr="006B4A66" w:rsidRDefault="006B4A66" w:rsidP="00BD15DC">
            <w:pPr>
              <w:tabs>
                <w:tab w:val="left" w:pos="720"/>
                <w:tab w:val="left" w:pos="1752"/>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Gymnasium/fitness center</w:t>
            </w:r>
          </w:p>
          <w:p w14:paraId="16FF1479" w14:textId="77777777" w:rsidR="006B4A66" w:rsidRPr="006B4A66" w:rsidRDefault="006B4A66" w:rsidP="00BD15DC">
            <w:pPr>
              <w:tabs>
                <w:tab w:val="left" w:pos="720"/>
              </w:tabs>
              <w:autoSpaceDE w:val="0"/>
              <w:autoSpaceDN w:val="0"/>
              <w:adjustRightInd w:val="0"/>
              <w:spacing w:after="0" w:line="480" w:lineRule="auto"/>
              <w:ind w:left="60"/>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an exercise area</w:t>
            </w:r>
          </w:p>
          <w:p w14:paraId="52C112B0" w14:textId="77777777" w:rsidR="006B4A66" w:rsidRPr="006B4A66" w:rsidRDefault="006B4A66" w:rsidP="00BD15DC">
            <w:pPr>
              <w:tabs>
                <w:tab w:val="left" w:pos="720"/>
              </w:tabs>
              <w:autoSpaceDE w:val="0"/>
              <w:autoSpaceDN w:val="0"/>
              <w:adjustRightInd w:val="0"/>
              <w:spacing w:after="0" w:line="480" w:lineRule="auto"/>
              <w:ind w:left="60"/>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 playing area</w:t>
            </w:r>
          </w:p>
        </w:tc>
        <w:tc>
          <w:tcPr>
            <w:tcW w:w="3674" w:type="dxa"/>
            <w:tcBorders>
              <w:top w:val="single" w:sz="4" w:space="0" w:color="auto"/>
              <w:left w:val="single" w:sz="4" w:space="0" w:color="auto"/>
              <w:bottom w:val="single" w:sz="4" w:space="0" w:color="auto"/>
              <w:right w:val="single" w:sz="4" w:space="0" w:color="auto"/>
            </w:tcBorders>
          </w:tcPr>
          <w:p w14:paraId="53F6D4A2"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p>
          <w:p w14:paraId="3F483DDE"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0.83</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0.74</w:t>
            </w:r>
          </w:p>
          <w:p w14:paraId="517A4085"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0.77</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0.74</w:t>
            </w:r>
          </w:p>
        </w:tc>
      </w:tr>
      <w:tr w:rsidR="006B4A66" w:rsidRPr="006B4A66" w14:paraId="6A35B23B" w14:textId="77777777">
        <w:trPr>
          <w:jc w:val="center"/>
        </w:trPr>
        <w:tc>
          <w:tcPr>
            <w:tcW w:w="4236" w:type="dxa"/>
            <w:tcBorders>
              <w:top w:val="single" w:sz="4" w:space="0" w:color="auto"/>
              <w:left w:val="single" w:sz="4" w:space="0" w:color="auto"/>
              <w:bottom w:val="single" w:sz="4" w:space="0" w:color="auto"/>
              <w:right w:val="single" w:sz="4" w:space="0" w:color="auto"/>
            </w:tcBorders>
            <w:hideMark/>
          </w:tcPr>
          <w:p w14:paraId="4D4C7F30"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Health care facility</w:t>
            </w:r>
            <w:r w:rsidRPr="006B4A66">
              <w:rPr>
                <w:rFonts w:ascii="Times New Roman" w:eastAsia="Calibri" w:hAnsi="Times New Roman" w:cs="Times New Roman"/>
                <w:color w:val="000000"/>
                <w:kern w:val="0"/>
                <w:sz w:val="24"/>
                <w:u w:val="single"/>
                <w:vertAlign w:val="superscript"/>
                <w14:ligatures w14:val="none"/>
              </w:rPr>
              <w:t>c,i</w:t>
            </w:r>
          </w:p>
          <w:p w14:paraId="0AB82630"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an exam/treatment room</w:t>
            </w:r>
          </w:p>
          <w:p w14:paraId="559DB96E"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an imaging room</w:t>
            </w:r>
          </w:p>
          <w:p w14:paraId="1EDFA16E"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 medical supply room</w:t>
            </w:r>
          </w:p>
          <w:p w14:paraId="0440C518"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 nursery</w:t>
            </w:r>
          </w:p>
          <w:p w14:paraId="43D5CBD0"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 nurse's station</w:t>
            </w:r>
          </w:p>
          <w:p w14:paraId="7BF8B6D6"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an operating room</w:t>
            </w:r>
          </w:p>
          <w:p w14:paraId="0F8B2C80"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 patient room</w:t>
            </w:r>
            <w:r w:rsidRPr="006B4A66">
              <w:rPr>
                <w:rFonts w:ascii="Times New Roman" w:eastAsia="Calibri" w:hAnsi="Times New Roman" w:cs="Times New Roman"/>
                <w:color w:val="000000"/>
                <w:kern w:val="0"/>
                <w:sz w:val="24"/>
                <w:vertAlign w:val="superscript"/>
                <w14:ligatures w14:val="none"/>
              </w:rPr>
              <w:t>((</w:t>
            </w:r>
            <w:r w:rsidRPr="006B4A66">
              <w:rPr>
                <w:rFonts w:ascii="Times New Roman" w:eastAsia="Calibri" w:hAnsi="Times New Roman" w:cs="Times New Roman"/>
                <w:strike/>
                <w:color w:val="000000"/>
                <w:kern w:val="0"/>
                <w:sz w:val="24"/>
                <w:vertAlign w:val="superscript"/>
                <w14:ligatures w14:val="none"/>
              </w:rPr>
              <w:t>g</w:t>
            </w:r>
            <w:r w:rsidRPr="006B4A66">
              <w:rPr>
                <w:rFonts w:ascii="Times New Roman" w:eastAsia="Calibri" w:hAnsi="Times New Roman" w:cs="Times New Roman"/>
                <w:color w:val="000000"/>
                <w:kern w:val="0"/>
                <w:sz w:val="24"/>
                <w:vertAlign w:val="superscript"/>
                <w14:ligatures w14:val="none"/>
              </w:rPr>
              <w:t>))</w:t>
            </w:r>
          </w:p>
          <w:p w14:paraId="6936EE9C"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 physical therapy room</w:t>
            </w:r>
          </w:p>
          <w:p w14:paraId="7B6CB4C7"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 recovery room</w:t>
            </w:r>
          </w:p>
          <w:p w14:paraId="14603BE5"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In a telemedic room</w:t>
            </w:r>
          </w:p>
        </w:tc>
        <w:tc>
          <w:tcPr>
            <w:tcW w:w="3674" w:type="dxa"/>
            <w:tcBorders>
              <w:top w:val="single" w:sz="4" w:space="0" w:color="auto"/>
              <w:left w:val="single" w:sz="4" w:space="0" w:color="auto"/>
              <w:bottom w:val="single" w:sz="4" w:space="0" w:color="auto"/>
              <w:right w:val="single" w:sz="4" w:space="0" w:color="auto"/>
            </w:tcBorders>
          </w:tcPr>
          <w:p w14:paraId="4AE66E92"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p>
          <w:p w14:paraId="052CC197"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1.40</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1.33</w:t>
            </w:r>
          </w:p>
          <w:p w14:paraId="210B7C93"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0.94</w:t>
            </w:r>
          </w:p>
          <w:p w14:paraId="50B6C827"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0.62</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0.56</w:t>
            </w:r>
          </w:p>
          <w:p w14:paraId="0F295537"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0.92</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0.87</w:t>
            </w:r>
          </w:p>
          <w:p w14:paraId="3FB6D8AD"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1.17</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1.07</w:t>
            </w:r>
          </w:p>
          <w:p w14:paraId="64A33971"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2.26</w:t>
            </w:r>
          </w:p>
          <w:p w14:paraId="64DF80A9"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0.68</w:t>
            </w:r>
          </w:p>
          <w:p w14:paraId="6D57C0B6"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0.91</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0.82</w:t>
            </w:r>
          </w:p>
          <w:p w14:paraId="5A8906D8"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1.25</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1.18</w:t>
            </w:r>
          </w:p>
          <w:p w14:paraId="55D868B4"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1.44</w:t>
            </w:r>
          </w:p>
        </w:tc>
      </w:tr>
      <w:tr w:rsidR="006B4A66" w:rsidRPr="006B4A66" w14:paraId="0C16516C" w14:textId="77777777">
        <w:trPr>
          <w:jc w:val="center"/>
        </w:trPr>
        <w:tc>
          <w:tcPr>
            <w:tcW w:w="4236" w:type="dxa"/>
            <w:tcBorders>
              <w:top w:val="single" w:sz="4" w:space="0" w:color="auto"/>
              <w:left w:val="single" w:sz="4" w:space="0" w:color="auto"/>
              <w:bottom w:val="single" w:sz="4" w:space="0" w:color="auto"/>
              <w:right w:val="single" w:sz="4" w:space="0" w:color="auto"/>
            </w:tcBorders>
            <w:hideMark/>
          </w:tcPr>
          <w:p w14:paraId="29037067"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Library</w:t>
            </w:r>
            <w:r w:rsidRPr="006B4A66">
              <w:rPr>
                <w:rFonts w:ascii="Times New Roman" w:eastAsia="Calibri" w:hAnsi="Times New Roman" w:cs="Times New Roman"/>
                <w:color w:val="000000"/>
                <w:kern w:val="0"/>
                <w:sz w:val="24"/>
                <w:vertAlign w:val="superscript"/>
                <w14:ligatures w14:val="none"/>
              </w:rPr>
              <w:t>((</w:t>
            </w:r>
            <w:r w:rsidRPr="006B4A66">
              <w:rPr>
                <w:rFonts w:ascii="Times New Roman" w:eastAsia="Calibri" w:hAnsi="Times New Roman" w:cs="Times New Roman"/>
                <w:strike/>
                <w:color w:val="000000"/>
                <w:kern w:val="0"/>
                <w:sz w:val="24"/>
                <w:vertAlign w:val="superscript"/>
                <w14:ligatures w14:val="none"/>
              </w:rPr>
              <w:t>f</w:t>
            </w:r>
            <w:r w:rsidRPr="006B4A66">
              <w:rPr>
                <w:rFonts w:ascii="Times New Roman" w:eastAsia="Calibri" w:hAnsi="Times New Roman" w:cs="Times New Roman"/>
                <w:color w:val="000000"/>
                <w:kern w:val="0"/>
                <w:sz w:val="24"/>
                <w:vertAlign w:val="superscript"/>
                <w14:ligatures w14:val="none"/>
              </w:rPr>
              <w:t>))</w:t>
            </w:r>
          </w:p>
          <w:p w14:paraId="03FBF9A3"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In a reading area</w:t>
            </w:r>
            <w:r w:rsidRPr="006B4A66">
              <w:rPr>
                <w:rFonts w:ascii="Times New Roman" w:eastAsia="Calibri" w:hAnsi="Times New Roman" w:cs="Times New Roman"/>
                <w:color w:val="000000"/>
                <w:kern w:val="0"/>
                <w:sz w:val="24"/>
                <w:vertAlign w:val="superscript"/>
                <w14:ligatures w14:val="none"/>
              </w:rPr>
              <w:t>((</w:t>
            </w:r>
            <w:r w:rsidRPr="006B4A66">
              <w:rPr>
                <w:rFonts w:ascii="Times New Roman" w:eastAsia="Calibri" w:hAnsi="Times New Roman" w:cs="Times New Roman"/>
                <w:strike/>
                <w:color w:val="000000"/>
                <w:kern w:val="0"/>
                <w:sz w:val="24"/>
                <w:vertAlign w:val="superscript"/>
                <w14:ligatures w14:val="none"/>
              </w:rPr>
              <w:t>n</w:t>
            </w:r>
            <w:r w:rsidRPr="006B4A66">
              <w:rPr>
                <w:rFonts w:ascii="Times New Roman" w:eastAsia="Calibri" w:hAnsi="Times New Roman" w:cs="Times New Roman"/>
                <w:color w:val="000000"/>
                <w:kern w:val="0"/>
                <w:sz w:val="24"/>
                <w:vertAlign w:val="superscript"/>
                <w14:ligatures w14:val="none"/>
              </w:rPr>
              <w:t xml:space="preserve">)) </w:t>
            </w:r>
            <w:r w:rsidRPr="006B4A66">
              <w:rPr>
                <w:rFonts w:ascii="Times New Roman" w:eastAsia="Calibri" w:hAnsi="Times New Roman" w:cs="Times New Roman"/>
                <w:color w:val="000000"/>
                <w:kern w:val="0"/>
                <w:sz w:val="24"/>
                <w:u w:val="single"/>
                <w:vertAlign w:val="superscript"/>
                <w14:ligatures w14:val="none"/>
              </w:rPr>
              <w:t>i</w:t>
            </w:r>
          </w:p>
          <w:p w14:paraId="74A48A00"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the stacks</w:t>
            </w:r>
          </w:p>
        </w:tc>
        <w:tc>
          <w:tcPr>
            <w:tcW w:w="3674" w:type="dxa"/>
            <w:tcBorders>
              <w:top w:val="single" w:sz="4" w:space="0" w:color="auto"/>
              <w:left w:val="single" w:sz="4" w:space="0" w:color="auto"/>
              <w:bottom w:val="single" w:sz="4" w:space="0" w:color="auto"/>
              <w:right w:val="single" w:sz="4" w:space="0" w:color="auto"/>
            </w:tcBorders>
          </w:tcPr>
          <w:p w14:paraId="674F0D25"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p>
          <w:p w14:paraId="5EB83B0D"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0.86</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0.78</w:t>
            </w:r>
          </w:p>
          <w:p w14:paraId="5CBE502A"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0.99</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1.06</w:t>
            </w:r>
          </w:p>
        </w:tc>
      </w:tr>
      <w:tr w:rsidR="006B4A66" w:rsidRPr="006B4A66" w14:paraId="2CB5E360" w14:textId="77777777">
        <w:trPr>
          <w:jc w:val="center"/>
        </w:trPr>
        <w:tc>
          <w:tcPr>
            <w:tcW w:w="4236" w:type="dxa"/>
            <w:tcBorders>
              <w:top w:val="single" w:sz="4" w:space="0" w:color="auto"/>
              <w:left w:val="single" w:sz="4" w:space="0" w:color="auto"/>
              <w:bottom w:val="single" w:sz="4" w:space="0" w:color="auto"/>
              <w:right w:val="single" w:sz="4" w:space="0" w:color="auto"/>
            </w:tcBorders>
            <w:hideMark/>
          </w:tcPr>
          <w:p w14:paraId="4F3E60DE"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Manufacturing facility</w:t>
            </w:r>
          </w:p>
          <w:p w14:paraId="27170D2D"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 detailed manufacturing area</w:t>
            </w:r>
          </w:p>
          <w:p w14:paraId="3A6139BC"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an equipment room</w:t>
            </w:r>
          </w:p>
          <w:p w14:paraId="3EF0B897" w14:textId="59D39894"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In an extra high bay area (more than 50-foot floor-to-ceiling height)</w:t>
            </w:r>
          </w:p>
          <w:p w14:paraId="33E643C9" w14:textId="259140CE"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In a high bay area (25 - 50-foot floor-to-ceiling height)</w:t>
            </w:r>
          </w:p>
          <w:p w14:paraId="23C34213" w14:textId="70E08AD2"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In a low bay area (&lt; 25-foot floor-to-ceiling height)</w:t>
            </w:r>
          </w:p>
        </w:tc>
        <w:tc>
          <w:tcPr>
            <w:tcW w:w="3674" w:type="dxa"/>
            <w:tcBorders>
              <w:top w:val="single" w:sz="4" w:space="0" w:color="auto"/>
              <w:left w:val="single" w:sz="4" w:space="0" w:color="auto"/>
              <w:bottom w:val="single" w:sz="4" w:space="0" w:color="auto"/>
              <w:right w:val="single" w:sz="4" w:space="0" w:color="auto"/>
            </w:tcBorders>
          </w:tcPr>
          <w:p w14:paraId="14CA9465"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p>
          <w:p w14:paraId="3AAB90BA"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0.72</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0.68</w:t>
            </w:r>
          </w:p>
          <w:p w14:paraId="62DC0596"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0.68</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0.66</w:t>
            </w:r>
          </w:p>
          <w:p w14:paraId="2DCF396A"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1.28</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1.22</w:t>
            </w:r>
          </w:p>
          <w:p w14:paraId="01DA5CE5"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p>
          <w:p w14:paraId="312A7850"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p>
          <w:p w14:paraId="4556549B"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1.12</w:t>
            </w:r>
          </w:p>
          <w:p w14:paraId="1BF889FD"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p>
          <w:p w14:paraId="28D273EC"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0.77</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0.78</w:t>
            </w:r>
          </w:p>
        </w:tc>
      </w:tr>
      <w:tr w:rsidR="006B4A66" w:rsidRPr="006B4A66" w14:paraId="13B33962" w14:textId="77777777">
        <w:trPr>
          <w:jc w:val="center"/>
        </w:trPr>
        <w:tc>
          <w:tcPr>
            <w:tcW w:w="4236" w:type="dxa"/>
            <w:tcBorders>
              <w:top w:val="single" w:sz="4" w:space="0" w:color="auto"/>
              <w:left w:val="single" w:sz="4" w:space="0" w:color="auto"/>
              <w:bottom w:val="single" w:sz="4" w:space="0" w:color="auto"/>
              <w:right w:val="single" w:sz="4" w:space="0" w:color="auto"/>
            </w:tcBorders>
            <w:hideMark/>
          </w:tcPr>
          <w:p w14:paraId="58E0AE05"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Museum</w:t>
            </w:r>
          </w:p>
          <w:p w14:paraId="3E80CEFB"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 general exhibition area</w:t>
            </w:r>
            <w:r w:rsidRPr="006B4A66">
              <w:rPr>
                <w:rFonts w:ascii="Times New Roman" w:eastAsia="Calibri" w:hAnsi="Times New Roman" w:cs="Times New Roman"/>
                <w:color w:val="000000"/>
                <w:kern w:val="0"/>
                <w:sz w:val="24"/>
                <w:u w:val="single"/>
                <w:vertAlign w:val="superscript"/>
                <w14:ligatures w14:val="none"/>
              </w:rPr>
              <w:t>i</w:t>
            </w:r>
          </w:p>
          <w:p w14:paraId="6E9152DD"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 restoration room</w:t>
            </w:r>
          </w:p>
        </w:tc>
        <w:tc>
          <w:tcPr>
            <w:tcW w:w="3674" w:type="dxa"/>
            <w:tcBorders>
              <w:top w:val="single" w:sz="4" w:space="0" w:color="auto"/>
              <w:left w:val="single" w:sz="4" w:space="0" w:color="auto"/>
              <w:bottom w:val="single" w:sz="4" w:space="0" w:color="auto"/>
              <w:right w:val="single" w:sz="4" w:space="0" w:color="auto"/>
            </w:tcBorders>
          </w:tcPr>
          <w:p w14:paraId="5824E6C3"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p>
          <w:p w14:paraId="1AB5B80F"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0.28</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0.28</w:t>
            </w:r>
          </w:p>
          <w:p w14:paraId="4862DC88"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0.99</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1.10</w:t>
            </w:r>
          </w:p>
        </w:tc>
      </w:tr>
      <w:tr w:rsidR="006B4A66" w:rsidRPr="006B4A66" w14:paraId="1A6708E7" w14:textId="77777777">
        <w:trPr>
          <w:jc w:val="center"/>
        </w:trPr>
        <w:tc>
          <w:tcPr>
            <w:tcW w:w="4236" w:type="dxa"/>
            <w:tcBorders>
              <w:top w:val="single" w:sz="4" w:space="0" w:color="auto"/>
              <w:left w:val="single" w:sz="4" w:space="0" w:color="auto"/>
              <w:bottom w:val="single" w:sz="4" w:space="0" w:color="auto"/>
              <w:right w:val="single" w:sz="4" w:space="0" w:color="auto"/>
            </w:tcBorders>
            <w:hideMark/>
          </w:tcPr>
          <w:p w14:paraId="5DAD0E43"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Performing arts theater dressing/fitting room</w:t>
            </w:r>
          </w:p>
        </w:tc>
        <w:tc>
          <w:tcPr>
            <w:tcW w:w="3674" w:type="dxa"/>
            <w:tcBorders>
              <w:top w:val="single" w:sz="4" w:space="0" w:color="auto"/>
              <w:left w:val="single" w:sz="4" w:space="0" w:color="auto"/>
              <w:bottom w:val="single" w:sz="4" w:space="0" w:color="auto"/>
              <w:right w:val="single" w:sz="4" w:space="0" w:color="auto"/>
            </w:tcBorders>
            <w:hideMark/>
          </w:tcPr>
          <w:p w14:paraId="5308F9E1"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0.37</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0.35</w:t>
            </w:r>
          </w:p>
        </w:tc>
      </w:tr>
      <w:tr w:rsidR="006B4A66" w:rsidRPr="006B4A66" w14:paraId="198DB2C7" w14:textId="77777777">
        <w:trPr>
          <w:jc w:val="center"/>
        </w:trPr>
        <w:tc>
          <w:tcPr>
            <w:tcW w:w="4236" w:type="dxa"/>
            <w:tcBorders>
              <w:top w:val="single" w:sz="4" w:space="0" w:color="auto"/>
              <w:left w:val="single" w:sz="4" w:space="0" w:color="auto"/>
              <w:bottom w:val="single" w:sz="4" w:space="0" w:color="auto"/>
              <w:right w:val="single" w:sz="4" w:space="0" w:color="auto"/>
            </w:tcBorders>
            <w:hideMark/>
          </w:tcPr>
          <w:p w14:paraId="7DCD496D"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Post office - Sorting area</w:t>
            </w:r>
          </w:p>
        </w:tc>
        <w:tc>
          <w:tcPr>
            <w:tcW w:w="3674" w:type="dxa"/>
            <w:tcBorders>
              <w:top w:val="single" w:sz="4" w:space="0" w:color="auto"/>
              <w:left w:val="single" w:sz="4" w:space="0" w:color="auto"/>
              <w:bottom w:val="single" w:sz="4" w:space="0" w:color="auto"/>
              <w:right w:val="single" w:sz="4" w:space="0" w:color="auto"/>
            </w:tcBorders>
            <w:hideMark/>
          </w:tcPr>
          <w:p w14:paraId="4786CDB0"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0.69</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0.64</w:t>
            </w:r>
          </w:p>
        </w:tc>
      </w:tr>
      <w:tr w:rsidR="006B4A66" w:rsidRPr="006B4A66" w14:paraId="75DC1819" w14:textId="77777777">
        <w:trPr>
          <w:jc w:val="center"/>
        </w:trPr>
        <w:tc>
          <w:tcPr>
            <w:tcW w:w="4236" w:type="dxa"/>
            <w:tcBorders>
              <w:top w:val="single" w:sz="4" w:space="0" w:color="auto"/>
              <w:left w:val="single" w:sz="4" w:space="0" w:color="auto"/>
              <w:bottom w:val="single" w:sz="4" w:space="0" w:color="auto"/>
              <w:right w:val="single" w:sz="4" w:space="0" w:color="auto"/>
            </w:tcBorders>
            <w:hideMark/>
          </w:tcPr>
          <w:p w14:paraId="6C104DF6"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Religious building</w:t>
            </w:r>
          </w:p>
          <w:p w14:paraId="488BD61F"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 fellowship hall</w:t>
            </w:r>
            <w:r w:rsidRPr="006B4A66">
              <w:rPr>
                <w:rFonts w:ascii="Times New Roman" w:eastAsia="Calibri" w:hAnsi="Times New Roman" w:cs="Times New Roman"/>
                <w:color w:val="000000"/>
                <w:kern w:val="0"/>
                <w:sz w:val="24"/>
                <w:vertAlign w:val="superscript"/>
                <w14:ligatures w14:val="none"/>
              </w:rPr>
              <w:t>((</w:t>
            </w:r>
            <w:r w:rsidRPr="006B4A66">
              <w:rPr>
                <w:rFonts w:ascii="Times New Roman" w:eastAsia="Calibri" w:hAnsi="Times New Roman" w:cs="Times New Roman"/>
                <w:strike/>
                <w:color w:val="000000"/>
                <w:kern w:val="0"/>
                <w:sz w:val="24"/>
                <w:vertAlign w:val="superscript"/>
                <w14:ligatures w14:val="none"/>
              </w:rPr>
              <w:t>n</w:t>
            </w:r>
            <w:r w:rsidRPr="006B4A66">
              <w:rPr>
                <w:rFonts w:ascii="Times New Roman" w:eastAsia="Calibri" w:hAnsi="Times New Roman" w:cs="Times New Roman"/>
                <w:color w:val="000000"/>
                <w:kern w:val="0"/>
                <w:sz w:val="24"/>
                <w:vertAlign w:val="superscript"/>
                <w14:ligatures w14:val="none"/>
              </w:rPr>
              <w:t xml:space="preserve">)) </w:t>
            </w:r>
            <w:r w:rsidRPr="006B4A66">
              <w:rPr>
                <w:rFonts w:ascii="Times New Roman" w:eastAsia="Calibri" w:hAnsi="Times New Roman" w:cs="Times New Roman"/>
                <w:color w:val="000000"/>
                <w:kern w:val="0"/>
                <w:sz w:val="24"/>
                <w:u w:val="single"/>
                <w:vertAlign w:val="superscript"/>
                <w14:ligatures w14:val="none"/>
              </w:rPr>
              <w:t>i</w:t>
            </w:r>
          </w:p>
          <w:p w14:paraId="37A23190"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 worship pulpit/choir area</w:t>
            </w:r>
            <w:r w:rsidRPr="006B4A66">
              <w:rPr>
                <w:rFonts w:ascii="Times New Roman" w:eastAsia="Calibri" w:hAnsi="Times New Roman" w:cs="Times New Roman"/>
                <w:color w:val="000000"/>
                <w:kern w:val="0"/>
                <w:sz w:val="24"/>
                <w:vertAlign w:val="superscript"/>
                <w14:ligatures w14:val="none"/>
              </w:rPr>
              <w:t>((</w:t>
            </w:r>
            <w:r w:rsidRPr="006B4A66">
              <w:rPr>
                <w:rFonts w:ascii="Times New Roman" w:eastAsia="Calibri" w:hAnsi="Times New Roman" w:cs="Times New Roman"/>
                <w:strike/>
                <w:color w:val="000000"/>
                <w:kern w:val="0"/>
                <w:sz w:val="24"/>
                <w:vertAlign w:val="superscript"/>
                <w14:ligatures w14:val="none"/>
              </w:rPr>
              <w:t>n</w:t>
            </w:r>
            <w:r w:rsidRPr="006B4A66">
              <w:rPr>
                <w:rFonts w:ascii="Times New Roman" w:eastAsia="Calibri" w:hAnsi="Times New Roman" w:cs="Times New Roman"/>
                <w:color w:val="000000"/>
                <w:kern w:val="0"/>
                <w:sz w:val="24"/>
                <w:vertAlign w:val="superscript"/>
                <w14:ligatures w14:val="none"/>
              </w:rPr>
              <w:t xml:space="preserve">)) </w:t>
            </w:r>
            <w:r w:rsidRPr="006B4A66">
              <w:rPr>
                <w:rFonts w:ascii="Times New Roman" w:eastAsia="Calibri" w:hAnsi="Times New Roman" w:cs="Times New Roman"/>
                <w:color w:val="000000"/>
                <w:kern w:val="0"/>
                <w:sz w:val="24"/>
                <w:u w:val="single"/>
                <w:vertAlign w:val="superscript"/>
                <w14:ligatures w14:val="none"/>
              </w:rPr>
              <w:t>i</w:t>
            </w:r>
          </w:p>
        </w:tc>
        <w:tc>
          <w:tcPr>
            <w:tcW w:w="3674" w:type="dxa"/>
            <w:tcBorders>
              <w:top w:val="single" w:sz="4" w:space="0" w:color="auto"/>
              <w:left w:val="single" w:sz="4" w:space="0" w:color="auto"/>
              <w:bottom w:val="single" w:sz="4" w:space="0" w:color="auto"/>
              <w:right w:val="single" w:sz="4" w:space="0" w:color="auto"/>
            </w:tcBorders>
          </w:tcPr>
          <w:p w14:paraId="64543408"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p>
          <w:p w14:paraId="0D5D0521"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0.49</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0.45</w:t>
            </w:r>
          </w:p>
          <w:p w14:paraId="449A7DE2"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0.77</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0.68</w:t>
            </w:r>
          </w:p>
        </w:tc>
      </w:tr>
      <w:tr w:rsidR="006B4A66" w:rsidRPr="006B4A66" w14:paraId="7222BBC5" w14:textId="77777777">
        <w:trPr>
          <w:jc w:val="center"/>
        </w:trPr>
        <w:tc>
          <w:tcPr>
            <w:tcW w:w="4236" w:type="dxa"/>
            <w:tcBorders>
              <w:top w:val="single" w:sz="4" w:space="0" w:color="auto"/>
              <w:left w:val="single" w:sz="4" w:space="0" w:color="auto"/>
              <w:bottom w:val="single" w:sz="4" w:space="0" w:color="auto"/>
              <w:right w:val="single" w:sz="4" w:space="0" w:color="auto"/>
            </w:tcBorders>
            <w:hideMark/>
          </w:tcPr>
          <w:p w14:paraId="17955E7C"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Retail</w:t>
            </w:r>
          </w:p>
          <w:p w14:paraId="585687FF"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 dressing/fitting room</w:t>
            </w:r>
          </w:p>
          <w:p w14:paraId="0AAC3062"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Hair salon</w:t>
            </w:r>
          </w:p>
          <w:p w14:paraId="0AC8E4EA"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Nail salon</w:t>
            </w:r>
          </w:p>
          <w:p w14:paraId="58029928"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 mall concourse</w:t>
            </w:r>
          </w:p>
          <w:p w14:paraId="76BA7D8D"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Massage space</w:t>
            </w:r>
          </w:p>
        </w:tc>
        <w:tc>
          <w:tcPr>
            <w:tcW w:w="3674" w:type="dxa"/>
            <w:tcBorders>
              <w:top w:val="single" w:sz="4" w:space="0" w:color="auto"/>
              <w:left w:val="single" w:sz="4" w:space="0" w:color="auto"/>
              <w:bottom w:val="single" w:sz="4" w:space="0" w:color="auto"/>
              <w:right w:val="single" w:sz="4" w:space="0" w:color="auto"/>
            </w:tcBorders>
          </w:tcPr>
          <w:p w14:paraId="6B6F8B3F"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p>
          <w:p w14:paraId="313DE7FF"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0.46</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0.41</w:t>
            </w:r>
          </w:p>
          <w:p w14:paraId="2EFA0212"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0.59</w:t>
            </w:r>
          </w:p>
          <w:p w14:paraId="482E3D9C"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0.68</w:t>
            </w:r>
          </w:p>
          <w:p w14:paraId="30FE780B"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0.74</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0.52</w:t>
            </w:r>
          </w:p>
          <w:p w14:paraId="2D5006D4"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0.73</w:t>
            </w:r>
          </w:p>
        </w:tc>
      </w:tr>
      <w:tr w:rsidR="006B4A66" w:rsidRPr="006B4A66" w14:paraId="29F23D0D" w14:textId="77777777">
        <w:trPr>
          <w:jc w:val="center"/>
        </w:trPr>
        <w:tc>
          <w:tcPr>
            <w:tcW w:w="4236" w:type="dxa"/>
            <w:tcBorders>
              <w:top w:val="single" w:sz="4" w:space="0" w:color="auto"/>
              <w:left w:val="single" w:sz="4" w:space="0" w:color="auto"/>
              <w:bottom w:val="single" w:sz="4" w:space="0" w:color="auto"/>
              <w:right w:val="single" w:sz="4" w:space="0" w:color="auto"/>
            </w:tcBorders>
            <w:hideMark/>
          </w:tcPr>
          <w:p w14:paraId="398A5CB8"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Sports arena—Playing area</w:t>
            </w:r>
          </w:p>
          <w:p w14:paraId="0C13C4E8"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For a Class 1 facility</w:t>
            </w:r>
            <w:r w:rsidRPr="006B4A66">
              <w:rPr>
                <w:rFonts w:ascii="Times New Roman" w:eastAsia="Calibri" w:hAnsi="Times New Roman" w:cs="Times New Roman"/>
                <w:color w:val="000000"/>
                <w:kern w:val="0"/>
                <w:sz w:val="24"/>
                <w:vertAlign w:val="superscript"/>
                <w14:ligatures w14:val="none"/>
              </w:rPr>
              <w:t>((</w:t>
            </w:r>
            <w:r w:rsidRPr="006B4A66">
              <w:rPr>
                <w:rFonts w:ascii="Times New Roman" w:eastAsia="Calibri" w:hAnsi="Times New Roman" w:cs="Times New Roman"/>
                <w:strike/>
                <w:color w:val="000000"/>
                <w:kern w:val="0"/>
                <w:sz w:val="24"/>
                <w:vertAlign w:val="superscript"/>
                <w14:ligatures w14:val="none"/>
              </w:rPr>
              <w:t>i</w:t>
            </w:r>
            <w:r w:rsidRPr="006B4A66">
              <w:rPr>
                <w:rFonts w:ascii="Times New Roman" w:eastAsia="Calibri" w:hAnsi="Times New Roman" w:cs="Times New Roman"/>
                <w:color w:val="000000"/>
                <w:kern w:val="0"/>
                <w:sz w:val="24"/>
                <w:vertAlign w:val="superscript"/>
                <w14:ligatures w14:val="none"/>
              </w:rPr>
              <w:t xml:space="preserve">)) </w:t>
            </w:r>
            <w:r w:rsidRPr="006B4A66">
              <w:rPr>
                <w:rFonts w:ascii="Times New Roman" w:eastAsia="Calibri" w:hAnsi="Times New Roman" w:cs="Times New Roman"/>
                <w:color w:val="000000"/>
                <w:kern w:val="0"/>
                <w:sz w:val="24"/>
                <w:u w:val="single"/>
                <w:vertAlign w:val="superscript"/>
                <w14:ligatures w14:val="none"/>
              </w:rPr>
              <w:t>d</w:t>
            </w:r>
          </w:p>
          <w:p w14:paraId="6D75A563"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For a Class 2 facility</w:t>
            </w:r>
            <w:r w:rsidRPr="006B4A66">
              <w:rPr>
                <w:rFonts w:ascii="Times New Roman" w:eastAsia="Calibri" w:hAnsi="Times New Roman" w:cs="Times New Roman"/>
                <w:color w:val="000000"/>
                <w:kern w:val="0"/>
                <w:sz w:val="24"/>
                <w:vertAlign w:val="superscript"/>
                <w14:ligatures w14:val="none"/>
              </w:rPr>
              <w:t>((</w:t>
            </w:r>
            <w:r w:rsidRPr="006B4A66">
              <w:rPr>
                <w:rFonts w:ascii="Times New Roman" w:eastAsia="Calibri" w:hAnsi="Times New Roman" w:cs="Times New Roman"/>
                <w:strike/>
                <w:color w:val="000000"/>
                <w:kern w:val="0"/>
                <w:sz w:val="24"/>
                <w:vertAlign w:val="superscript"/>
                <w14:ligatures w14:val="none"/>
              </w:rPr>
              <w:t>j</w:t>
            </w:r>
            <w:r w:rsidRPr="006B4A66">
              <w:rPr>
                <w:rFonts w:ascii="Times New Roman" w:eastAsia="Calibri" w:hAnsi="Times New Roman" w:cs="Times New Roman"/>
                <w:color w:val="000000"/>
                <w:kern w:val="0"/>
                <w:sz w:val="24"/>
                <w:vertAlign w:val="superscript"/>
                <w14:ligatures w14:val="none"/>
              </w:rPr>
              <w:t xml:space="preserve">)) </w:t>
            </w:r>
            <w:r w:rsidRPr="006B4A66">
              <w:rPr>
                <w:rFonts w:ascii="Times New Roman" w:eastAsia="Calibri" w:hAnsi="Times New Roman" w:cs="Times New Roman"/>
                <w:color w:val="000000"/>
                <w:kern w:val="0"/>
                <w:sz w:val="24"/>
                <w:u w:val="single"/>
                <w:vertAlign w:val="superscript"/>
                <w14:ligatures w14:val="none"/>
              </w:rPr>
              <w:t>e</w:t>
            </w:r>
          </w:p>
          <w:p w14:paraId="5556AE24"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For a Class 3 facility</w:t>
            </w:r>
            <w:r w:rsidRPr="006B4A66">
              <w:rPr>
                <w:rFonts w:ascii="Times New Roman" w:eastAsia="Calibri" w:hAnsi="Times New Roman" w:cs="Times New Roman"/>
                <w:color w:val="000000"/>
                <w:kern w:val="0"/>
                <w:sz w:val="24"/>
                <w:vertAlign w:val="superscript"/>
                <w14:ligatures w14:val="none"/>
              </w:rPr>
              <w:t>((</w:t>
            </w:r>
            <w:r w:rsidRPr="006B4A66">
              <w:rPr>
                <w:rFonts w:ascii="Times New Roman" w:eastAsia="Calibri" w:hAnsi="Times New Roman" w:cs="Times New Roman"/>
                <w:strike/>
                <w:color w:val="000000"/>
                <w:kern w:val="0"/>
                <w:sz w:val="24"/>
                <w:vertAlign w:val="superscript"/>
                <w14:ligatures w14:val="none"/>
              </w:rPr>
              <w:t>k</w:t>
            </w:r>
            <w:r w:rsidRPr="006B4A66">
              <w:rPr>
                <w:rFonts w:ascii="Times New Roman" w:eastAsia="Calibri" w:hAnsi="Times New Roman" w:cs="Times New Roman"/>
                <w:color w:val="000000"/>
                <w:kern w:val="0"/>
                <w:sz w:val="24"/>
                <w:vertAlign w:val="superscript"/>
                <w14:ligatures w14:val="none"/>
              </w:rPr>
              <w:t xml:space="preserve">)) </w:t>
            </w:r>
            <w:r w:rsidRPr="006B4A66">
              <w:rPr>
                <w:rFonts w:ascii="Times New Roman" w:eastAsia="Calibri" w:hAnsi="Times New Roman" w:cs="Times New Roman"/>
                <w:color w:val="000000"/>
                <w:kern w:val="0"/>
                <w:sz w:val="24"/>
                <w:u w:val="single"/>
                <w:vertAlign w:val="superscript"/>
                <w14:ligatures w14:val="none"/>
              </w:rPr>
              <w:t>f</w:t>
            </w:r>
          </w:p>
          <w:p w14:paraId="7963798F"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For a Class 4 facility</w:t>
            </w:r>
            <w:r w:rsidRPr="006B4A66">
              <w:rPr>
                <w:rFonts w:ascii="Times New Roman" w:eastAsia="Calibri" w:hAnsi="Times New Roman" w:cs="Times New Roman"/>
                <w:color w:val="000000"/>
                <w:kern w:val="0"/>
                <w:sz w:val="24"/>
                <w:vertAlign w:val="superscript"/>
                <w14:ligatures w14:val="none"/>
              </w:rPr>
              <w:t>((</w:t>
            </w:r>
            <w:r w:rsidRPr="006B4A66">
              <w:rPr>
                <w:rFonts w:ascii="Times New Roman" w:eastAsia="Calibri" w:hAnsi="Times New Roman" w:cs="Times New Roman"/>
                <w:strike/>
                <w:color w:val="000000"/>
                <w:kern w:val="0"/>
                <w:sz w:val="24"/>
                <w:vertAlign w:val="superscript"/>
                <w14:ligatures w14:val="none"/>
              </w:rPr>
              <w:t>l</w:t>
            </w:r>
            <w:r w:rsidRPr="006B4A66">
              <w:rPr>
                <w:rFonts w:ascii="Times New Roman" w:eastAsia="Calibri" w:hAnsi="Times New Roman" w:cs="Times New Roman"/>
                <w:color w:val="000000"/>
                <w:kern w:val="0"/>
                <w:sz w:val="24"/>
                <w:vertAlign w:val="superscript"/>
                <w14:ligatures w14:val="none"/>
              </w:rPr>
              <w:t xml:space="preserve">)) </w:t>
            </w:r>
            <w:r w:rsidRPr="006B4A66">
              <w:rPr>
                <w:rFonts w:ascii="Times New Roman" w:eastAsia="Calibri" w:hAnsi="Times New Roman" w:cs="Times New Roman"/>
                <w:color w:val="000000"/>
                <w:kern w:val="0"/>
                <w:sz w:val="24"/>
                <w:u w:val="single"/>
                <w:vertAlign w:val="superscript"/>
                <w14:ligatures w14:val="none"/>
              </w:rPr>
              <w:t>g</w:t>
            </w:r>
          </w:p>
        </w:tc>
        <w:tc>
          <w:tcPr>
            <w:tcW w:w="3674" w:type="dxa"/>
            <w:tcBorders>
              <w:top w:val="single" w:sz="4" w:space="0" w:color="auto"/>
              <w:left w:val="single" w:sz="4" w:space="0" w:color="auto"/>
              <w:bottom w:val="single" w:sz="4" w:space="0" w:color="auto"/>
              <w:right w:val="single" w:sz="4" w:space="0" w:color="auto"/>
            </w:tcBorders>
          </w:tcPr>
          <w:p w14:paraId="783B6506"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p>
          <w:p w14:paraId="199F7D9C"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2.94</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2.63</w:t>
            </w:r>
          </w:p>
          <w:p w14:paraId="16A288D7"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2.01</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1.78</w:t>
            </w:r>
          </w:p>
          <w:p w14:paraId="7468584C"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1.30</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1.16</w:t>
            </w:r>
          </w:p>
          <w:p w14:paraId="621064A7"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w:t>
            </w:r>
            <w:r w:rsidRPr="006B4A66">
              <w:rPr>
                <w:rFonts w:ascii="Times New Roman" w:eastAsia="Calibri" w:hAnsi="Times New Roman" w:cs="Times New Roman"/>
                <w:strike/>
                <w:color w:val="000000"/>
                <w:kern w:val="0"/>
                <w:sz w:val="24"/>
                <w14:ligatures w14:val="none"/>
              </w:rPr>
              <w:t>0.86</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0.78</w:t>
            </w:r>
          </w:p>
        </w:tc>
      </w:tr>
      <w:tr w:rsidR="006B4A66" w:rsidRPr="006B4A66" w14:paraId="07C49556" w14:textId="77777777">
        <w:trPr>
          <w:jc w:val="center"/>
        </w:trPr>
        <w:tc>
          <w:tcPr>
            <w:tcW w:w="4236" w:type="dxa"/>
            <w:tcBorders>
              <w:top w:val="single" w:sz="4" w:space="0" w:color="auto"/>
              <w:left w:val="single" w:sz="4" w:space="0" w:color="auto"/>
              <w:bottom w:val="single" w:sz="4" w:space="0" w:color="auto"/>
              <w:right w:val="single" w:sz="4" w:space="0" w:color="auto"/>
            </w:tcBorders>
          </w:tcPr>
          <w:p w14:paraId="4D1CE228"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lastRenderedPageBreak/>
              <w:t>Sports arena—Pools</w:t>
            </w:r>
          </w:p>
          <w:p w14:paraId="681CE87A"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For a Class 1 facility</w:t>
            </w:r>
            <w:r w:rsidRPr="006B4A66">
              <w:rPr>
                <w:rFonts w:ascii="Times New Roman" w:eastAsia="Calibri" w:hAnsi="Times New Roman" w:cs="Times New Roman"/>
                <w:color w:val="000000"/>
                <w:kern w:val="0"/>
                <w:sz w:val="24"/>
                <w:u w:val="single"/>
                <w:vertAlign w:val="superscript"/>
                <w14:ligatures w14:val="none"/>
              </w:rPr>
              <w:t>d</w:t>
            </w:r>
          </w:p>
          <w:p w14:paraId="380F8941"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For a Class 2 facility</w:t>
            </w:r>
            <w:r w:rsidRPr="006B4A66">
              <w:rPr>
                <w:rFonts w:ascii="Times New Roman" w:eastAsia="Calibri" w:hAnsi="Times New Roman" w:cs="Times New Roman"/>
                <w:color w:val="000000"/>
                <w:kern w:val="0"/>
                <w:sz w:val="24"/>
                <w:u w:val="single"/>
                <w:vertAlign w:val="superscript"/>
                <w14:ligatures w14:val="none"/>
              </w:rPr>
              <w:t>e</w:t>
            </w:r>
          </w:p>
          <w:p w14:paraId="471162E5"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For a Class 3 facility</w:t>
            </w:r>
            <w:r w:rsidRPr="006B4A66">
              <w:rPr>
                <w:rFonts w:ascii="Times New Roman" w:eastAsia="Calibri" w:hAnsi="Times New Roman" w:cs="Times New Roman"/>
                <w:color w:val="000000"/>
                <w:kern w:val="0"/>
                <w:sz w:val="24"/>
                <w:u w:val="single"/>
                <w:vertAlign w:val="superscript"/>
                <w14:ligatures w14:val="none"/>
              </w:rPr>
              <w:t>f</w:t>
            </w:r>
          </w:p>
          <w:p w14:paraId="010BD4B2"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For a Class 4 facility</w:t>
            </w:r>
            <w:r w:rsidRPr="006B4A66">
              <w:rPr>
                <w:rFonts w:ascii="Times New Roman" w:eastAsia="Calibri" w:hAnsi="Times New Roman" w:cs="Times New Roman"/>
                <w:color w:val="000000"/>
                <w:kern w:val="0"/>
                <w:sz w:val="24"/>
                <w:u w:val="single"/>
                <w:vertAlign w:val="superscript"/>
                <w14:ligatures w14:val="none"/>
              </w:rPr>
              <w:t>g</w:t>
            </w:r>
          </w:p>
        </w:tc>
        <w:tc>
          <w:tcPr>
            <w:tcW w:w="3674" w:type="dxa"/>
            <w:tcBorders>
              <w:top w:val="single" w:sz="4" w:space="0" w:color="auto"/>
              <w:left w:val="single" w:sz="4" w:space="0" w:color="auto"/>
              <w:bottom w:val="single" w:sz="4" w:space="0" w:color="auto"/>
              <w:right w:val="single" w:sz="4" w:space="0" w:color="auto"/>
            </w:tcBorders>
          </w:tcPr>
          <w:p w14:paraId="3DEB5A8D"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p>
          <w:p w14:paraId="08FD9B4F"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1.98</w:t>
            </w:r>
          </w:p>
          <w:p w14:paraId="043BDA9A"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1.32</w:t>
            </w:r>
          </w:p>
          <w:p w14:paraId="073E0291"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0.89</w:t>
            </w:r>
          </w:p>
          <w:p w14:paraId="70F52620"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0.53</w:t>
            </w:r>
          </w:p>
        </w:tc>
      </w:tr>
      <w:tr w:rsidR="006B4A66" w:rsidRPr="006B4A66" w14:paraId="42140DB8" w14:textId="77777777">
        <w:trPr>
          <w:jc w:val="center"/>
        </w:trPr>
        <w:tc>
          <w:tcPr>
            <w:tcW w:w="4236" w:type="dxa"/>
            <w:tcBorders>
              <w:top w:val="single" w:sz="4" w:space="0" w:color="auto"/>
              <w:left w:val="single" w:sz="4" w:space="0" w:color="auto"/>
              <w:bottom w:val="single" w:sz="4" w:space="0" w:color="auto"/>
              <w:right w:val="single" w:sz="4" w:space="0" w:color="auto"/>
            </w:tcBorders>
            <w:hideMark/>
          </w:tcPr>
          <w:p w14:paraId="1BA1B386"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Transportation</w:t>
            </w:r>
          </w:p>
          <w:p w14:paraId="2570E6C3"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Airport hangar</w:t>
            </w:r>
          </w:p>
          <w:p w14:paraId="77517A76"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 baggage/carousel area</w:t>
            </w:r>
          </w:p>
          <w:p w14:paraId="0BD406D8"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 an airport concourse</w:t>
            </w:r>
          </w:p>
          <w:p w14:paraId="60173740"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vertAlign w:val="superscript"/>
                <w14:ligatures w14:val="none"/>
              </w:rPr>
            </w:pPr>
            <w:r w:rsidRPr="006B4A66">
              <w:rPr>
                <w:rFonts w:ascii="Times New Roman" w:eastAsia="Calibri" w:hAnsi="Times New Roman" w:cs="Times New Roman"/>
                <w:color w:val="000000"/>
                <w:kern w:val="0"/>
                <w:sz w:val="24"/>
                <w14:ligatures w14:val="none"/>
              </w:rPr>
              <w:tab/>
              <w:t>At a terminal ticket counter</w:t>
            </w:r>
            <w:r w:rsidRPr="006B4A66">
              <w:rPr>
                <w:rFonts w:ascii="Times New Roman" w:eastAsia="Calibri" w:hAnsi="Times New Roman" w:cs="Times New Roman"/>
                <w:color w:val="000000"/>
                <w:kern w:val="0"/>
                <w:sz w:val="24"/>
                <w:vertAlign w:val="superscript"/>
                <w14:ligatures w14:val="none"/>
              </w:rPr>
              <w:t>((</w:t>
            </w:r>
            <w:r w:rsidRPr="006B4A66">
              <w:rPr>
                <w:rFonts w:ascii="Times New Roman" w:eastAsia="Calibri" w:hAnsi="Times New Roman" w:cs="Times New Roman"/>
                <w:strike/>
                <w:color w:val="000000"/>
                <w:kern w:val="0"/>
                <w:sz w:val="24"/>
                <w:vertAlign w:val="superscript"/>
                <w14:ligatures w14:val="none"/>
              </w:rPr>
              <w:t>n</w:t>
            </w:r>
            <w:r w:rsidRPr="006B4A66">
              <w:rPr>
                <w:rFonts w:ascii="Times New Roman" w:eastAsia="Calibri" w:hAnsi="Times New Roman" w:cs="Times New Roman"/>
                <w:color w:val="000000"/>
                <w:kern w:val="0"/>
                <w:sz w:val="24"/>
                <w:vertAlign w:val="superscript"/>
                <w14:ligatures w14:val="none"/>
              </w:rPr>
              <w:t xml:space="preserve">)) </w:t>
            </w:r>
            <w:r w:rsidRPr="006B4A66">
              <w:rPr>
                <w:rFonts w:ascii="Times New Roman" w:eastAsia="Calibri" w:hAnsi="Times New Roman" w:cs="Times New Roman"/>
                <w:color w:val="000000"/>
                <w:kern w:val="0"/>
                <w:sz w:val="24"/>
                <w:u w:val="single"/>
                <w:vertAlign w:val="superscript"/>
                <w14:ligatures w14:val="none"/>
              </w:rPr>
              <w:t>i</w:t>
            </w:r>
          </w:p>
          <w:p w14:paraId="75AF8796"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Passenger loading area</w:t>
            </w:r>
          </w:p>
        </w:tc>
        <w:tc>
          <w:tcPr>
            <w:tcW w:w="3674" w:type="dxa"/>
            <w:tcBorders>
              <w:top w:val="single" w:sz="4" w:space="0" w:color="auto"/>
              <w:left w:val="single" w:sz="4" w:space="0" w:color="auto"/>
              <w:bottom w:val="single" w:sz="4" w:space="0" w:color="auto"/>
              <w:right w:val="single" w:sz="4" w:space="0" w:color="auto"/>
            </w:tcBorders>
          </w:tcPr>
          <w:p w14:paraId="69F17090"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p>
          <w:p w14:paraId="6E7833E1"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1.22</w:t>
            </w:r>
          </w:p>
          <w:p w14:paraId="146B2A57"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0.35</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0.25</w:t>
            </w:r>
          </w:p>
          <w:p w14:paraId="6E43F8C9"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0.23</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0.44</w:t>
            </w:r>
          </w:p>
          <w:p w14:paraId="40AC252A"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0.46</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0.36</w:t>
            </w:r>
          </w:p>
          <w:p w14:paraId="271A96B3"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u w:val="single"/>
                <w14:ligatures w14:val="none"/>
              </w:rPr>
              <w:t>0.64</w:t>
            </w:r>
          </w:p>
        </w:tc>
      </w:tr>
      <w:tr w:rsidR="006B4A66" w:rsidRPr="006B4A66" w14:paraId="44E9DAB0" w14:textId="77777777">
        <w:trPr>
          <w:jc w:val="center"/>
        </w:trPr>
        <w:tc>
          <w:tcPr>
            <w:tcW w:w="4236" w:type="dxa"/>
            <w:tcBorders>
              <w:top w:val="single" w:sz="4" w:space="0" w:color="auto"/>
              <w:left w:val="single" w:sz="4" w:space="0" w:color="auto"/>
              <w:bottom w:val="single" w:sz="4" w:space="0" w:color="auto"/>
              <w:right w:val="single" w:sz="4" w:space="0" w:color="auto"/>
            </w:tcBorders>
            <w:hideMark/>
          </w:tcPr>
          <w:p w14:paraId="165F2AA2"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Warehouse—Storage area</w:t>
            </w:r>
          </w:p>
          <w:p w14:paraId="5BF333B6"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For medium to bulky palletized items</w:t>
            </w:r>
          </w:p>
          <w:p w14:paraId="1C13A310"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For smaller, hand-carried items</w:t>
            </w:r>
          </w:p>
        </w:tc>
        <w:tc>
          <w:tcPr>
            <w:tcW w:w="3674" w:type="dxa"/>
            <w:tcBorders>
              <w:top w:val="single" w:sz="4" w:space="0" w:color="auto"/>
              <w:left w:val="single" w:sz="4" w:space="0" w:color="auto"/>
              <w:bottom w:val="single" w:sz="4" w:space="0" w:color="auto"/>
              <w:right w:val="single" w:sz="4" w:space="0" w:color="auto"/>
            </w:tcBorders>
          </w:tcPr>
          <w:p w14:paraId="38635D67"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p>
          <w:p w14:paraId="570301EC"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0.30</w:t>
            </w:r>
          </w:p>
          <w:p w14:paraId="296D9BD8"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p>
          <w:p w14:paraId="6D007087" w14:textId="77777777" w:rsidR="006B4A66" w:rsidRPr="006B4A66" w:rsidRDefault="006B4A66" w:rsidP="00BD15DC">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0.62</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0.63</w:t>
            </w:r>
          </w:p>
        </w:tc>
      </w:tr>
    </w:tbl>
    <w:p w14:paraId="5A775E4A" w14:textId="77777777"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For SI: 1 foot = 304.8 mm, 1 watt per square foot = ((</w:t>
      </w:r>
      <w:r w:rsidRPr="006B4A66">
        <w:rPr>
          <w:rFonts w:ascii="Times New Roman" w:eastAsia="Calibri" w:hAnsi="Times New Roman" w:cs="Times New Roman"/>
          <w:strike/>
          <w:color w:val="000000"/>
          <w:kern w:val="0"/>
          <w:sz w:val="24"/>
          <w14:ligatures w14:val="none"/>
        </w:rPr>
        <w:t>11</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10.76</w:t>
      </w:r>
      <w:r w:rsidRPr="006B4A66">
        <w:rPr>
          <w:rFonts w:ascii="Times New Roman" w:eastAsia="Calibri" w:hAnsi="Times New Roman" w:cs="Times New Roman"/>
          <w:color w:val="000000"/>
          <w:kern w:val="0"/>
          <w:sz w:val="24"/>
          <w14:ligatures w14:val="none"/>
        </w:rPr>
        <w:t xml:space="preserve"> W/m</w:t>
      </w:r>
      <w:r w:rsidRPr="006B4A66">
        <w:rPr>
          <w:rFonts w:ascii="Times New Roman" w:eastAsia="Calibri" w:hAnsi="Times New Roman" w:cs="Times New Roman"/>
          <w:color w:val="000000"/>
          <w:kern w:val="0"/>
          <w:sz w:val="24"/>
          <w:vertAlign w:val="superscript"/>
          <w14:ligatures w14:val="none"/>
        </w:rPr>
        <w:t>2</w:t>
      </w:r>
      <w:r w:rsidRPr="006B4A66">
        <w:rPr>
          <w:rFonts w:ascii="Times New Roman" w:eastAsia="Calibri" w:hAnsi="Times New Roman" w:cs="Times New Roman"/>
          <w:color w:val="000000"/>
          <w:kern w:val="0"/>
          <w:sz w:val="24"/>
          <w14:ligatures w14:val="none"/>
        </w:rPr>
        <w:t>.</w:t>
      </w:r>
    </w:p>
    <w:p w14:paraId="30691A3F" w14:textId="77777777"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Footnotes:</w:t>
      </w:r>
    </w:p>
    <w:p w14:paraId="4B20A2CD" w14:textId="713A94DE"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a.  ((</w:t>
      </w:r>
      <w:r w:rsidRPr="006B4A66">
        <w:rPr>
          <w:rFonts w:ascii="Times New Roman" w:eastAsia="Calibri" w:hAnsi="Times New Roman" w:cs="Times New Roman"/>
          <w:strike/>
          <w:color w:val="000000"/>
          <w:kern w:val="0"/>
          <w:sz w:val="24"/>
          <w14:ligatures w14:val="none"/>
        </w:rPr>
        <w:t>If</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Where</w:t>
      </w:r>
      <w:r w:rsidRPr="006B4A66">
        <w:rPr>
          <w:rFonts w:ascii="Times New Roman" w:eastAsia="Calibri" w:hAnsi="Times New Roman" w:cs="Times New Roman"/>
          <w:color w:val="000000"/>
          <w:kern w:val="0"/>
          <w:sz w:val="24"/>
          <w14:ligatures w14:val="none"/>
        </w:rPr>
        <w:t xml:space="preserve"> both a common space type and a building area specific space type are listed, the building area specific space type shall </w:t>
      </w:r>
      <w:r w:rsidRPr="006B4A66">
        <w:rPr>
          <w:rFonts w:ascii="Times New Roman" w:eastAsia="Calibri" w:hAnsi="Times New Roman" w:cs="Times New Roman"/>
          <w:color w:val="000000"/>
          <w:kern w:val="0"/>
          <w:sz w:val="24"/>
          <w:u w:val="single"/>
          <w14:ligatures w14:val="none"/>
        </w:rPr>
        <w:t>be</w:t>
      </w:r>
      <w:r w:rsidRPr="006B4A66">
        <w:rPr>
          <w:rFonts w:ascii="Times New Roman" w:eastAsia="Calibri" w:hAnsi="Times New Roman" w:cs="Times New Roman"/>
          <w:color w:val="000000"/>
          <w:kern w:val="0"/>
          <w:sz w:val="24"/>
          <w14:ligatures w14:val="none"/>
        </w:rPr>
        <w:t xml:space="preserve"> appl((</w:t>
      </w:r>
      <w:r w:rsidRPr="006B4A66">
        <w:rPr>
          <w:rFonts w:ascii="Times New Roman" w:eastAsia="Calibri" w:hAnsi="Times New Roman" w:cs="Times New Roman"/>
          <w:strike/>
          <w:color w:val="000000"/>
          <w:kern w:val="0"/>
          <w:sz w:val="24"/>
          <w14:ligatures w14:val="none"/>
        </w:rPr>
        <w:t>y</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u w:val="single"/>
          <w14:ligatures w14:val="none"/>
        </w:rPr>
        <w:t>ied</w:t>
      </w:r>
      <w:r w:rsidRPr="006B4A66">
        <w:rPr>
          <w:rFonts w:ascii="Times New Roman" w:eastAsia="Calibri" w:hAnsi="Times New Roman" w:cs="Times New Roman"/>
          <w:color w:val="000000"/>
          <w:kern w:val="0"/>
          <w:sz w:val="24"/>
          <w14:ligatures w14:val="none"/>
        </w:rPr>
        <w:t>.</w:t>
      </w:r>
    </w:p>
    <w:p w14:paraId="3E1269FD" w14:textId="77777777"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b.  A facility for the visually impaired is a facility that is licensed or will be licensed by local or state authorities for senior long-term care, adult daycare, senior support</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people with special visual needs.</w:t>
      </w:r>
    </w:p>
    <w:p w14:paraId="6378EEBE" w14:textId="77777777"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c.  ((</w:t>
      </w:r>
      <w:r w:rsidRPr="006B4A66">
        <w:rPr>
          <w:rFonts w:ascii="Times New Roman" w:eastAsia="Calibri" w:hAnsi="Times New Roman" w:cs="Times New Roman"/>
          <w:strike/>
          <w:color w:val="000000"/>
          <w:kern w:val="0"/>
          <w:sz w:val="24"/>
          <w14:ligatures w14:val="none"/>
        </w:rPr>
        <w:t>For spaces in which lighting is specified to be installed in addition to, and controlled separately from, the general lighting for the purpose of highlighting art or exhibits if the additional lighting power shall not exceed 0.5 W/ft</w:t>
      </w:r>
      <w:r w:rsidRPr="006B4A66">
        <w:rPr>
          <w:rFonts w:ascii="Times New Roman" w:eastAsia="Calibri" w:hAnsi="Times New Roman" w:cs="Times New Roman"/>
          <w:strike/>
          <w:color w:val="000000"/>
          <w:kern w:val="0"/>
          <w:sz w:val="24"/>
          <w:vertAlign w:val="superscript"/>
          <w14:ligatures w14:val="none"/>
        </w:rPr>
        <w:t>2</w:t>
      </w:r>
      <w:r w:rsidRPr="006B4A66">
        <w:rPr>
          <w:rFonts w:ascii="Times New Roman" w:eastAsia="Calibri" w:hAnsi="Times New Roman" w:cs="Times New Roman"/>
          <w:strike/>
          <w:color w:val="000000"/>
          <w:kern w:val="0"/>
          <w:sz w:val="24"/>
          <w14:ligatures w14:val="none"/>
        </w:rPr>
        <w:t xml:space="preserve"> of such spaces.</w:t>
      </w:r>
    </w:p>
    <w:p w14:paraId="316BD514" w14:textId="77777777"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d.  For scientific laboratories, additional lighting power allowance of 0.35 W/ft</w:t>
      </w:r>
      <w:r w:rsidRPr="006B4A66">
        <w:rPr>
          <w:rFonts w:ascii="Times New Roman" w:eastAsia="Calibri" w:hAnsi="Times New Roman" w:cs="Times New Roman"/>
          <w:strike/>
          <w:color w:val="000000"/>
          <w:kern w:val="0"/>
          <w:sz w:val="24"/>
          <w:vertAlign w:val="superscript"/>
          <w14:ligatures w14:val="none"/>
        </w:rPr>
        <w:t>2</w:t>
      </w:r>
      <w:r w:rsidRPr="006B4A66">
        <w:rPr>
          <w:rFonts w:ascii="Times New Roman" w:eastAsia="Calibri" w:hAnsi="Times New Roman" w:cs="Times New Roman"/>
          <w:strike/>
          <w:color w:val="000000"/>
          <w:kern w:val="0"/>
          <w:sz w:val="24"/>
          <w14:ligatures w14:val="none"/>
        </w:rPr>
        <w:t xml:space="preserve"> for specialized task work - lighting that provides for small-scale, cognitive or fast performance visual tasks, lighting required for operating specialized equipment associated with pharmaceutical or laboratorial activities or both.</w:t>
      </w:r>
    </w:p>
    <w:p w14:paraId="10DA22E1" w14:textId="77777777"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e.  For offices, additional lighting power allowance of 0.20 W/ft</w:t>
      </w:r>
      <w:r w:rsidRPr="006B4A66">
        <w:rPr>
          <w:rFonts w:ascii="Times New Roman" w:eastAsia="Calibri" w:hAnsi="Times New Roman" w:cs="Times New Roman"/>
          <w:strike/>
          <w:color w:val="000000"/>
          <w:kern w:val="0"/>
          <w:sz w:val="24"/>
          <w:vertAlign w:val="superscript"/>
          <w14:ligatures w14:val="none"/>
        </w:rPr>
        <w:t>2</w:t>
      </w:r>
      <w:r w:rsidRPr="006B4A66">
        <w:rPr>
          <w:rFonts w:ascii="Times New Roman" w:eastAsia="Calibri" w:hAnsi="Times New Roman" w:cs="Times New Roman"/>
          <w:strike/>
          <w:color w:val="000000"/>
          <w:kern w:val="0"/>
          <w:sz w:val="24"/>
          <w14:ligatures w14:val="none"/>
        </w:rPr>
        <w:t xml:space="preserve"> for portable lighting, which includes under shelf or furniture-mounted supplemental task lighting qualifies when controlled by a time clock or an occupancy sensor.</w:t>
      </w:r>
    </w:p>
    <w:p w14:paraId="1B78D793" w14:textId="77777777"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f.  For corridors, additional lighting power allowance of 0.25 W/ft</w:t>
      </w:r>
      <w:r w:rsidRPr="006B4A66">
        <w:rPr>
          <w:rFonts w:ascii="Times New Roman" w:eastAsia="Calibri" w:hAnsi="Times New Roman" w:cs="Times New Roman"/>
          <w:strike/>
          <w:color w:val="000000"/>
          <w:kern w:val="0"/>
          <w:sz w:val="24"/>
          <w:vertAlign w:val="superscript"/>
          <w14:ligatures w14:val="none"/>
        </w:rPr>
        <w:t>2</w:t>
      </w:r>
      <w:r w:rsidRPr="006B4A66">
        <w:rPr>
          <w:rFonts w:ascii="Times New Roman" w:eastAsia="Calibri" w:hAnsi="Times New Roman" w:cs="Times New Roman"/>
          <w:strike/>
          <w:color w:val="000000"/>
          <w:kern w:val="0"/>
          <w:sz w:val="24"/>
          <w14:ligatures w14:val="none"/>
        </w:rPr>
        <w:t xml:space="preserve"> display lighting and decorative lighting where provided for aesthetic purposes.  Decorative lighting fixtures in corridors may also provide general lighting.  This additional allowance is not permitted to be used together with the allowance in footnote c for highlighting art or exhibits.</w:t>
      </w:r>
    </w:p>
    <w:p w14:paraId="05F2E0F9" w14:textId="77777777"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g.  Where sleeping units are excluded from lighting power calculations by application of IECC R404.1, neither the area of the sleeping units nor the wattage of lighting in the sleeping units shall be counted.</w:t>
      </w:r>
    </w:p>
    <w:p w14:paraId="51AD5745" w14:textId="77777777"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h.  Where dwelling units are excluded from lighting power calculations by application of IECC R404.1, neither the area of the dwelling units nor the wattage of lighting in the dwelling units shall be counted.</w:t>
      </w:r>
    </w:p>
    <w:p w14:paraId="01F9CF5B" w14:textId="1B8610CD"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i.</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 xml:space="preserve">Additional lighting power allowance of 0.2 watts per square foot  for the purpose of highlighting art or exhibits.  This additional power shall be permitted only </w:t>
      </w:r>
      <w:r w:rsidRPr="006B4A66">
        <w:rPr>
          <w:rFonts w:ascii="Times New Roman" w:eastAsia="Calibri" w:hAnsi="Times New Roman" w:cs="Times New Roman"/>
          <w:color w:val="000000"/>
          <w:kern w:val="0"/>
          <w:sz w:val="24"/>
          <w:u w:val="single"/>
          <w14:ligatures w14:val="none"/>
        </w:rPr>
        <w:lastRenderedPageBreak/>
        <w:t>where the specified lighting is installed in addition to and controlled separately from general lighting in accordance with WSEC C405.2.6.  This additional power shall be used only for the specified luminaires and shall not be used for any other purpose and it shall not be added to any other space or the interior power allowance.</w:t>
      </w:r>
    </w:p>
    <w:p w14:paraId="67948F01" w14:textId="77777777"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d</w:t>
      </w:r>
      <w:r w:rsidRPr="006B4A66">
        <w:rPr>
          <w:rFonts w:ascii="Times New Roman" w:eastAsia="Calibri" w:hAnsi="Times New Roman" w:cs="Times New Roman"/>
          <w:color w:val="000000"/>
          <w:kern w:val="0"/>
          <w:sz w:val="24"/>
          <w14:ligatures w14:val="none"/>
        </w:rPr>
        <w:t>.  Class I facilities consist of professional facilities; and semiprofessional, collegiate</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club facilities with seating for 5,000 or more spectators.</w:t>
      </w:r>
    </w:p>
    <w:p w14:paraId="493EF501" w14:textId="77777777"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j.</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e.</w:t>
      </w:r>
      <w:r w:rsidRPr="006B4A66">
        <w:rPr>
          <w:rFonts w:ascii="Times New Roman" w:eastAsia="Calibri" w:hAnsi="Times New Roman" w:cs="Times New Roman"/>
          <w:color w:val="000000"/>
          <w:kern w:val="0"/>
          <w:sz w:val="24"/>
          <w14:ligatures w14:val="none"/>
        </w:rPr>
        <w:t xml:space="preserve">  Class II facilities consist of collegiate and semiprofessional facilities with seating for fewer than 5,000 spectators; club facilities with seating between 2,000 and 5,000 spectators; and amateur league and high school facilities with seating for more than 2,000 spectators.</w:t>
      </w:r>
    </w:p>
    <w:p w14:paraId="0F49F777" w14:textId="77777777"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k.</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f.</w:t>
      </w:r>
      <w:r w:rsidRPr="006B4A66">
        <w:rPr>
          <w:rFonts w:ascii="Times New Roman" w:eastAsia="Calibri" w:hAnsi="Times New Roman" w:cs="Times New Roman"/>
          <w:color w:val="000000"/>
          <w:kern w:val="0"/>
          <w:sz w:val="24"/>
          <w14:ligatures w14:val="none"/>
        </w:rPr>
        <w:t xml:space="preserve">  Class III facilities consist of club, amateur league</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and high school facilities with seating for 2,000 or fewer spectators.</w:t>
      </w:r>
    </w:p>
    <w:p w14:paraId="23A74A60" w14:textId="77777777"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l.</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g.</w:t>
      </w:r>
      <w:r w:rsidRPr="006B4A66">
        <w:rPr>
          <w:rFonts w:ascii="Times New Roman" w:eastAsia="Calibri" w:hAnsi="Times New Roman" w:cs="Times New Roman"/>
          <w:color w:val="000000"/>
          <w:kern w:val="0"/>
          <w:sz w:val="24"/>
          <w14:ligatures w14:val="none"/>
        </w:rPr>
        <w:t xml:space="preserve">  Class IV facilities consist of elementary school and recreational facilities; and amateur league and high school facilities without provisions for spectators.</w:t>
      </w:r>
    </w:p>
    <w:p w14:paraId="63DD1CEA" w14:textId="013F52BB"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m.</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h.</w:t>
      </w:r>
      <w:r w:rsidRPr="006B4A66">
        <w:rPr>
          <w:rFonts w:ascii="Times New Roman" w:eastAsia="Calibri" w:hAnsi="Times New Roman" w:cs="Times New Roman"/>
          <w:color w:val="000000"/>
          <w:kern w:val="0"/>
          <w:sz w:val="24"/>
          <w14:ligatures w14:val="none"/>
        </w:rPr>
        <w:t xml:space="preserve">  For classrooms, additional lighting power allowance of 4.50 ((</w:t>
      </w:r>
      <w:r w:rsidRPr="006B4A66">
        <w:rPr>
          <w:rFonts w:ascii="Times New Roman" w:eastAsia="Calibri" w:hAnsi="Times New Roman" w:cs="Times New Roman"/>
          <w:strike/>
          <w:color w:val="000000"/>
          <w:kern w:val="0"/>
          <w:sz w:val="24"/>
          <w14:ligatures w14:val="none"/>
        </w:rPr>
        <w:t>W/</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watts per</w:t>
      </w:r>
      <w:r w:rsidRPr="006B4A66">
        <w:rPr>
          <w:rFonts w:ascii="Times New Roman" w:eastAsia="Calibri" w:hAnsi="Times New Roman" w:cs="Times New Roman"/>
          <w:color w:val="000000"/>
          <w:kern w:val="0"/>
          <w:sz w:val="24"/>
          <w14:ligatures w14:val="none"/>
        </w:rPr>
        <w:t xml:space="preserve"> lineal foot of white or chalk boards for directional lighting dedicated to white or chalk boards.</w:t>
      </w:r>
    </w:p>
    <w:p w14:paraId="34AB2742" w14:textId="252B598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n.</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i.</w:t>
      </w:r>
      <w:r w:rsidRPr="006B4A66">
        <w:rPr>
          <w:rFonts w:ascii="Times New Roman" w:eastAsia="Calibri" w:hAnsi="Times New Roman" w:cs="Times New Roman"/>
          <w:color w:val="000000"/>
          <w:kern w:val="0"/>
          <w:sz w:val="24"/>
          <w14:ligatures w14:val="none"/>
        </w:rPr>
        <w:t xml:space="preserve">  Additional lighting power allowance of ((</w:t>
      </w:r>
      <w:r w:rsidRPr="006B4A66">
        <w:rPr>
          <w:rFonts w:ascii="Times New Roman" w:eastAsia="Calibri" w:hAnsi="Times New Roman" w:cs="Times New Roman"/>
          <w:strike/>
          <w:color w:val="000000"/>
          <w:kern w:val="0"/>
          <w:sz w:val="24"/>
          <w14:ligatures w14:val="none"/>
        </w:rPr>
        <w:t>0.30 W/ft</w:t>
      </w:r>
      <w:r w:rsidRPr="006B4A66">
        <w:rPr>
          <w:rFonts w:ascii="Times New Roman" w:eastAsia="Calibri" w:hAnsi="Times New Roman" w:cs="Times New Roman"/>
          <w:strike/>
          <w:color w:val="000000"/>
          <w:kern w:val="0"/>
          <w:sz w:val="24"/>
          <w:vertAlign w:val="superscript"/>
          <w14:ligatures w14:val="none"/>
        </w:rPr>
        <w:t>2</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0.15 watts per square foot</w:t>
      </w:r>
      <w:r w:rsidRPr="006B4A66">
        <w:rPr>
          <w:rFonts w:ascii="Times New Roman" w:eastAsia="Calibri" w:hAnsi="Times New Roman" w:cs="Times New Roman"/>
          <w:color w:val="000000"/>
          <w:kern w:val="0"/>
          <w:sz w:val="24"/>
          <w14:ligatures w14:val="none"/>
        </w:rPr>
        <w:t xml:space="preserve"> for ornamental lighting.  Qualifying ornamental lighting includes luminaires ((</w:t>
      </w:r>
      <w:r w:rsidRPr="006B4A66">
        <w:rPr>
          <w:rFonts w:ascii="Times New Roman" w:eastAsia="Calibri" w:hAnsi="Times New Roman" w:cs="Times New Roman"/>
          <w:strike/>
          <w:color w:val="000000"/>
          <w:kern w:val="0"/>
          <w:sz w:val="24"/>
          <w14:ligatures w14:val="none"/>
        </w:rPr>
        <w:t>such as chandeliers, sconces, lanterns, neon and cold cathode, light emitting diodes, theatrical projectors, moving lights and light color panels when any of those lights</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that</w:t>
      </w:r>
      <w:r w:rsidRPr="006B4A66">
        <w:rPr>
          <w:rFonts w:ascii="Times New Roman" w:eastAsia="Calibri" w:hAnsi="Times New Roman" w:cs="Times New Roman"/>
          <w:color w:val="000000"/>
          <w:kern w:val="0"/>
          <w:sz w:val="24"/>
          <w14:ligatures w14:val="none"/>
        </w:rPr>
        <w:t xml:space="preserve"> are </w:t>
      </w:r>
      <w:r w:rsidRPr="006B4A66">
        <w:rPr>
          <w:rFonts w:ascii="Times New Roman" w:eastAsia="Calibri" w:hAnsi="Times New Roman" w:cs="Times New Roman"/>
          <w:color w:val="000000"/>
          <w:kern w:val="0"/>
          <w:sz w:val="24"/>
          <w:u w:val="single"/>
          <w14:ligatures w14:val="none"/>
        </w:rPr>
        <w:t>specifically</w:t>
      </w:r>
      <w:r w:rsidRPr="006B4A66">
        <w:rPr>
          <w:rFonts w:ascii="Times New Roman" w:eastAsia="Calibri" w:hAnsi="Times New Roman" w:cs="Times New Roman"/>
          <w:color w:val="000000"/>
          <w:kern w:val="0"/>
          <w:sz w:val="24"/>
          <w14:ligatures w14:val="none"/>
        </w:rPr>
        <w:t xml:space="preserve"> used in a decorative manner ((</w:t>
      </w:r>
      <w:r w:rsidRPr="006B4A66">
        <w:rPr>
          <w:rFonts w:ascii="Times New Roman" w:eastAsia="Calibri" w:hAnsi="Times New Roman" w:cs="Times New Roman"/>
          <w:strike/>
          <w:color w:val="000000"/>
          <w:kern w:val="0"/>
          <w:sz w:val="24"/>
          <w14:ligatures w14:val="none"/>
        </w:rPr>
        <w:t xml:space="preserve">that does not serve as display lighting or general lighting.  Ornamental lighting shall be controlled separately from general </w:t>
      </w:r>
      <w:r w:rsidRPr="006B4A66">
        <w:rPr>
          <w:rFonts w:ascii="Times New Roman" w:eastAsia="Calibri" w:hAnsi="Times New Roman" w:cs="Times New Roman"/>
          <w:strike/>
          <w:color w:val="000000"/>
          <w:kern w:val="0"/>
          <w:sz w:val="24"/>
          <w14:ligatures w14:val="none"/>
        </w:rPr>
        <w:lastRenderedPageBreak/>
        <w:t>lighting</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This additional power shall be permitted only where the specified lighting is installed in addition to and controlled separately from display or general lighting in accordance with WSEC C405.2.6.  This additional power shall be used only for the specified luminaires and shall not be added to any other space or the interior power allowance</w:t>
      </w:r>
      <w:r w:rsidRPr="006B4A66">
        <w:rPr>
          <w:rFonts w:ascii="Times New Roman" w:eastAsia="Calibri" w:hAnsi="Times New Roman" w:cs="Times New Roman"/>
          <w:color w:val="000000"/>
          <w:kern w:val="0"/>
          <w:sz w:val="24"/>
          <w14:ligatures w14:val="none"/>
        </w:rPr>
        <w:t>.</w:t>
      </w:r>
    </w:p>
    <w:p w14:paraId="250DD82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j.  Where a space is designated as unfinished, neither the area nor the lighting power in the space shall be calculated as part of the Lighting Power Alliance.</w:t>
      </w:r>
    </w:p>
    <w:p w14:paraId="1F2B484F" w14:textId="0B165B20"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k.  For corridors, additional lighting power allowance of 0.25 watts per square foot for display lighting and decorative lighting is permitted where provided for aesthetic purposes.  Decorative lighting fixtures in corridors are also permitted to provide general lighting.</w:t>
      </w:r>
    </w:p>
    <w:p w14:paraId="5A81D23E" w14:textId="14851D25"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95.</w:t>
      </w:r>
      <w:r w:rsidRPr="006B4A66">
        <w:rPr>
          <w:rFonts w:ascii="Times New Roman" w:eastAsia="Calibri" w:hAnsi="Times New Roman" w:cs="Times New Roman"/>
          <w:color w:val="000000"/>
          <w:kern w:val="0"/>
          <w:sz w:val="24"/>
          <w14:ligatures w14:val="none"/>
        </w:rPr>
        <w:t>There is hereby added to K.C.C. chapter 16.07 a new section to read as follows:</w:t>
      </w:r>
    </w:p>
    <w:p w14:paraId="416B82AB"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C405.4.2.2.1 of the Washington State Energy Code is not adopted and the following is substituted:</w:t>
      </w:r>
    </w:p>
    <w:p w14:paraId="5480B46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Additional interior lighting power (</w:t>
      </w:r>
      <w:r w:rsidRPr="006B4A66">
        <w:rPr>
          <w:rFonts w:ascii="Times New Roman" w:eastAsia="Calibri" w:hAnsi="Times New Roman" w:cs="Times New Roman"/>
          <w:b/>
          <w:color w:val="000000"/>
          <w:kern w:val="0"/>
          <w:sz w:val="24"/>
          <w14:ligatures w14:val="none"/>
        </w:rPr>
        <w:t>WSEC</w:t>
      </w:r>
      <w:r w:rsidRPr="006B4A66">
        <w:rPr>
          <w:rFonts w:ascii="Times New Roman" w:eastAsia="Calibri" w:hAnsi="Times New Roman" w:cs="Times New Roman"/>
          <w:b/>
          <w:bCs/>
          <w:color w:val="000000"/>
          <w:kern w:val="0"/>
          <w:sz w:val="24"/>
          <w14:ligatures w14:val="none"/>
        </w:rPr>
        <w:t xml:space="preserve"> C405.4.2.2.1).</w:t>
      </w:r>
      <w:r w:rsidRPr="006B4A66">
        <w:rPr>
          <w:rFonts w:ascii="Times New Roman" w:eastAsia="Calibri" w:hAnsi="Times New Roman" w:cs="Times New Roman"/>
          <w:color w:val="000000"/>
          <w:kern w:val="0"/>
          <w:sz w:val="24"/>
          <w14:ligatures w14:val="none"/>
        </w:rPr>
        <w:t xml:space="preserve">  Where using the Space-by-Space Method, an increase in the interior lighting power allowance is permitted for specific lighting functions.  Additional power shall be permitted only where the specified lighting is installed in addition to and automatically controlled separately from general lighting, in accordance with WSEC C405.2.6.  This additional power shall be used only for the specified luminaires and shall not be used for any other purpose.</w:t>
      </w:r>
    </w:p>
    <w:p w14:paraId="6895F54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An increase in the interior lighting power allowance is permitted for lighting equipment to be installed in sales areas specifically to highlight merchandise.  The additional lighting power shall be determined in accordance with Equation 4-14.</w:t>
      </w:r>
    </w:p>
    <w:p w14:paraId="5BEEF25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tab/>
        <w:t>Equation 4-14:</w:t>
      </w:r>
    </w:p>
    <w:p w14:paraId="78D4D09E" w14:textId="39C876AA"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Additional Interior Lighting Power Allowance = 500 watts + (Retail Area 1 × 0.40 watts/square foot) + (Retail Area 2 × 0.40 watts/square foot) + (Retail Area 3 × 0.70 watts/square foot) + (Retail Area 4 × 1.00 watts/square foot)</w:t>
      </w:r>
    </w:p>
    <w:p w14:paraId="175440C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Where:</w:t>
      </w:r>
    </w:p>
    <w:p w14:paraId="1644C943" w14:textId="626C2C3E"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Retail Area 1 = The floor area for all products not listed in Retail Area 2, 3</w:t>
      </w:r>
      <w:r w:rsidR="009F27E1">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or 4.</w:t>
      </w:r>
    </w:p>
    <w:p w14:paraId="67E9DC1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Retail Area 2 = The floor area used for the sale of vehicles, sporting goods, and small electronics.</w:t>
      </w:r>
    </w:p>
    <w:p w14:paraId="11AC520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Retail Area 3 = The floor area used for the sale of furniture, clothing, cosmetics, and artwork.</w:t>
      </w:r>
    </w:p>
    <w:p w14:paraId="1AD3352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Retail Area 4 = The floor area used for the sale of jewelry, crystal, and china.</w:t>
      </w:r>
    </w:p>
    <w:p w14:paraId="33A9E60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w:t>
      </w:r>
      <w:r w:rsidRPr="006B4A66">
        <w:rPr>
          <w:rFonts w:ascii="Times New Roman" w:eastAsia="Calibri" w:hAnsi="Times New Roman" w:cs="Times New Roman"/>
          <w:color w:val="000000"/>
          <w:kern w:val="0"/>
          <w:sz w:val="24"/>
          <w14:ligatures w14:val="none"/>
        </w:rPr>
        <w:t xml:space="preserve">  Other merchandise categories are permitted to be included in Retail Areas 2 through 4, provided that justification documenting the need for additional lighting power based on visual inspection, contrast, or other critical display requirement is approved by the code official.</w:t>
      </w:r>
    </w:p>
    <w:p w14:paraId="17E9F5AE" w14:textId="51BBD494" w:rsidR="006B4A66" w:rsidRPr="006B4A66" w:rsidRDefault="006B4A66" w:rsidP="0073496A">
      <w:pPr>
        <w:widowControl w:val="0"/>
        <w:tabs>
          <w:tab w:val="left" w:pos="720"/>
        </w:tabs>
        <w:autoSpaceDE w:val="0"/>
        <w:autoSpaceDN w:val="0"/>
        <w:adjustRightInd w:val="0"/>
        <w:spacing w:after="0" w:line="480" w:lineRule="auto"/>
        <w:ind w:firstLine="720"/>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u w:val="single"/>
          <w14:ligatures w14:val="none"/>
        </w:rPr>
        <w:t>NEW SECTION.  SECTION 96.</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0582DFF8"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C405.5 of the Washington State Energy Code is supplemented with the following:</w:t>
      </w:r>
    </w:p>
    <w:p w14:paraId="08D6D2B6" w14:textId="1A4C2E94"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b/>
          <w:bCs/>
          <w:color w:val="000000"/>
          <w:kern w:val="0"/>
          <w:sz w:val="24"/>
          <w14:ligatures w14:val="none"/>
        </w:rPr>
        <w:t>Full cutoff luminaires (</w:t>
      </w:r>
      <w:r w:rsidRPr="006B4A66">
        <w:rPr>
          <w:rFonts w:ascii="Times New Roman" w:eastAsia="Calibri" w:hAnsi="Times New Roman" w:cs="Times New Roman"/>
          <w:b/>
          <w:color w:val="000000"/>
          <w:kern w:val="0"/>
          <w:sz w:val="24"/>
          <w14:ligatures w14:val="none"/>
        </w:rPr>
        <w:t>WSEC</w:t>
      </w:r>
      <w:r w:rsidRPr="006B4A66">
        <w:rPr>
          <w:rFonts w:ascii="Times New Roman" w:eastAsia="Calibri" w:hAnsi="Times New Roman" w:cs="Times New Roman"/>
          <w:b/>
          <w:bCs/>
          <w:color w:val="000000"/>
          <w:kern w:val="0"/>
          <w:sz w:val="24"/>
          <w14:ligatures w14:val="none"/>
        </w:rPr>
        <w:t xml:space="preserve"> C405.5.5).</w:t>
      </w:r>
      <w:r w:rsidRPr="006B4A66">
        <w:rPr>
          <w:rFonts w:ascii="Times New Roman" w:eastAsia="Calibri" w:hAnsi="Times New Roman" w:cs="Times New Roman"/>
          <w:color w:val="000000"/>
          <w:kern w:val="0"/>
          <w:sz w:val="24"/>
          <w14:ligatures w14:val="none"/>
        </w:rPr>
        <w:t xml:space="preserve">  For open parking and outdoor areas and roadways, luminaires mounted more than 15 feet (4</w:t>
      </w:r>
      <w:r w:rsidR="00732770">
        <w:rPr>
          <w:rFonts w:ascii="Times New Roman" w:eastAsia="Calibri" w:hAnsi="Times New Roman" w:cs="Times New Roman"/>
          <w:color w:val="000000"/>
          <w:kern w:val="0"/>
          <w:sz w:val="24"/>
          <w14:ligatures w14:val="none"/>
        </w:rPr>
        <w:t>.6</w:t>
      </w:r>
      <w:r w:rsidRPr="006B4A66">
        <w:rPr>
          <w:rFonts w:ascii="Times New Roman" w:eastAsia="Calibri" w:hAnsi="Times New Roman" w:cs="Times New Roman"/>
          <w:color w:val="000000"/>
          <w:kern w:val="0"/>
          <w:sz w:val="24"/>
          <w14:ligatures w14:val="none"/>
        </w:rPr>
        <w:t xml:space="preserve"> meters) above the ground shall have a luminaire light distribution in which zero candela intensity occurs at angles equal to or greater than 90 degrees above nadir.</w:t>
      </w:r>
    </w:p>
    <w:p w14:paraId="345E4AA3" w14:textId="2DD71E30"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97.</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206223BC"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C405.8 of the Washington State Energy Code is not adopted and the following is substituted:</w:t>
      </w:r>
    </w:p>
    <w:p w14:paraId="7001B8F0" w14:textId="77777777"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bookmarkStart w:id="9" w:name="_Hlk125121769"/>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color w:val="000000"/>
          <w:kern w:val="0"/>
          <w:sz w:val="24"/>
          <w14:ligatures w14:val="none"/>
        </w:rPr>
        <w:t xml:space="preserve">Electric motor efficiency (WSEC C405.8).  </w:t>
      </w:r>
      <w:r w:rsidRPr="006B4A66">
        <w:rPr>
          <w:rFonts w:ascii="Times New Roman" w:eastAsia="Calibri" w:hAnsi="Times New Roman" w:cs="Times New Roman"/>
          <w:color w:val="000000"/>
          <w:kern w:val="0"/>
          <w:sz w:val="24"/>
          <w14:ligatures w14:val="none"/>
        </w:rPr>
        <w:t>All electric motors, fractional or otherwise, shall meet the minimum efficiency requirements of WSEC Tables C405.8(1) through C405.8(4) when tested and rated in accordance with DOE 10 C.F.R 431.  The efficiency shall be verified through certification under an approved certification program.  Where no certification program exists, the equipment efficiency rating shall be supported by data furnished by the motor manufacturer.</w:t>
      </w:r>
    </w:p>
    <w:p w14:paraId="0D20C0A2" w14:textId="77777777"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color w:val="000000"/>
          <w:kern w:val="0"/>
          <w:sz w:val="24"/>
          <w14:ligatures w14:val="none"/>
        </w:rPr>
        <w:t>EXCEPTION:</w:t>
      </w:r>
      <w:r w:rsidRPr="006B4A66">
        <w:rPr>
          <w:rFonts w:ascii="Times New Roman" w:eastAsia="Calibri" w:hAnsi="Times New Roman" w:cs="Times New Roman"/>
          <w:color w:val="000000"/>
          <w:kern w:val="0"/>
          <w:sz w:val="24"/>
          <w14:ligatures w14:val="none"/>
        </w:rPr>
        <w:t xml:space="preserve">  The standards in this section shall not apply to the following exempt electric motors.</w:t>
      </w:r>
    </w:p>
    <w:p w14:paraId="3C8ABAA1" w14:textId="77777777"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Air-over electric motors.</w:t>
      </w:r>
    </w:p>
    <w:p w14:paraId="312679AC" w14:textId="77777777"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Component sets of an electric motor.</w:t>
      </w:r>
    </w:p>
    <w:p w14:paraId="2C168464" w14:textId="77777777"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3.  Liquid-cooled electric motors.</w:t>
      </w:r>
    </w:p>
    <w:p w14:paraId="76E1C00C" w14:textId="77777777"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4.  Submersible electric motors.</w:t>
      </w:r>
    </w:p>
    <w:p w14:paraId="4D9196C0" w14:textId="77777777"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5.  Inverter-only electric motors.</w:t>
      </w:r>
    </w:p>
    <w:p w14:paraId="65513078" w14:textId="77777777"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6.  Mechanical ventilation system types with an input power less than 746 watts that comply with the requirements of WSEC C403.8.4.</w:t>
      </w:r>
    </w:p>
    <w:p w14:paraId="76BD5AEF" w14:textId="2ED78DE6"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 xml:space="preserve">Fractional horsepower fan motors that are 1/12 horsepower </w:t>
      </w:r>
      <w:bookmarkStart w:id="10" w:name="_Hlk184637394"/>
      <w:r w:rsidRPr="006B4A66">
        <w:rPr>
          <w:rFonts w:ascii="Times New Roman" w:eastAsia="Calibri" w:hAnsi="Times New Roman" w:cs="Times New Roman"/>
          <w:color w:val="000000"/>
          <w:kern w:val="0"/>
          <w:sz w:val="24"/>
          <w14:ligatures w14:val="none"/>
        </w:rPr>
        <w:t>(</w:t>
      </w:r>
      <w:bookmarkEnd w:id="10"/>
      <w:r w:rsidR="00CA74C6">
        <w:rPr>
          <w:rFonts w:ascii="Times New Roman" w:eastAsia="Calibri" w:hAnsi="Times New Roman" w:cs="Times New Roman"/>
          <w:color w:val="000000"/>
          <w:kern w:val="0"/>
          <w:sz w:val="24"/>
          <w14:ligatures w14:val="none"/>
        </w:rPr>
        <w:t>61 watts</w:t>
      </w:r>
      <w:r w:rsidRPr="006B4A66">
        <w:rPr>
          <w:rFonts w:ascii="Times New Roman" w:eastAsia="Calibri" w:hAnsi="Times New Roman" w:cs="Times New Roman"/>
          <w:color w:val="000000"/>
          <w:kern w:val="0"/>
          <w:sz w:val="24"/>
          <w14:ligatures w14:val="none"/>
        </w:rPr>
        <w:t>) or greater and less than 1 horsepower (</w:t>
      </w:r>
      <w:r w:rsidR="005171A9">
        <w:rPr>
          <w:rFonts w:ascii="Times New Roman" w:eastAsia="Calibri" w:hAnsi="Times New Roman" w:cs="Times New Roman"/>
          <w:color w:val="000000"/>
          <w:kern w:val="0"/>
          <w:sz w:val="24"/>
          <w14:ligatures w14:val="none"/>
        </w:rPr>
        <w:t>745 watts</w:t>
      </w:r>
      <w:r w:rsidRPr="006B4A66">
        <w:rPr>
          <w:rFonts w:ascii="Times New Roman" w:eastAsia="Calibri" w:hAnsi="Times New Roman" w:cs="Times New Roman"/>
          <w:color w:val="000000"/>
          <w:kern w:val="0"/>
          <w:sz w:val="24"/>
          <w14:ligatures w14:val="none"/>
        </w:rPr>
        <w:t>) (based on output power) which are not covered by WSEC Tables C405.8(3) and C405.8(4) shall be electronically commutated motors or shall have a minimum motor efficiency of 70 percent when rated in accordance with DOE 10 C.F.R. 431.  These motors shall also have the means to adjust motor speed for either balancing or remote control.  Belt-driven fans may use sheave adjustment for airflow balancing in lieu of a varying motor speed.</w:t>
      </w:r>
    </w:p>
    <w:p w14:paraId="59567FE1" w14:textId="77777777"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b/>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color w:val="000000"/>
          <w:kern w:val="0"/>
          <w:sz w:val="24"/>
          <w14:ligatures w14:val="none"/>
        </w:rPr>
        <w:t>EXCEPTIONS:</w:t>
      </w:r>
    </w:p>
    <w:p w14:paraId="6674BAB8" w14:textId="77777777"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Motors that are an integral part of specialized process equipment.</w:t>
      </w:r>
    </w:p>
    <w:p w14:paraId="272C18D6" w14:textId="77777777"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Where the motor is integral to a listed piece of equipment for which no complying motor has been approved.</w:t>
      </w:r>
    </w:p>
    <w:p w14:paraId="61C1841C" w14:textId="77777777"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3.  Motors used as a component of the equipment meeting the minimum efficiency requirements of WSEC C403.3.2 and WSEC Tables C403.3.2(1) through C403.3.2(16), provided that the motor input is included when determining the equipment efficiency.</w:t>
      </w:r>
    </w:p>
    <w:p w14:paraId="57F6131E" w14:textId="77777777"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4.  Motors in the airstream within fan coils and terminal units that operate only when providing heating to the space served.</w:t>
      </w:r>
    </w:p>
    <w:p w14:paraId="164843C9" w14:textId="77777777"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5.  Mechanical ventilation system types with an input power less than 746 watts that comply with the requirements of WSEC C403.8.4.</w:t>
      </w:r>
    </w:p>
    <w:p w14:paraId="6D5D4059" w14:textId="77777777"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6.  Domestic use of clothes dryer booster fans, range hood exhaust fans, and range booster fans that operate intermittently.</w:t>
      </w:r>
    </w:p>
    <w:p w14:paraId="2D7A775E" w14:textId="77777777"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7.  Radon and contaminated soil exhaust fans.</w:t>
      </w:r>
    </w:p>
    <w:p w14:paraId="4E420D51" w14:textId="30ADEAE9"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98.</w:t>
      </w:r>
      <w:r w:rsidRPr="006B4A66">
        <w:rPr>
          <w:rFonts w:ascii="Times New Roman" w:eastAsia="Calibri" w:hAnsi="Times New Roman" w:cs="Times New Roman"/>
          <w:color w:val="000000"/>
          <w:kern w:val="0"/>
          <w:sz w:val="24"/>
          <w14:ligatures w14:val="none"/>
        </w:rPr>
        <w:t xml:space="preserve">  There is hereby added to K.C.C. chapter 16.07 </w:t>
      </w:r>
      <w:r w:rsidRPr="006B4A66">
        <w:rPr>
          <w:rFonts w:ascii="Times New Roman" w:eastAsia="Calibri" w:hAnsi="Times New Roman" w:cs="Times New Roman"/>
          <w:color w:val="000000"/>
          <w:kern w:val="0"/>
          <w:sz w:val="24"/>
          <w14:ligatures w14:val="none"/>
        </w:rPr>
        <w:lastRenderedPageBreak/>
        <w:t>a new section to read as follows:</w:t>
      </w:r>
    </w:p>
    <w:p w14:paraId="5705B0CB"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C405 of the Washington State Energy Code is supplemented with the following:</w:t>
      </w:r>
    </w:p>
    <w:p w14:paraId="105C49D2" w14:textId="77777777"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Commercial food service (</w:t>
      </w:r>
      <w:r w:rsidRPr="006B4A66">
        <w:rPr>
          <w:rFonts w:ascii="Times New Roman" w:eastAsia="Calibri" w:hAnsi="Times New Roman" w:cs="Times New Roman"/>
          <w:b/>
          <w:color w:val="000000"/>
          <w:kern w:val="0"/>
          <w:sz w:val="24"/>
          <w14:ligatures w14:val="none"/>
        </w:rPr>
        <w:t>WSEC</w:t>
      </w:r>
      <w:r w:rsidRPr="006B4A66">
        <w:rPr>
          <w:rFonts w:ascii="Times New Roman" w:eastAsia="Calibri" w:hAnsi="Times New Roman" w:cs="Times New Roman"/>
          <w:b/>
          <w:bCs/>
          <w:color w:val="000000"/>
          <w:kern w:val="0"/>
          <w:sz w:val="24"/>
          <w14:ligatures w14:val="none"/>
        </w:rPr>
        <w:t xml:space="preserve"> C405.14).</w:t>
      </w:r>
      <w:r w:rsidRPr="006B4A66">
        <w:rPr>
          <w:rFonts w:ascii="Times New Roman" w:eastAsia="Calibri" w:hAnsi="Times New Roman" w:cs="Times New Roman"/>
          <w:color w:val="000000"/>
          <w:kern w:val="0"/>
          <w:sz w:val="24"/>
          <w14:ligatures w14:val="none"/>
        </w:rPr>
        <w:t xml:space="preserve">  The following types of equipment within the scope of the applicable Energy Star program shall comply with the energy-efficiency and water-efficiency criteria required to achieve the Energy Star label:</w:t>
      </w:r>
    </w:p>
    <w:p w14:paraId="3F88AA3F" w14:textId="77777777"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A.  Commercial fryers:  Energy Star Program Requirements for Commercial Fryers.</w:t>
      </w:r>
    </w:p>
    <w:p w14:paraId="78F80C20" w14:textId="77777777"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B.  Commercial hot food holding cabinets:  Energy Star Program Requirements for Hot Food Holding Cabinets.</w:t>
      </w:r>
    </w:p>
    <w:p w14:paraId="5EF60E46" w14:textId="77777777"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C.  Commercial steam cookers:  Energy Star Program Requirements for Commercial Steam Cookers.</w:t>
      </w:r>
    </w:p>
    <w:p w14:paraId="208E8DF1" w14:textId="77777777"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D.  Commercial dishwashers:  Energy Star Program Requirements for Commercial Dishwashers.</w:t>
      </w:r>
    </w:p>
    <w:bookmarkEnd w:id="9"/>
    <w:p w14:paraId="17E8095B" w14:textId="1B19AD76"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99.</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3BBBA161"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C405 of the Washington State Energy Code is supplemented with the following:</w:t>
      </w:r>
    </w:p>
    <w:p w14:paraId="282ADE5B" w14:textId="05C3D232"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color w:val="000000"/>
          <w:kern w:val="0"/>
          <w:sz w:val="24"/>
          <w14:ligatures w14:val="none"/>
        </w:rPr>
        <w:t>Electric power at gas-fired commercial cooking appliances (</w:t>
      </w:r>
      <w:r w:rsidRPr="006B4A66">
        <w:rPr>
          <w:rFonts w:ascii="Times New Roman" w:eastAsia="Calibri" w:hAnsi="Times New Roman" w:cs="Times New Roman"/>
          <w:b/>
          <w:color w:val="000000"/>
          <w:spacing w:val="-2"/>
          <w:kern w:val="0"/>
          <w:sz w:val="24"/>
          <w14:ligatures w14:val="none"/>
        </w:rPr>
        <w:t>WSEC</w:t>
      </w:r>
      <w:r w:rsidRPr="006B4A66">
        <w:rPr>
          <w:rFonts w:ascii="Times New Roman" w:eastAsia="Calibri" w:hAnsi="Times New Roman" w:cs="Times New Roman"/>
          <w:b/>
          <w:color w:val="000000"/>
          <w:kern w:val="0"/>
          <w:sz w:val="24"/>
          <w14:ligatures w14:val="none"/>
        </w:rPr>
        <w:t xml:space="preserve"> C405.14.1)</w:t>
      </w:r>
      <w:r w:rsidRPr="006B4A66">
        <w:rPr>
          <w:rFonts w:ascii="Times New Roman" w:eastAsia="Calibri" w:hAnsi="Times New Roman" w:cs="Times New Roman"/>
          <w:color w:val="000000"/>
          <w:kern w:val="0"/>
          <w:sz w:val="24"/>
          <w14:ligatures w14:val="none"/>
        </w:rPr>
        <w:t>.  Where gas-fired commercial cooking appliances in commercial kitchens are provided, an electrical panel shall be provided within or adjacent to each space in which commercial cooking appliances are located, sized to serve future electric appliances to replace all gas-fired appliances in the space with a minimum capacity of 293 volt-</w:t>
      </w:r>
      <w:r w:rsidRPr="006B4A66">
        <w:rPr>
          <w:rFonts w:ascii="Times New Roman" w:eastAsia="Calibri" w:hAnsi="Times New Roman" w:cs="Times New Roman"/>
          <w:color w:val="000000"/>
          <w:kern w:val="0"/>
          <w:sz w:val="24"/>
          <w14:ligatures w14:val="none"/>
        </w:rPr>
        <w:lastRenderedPageBreak/>
        <w:t xml:space="preserve">amperes (VA) per </w:t>
      </w:r>
      <w:r w:rsidR="00526747">
        <w:rPr>
          <w:rFonts w:ascii="Times New Roman" w:eastAsia="Calibri" w:hAnsi="Times New Roman" w:cs="Times New Roman"/>
          <w:color w:val="000000"/>
          <w:kern w:val="0"/>
          <w:sz w:val="24"/>
          <w14:ligatures w14:val="none"/>
        </w:rPr>
        <w:t>k</w:t>
      </w:r>
      <w:r w:rsidRPr="006B4A66">
        <w:rPr>
          <w:rFonts w:ascii="Times New Roman" w:eastAsia="Calibri" w:hAnsi="Times New Roman" w:cs="Times New Roman"/>
          <w:color w:val="000000"/>
          <w:kern w:val="0"/>
          <w:sz w:val="24"/>
          <w14:ligatures w14:val="none"/>
        </w:rPr>
        <w:t>Btu/h of gas appliance input capacity.  The main electric service panel for the building shall be wired and sized to accommodate all such commercial cooking appliance panels.  Permit documents shall include a table listing each gas-fired commercial cooking appliance as well as an equivalent electric appliance providing the same or greater cooking capacity, and the total amperage required for the commercial kitchen electrical panel.  This information shall be provided in both the mechanical and the electrical permit documents.</w:t>
      </w:r>
    </w:p>
    <w:p w14:paraId="0FA113EA" w14:textId="7F6A12D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color w:val="000000"/>
          <w:kern w:val="0"/>
          <w:sz w:val="24"/>
          <w14:ligatures w14:val="none"/>
        </w:rPr>
        <w:t>EXCEPTION:</w:t>
      </w:r>
      <w:r w:rsidRPr="006B4A66">
        <w:rPr>
          <w:rFonts w:ascii="Times New Roman" w:eastAsia="Calibri" w:hAnsi="Times New Roman" w:cs="Times New Roman"/>
          <w:color w:val="000000"/>
          <w:kern w:val="0"/>
          <w:sz w:val="24"/>
          <w14:ligatures w14:val="none"/>
        </w:rPr>
        <w:t xml:space="preserve">  This requirement does not apply to gas-fired cooking appliances installed in buildings originally permitted in compliance with an earlier edition of the </w:t>
      </w:r>
      <w:r w:rsidR="00E5533A">
        <w:rPr>
          <w:rFonts w:ascii="Times New Roman" w:eastAsia="Calibri" w:hAnsi="Times New Roman" w:cs="Times New Roman"/>
          <w:color w:val="000000"/>
          <w:kern w:val="0"/>
          <w:sz w:val="24"/>
          <w14:ligatures w14:val="none"/>
        </w:rPr>
        <w:t>WSEC</w:t>
      </w:r>
      <w:r w:rsidRPr="006B4A66">
        <w:rPr>
          <w:rFonts w:ascii="Times New Roman" w:eastAsia="Calibri" w:hAnsi="Times New Roman" w:cs="Times New Roman"/>
          <w:color w:val="000000"/>
          <w:kern w:val="0"/>
          <w:sz w:val="24"/>
          <w14:ligatures w14:val="none"/>
        </w:rPr>
        <w:t>, if the building's main service panel lacks sufficient capacity to provide power for equivalent electric versions of all the gas-fired equipment identified in the permit application.</w:t>
      </w:r>
    </w:p>
    <w:p w14:paraId="3185BD18" w14:textId="43203FEA"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100.</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72B40753"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Table C406.1 of the Washington State Energy Code is not adopted and the following is substituted:</w:t>
      </w:r>
    </w:p>
    <w:p w14:paraId="7F89F189" w14:textId="77777777" w:rsidR="006B4A66" w:rsidRPr="006B4A66" w:rsidRDefault="006B4A66" w:rsidP="0073496A">
      <w:pPr>
        <w:spacing w:after="0" w:line="480" w:lineRule="auto"/>
        <w:jc w:val="center"/>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Table C406.1</w:t>
      </w:r>
    </w:p>
    <w:p w14:paraId="6A0414AB" w14:textId="5565F9E2" w:rsidR="006B4A66" w:rsidRPr="006B4A66" w:rsidRDefault="006B4A66" w:rsidP="0073496A">
      <w:pPr>
        <w:spacing w:after="0" w:line="480" w:lineRule="auto"/>
        <w:jc w:val="center"/>
        <w:rPr>
          <w:rFonts w:ascii="Times New Roman" w:eastAsia="Calibri" w:hAnsi="Times New Roman" w:cs="Times New Roman"/>
          <w:b/>
          <w:color w:val="000000"/>
          <w:kern w:val="0"/>
          <w:sz w:val="24"/>
          <w14:ligatures w14:val="none"/>
        </w:rPr>
      </w:pPr>
      <w:r w:rsidRPr="006B4A66">
        <w:rPr>
          <w:rFonts w:ascii="Times New Roman" w:eastAsia="Calibri" w:hAnsi="Times New Roman" w:cs="Times New Roman"/>
          <w:b/>
          <w:color w:val="000000"/>
          <w:kern w:val="0"/>
          <w:sz w:val="24"/>
          <w14:ligatures w14:val="none"/>
        </w:rPr>
        <w:t>Energy Measure Credit Requirements</w:t>
      </w:r>
    </w:p>
    <w:tbl>
      <w:tblPr>
        <w:tblW w:w="10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33"/>
        <w:gridCol w:w="987"/>
        <w:gridCol w:w="1161"/>
        <w:gridCol w:w="1247"/>
        <w:gridCol w:w="1161"/>
        <w:gridCol w:w="1074"/>
        <w:gridCol w:w="1161"/>
        <w:gridCol w:w="1105"/>
      </w:tblGrid>
      <w:tr w:rsidR="006B4A66" w:rsidRPr="006B4A66" w14:paraId="2E828FB6" w14:textId="77777777">
        <w:trPr>
          <w:cantSplit/>
          <w:tblHeader/>
          <w:jc w:val="center"/>
        </w:trPr>
        <w:tc>
          <w:tcPr>
            <w:tcW w:w="2133" w:type="dxa"/>
            <w:vMerge w:val="restart"/>
            <w:tcMar>
              <w:top w:w="40" w:type="dxa"/>
              <w:left w:w="120" w:type="dxa"/>
              <w:bottom w:w="40" w:type="dxa"/>
              <w:right w:w="120" w:type="dxa"/>
            </w:tcMar>
            <w:vAlign w:val="center"/>
          </w:tcPr>
          <w:p w14:paraId="3999E6B9"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lastRenderedPageBreak/>
              <w:t>Required Credits for Projects</w:t>
            </w:r>
          </w:p>
        </w:tc>
        <w:tc>
          <w:tcPr>
            <w:tcW w:w="987" w:type="dxa"/>
            <w:tcMar>
              <w:top w:w="40" w:type="dxa"/>
              <w:left w:w="120" w:type="dxa"/>
              <w:bottom w:w="40" w:type="dxa"/>
              <w:right w:w="120" w:type="dxa"/>
            </w:tcMar>
          </w:tcPr>
          <w:p w14:paraId="603511AF"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c>
          <w:tcPr>
            <w:tcW w:w="6909" w:type="dxa"/>
            <w:gridSpan w:val="6"/>
            <w:tcMar>
              <w:top w:w="40" w:type="dxa"/>
              <w:left w:w="120" w:type="dxa"/>
              <w:bottom w:w="40" w:type="dxa"/>
              <w:right w:w="120" w:type="dxa"/>
            </w:tcMar>
          </w:tcPr>
          <w:p w14:paraId="6EF4558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Occupancy Group</w:t>
            </w:r>
          </w:p>
        </w:tc>
      </w:tr>
      <w:tr w:rsidR="006B4A66" w:rsidRPr="006B4A66" w14:paraId="480333D4" w14:textId="77777777">
        <w:trPr>
          <w:cantSplit/>
          <w:tblHeader/>
          <w:jc w:val="center"/>
        </w:trPr>
        <w:tc>
          <w:tcPr>
            <w:tcW w:w="2133" w:type="dxa"/>
            <w:vMerge/>
          </w:tcPr>
          <w:p w14:paraId="61D0074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c>
          <w:tcPr>
            <w:tcW w:w="987" w:type="dxa"/>
            <w:tcMar>
              <w:top w:w="40" w:type="dxa"/>
              <w:left w:w="120" w:type="dxa"/>
              <w:bottom w:w="40" w:type="dxa"/>
              <w:right w:w="120" w:type="dxa"/>
            </w:tcMar>
          </w:tcPr>
          <w:p w14:paraId="04B3A6D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WSEC Section</w:t>
            </w:r>
          </w:p>
        </w:tc>
        <w:tc>
          <w:tcPr>
            <w:tcW w:w="1161" w:type="dxa"/>
            <w:tcMar>
              <w:top w:w="40" w:type="dxa"/>
              <w:left w:w="120" w:type="dxa"/>
              <w:bottom w:w="40" w:type="dxa"/>
              <w:right w:w="120" w:type="dxa"/>
            </w:tcMar>
          </w:tcPr>
          <w:p w14:paraId="7B14C94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Group R-1</w:t>
            </w:r>
          </w:p>
        </w:tc>
        <w:tc>
          <w:tcPr>
            <w:tcW w:w="1247" w:type="dxa"/>
            <w:tcMar>
              <w:top w:w="40" w:type="dxa"/>
              <w:left w:w="120" w:type="dxa"/>
              <w:bottom w:w="40" w:type="dxa"/>
              <w:right w:w="120" w:type="dxa"/>
            </w:tcMar>
          </w:tcPr>
          <w:p w14:paraId="677B22C0"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Group R-2</w:t>
            </w:r>
          </w:p>
        </w:tc>
        <w:tc>
          <w:tcPr>
            <w:tcW w:w="1161" w:type="dxa"/>
            <w:tcMar>
              <w:top w:w="40" w:type="dxa"/>
              <w:left w:w="120" w:type="dxa"/>
              <w:bottom w:w="40" w:type="dxa"/>
              <w:right w:w="120" w:type="dxa"/>
            </w:tcMar>
          </w:tcPr>
          <w:p w14:paraId="79F11E2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Group B</w:t>
            </w:r>
          </w:p>
        </w:tc>
        <w:tc>
          <w:tcPr>
            <w:tcW w:w="1074" w:type="dxa"/>
            <w:tcMar>
              <w:top w:w="40" w:type="dxa"/>
              <w:left w:w="120" w:type="dxa"/>
              <w:bottom w:w="40" w:type="dxa"/>
              <w:right w:w="120" w:type="dxa"/>
            </w:tcMar>
          </w:tcPr>
          <w:p w14:paraId="321EA86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Group E</w:t>
            </w:r>
          </w:p>
        </w:tc>
        <w:tc>
          <w:tcPr>
            <w:tcW w:w="1161" w:type="dxa"/>
            <w:tcMar>
              <w:top w:w="40" w:type="dxa"/>
              <w:left w:w="120" w:type="dxa"/>
              <w:bottom w:w="40" w:type="dxa"/>
              <w:right w:w="120" w:type="dxa"/>
            </w:tcMar>
          </w:tcPr>
          <w:p w14:paraId="5D2FDA39"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Group M</w:t>
            </w:r>
          </w:p>
        </w:tc>
        <w:tc>
          <w:tcPr>
            <w:tcW w:w="1105" w:type="dxa"/>
          </w:tcPr>
          <w:p w14:paraId="0FD3B63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All Other</w:t>
            </w:r>
          </w:p>
        </w:tc>
      </w:tr>
      <w:tr w:rsidR="006B4A66" w:rsidRPr="006B4A66" w14:paraId="6F4AFFEE" w14:textId="77777777">
        <w:trPr>
          <w:jc w:val="center"/>
        </w:trPr>
        <w:tc>
          <w:tcPr>
            <w:tcW w:w="2133" w:type="dxa"/>
            <w:tcMar>
              <w:top w:w="40" w:type="dxa"/>
              <w:left w:w="120" w:type="dxa"/>
              <w:bottom w:w="40" w:type="dxa"/>
              <w:right w:w="120" w:type="dxa"/>
            </w:tcMar>
          </w:tcPr>
          <w:p w14:paraId="3DE8148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New building energy efficiency credit requirement</w:t>
            </w:r>
          </w:p>
        </w:tc>
        <w:tc>
          <w:tcPr>
            <w:tcW w:w="987" w:type="dxa"/>
            <w:tcMar>
              <w:top w:w="40" w:type="dxa"/>
              <w:left w:w="120" w:type="dxa"/>
              <w:bottom w:w="40" w:type="dxa"/>
              <w:right w:w="120" w:type="dxa"/>
            </w:tcMar>
          </w:tcPr>
          <w:p w14:paraId="0B69121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C406.2</w:t>
            </w:r>
          </w:p>
        </w:tc>
        <w:tc>
          <w:tcPr>
            <w:tcW w:w="1161" w:type="dxa"/>
            <w:tcMar>
              <w:top w:w="40" w:type="dxa"/>
              <w:left w:w="120" w:type="dxa"/>
              <w:bottom w:w="40" w:type="dxa"/>
              <w:right w:w="120" w:type="dxa"/>
            </w:tcMar>
          </w:tcPr>
          <w:p w14:paraId="58E86814" w14:textId="7565C51A"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5</w:t>
            </w:r>
            <w:r w:rsidR="00091899">
              <w:rPr>
                <w:rFonts w:ascii="Times New Roman" w:eastAsia="Calibri" w:hAnsi="Times New Roman" w:cs="Times New Roman"/>
                <w:color w:val="000000"/>
                <w:kern w:val="0"/>
                <w:sz w:val="24"/>
                <w14:ligatures w14:val="none"/>
              </w:rPr>
              <w:t>7</w:t>
            </w:r>
          </w:p>
        </w:tc>
        <w:tc>
          <w:tcPr>
            <w:tcW w:w="1247" w:type="dxa"/>
            <w:tcMar>
              <w:top w:w="40" w:type="dxa"/>
              <w:left w:w="120" w:type="dxa"/>
              <w:bottom w:w="40" w:type="dxa"/>
              <w:right w:w="120" w:type="dxa"/>
            </w:tcMar>
          </w:tcPr>
          <w:p w14:paraId="66EDB209" w14:textId="5C477513"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4</w:t>
            </w:r>
            <w:r w:rsidR="00091899">
              <w:rPr>
                <w:rFonts w:ascii="Times New Roman" w:eastAsia="Calibri" w:hAnsi="Times New Roman" w:cs="Times New Roman"/>
                <w:color w:val="000000"/>
                <w:kern w:val="0"/>
                <w:sz w:val="24"/>
                <w14:ligatures w14:val="none"/>
              </w:rPr>
              <w:t>3</w:t>
            </w:r>
          </w:p>
        </w:tc>
        <w:tc>
          <w:tcPr>
            <w:tcW w:w="1161" w:type="dxa"/>
            <w:tcMar>
              <w:top w:w="40" w:type="dxa"/>
              <w:left w:w="120" w:type="dxa"/>
              <w:bottom w:w="40" w:type="dxa"/>
              <w:right w:w="120" w:type="dxa"/>
            </w:tcMar>
          </w:tcPr>
          <w:p w14:paraId="47D3FD41" w14:textId="3C6332D8"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4</w:t>
            </w:r>
            <w:r w:rsidR="00091899">
              <w:rPr>
                <w:rFonts w:ascii="Times New Roman" w:eastAsia="Calibri" w:hAnsi="Times New Roman" w:cs="Times New Roman"/>
                <w:color w:val="000000"/>
                <w:kern w:val="0"/>
                <w:sz w:val="24"/>
                <w14:ligatures w14:val="none"/>
              </w:rPr>
              <w:t>4</w:t>
            </w:r>
          </w:p>
        </w:tc>
        <w:tc>
          <w:tcPr>
            <w:tcW w:w="1074" w:type="dxa"/>
            <w:tcMar>
              <w:top w:w="40" w:type="dxa"/>
              <w:left w:w="120" w:type="dxa"/>
              <w:bottom w:w="40" w:type="dxa"/>
              <w:right w:w="120" w:type="dxa"/>
            </w:tcMar>
          </w:tcPr>
          <w:p w14:paraId="2AA7755D" w14:textId="44A2533F"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5</w:t>
            </w:r>
            <w:r w:rsidR="00091899">
              <w:rPr>
                <w:rFonts w:ascii="Times New Roman" w:eastAsia="Calibri" w:hAnsi="Times New Roman" w:cs="Times New Roman"/>
                <w:color w:val="000000"/>
                <w:kern w:val="0"/>
                <w:sz w:val="24"/>
                <w14:ligatures w14:val="none"/>
              </w:rPr>
              <w:t>0</w:t>
            </w:r>
          </w:p>
        </w:tc>
        <w:tc>
          <w:tcPr>
            <w:tcW w:w="1161" w:type="dxa"/>
            <w:tcMar>
              <w:top w:w="40" w:type="dxa"/>
              <w:left w:w="120" w:type="dxa"/>
              <w:bottom w:w="40" w:type="dxa"/>
              <w:right w:w="120" w:type="dxa"/>
            </w:tcMar>
          </w:tcPr>
          <w:p w14:paraId="754E46F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61</w:t>
            </w:r>
          </w:p>
        </w:tc>
        <w:tc>
          <w:tcPr>
            <w:tcW w:w="1105" w:type="dxa"/>
            <w:tcMar>
              <w:top w:w="40" w:type="dxa"/>
              <w:left w:w="120" w:type="dxa"/>
              <w:bottom w:w="40" w:type="dxa"/>
              <w:right w:w="120" w:type="dxa"/>
            </w:tcMar>
          </w:tcPr>
          <w:p w14:paraId="5704D422" w14:textId="22607C5E"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5</w:t>
            </w:r>
            <w:r w:rsidR="00923D35">
              <w:rPr>
                <w:rFonts w:ascii="Times New Roman" w:eastAsia="Calibri" w:hAnsi="Times New Roman" w:cs="Times New Roman"/>
                <w:color w:val="000000"/>
                <w:kern w:val="0"/>
                <w:sz w:val="24"/>
                <w14:ligatures w14:val="none"/>
              </w:rPr>
              <w:t>1</w:t>
            </w:r>
          </w:p>
        </w:tc>
      </w:tr>
      <w:tr w:rsidR="006B4A66" w:rsidRPr="006B4A66" w14:paraId="579209DE" w14:textId="77777777">
        <w:trPr>
          <w:jc w:val="center"/>
        </w:trPr>
        <w:tc>
          <w:tcPr>
            <w:tcW w:w="2133" w:type="dxa"/>
            <w:tcMar>
              <w:top w:w="40" w:type="dxa"/>
              <w:left w:w="120" w:type="dxa"/>
              <w:bottom w:w="40" w:type="dxa"/>
              <w:right w:w="120" w:type="dxa"/>
            </w:tcMar>
          </w:tcPr>
          <w:p w14:paraId="2B4936A9"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Building additions energy efficiency credit requirement</w:t>
            </w:r>
          </w:p>
        </w:tc>
        <w:tc>
          <w:tcPr>
            <w:tcW w:w="987" w:type="dxa"/>
            <w:tcMar>
              <w:top w:w="40" w:type="dxa"/>
              <w:left w:w="120" w:type="dxa"/>
              <w:bottom w:w="40" w:type="dxa"/>
              <w:right w:w="120" w:type="dxa"/>
            </w:tcMar>
          </w:tcPr>
          <w:p w14:paraId="32C2CC22"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C406.2</w:t>
            </w:r>
          </w:p>
        </w:tc>
        <w:tc>
          <w:tcPr>
            <w:tcW w:w="1161" w:type="dxa"/>
            <w:tcMar>
              <w:top w:w="40" w:type="dxa"/>
              <w:left w:w="120" w:type="dxa"/>
              <w:bottom w:w="40" w:type="dxa"/>
              <w:right w:w="120" w:type="dxa"/>
            </w:tcMar>
          </w:tcPr>
          <w:p w14:paraId="761E0CEA" w14:textId="6A8FEBE0" w:rsidR="006B4A66" w:rsidRPr="006B4A66" w:rsidRDefault="00B26ABE" w:rsidP="0073496A">
            <w:pPr>
              <w:spacing w:after="0" w:line="480" w:lineRule="auto"/>
              <w:rPr>
                <w:rFonts w:ascii="Times New Roman" w:eastAsia="Calibri" w:hAnsi="Times New Roman" w:cs="Times New Roman"/>
                <w:color w:val="000000"/>
                <w:kern w:val="0"/>
                <w:sz w:val="24"/>
                <w14:ligatures w14:val="none"/>
              </w:rPr>
            </w:pPr>
            <w:r>
              <w:rPr>
                <w:rFonts w:ascii="Times New Roman" w:eastAsia="Calibri" w:hAnsi="Times New Roman" w:cs="Times New Roman"/>
                <w:color w:val="000000"/>
                <w:kern w:val="0"/>
                <w:sz w:val="24"/>
                <w14:ligatures w14:val="none"/>
              </w:rPr>
              <w:t>28</w:t>
            </w:r>
          </w:p>
        </w:tc>
        <w:tc>
          <w:tcPr>
            <w:tcW w:w="1247" w:type="dxa"/>
            <w:tcMar>
              <w:top w:w="40" w:type="dxa"/>
              <w:left w:w="120" w:type="dxa"/>
              <w:bottom w:w="40" w:type="dxa"/>
              <w:right w:w="120" w:type="dxa"/>
            </w:tcMar>
          </w:tcPr>
          <w:p w14:paraId="79E261AB" w14:textId="2E58E663"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2</w:t>
            </w:r>
            <w:r w:rsidR="00B26ABE">
              <w:rPr>
                <w:rFonts w:ascii="Times New Roman" w:eastAsia="Calibri" w:hAnsi="Times New Roman" w:cs="Times New Roman"/>
                <w:color w:val="000000"/>
                <w:kern w:val="0"/>
                <w:sz w:val="24"/>
                <w14:ligatures w14:val="none"/>
              </w:rPr>
              <w:t>1</w:t>
            </w:r>
          </w:p>
        </w:tc>
        <w:tc>
          <w:tcPr>
            <w:tcW w:w="1161" w:type="dxa"/>
            <w:tcMar>
              <w:top w:w="40" w:type="dxa"/>
              <w:left w:w="120" w:type="dxa"/>
              <w:bottom w:w="40" w:type="dxa"/>
              <w:right w:w="120" w:type="dxa"/>
            </w:tcMar>
          </w:tcPr>
          <w:p w14:paraId="7CC9D647" w14:textId="238B410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2</w:t>
            </w:r>
            <w:r w:rsidR="00B26ABE">
              <w:rPr>
                <w:rFonts w:ascii="Times New Roman" w:eastAsia="Calibri" w:hAnsi="Times New Roman" w:cs="Times New Roman"/>
                <w:color w:val="000000"/>
                <w:kern w:val="0"/>
                <w:sz w:val="24"/>
                <w14:ligatures w14:val="none"/>
              </w:rPr>
              <w:t>2</w:t>
            </w:r>
          </w:p>
        </w:tc>
        <w:tc>
          <w:tcPr>
            <w:tcW w:w="1074" w:type="dxa"/>
            <w:tcMar>
              <w:top w:w="40" w:type="dxa"/>
              <w:left w:w="120" w:type="dxa"/>
              <w:bottom w:w="40" w:type="dxa"/>
              <w:right w:w="120" w:type="dxa"/>
            </w:tcMar>
          </w:tcPr>
          <w:p w14:paraId="662E570E" w14:textId="304A73F3"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2</w:t>
            </w:r>
            <w:r w:rsidR="00B26ABE">
              <w:rPr>
                <w:rFonts w:ascii="Times New Roman" w:eastAsia="Calibri" w:hAnsi="Times New Roman" w:cs="Times New Roman"/>
                <w:color w:val="000000"/>
                <w:kern w:val="0"/>
                <w:sz w:val="24"/>
                <w14:ligatures w14:val="none"/>
              </w:rPr>
              <w:t>4</w:t>
            </w:r>
          </w:p>
        </w:tc>
        <w:tc>
          <w:tcPr>
            <w:tcW w:w="1161" w:type="dxa"/>
            <w:tcMar>
              <w:top w:w="40" w:type="dxa"/>
              <w:left w:w="120" w:type="dxa"/>
              <w:bottom w:w="40" w:type="dxa"/>
              <w:right w:w="120" w:type="dxa"/>
            </w:tcMar>
          </w:tcPr>
          <w:p w14:paraId="1ACE9845"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30</w:t>
            </w:r>
          </w:p>
        </w:tc>
        <w:tc>
          <w:tcPr>
            <w:tcW w:w="1105" w:type="dxa"/>
            <w:tcMar>
              <w:top w:w="40" w:type="dxa"/>
              <w:left w:w="120" w:type="dxa"/>
              <w:bottom w:w="40" w:type="dxa"/>
              <w:right w:w="120" w:type="dxa"/>
            </w:tcMar>
          </w:tcPr>
          <w:p w14:paraId="02B43CED" w14:textId="334EF2EA"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2</w:t>
            </w:r>
            <w:r w:rsidR="00B26ABE">
              <w:rPr>
                <w:rFonts w:ascii="Times New Roman" w:eastAsia="Calibri" w:hAnsi="Times New Roman" w:cs="Times New Roman"/>
                <w:color w:val="000000"/>
                <w:kern w:val="0"/>
                <w:sz w:val="24"/>
                <w14:ligatures w14:val="none"/>
              </w:rPr>
              <w:t>2</w:t>
            </w:r>
          </w:p>
        </w:tc>
      </w:tr>
      <w:tr w:rsidR="006B4A66" w:rsidRPr="006B4A66" w14:paraId="7B05D2C7" w14:textId="77777777">
        <w:trPr>
          <w:jc w:val="center"/>
        </w:trPr>
        <w:tc>
          <w:tcPr>
            <w:tcW w:w="2133" w:type="dxa"/>
            <w:tcMar>
              <w:top w:w="40" w:type="dxa"/>
              <w:left w:w="120" w:type="dxa"/>
              <w:bottom w:w="40" w:type="dxa"/>
              <w:right w:w="120" w:type="dxa"/>
            </w:tcMar>
          </w:tcPr>
          <w:p w14:paraId="1891653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New building load management credit requirement</w:t>
            </w:r>
          </w:p>
        </w:tc>
        <w:tc>
          <w:tcPr>
            <w:tcW w:w="987" w:type="dxa"/>
            <w:tcMar>
              <w:top w:w="40" w:type="dxa"/>
              <w:left w:w="120" w:type="dxa"/>
              <w:bottom w:w="40" w:type="dxa"/>
              <w:right w:w="120" w:type="dxa"/>
            </w:tcMar>
          </w:tcPr>
          <w:p w14:paraId="1CE4B81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C406.3</w:t>
            </w:r>
          </w:p>
        </w:tc>
        <w:tc>
          <w:tcPr>
            <w:tcW w:w="1161" w:type="dxa"/>
            <w:tcMar>
              <w:top w:w="40" w:type="dxa"/>
              <w:left w:w="120" w:type="dxa"/>
              <w:bottom w:w="40" w:type="dxa"/>
              <w:right w:w="120" w:type="dxa"/>
            </w:tcMar>
          </w:tcPr>
          <w:p w14:paraId="0D77EEC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12</w:t>
            </w:r>
          </w:p>
        </w:tc>
        <w:tc>
          <w:tcPr>
            <w:tcW w:w="1247" w:type="dxa"/>
            <w:tcMar>
              <w:top w:w="40" w:type="dxa"/>
              <w:left w:w="120" w:type="dxa"/>
              <w:bottom w:w="40" w:type="dxa"/>
              <w:right w:w="120" w:type="dxa"/>
            </w:tcMar>
          </w:tcPr>
          <w:p w14:paraId="4D11062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15</w:t>
            </w:r>
          </w:p>
        </w:tc>
        <w:tc>
          <w:tcPr>
            <w:tcW w:w="1161" w:type="dxa"/>
            <w:tcMar>
              <w:top w:w="40" w:type="dxa"/>
              <w:left w:w="120" w:type="dxa"/>
              <w:bottom w:w="40" w:type="dxa"/>
              <w:right w:w="120" w:type="dxa"/>
            </w:tcMar>
          </w:tcPr>
          <w:p w14:paraId="21255A7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27</w:t>
            </w:r>
          </w:p>
        </w:tc>
        <w:tc>
          <w:tcPr>
            <w:tcW w:w="1074" w:type="dxa"/>
            <w:tcMar>
              <w:top w:w="40" w:type="dxa"/>
              <w:left w:w="120" w:type="dxa"/>
              <w:bottom w:w="40" w:type="dxa"/>
              <w:right w:w="120" w:type="dxa"/>
            </w:tcMar>
          </w:tcPr>
          <w:p w14:paraId="310D24D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15</w:t>
            </w:r>
          </w:p>
        </w:tc>
        <w:tc>
          <w:tcPr>
            <w:tcW w:w="1161" w:type="dxa"/>
            <w:tcMar>
              <w:top w:w="40" w:type="dxa"/>
              <w:left w:w="120" w:type="dxa"/>
              <w:bottom w:w="40" w:type="dxa"/>
              <w:right w:w="120" w:type="dxa"/>
            </w:tcMar>
          </w:tcPr>
          <w:p w14:paraId="604BCF4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13</w:t>
            </w:r>
          </w:p>
        </w:tc>
        <w:tc>
          <w:tcPr>
            <w:tcW w:w="1105" w:type="dxa"/>
            <w:tcMar>
              <w:top w:w="40" w:type="dxa"/>
              <w:left w:w="120" w:type="dxa"/>
              <w:bottom w:w="40" w:type="dxa"/>
              <w:right w:w="120" w:type="dxa"/>
            </w:tcMar>
          </w:tcPr>
          <w:p w14:paraId="575BE24F"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26</w:t>
            </w:r>
          </w:p>
        </w:tc>
      </w:tr>
    </w:tbl>
    <w:p w14:paraId="29741395" w14:textId="6C4D8CA2"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101.</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651FF532"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color w:val="000000"/>
          <w:kern w:val="0"/>
          <w:sz w:val="24"/>
          <w14:ligatures w14:val="none"/>
        </w:rPr>
        <w:t>Section C406.1.1.1 of the Washington State Energy Code is not adopted and the following is substituted:</w:t>
      </w:r>
    </w:p>
    <w:p w14:paraId="160E769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tab/>
        <w:t>Applicable envelope, renewable, and elevator energy credits (</w:t>
      </w:r>
      <w:r w:rsidRPr="006B4A66">
        <w:rPr>
          <w:rFonts w:ascii="Times New Roman" w:eastAsia="Calibri" w:hAnsi="Times New Roman" w:cs="Times New Roman"/>
          <w:b/>
          <w:color w:val="000000"/>
          <w:kern w:val="0"/>
          <w:sz w:val="24"/>
          <w14:ligatures w14:val="none"/>
        </w:rPr>
        <w:t>WSEC</w:t>
      </w:r>
      <w:r w:rsidRPr="006B4A66">
        <w:rPr>
          <w:rFonts w:ascii="Times New Roman" w:eastAsia="Calibri" w:hAnsi="Times New Roman" w:cs="Times New Roman"/>
          <w:b/>
          <w:bCs/>
          <w:color w:val="000000"/>
          <w:kern w:val="0"/>
          <w:sz w:val="24"/>
          <w14:ligatures w14:val="none"/>
        </w:rPr>
        <w:t xml:space="preserve"> C406.1.1.1).  </w:t>
      </w:r>
      <w:r w:rsidRPr="006B4A66">
        <w:rPr>
          <w:rFonts w:ascii="Times New Roman" w:eastAsia="Calibri" w:hAnsi="Times New Roman" w:cs="Times New Roman"/>
          <w:color w:val="000000"/>
          <w:kern w:val="0"/>
          <w:sz w:val="24"/>
          <w14:ligatures w14:val="none"/>
        </w:rPr>
        <w:t>Where an entire building or building addition complies with WSEC C406.2.5, C406.2.12, C406.2.13, or C406.2.18, under an initial tenant improvement permit, tenant spaces within the building qualify for the number of credits assigned to the occupancy group of the tenant space in accordance with WSEC Table C406.2(1).  Where prior energy credits were achieved under the 2018 Washington State Energy Code, they shall be multiplied by 6 for applicability to this code.</w:t>
      </w:r>
    </w:p>
    <w:p w14:paraId="43E8B9F4" w14:textId="38A3D2BF"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color w:val="000000"/>
          <w:kern w:val="0"/>
          <w:sz w:val="24"/>
          <w:u w:val="single"/>
          <w14:ligatures w14:val="none"/>
        </w:rPr>
        <w:t>NEW SECTION.  SECTION 102.</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52328E78"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color w:val="000000"/>
          <w:kern w:val="0"/>
          <w:sz w:val="24"/>
          <w14:ligatures w14:val="none"/>
        </w:rPr>
        <w:t>Section C406.1.1.2 of the Washington State Energy Code is not adopted and the following is substituted:</w:t>
      </w:r>
    </w:p>
    <w:p w14:paraId="789080B6" w14:textId="77777777" w:rsidR="006B4A66" w:rsidRPr="006B4A66" w:rsidRDefault="006B4A66" w:rsidP="0073496A">
      <w:pPr>
        <w:tabs>
          <w:tab w:val="left" w:pos="720"/>
        </w:tabs>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ab/>
        <w:t>Applicable HVAC and service water heating credits (</w:t>
      </w:r>
      <w:r w:rsidRPr="006B4A66">
        <w:rPr>
          <w:rFonts w:ascii="Times New Roman" w:eastAsia="Calibri" w:hAnsi="Times New Roman" w:cs="Times New Roman"/>
          <w:b/>
          <w:color w:val="000000"/>
          <w:kern w:val="0"/>
          <w:sz w:val="24"/>
          <w14:ligatures w14:val="none"/>
        </w:rPr>
        <w:t>WSEC</w:t>
      </w:r>
      <w:r w:rsidRPr="006B4A66">
        <w:rPr>
          <w:rFonts w:ascii="Times New Roman" w:eastAsia="Calibri" w:hAnsi="Times New Roman" w:cs="Times New Roman"/>
          <w:b/>
          <w:bCs/>
          <w:color w:val="000000"/>
          <w:kern w:val="0"/>
          <w:sz w:val="24"/>
          <w14:ligatures w14:val="none"/>
        </w:rPr>
        <w:t xml:space="preserve"> C406.1.1.2).  </w:t>
      </w:r>
      <w:r w:rsidRPr="006B4A66">
        <w:rPr>
          <w:rFonts w:ascii="Times New Roman" w:eastAsia="Calibri" w:hAnsi="Times New Roman" w:cs="Times New Roman"/>
          <w:color w:val="000000"/>
          <w:kern w:val="0"/>
          <w:sz w:val="24"/>
          <w14:ligatures w14:val="none"/>
        </w:rPr>
        <w:t>Where HVAC and service water heating systems and services are installed and comply with WSEC C406.2.2, C406.2.8, or C406.2.9, under an initial tenant improvement permit, those systems and services shall be considered a part of the tenant space.  Tenant spaces qualify for the credits assigned to the occupancy group of the tenant space in accordance with WSEC Table C406.2(1) if the tenant space includes the distribution system and equipment that the central HVAC systems or service water heating systems were designed to support.</w:t>
      </w:r>
    </w:p>
    <w:p w14:paraId="5AA6AE44" w14:textId="4740C8C0"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103.</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47785320"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Table C406.2(1) of the Washington State Energy Code is not adopted and the following is substituted:</w:t>
      </w:r>
    </w:p>
    <w:p w14:paraId="6E19C618" w14:textId="77777777" w:rsidR="006B4A66" w:rsidRPr="006B4A66" w:rsidRDefault="006B4A66" w:rsidP="0073496A">
      <w:pPr>
        <w:spacing w:after="0" w:line="480" w:lineRule="auto"/>
        <w:jc w:val="center"/>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Table C406.2(1)</w:t>
      </w:r>
    </w:p>
    <w:p w14:paraId="6DD16DE4" w14:textId="77777777" w:rsidR="006B4A66" w:rsidRPr="006B4A66" w:rsidRDefault="006B4A66" w:rsidP="0073496A">
      <w:pPr>
        <w:spacing w:after="0" w:line="480" w:lineRule="auto"/>
        <w:jc w:val="center"/>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Efficiency Measure Credits</w:t>
      </w:r>
    </w:p>
    <w:tbl>
      <w:tblPr>
        <w:tblStyle w:val="TableGrid3"/>
        <w:tblW w:w="9463" w:type="dxa"/>
        <w:tblLook w:val="04A0" w:firstRow="1" w:lastRow="0" w:firstColumn="1" w:lastColumn="0" w:noHBand="0" w:noVBand="1"/>
      </w:tblPr>
      <w:tblGrid>
        <w:gridCol w:w="1515"/>
        <w:gridCol w:w="1298"/>
        <w:gridCol w:w="1129"/>
        <w:gridCol w:w="884"/>
        <w:gridCol w:w="885"/>
        <w:gridCol w:w="885"/>
        <w:gridCol w:w="885"/>
        <w:gridCol w:w="1084"/>
        <w:gridCol w:w="898"/>
      </w:tblGrid>
      <w:tr w:rsidR="006B4A66" w:rsidRPr="006B4A66" w14:paraId="1C550A50" w14:textId="77777777">
        <w:trPr>
          <w:tblHeader/>
        </w:trPr>
        <w:tc>
          <w:tcPr>
            <w:tcW w:w="1552" w:type="dxa"/>
            <w:vMerge w:val="restart"/>
          </w:tcPr>
          <w:p w14:paraId="1671C8AE" w14:textId="77777777" w:rsidR="006B4A66" w:rsidRPr="006B4A66" w:rsidRDefault="006B4A66" w:rsidP="0073496A">
            <w:pPr>
              <w:spacing w:line="480" w:lineRule="auto"/>
              <w:jc w:val="center"/>
              <w:rPr>
                <w:rFonts w:ascii="Times New Roman"/>
                <w:b/>
                <w:bCs/>
                <w:color w:val="000000"/>
              </w:rPr>
            </w:pPr>
            <w:r w:rsidRPr="006B4A66">
              <w:rPr>
                <w:rFonts w:ascii="Times New Roman"/>
                <w:b/>
                <w:bCs/>
                <w:color w:val="000000"/>
              </w:rPr>
              <w:lastRenderedPageBreak/>
              <w:t>Measure Title</w:t>
            </w:r>
          </w:p>
        </w:tc>
        <w:tc>
          <w:tcPr>
            <w:tcW w:w="1281" w:type="dxa"/>
          </w:tcPr>
          <w:p w14:paraId="262C70A3" w14:textId="77777777" w:rsidR="006B4A66" w:rsidRPr="006B4A66" w:rsidRDefault="006B4A66" w:rsidP="0073496A">
            <w:pPr>
              <w:spacing w:line="480" w:lineRule="auto"/>
              <w:jc w:val="center"/>
              <w:rPr>
                <w:rFonts w:ascii="Times New Roman"/>
                <w:b/>
                <w:bCs/>
                <w:color w:val="000000"/>
              </w:rPr>
            </w:pPr>
            <w:r w:rsidRPr="006B4A66">
              <w:rPr>
                <w:rFonts w:ascii="Times New Roman"/>
                <w:b/>
                <w:bCs/>
                <w:color w:val="000000"/>
              </w:rPr>
              <w:t>Applicable WSEC Section</w:t>
            </w:r>
          </w:p>
        </w:tc>
        <w:tc>
          <w:tcPr>
            <w:tcW w:w="1060" w:type="dxa"/>
          </w:tcPr>
          <w:p w14:paraId="11E9E440" w14:textId="77777777" w:rsidR="006B4A66" w:rsidRPr="006B4A66" w:rsidRDefault="006B4A66" w:rsidP="0073496A">
            <w:pPr>
              <w:spacing w:line="480" w:lineRule="auto"/>
              <w:jc w:val="center"/>
              <w:rPr>
                <w:rFonts w:ascii="Times New Roman"/>
                <w:b/>
                <w:bCs/>
                <w:color w:val="000000"/>
              </w:rPr>
            </w:pPr>
            <w:r w:rsidRPr="006B4A66">
              <w:rPr>
                <w:rFonts w:ascii="Times New Roman"/>
                <w:b/>
                <w:bCs/>
                <w:color w:val="000000"/>
              </w:rPr>
              <w:t>Prorating Flag</w:t>
            </w:r>
          </w:p>
        </w:tc>
        <w:tc>
          <w:tcPr>
            <w:tcW w:w="5570" w:type="dxa"/>
            <w:gridSpan w:val="6"/>
          </w:tcPr>
          <w:p w14:paraId="54E62638" w14:textId="77777777" w:rsidR="006B4A66" w:rsidRPr="006B4A66" w:rsidRDefault="006B4A66" w:rsidP="0073496A">
            <w:pPr>
              <w:spacing w:line="480" w:lineRule="auto"/>
              <w:jc w:val="center"/>
              <w:rPr>
                <w:rFonts w:ascii="Times New Roman"/>
                <w:b/>
                <w:bCs/>
                <w:color w:val="000000"/>
              </w:rPr>
            </w:pPr>
            <w:r w:rsidRPr="006B4A66">
              <w:rPr>
                <w:rFonts w:ascii="Times New Roman"/>
                <w:b/>
                <w:bCs/>
                <w:color w:val="000000"/>
              </w:rPr>
              <w:t>Occupancy Group</w:t>
            </w:r>
          </w:p>
        </w:tc>
      </w:tr>
      <w:tr w:rsidR="006B4A66" w:rsidRPr="006B4A66" w14:paraId="36FA35F6" w14:textId="77777777">
        <w:trPr>
          <w:tblHeader/>
        </w:trPr>
        <w:tc>
          <w:tcPr>
            <w:tcW w:w="1552" w:type="dxa"/>
            <w:vMerge/>
          </w:tcPr>
          <w:p w14:paraId="05795BFC" w14:textId="77777777" w:rsidR="006B4A66" w:rsidRPr="006B4A66" w:rsidRDefault="006B4A66" w:rsidP="0073496A">
            <w:pPr>
              <w:spacing w:line="480" w:lineRule="auto"/>
              <w:rPr>
                <w:rFonts w:ascii="Times New Roman"/>
                <w:color w:val="000000"/>
              </w:rPr>
            </w:pPr>
          </w:p>
        </w:tc>
        <w:tc>
          <w:tcPr>
            <w:tcW w:w="1281" w:type="dxa"/>
          </w:tcPr>
          <w:p w14:paraId="1BCA7983" w14:textId="77777777" w:rsidR="006B4A66" w:rsidRPr="006B4A66" w:rsidRDefault="006B4A66" w:rsidP="0073496A">
            <w:pPr>
              <w:spacing w:line="480" w:lineRule="auto"/>
              <w:rPr>
                <w:rFonts w:ascii="Times New Roman"/>
                <w:color w:val="000000"/>
              </w:rPr>
            </w:pPr>
          </w:p>
        </w:tc>
        <w:tc>
          <w:tcPr>
            <w:tcW w:w="1060" w:type="dxa"/>
          </w:tcPr>
          <w:p w14:paraId="41A45B73" w14:textId="77777777" w:rsidR="006B4A66" w:rsidRPr="006B4A66" w:rsidRDefault="006B4A66" w:rsidP="0073496A">
            <w:pPr>
              <w:spacing w:line="480" w:lineRule="auto"/>
              <w:rPr>
                <w:rFonts w:ascii="Times New Roman"/>
                <w:color w:val="000000"/>
              </w:rPr>
            </w:pPr>
          </w:p>
        </w:tc>
        <w:tc>
          <w:tcPr>
            <w:tcW w:w="899" w:type="dxa"/>
          </w:tcPr>
          <w:p w14:paraId="595521D8" w14:textId="77777777" w:rsidR="006B4A66" w:rsidRPr="006B4A66" w:rsidRDefault="006B4A66" w:rsidP="0073496A">
            <w:pPr>
              <w:spacing w:line="480" w:lineRule="auto"/>
              <w:rPr>
                <w:rFonts w:ascii="Times New Roman"/>
                <w:b/>
                <w:bCs/>
                <w:color w:val="000000"/>
              </w:rPr>
            </w:pPr>
            <w:r w:rsidRPr="006B4A66">
              <w:rPr>
                <w:rFonts w:ascii="Times New Roman"/>
                <w:b/>
                <w:bCs/>
                <w:color w:val="000000"/>
              </w:rPr>
              <w:t>Group R-1</w:t>
            </w:r>
          </w:p>
        </w:tc>
        <w:tc>
          <w:tcPr>
            <w:tcW w:w="900" w:type="dxa"/>
          </w:tcPr>
          <w:p w14:paraId="320037DB" w14:textId="77777777" w:rsidR="006B4A66" w:rsidRPr="006B4A66" w:rsidRDefault="006B4A66" w:rsidP="0073496A">
            <w:pPr>
              <w:spacing w:line="480" w:lineRule="auto"/>
              <w:rPr>
                <w:rFonts w:ascii="Times New Roman"/>
                <w:b/>
                <w:bCs/>
                <w:color w:val="000000"/>
              </w:rPr>
            </w:pPr>
            <w:r w:rsidRPr="006B4A66">
              <w:rPr>
                <w:rFonts w:ascii="Times New Roman"/>
                <w:b/>
                <w:bCs/>
                <w:color w:val="000000"/>
              </w:rPr>
              <w:t>Group R-2</w:t>
            </w:r>
          </w:p>
        </w:tc>
        <w:tc>
          <w:tcPr>
            <w:tcW w:w="900" w:type="dxa"/>
          </w:tcPr>
          <w:p w14:paraId="4D6BA4F9" w14:textId="77777777" w:rsidR="006B4A66" w:rsidRPr="006B4A66" w:rsidRDefault="006B4A66" w:rsidP="0073496A">
            <w:pPr>
              <w:spacing w:line="480" w:lineRule="auto"/>
              <w:rPr>
                <w:rFonts w:ascii="Times New Roman"/>
                <w:b/>
                <w:bCs/>
                <w:color w:val="000000"/>
              </w:rPr>
            </w:pPr>
            <w:r w:rsidRPr="006B4A66">
              <w:rPr>
                <w:rFonts w:ascii="Times New Roman"/>
                <w:b/>
                <w:bCs/>
                <w:color w:val="000000"/>
              </w:rPr>
              <w:t>Group B</w:t>
            </w:r>
          </w:p>
        </w:tc>
        <w:tc>
          <w:tcPr>
            <w:tcW w:w="900" w:type="dxa"/>
          </w:tcPr>
          <w:p w14:paraId="35A4CB2F" w14:textId="77777777" w:rsidR="006B4A66" w:rsidRPr="006B4A66" w:rsidRDefault="006B4A66" w:rsidP="0073496A">
            <w:pPr>
              <w:spacing w:line="480" w:lineRule="auto"/>
              <w:rPr>
                <w:rFonts w:ascii="Times New Roman"/>
                <w:b/>
                <w:bCs/>
                <w:color w:val="000000"/>
              </w:rPr>
            </w:pPr>
            <w:r w:rsidRPr="006B4A66">
              <w:rPr>
                <w:rFonts w:ascii="Times New Roman"/>
                <w:b/>
                <w:bCs/>
                <w:color w:val="000000"/>
              </w:rPr>
              <w:t>Group E</w:t>
            </w:r>
          </w:p>
        </w:tc>
        <w:tc>
          <w:tcPr>
            <w:tcW w:w="1058" w:type="dxa"/>
          </w:tcPr>
          <w:p w14:paraId="0E13A50A" w14:textId="77777777" w:rsidR="006B4A66" w:rsidRPr="006B4A66" w:rsidRDefault="006B4A66" w:rsidP="0073496A">
            <w:pPr>
              <w:spacing w:line="480" w:lineRule="auto"/>
              <w:rPr>
                <w:rFonts w:ascii="Times New Roman"/>
                <w:b/>
                <w:bCs/>
                <w:color w:val="000000"/>
              </w:rPr>
            </w:pPr>
            <w:r w:rsidRPr="006B4A66">
              <w:rPr>
                <w:rFonts w:ascii="Times New Roman"/>
                <w:b/>
                <w:bCs/>
                <w:color w:val="000000"/>
              </w:rPr>
              <w:t>Group M</w:t>
            </w:r>
          </w:p>
        </w:tc>
        <w:tc>
          <w:tcPr>
            <w:tcW w:w="913" w:type="dxa"/>
          </w:tcPr>
          <w:p w14:paraId="22AF37BE" w14:textId="77777777" w:rsidR="006B4A66" w:rsidRPr="006B4A66" w:rsidRDefault="006B4A66" w:rsidP="0073496A">
            <w:pPr>
              <w:spacing w:line="480" w:lineRule="auto"/>
              <w:rPr>
                <w:rFonts w:ascii="Times New Roman"/>
                <w:b/>
                <w:bCs/>
                <w:color w:val="000000"/>
              </w:rPr>
            </w:pPr>
            <w:r w:rsidRPr="006B4A66">
              <w:rPr>
                <w:rFonts w:ascii="Times New Roman"/>
                <w:b/>
                <w:bCs/>
                <w:color w:val="000000"/>
              </w:rPr>
              <w:t>All Other</w:t>
            </w:r>
          </w:p>
        </w:tc>
      </w:tr>
      <w:tr w:rsidR="006B4A66" w:rsidRPr="006B4A66" w14:paraId="5E721885" w14:textId="77777777">
        <w:tc>
          <w:tcPr>
            <w:tcW w:w="1552" w:type="dxa"/>
          </w:tcPr>
          <w:p w14:paraId="37F4F236" w14:textId="77777777" w:rsidR="006B4A66" w:rsidRPr="006B4A66" w:rsidRDefault="006B4A66" w:rsidP="0073496A">
            <w:pPr>
              <w:spacing w:line="480" w:lineRule="auto"/>
              <w:rPr>
                <w:rFonts w:ascii="Times New Roman"/>
                <w:color w:val="000000"/>
              </w:rPr>
            </w:pPr>
            <w:r w:rsidRPr="006B4A66">
              <w:rPr>
                <w:rFonts w:ascii="Times New Roman"/>
                <w:color w:val="000000"/>
              </w:rPr>
              <w:t>1. Dwelling Unit HVAC control</w:t>
            </w:r>
          </w:p>
        </w:tc>
        <w:tc>
          <w:tcPr>
            <w:tcW w:w="1281" w:type="dxa"/>
          </w:tcPr>
          <w:p w14:paraId="4AFCE545" w14:textId="77777777" w:rsidR="006B4A66" w:rsidRPr="006B4A66" w:rsidRDefault="006B4A66" w:rsidP="0073496A">
            <w:pPr>
              <w:spacing w:line="480" w:lineRule="auto"/>
              <w:rPr>
                <w:rFonts w:ascii="Times New Roman"/>
                <w:color w:val="000000"/>
              </w:rPr>
            </w:pPr>
            <w:r w:rsidRPr="006B4A66">
              <w:rPr>
                <w:rFonts w:ascii="Times New Roman"/>
                <w:color w:val="000000"/>
              </w:rPr>
              <w:t>C406.2.1</w:t>
            </w:r>
          </w:p>
        </w:tc>
        <w:tc>
          <w:tcPr>
            <w:tcW w:w="1060" w:type="dxa"/>
          </w:tcPr>
          <w:p w14:paraId="62F4783B" w14:textId="77777777" w:rsidR="006B4A66" w:rsidRPr="006B4A66" w:rsidRDefault="006B4A66" w:rsidP="0073496A">
            <w:pPr>
              <w:spacing w:line="480" w:lineRule="auto"/>
              <w:rPr>
                <w:rFonts w:ascii="Times New Roman"/>
                <w:color w:val="000000"/>
              </w:rPr>
            </w:pPr>
            <w:r w:rsidRPr="006B4A66">
              <w:rPr>
                <w:rFonts w:ascii="Times New Roman"/>
                <w:color w:val="000000"/>
              </w:rPr>
              <w:t>Heat</w:t>
            </w:r>
          </w:p>
        </w:tc>
        <w:tc>
          <w:tcPr>
            <w:tcW w:w="899" w:type="dxa"/>
          </w:tcPr>
          <w:p w14:paraId="57B56C6A"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900" w:type="dxa"/>
          </w:tcPr>
          <w:p w14:paraId="660CF772" w14:textId="77777777" w:rsidR="006B4A66" w:rsidRPr="006B4A66" w:rsidRDefault="006B4A66" w:rsidP="0073496A">
            <w:pPr>
              <w:spacing w:line="480" w:lineRule="auto"/>
              <w:rPr>
                <w:rFonts w:ascii="Times New Roman"/>
                <w:color w:val="000000"/>
              </w:rPr>
            </w:pPr>
            <w:r w:rsidRPr="006B4A66">
              <w:rPr>
                <w:rFonts w:ascii="Times New Roman"/>
                <w:color w:val="000000"/>
              </w:rPr>
              <w:t>7</w:t>
            </w:r>
          </w:p>
        </w:tc>
        <w:tc>
          <w:tcPr>
            <w:tcW w:w="900" w:type="dxa"/>
          </w:tcPr>
          <w:p w14:paraId="1A7DC18F"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900" w:type="dxa"/>
          </w:tcPr>
          <w:p w14:paraId="65774910"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1058" w:type="dxa"/>
          </w:tcPr>
          <w:p w14:paraId="2C3ADAE8"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913" w:type="dxa"/>
          </w:tcPr>
          <w:p w14:paraId="68ECC5EE"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r>
      <w:tr w:rsidR="006B4A66" w:rsidRPr="006B4A66" w14:paraId="29FE11AF" w14:textId="77777777">
        <w:tc>
          <w:tcPr>
            <w:tcW w:w="1552" w:type="dxa"/>
          </w:tcPr>
          <w:p w14:paraId="5A239715" w14:textId="77777777" w:rsidR="006B4A66" w:rsidRPr="006B4A66" w:rsidRDefault="006B4A66" w:rsidP="0073496A">
            <w:pPr>
              <w:spacing w:line="480" w:lineRule="auto"/>
              <w:rPr>
                <w:rFonts w:ascii="Times New Roman"/>
                <w:color w:val="000000"/>
              </w:rPr>
            </w:pPr>
            <w:r w:rsidRPr="006B4A66">
              <w:rPr>
                <w:rFonts w:ascii="Times New Roman"/>
                <w:color w:val="000000"/>
              </w:rPr>
              <w:t>2. Improved HVAC TSPR</w:t>
            </w:r>
          </w:p>
        </w:tc>
        <w:tc>
          <w:tcPr>
            <w:tcW w:w="1281" w:type="dxa"/>
          </w:tcPr>
          <w:p w14:paraId="2267E8A2" w14:textId="77777777" w:rsidR="006B4A66" w:rsidRPr="006B4A66" w:rsidRDefault="006B4A66" w:rsidP="0073496A">
            <w:pPr>
              <w:spacing w:line="480" w:lineRule="auto"/>
              <w:rPr>
                <w:rFonts w:ascii="Times New Roman"/>
                <w:color w:val="000000"/>
              </w:rPr>
            </w:pPr>
            <w:r w:rsidRPr="006B4A66">
              <w:rPr>
                <w:rFonts w:ascii="Times New Roman"/>
                <w:color w:val="000000"/>
              </w:rPr>
              <w:t>C406.2.2.1</w:t>
            </w:r>
          </w:p>
        </w:tc>
        <w:tc>
          <w:tcPr>
            <w:tcW w:w="1060" w:type="dxa"/>
          </w:tcPr>
          <w:p w14:paraId="075446D4" w14:textId="77777777" w:rsidR="006B4A66" w:rsidRPr="006B4A66" w:rsidRDefault="006B4A66" w:rsidP="0073496A">
            <w:pPr>
              <w:spacing w:line="480" w:lineRule="auto"/>
              <w:rPr>
                <w:rFonts w:ascii="Times New Roman"/>
                <w:color w:val="000000"/>
              </w:rPr>
            </w:pPr>
            <w:r w:rsidRPr="006B4A66">
              <w:rPr>
                <w:rFonts w:ascii="Times New Roman"/>
                <w:color w:val="000000"/>
              </w:rPr>
              <w:t>Heat</w:t>
            </w:r>
          </w:p>
        </w:tc>
        <w:tc>
          <w:tcPr>
            <w:tcW w:w="899" w:type="dxa"/>
          </w:tcPr>
          <w:p w14:paraId="472DDA6E"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900" w:type="dxa"/>
          </w:tcPr>
          <w:p w14:paraId="45217644" w14:textId="77777777" w:rsidR="006B4A66" w:rsidRPr="006B4A66" w:rsidRDefault="006B4A66" w:rsidP="0073496A">
            <w:pPr>
              <w:spacing w:line="480" w:lineRule="auto"/>
              <w:rPr>
                <w:rFonts w:ascii="Times New Roman"/>
                <w:color w:val="000000"/>
              </w:rPr>
            </w:pPr>
            <w:r w:rsidRPr="006B4A66">
              <w:rPr>
                <w:rFonts w:ascii="Times New Roman"/>
                <w:color w:val="000000"/>
              </w:rPr>
              <w:t>8</w:t>
            </w:r>
          </w:p>
        </w:tc>
        <w:tc>
          <w:tcPr>
            <w:tcW w:w="900" w:type="dxa"/>
          </w:tcPr>
          <w:p w14:paraId="2FC2F368" w14:textId="77777777" w:rsidR="006B4A66" w:rsidRPr="006B4A66" w:rsidRDefault="006B4A66" w:rsidP="0073496A">
            <w:pPr>
              <w:spacing w:line="480" w:lineRule="auto"/>
              <w:rPr>
                <w:rFonts w:ascii="Times New Roman"/>
                <w:color w:val="000000"/>
              </w:rPr>
            </w:pPr>
            <w:r w:rsidRPr="006B4A66">
              <w:rPr>
                <w:rFonts w:ascii="Times New Roman"/>
                <w:color w:val="000000"/>
              </w:rPr>
              <w:t>11</w:t>
            </w:r>
          </w:p>
        </w:tc>
        <w:tc>
          <w:tcPr>
            <w:tcW w:w="900" w:type="dxa"/>
          </w:tcPr>
          <w:p w14:paraId="6500BB6A" w14:textId="77777777" w:rsidR="006B4A66" w:rsidRPr="006B4A66" w:rsidRDefault="006B4A66" w:rsidP="0073496A">
            <w:pPr>
              <w:spacing w:line="480" w:lineRule="auto"/>
              <w:rPr>
                <w:rFonts w:ascii="Times New Roman"/>
                <w:color w:val="000000"/>
              </w:rPr>
            </w:pPr>
            <w:r w:rsidRPr="006B4A66">
              <w:rPr>
                <w:rFonts w:ascii="Times New Roman"/>
                <w:color w:val="000000"/>
              </w:rPr>
              <w:t>17</w:t>
            </w:r>
          </w:p>
        </w:tc>
        <w:tc>
          <w:tcPr>
            <w:tcW w:w="1058" w:type="dxa"/>
          </w:tcPr>
          <w:p w14:paraId="6822BB28" w14:textId="77777777" w:rsidR="006B4A66" w:rsidRPr="006B4A66" w:rsidRDefault="006B4A66" w:rsidP="0073496A">
            <w:pPr>
              <w:spacing w:line="480" w:lineRule="auto"/>
              <w:rPr>
                <w:rFonts w:ascii="Times New Roman"/>
                <w:color w:val="000000"/>
              </w:rPr>
            </w:pPr>
            <w:r w:rsidRPr="006B4A66">
              <w:rPr>
                <w:rFonts w:ascii="Times New Roman"/>
                <w:color w:val="000000"/>
              </w:rPr>
              <w:t>22</w:t>
            </w:r>
          </w:p>
        </w:tc>
        <w:tc>
          <w:tcPr>
            <w:tcW w:w="913" w:type="dxa"/>
          </w:tcPr>
          <w:p w14:paraId="1772CBB8"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r>
      <w:tr w:rsidR="006B4A66" w:rsidRPr="006B4A66" w14:paraId="0323B08C" w14:textId="77777777">
        <w:tc>
          <w:tcPr>
            <w:tcW w:w="1552" w:type="dxa"/>
          </w:tcPr>
          <w:p w14:paraId="12F93720" w14:textId="77777777" w:rsidR="006B4A66" w:rsidRPr="006B4A66" w:rsidRDefault="006B4A66" w:rsidP="0073496A">
            <w:pPr>
              <w:spacing w:line="480" w:lineRule="auto"/>
              <w:rPr>
                <w:rFonts w:ascii="Times New Roman"/>
                <w:color w:val="000000"/>
              </w:rPr>
            </w:pPr>
            <w:r w:rsidRPr="006B4A66">
              <w:rPr>
                <w:rFonts w:ascii="Times New Roman"/>
                <w:color w:val="000000"/>
              </w:rPr>
              <w:t>3. Improved cooling and fan efficiency</w:t>
            </w:r>
          </w:p>
        </w:tc>
        <w:tc>
          <w:tcPr>
            <w:tcW w:w="1281" w:type="dxa"/>
          </w:tcPr>
          <w:p w14:paraId="7DC48436" w14:textId="77777777" w:rsidR="006B4A66" w:rsidRPr="006B4A66" w:rsidRDefault="006B4A66" w:rsidP="0073496A">
            <w:pPr>
              <w:spacing w:line="480" w:lineRule="auto"/>
              <w:rPr>
                <w:rFonts w:ascii="Times New Roman"/>
                <w:color w:val="000000"/>
              </w:rPr>
            </w:pPr>
            <w:r w:rsidRPr="006B4A66">
              <w:rPr>
                <w:rFonts w:ascii="Times New Roman"/>
                <w:color w:val="000000"/>
              </w:rPr>
              <w:t>C406.2.2.2</w:t>
            </w:r>
          </w:p>
        </w:tc>
        <w:tc>
          <w:tcPr>
            <w:tcW w:w="1060" w:type="dxa"/>
          </w:tcPr>
          <w:p w14:paraId="771117A8" w14:textId="77777777" w:rsidR="006B4A66" w:rsidRPr="006B4A66" w:rsidRDefault="006B4A66" w:rsidP="0073496A">
            <w:pPr>
              <w:spacing w:line="480" w:lineRule="auto"/>
              <w:rPr>
                <w:rFonts w:ascii="Times New Roman"/>
                <w:color w:val="000000"/>
              </w:rPr>
            </w:pPr>
            <w:r w:rsidRPr="006B4A66">
              <w:rPr>
                <w:rFonts w:ascii="Times New Roman"/>
                <w:color w:val="000000"/>
              </w:rPr>
              <w:t>Heat</w:t>
            </w:r>
          </w:p>
        </w:tc>
        <w:tc>
          <w:tcPr>
            <w:tcW w:w="899" w:type="dxa"/>
          </w:tcPr>
          <w:p w14:paraId="65C5749A" w14:textId="77777777" w:rsidR="006B4A66" w:rsidRPr="006B4A66" w:rsidRDefault="006B4A66" w:rsidP="0073496A">
            <w:pPr>
              <w:spacing w:line="480" w:lineRule="auto"/>
              <w:rPr>
                <w:rFonts w:ascii="Times New Roman"/>
                <w:color w:val="000000"/>
              </w:rPr>
            </w:pPr>
            <w:r w:rsidRPr="006B4A66">
              <w:rPr>
                <w:rFonts w:ascii="Times New Roman"/>
                <w:color w:val="000000"/>
              </w:rPr>
              <w:t>8</w:t>
            </w:r>
          </w:p>
        </w:tc>
        <w:tc>
          <w:tcPr>
            <w:tcW w:w="900" w:type="dxa"/>
          </w:tcPr>
          <w:p w14:paraId="6317196D" w14:textId="77777777" w:rsidR="006B4A66" w:rsidRPr="006B4A66" w:rsidRDefault="006B4A66" w:rsidP="0073496A">
            <w:pPr>
              <w:spacing w:line="480" w:lineRule="auto"/>
              <w:rPr>
                <w:rFonts w:ascii="Times New Roman"/>
                <w:color w:val="000000"/>
              </w:rPr>
            </w:pPr>
            <w:r w:rsidRPr="006B4A66">
              <w:rPr>
                <w:rFonts w:ascii="Times New Roman"/>
                <w:color w:val="000000"/>
              </w:rPr>
              <w:t>5</w:t>
            </w:r>
          </w:p>
        </w:tc>
        <w:tc>
          <w:tcPr>
            <w:tcW w:w="900" w:type="dxa"/>
          </w:tcPr>
          <w:p w14:paraId="08375081" w14:textId="77777777" w:rsidR="006B4A66" w:rsidRPr="006B4A66" w:rsidRDefault="006B4A66" w:rsidP="0073496A">
            <w:pPr>
              <w:spacing w:line="480" w:lineRule="auto"/>
              <w:rPr>
                <w:rFonts w:ascii="Times New Roman"/>
                <w:color w:val="000000"/>
              </w:rPr>
            </w:pPr>
            <w:r w:rsidRPr="006B4A66">
              <w:rPr>
                <w:rFonts w:ascii="Times New Roman"/>
                <w:color w:val="000000"/>
              </w:rPr>
              <w:t>10</w:t>
            </w:r>
          </w:p>
        </w:tc>
        <w:tc>
          <w:tcPr>
            <w:tcW w:w="900" w:type="dxa"/>
          </w:tcPr>
          <w:p w14:paraId="4D18198A" w14:textId="77777777" w:rsidR="006B4A66" w:rsidRPr="006B4A66" w:rsidRDefault="006B4A66" w:rsidP="0073496A">
            <w:pPr>
              <w:spacing w:line="480" w:lineRule="auto"/>
              <w:rPr>
                <w:rFonts w:ascii="Times New Roman"/>
                <w:color w:val="000000"/>
              </w:rPr>
            </w:pPr>
            <w:r w:rsidRPr="006B4A66">
              <w:rPr>
                <w:rFonts w:ascii="Times New Roman"/>
                <w:color w:val="000000"/>
              </w:rPr>
              <w:t>10</w:t>
            </w:r>
          </w:p>
        </w:tc>
        <w:tc>
          <w:tcPr>
            <w:tcW w:w="1058" w:type="dxa"/>
          </w:tcPr>
          <w:p w14:paraId="30989136" w14:textId="77777777" w:rsidR="006B4A66" w:rsidRPr="006B4A66" w:rsidRDefault="006B4A66" w:rsidP="0073496A">
            <w:pPr>
              <w:spacing w:line="480" w:lineRule="auto"/>
              <w:rPr>
                <w:rFonts w:ascii="Times New Roman"/>
                <w:color w:val="000000"/>
              </w:rPr>
            </w:pPr>
            <w:r w:rsidRPr="006B4A66">
              <w:rPr>
                <w:rFonts w:ascii="Times New Roman"/>
                <w:color w:val="000000"/>
              </w:rPr>
              <w:t>8</w:t>
            </w:r>
          </w:p>
        </w:tc>
        <w:tc>
          <w:tcPr>
            <w:tcW w:w="913" w:type="dxa"/>
          </w:tcPr>
          <w:p w14:paraId="6807826E" w14:textId="77777777" w:rsidR="006B4A66" w:rsidRPr="006B4A66" w:rsidRDefault="006B4A66" w:rsidP="0073496A">
            <w:pPr>
              <w:spacing w:line="480" w:lineRule="auto"/>
              <w:rPr>
                <w:rFonts w:ascii="Times New Roman"/>
                <w:color w:val="000000"/>
              </w:rPr>
            </w:pPr>
            <w:r w:rsidRPr="006B4A66">
              <w:rPr>
                <w:rFonts w:ascii="Times New Roman"/>
                <w:color w:val="000000"/>
              </w:rPr>
              <w:t>8</w:t>
            </w:r>
          </w:p>
        </w:tc>
      </w:tr>
      <w:tr w:rsidR="006B4A66" w:rsidRPr="006B4A66" w14:paraId="4705176D" w14:textId="77777777">
        <w:tc>
          <w:tcPr>
            <w:tcW w:w="1552" w:type="dxa"/>
          </w:tcPr>
          <w:p w14:paraId="0B38A4A2" w14:textId="77777777" w:rsidR="006B4A66" w:rsidRPr="006B4A66" w:rsidRDefault="006B4A66" w:rsidP="0073496A">
            <w:pPr>
              <w:spacing w:line="480" w:lineRule="auto"/>
              <w:rPr>
                <w:rFonts w:ascii="Times New Roman"/>
                <w:color w:val="000000"/>
              </w:rPr>
            </w:pPr>
            <w:r w:rsidRPr="006B4A66">
              <w:rPr>
                <w:rFonts w:ascii="Times New Roman"/>
                <w:color w:val="000000"/>
              </w:rPr>
              <w:t>4. Improved heating efficiency</w:t>
            </w:r>
          </w:p>
        </w:tc>
        <w:tc>
          <w:tcPr>
            <w:tcW w:w="1281" w:type="dxa"/>
          </w:tcPr>
          <w:p w14:paraId="1710900E" w14:textId="77777777" w:rsidR="006B4A66" w:rsidRPr="006B4A66" w:rsidRDefault="006B4A66" w:rsidP="0073496A">
            <w:pPr>
              <w:spacing w:line="480" w:lineRule="auto"/>
              <w:rPr>
                <w:rFonts w:ascii="Times New Roman"/>
                <w:color w:val="000000"/>
              </w:rPr>
            </w:pPr>
            <w:r w:rsidRPr="006B4A66">
              <w:rPr>
                <w:rFonts w:ascii="Times New Roman"/>
                <w:color w:val="000000"/>
              </w:rPr>
              <w:t>C406.2.2.3</w:t>
            </w:r>
          </w:p>
        </w:tc>
        <w:tc>
          <w:tcPr>
            <w:tcW w:w="1060" w:type="dxa"/>
          </w:tcPr>
          <w:p w14:paraId="71733234" w14:textId="77777777" w:rsidR="006B4A66" w:rsidRPr="006B4A66" w:rsidRDefault="006B4A66" w:rsidP="0073496A">
            <w:pPr>
              <w:spacing w:line="480" w:lineRule="auto"/>
              <w:rPr>
                <w:rFonts w:ascii="Times New Roman"/>
                <w:color w:val="000000"/>
              </w:rPr>
            </w:pPr>
            <w:r w:rsidRPr="006B4A66">
              <w:rPr>
                <w:rFonts w:ascii="Times New Roman"/>
                <w:color w:val="000000"/>
              </w:rPr>
              <w:t>Heat</w:t>
            </w:r>
          </w:p>
        </w:tc>
        <w:tc>
          <w:tcPr>
            <w:tcW w:w="899" w:type="dxa"/>
          </w:tcPr>
          <w:p w14:paraId="6B59F0A2" w14:textId="77777777" w:rsidR="006B4A66" w:rsidRPr="006B4A66" w:rsidRDefault="006B4A66" w:rsidP="0073496A">
            <w:pPr>
              <w:spacing w:line="480" w:lineRule="auto"/>
              <w:rPr>
                <w:rFonts w:ascii="Times New Roman"/>
                <w:color w:val="000000"/>
              </w:rPr>
            </w:pPr>
            <w:r w:rsidRPr="006B4A66">
              <w:rPr>
                <w:rFonts w:ascii="Times New Roman"/>
                <w:color w:val="000000"/>
              </w:rPr>
              <w:t>1</w:t>
            </w:r>
          </w:p>
        </w:tc>
        <w:tc>
          <w:tcPr>
            <w:tcW w:w="900" w:type="dxa"/>
          </w:tcPr>
          <w:p w14:paraId="7471631F" w14:textId="77777777" w:rsidR="006B4A66" w:rsidRPr="006B4A66" w:rsidRDefault="006B4A66" w:rsidP="0073496A">
            <w:pPr>
              <w:spacing w:line="480" w:lineRule="auto"/>
              <w:rPr>
                <w:rFonts w:ascii="Times New Roman"/>
                <w:color w:val="000000"/>
              </w:rPr>
            </w:pPr>
            <w:r w:rsidRPr="006B4A66">
              <w:rPr>
                <w:rFonts w:ascii="Times New Roman"/>
                <w:color w:val="000000"/>
              </w:rPr>
              <w:t>1</w:t>
            </w:r>
          </w:p>
        </w:tc>
        <w:tc>
          <w:tcPr>
            <w:tcW w:w="900" w:type="dxa"/>
          </w:tcPr>
          <w:p w14:paraId="3CF4883C" w14:textId="77777777" w:rsidR="006B4A66" w:rsidRPr="006B4A66" w:rsidRDefault="006B4A66" w:rsidP="0073496A">
            <w:pPr>
              <w:spacing w:line="480" w:lineRule="auto"/>
              <w:rPr>
                <w:rFonts w:ascii="Times New Roman"/>
                <w:color w:val="000000"/>
              </w:rPr>
            </w:pPr>
            <w:r w:rsidRPr="006B4A66">
              <w:rPr>
                <w:rFonts w:ascii="Times New Roman"/>
                <w:color w:val="000000"/>
              </w:rPr>
              <w:t>1</w:t>
            </w:r>
          </w:p>
        </w:tc>
        <w:tc>
          <w:tcPr>
            <w:tcW w:w="900" w:type="dxa"/>
          </w:tcPr>
          <w:p w14:paraId="0C1B35E6" w14:textId="77777777" w:rsidR="006B4A66" w:rsidRPr="006B4A66" w:rsidRDefault="006B4A66" w:rsidP="0073496A">
            <w:pPr>
              <w:spacing w:line="480" w:lineRule="auto"/>
              <w:rPr>
                <w:rFonts w:ascii="Times New Roman"/>
                <w:color w:val="000000"/>
              </w:rPr>
            </w:pPr>
            <w:r w:rsidRPr="006B4A66">
              <w:rPr>
                <w:rFonts w:ascii="Times New Roman"/>
                <w:color w:val="000000"/>
              </w:rPr>
              <w:t>1</w:t>
            </w:r>
          </w:p>
        </w:tc>
        <w:tc>
          <w:tcPr>
            <w:tcW w:w="1058" w:type="dxa"/>
          </w:tcPr>
          <w:p w14:paraId="0AEF72B4" w14:textId="77777777" w:rsidR="006B4A66" w:rsidRPr="006B4A66" w:rsidRDefault="006B4A66" w:rsidP="0073496A">
            <w:pPr>
              <w:spacing w:line="480" w:lineRule="auto"/>
              <w:rPr>
                <w:rFonts w:ascii="Times New Roman"/>
                <w:color w:val="000000"/>
              </w:rPr>
            </w:pPr>
            <w:r w:rsidRPr="006B4A66">
              <w:rPr>
                <w:rFonts w:ascii="Times New Roman"/>
                <w:color w:val="000000"/>
              </w:rPr>
              <w:t>2</w:t>
            </w:r>
          </w:p>
        </w:tc>
        <w:tc>
          <w:tcPr>
            <w:tcW w:w="913" w:type="dxa"/>
          </w:tcPr>
          <w:p w14:paraId="1F101512" w14:textId="77777777" w:rsidR="006B4A66" w:rsidRPr="006B4A66" w:rsidRDefault="006B4A66" w:rsidP="0073496A">
            <w:pPr>
              <w:spacing w:line="480" w:lineRule="auto"/>
              <w:rPr>
                <w:rFonts w:ascii="Times New Roman"/>
                <w:color w:val="000000"/>
              </w:rPr>
            </w:pPr>
            <w:r w:rsidRPr="006B4A66">
              <w:rPr>
                <w:rFonts w:ascii="Times New Roman"/>
                <w:color w:val="000000"/>
              </w:rPr>
              <w:t>1</w:t>
            </w:r>
          </w:p>
        </w:tc>
      </w:tr>
      <w:tr w:rsidR="006B4A66" w:rsidRPr="006B4A66" w14:paraId="16241EE3" w14:textId="77777777">
        <w:tc>
          <w:tcPr>
            <w:tcW w:w="1552" w:type="dxa"/>
          </w:tcPr>
          <w:p w14:paraId="296079CE" w14:textId="77777777" w:rsidR="006B4A66" w:rsidRPr="006B4A66" w:rsidRDefault="006B4A66" w:rsidP="0073496A">
            <w:pPr>
              <w:spacing w:line="480" w:lineRule="auto"/>
              <w:rPr>
                <w:rFonts w:ascii="Times New Roman"/>
                <w:color w:val="000000"/>
              </w:rPr>
            </w:pPr>
            <w:r w:rsidRPr="006B4A66">
              <w:rPr>
                <w:rFonts w:ascii="Times New Roman"/>
                <w:color w:val="000000"/>
              </w:rPr>
              <w:t>5. Improved low-carbon district energy system (100% better)</w:t>
            </w:r>
          </w:p>
        </w:tc>
        <w:tc>
          <w:tcPr>
            <w:tcW w:w="1281" w:type="dxa"/>
          </w:tcPr>
          <w:p w14:paraId="752D9911" w14:textId="77777777" w:rsidR="006B4A66" w:rsidRPr="006B4A66" w:rsidRDefault="006B4A66" w:rsidP="0073496A">
            <w:pPr>
              <w:spacing w:line="480" w:lineRule="auto"/>
              <w:rPr>
                <w:rFonts w:ascii="Times New Roman"/>
                <w:color w:val="000000"/>
              </w:rPr>
            </w:pPr>
            <w:r w:rsidRPr="006B4A66">
              <w:rPr>
                <w:rFonts w:ascii="Times New Roman"/>
                <w:color w:val="000000"/>
              </w:rPr>
              <w:t>C406.2.2.4</w:t>
            </w:r>
          </w:p>
        </w:tc>
        <w:tc>
          <w:tcPr>
            <w:tcW w:w="1060" w:type="dxa"/>
          </w:tcPr>
          <w:p w14:paraId="71561B15" w14:textId="77777777" w:rsidR="006B4A66" w:rsidRPr="006B4A66" w:rsidRDefault="006B4A66" w:rsidP="0073496A">
            <w:pPr>
              <w:spacing w:line="480" w:lineRule="auto"/>
              <w:rPr>
                <w:rFonts w:ascii="Times New Roman"/>
                <w:color w:val="000000"/>
              </w:rPr>
            </w:pPr>
          </w:p>
        </w:tc>
        <w:tc>
          <w:tcPr>
            <w:tcW w:w="899" w:type="dxa"/>
          </w:tcPr>
          <w:p w14:paraId="0F59E2DA" w14:textId="77777777" w:rsidR="006B4A66" w:rsidRPr="006B4A66" w:rsidRDefault="006B4A66" w:rsidP="0073496A">
            <w:pPr>
              <w:spacing w:line="480" w:lineRule="auto"/>
              <w:rPr>
                <w:rFonts w:ascii="Times New Roman"/>
                <w:color w:val="000000"/>
              </w:rPr>
            </w:pPr>
            <w:r w:rsidRPr="006B4A66">
              <w:rPr>
                <w:rFonts w:ascii="Times New Roman"/>
                <w:color w:val="000000"/>
              </w:rPr>
              <w:t>3</w:t>
            </w:r>
          </w:p>
        </w:tc>
        <w:tc>
          <w:tcPr>
            <w:tcW w:w="900" w:type="dxa"/>
          </w:tcPr>
          <w:p w14:paraId="0660802B" w14:textId="77777777" w:rsidR="006B4A66" w:rsidRPr="006B4A66" w:rsidRDefault="006B4A66" w:rsidP="0073496A">
            <w:pPr>
              <w:spacing w:line="480" w:lineRule="auto"/>
              <w:rPr>
                <w:rFonts w:ascii="Times New Roman"/>
                <w:color w:val="000000"/>
              </w:rPr>
            </w:pPr>
            <w:r w:rsidRPr="006B4A66">
              <w:rPr>
                <w:rFonts w:ascii="Times New Roman"/>
                <w:color w:val="000000"/>
              </w:rPr>
              <w:t>3</w:t>
            </w:r>
          </w:p>
        </w:tc>
        <w:tc>
          <w:tcPr>
            <w:tcW w:w="900" w:type="dxa"/>
          </w:tcPr>
          <w:p w14:paraId="3F21A339" w14:textId="77777777" w:rsidR="006B4A66" w:rsidRPr="006B4A66" w:rsidRDefault="006B4A66" w:rsidP="0073496A">
            <w:pPr>
              <w:spacing w:line="480" w:lineRule="auto"/>
              <w:rPr>
                <w:rFonts w:ascii="Times New Roman"/>
                <w:color w:val="000000"/>
              </w:rPr>
            </w:pPr>
            <w:r w:rsidRPr="006B4A66">
              <w:rPr>
                <w:rFonts w:ascii="Times New Roman"/>
                <w:color w:val="000000"/>
              </w:rPr>
              <w:t>4</w:t>
            </w:r>
          </w:p>
        </w:tc>
        <w:tc>
          <w:tcPr>
            <w:tcW w:w="900" w:type="dxa"/>
          </w:tcPr>
          <w:p w14:paraId="087FA4FE" w14:textId="77777777" w:rsidR="006B4A66" w:rsidRPr="006B4A66" w:rsidRDefault="006B4A66" w:rsidP="0073496A">
            <w:pPr>
              <w:spacing w:line="480" w:lineRule="auto"/>
              <w:rPr>
                <w:rFonts w:ascii="Times New Roman"/>
                <w:color w:val="000000"/>
              </w:rPr>
            </w:pPr>
            <w:r w:rsidRPr="006B4A66">
              <w:rPr>
                <w:rFonts w:ascii="Times New Roman"/>
                <w:color w:val="000000"/>
              </w:rPr>
              <w:t>11</w:t>
            </w:r>
          </w:p>
        </w:tc>
        <w:tc>
          <w:tcPr>
            <w:tcW w:w="1058" w:type="dxa"/>
          </w:tcPr>
          <w:p w14:paraId="23E94B3D" w14:textId="77777777" w:rsidR="006B4A66" w:rsidRPr="006B4A66" w:rsidRDefault="006B4A66" w:rsidP="0073496A">
            <w:pPr>
              <w:spacing w:line="480" w:lineRule="auto"/>
              <w:rPr>
                <w:rFonts w:ascii="Times New Roman"/>
                <w:color w:val="000000"/>
              </w:rPr>
            </w:pPr>
            <w:r w:rsidRPr="006B4A66">
              <w:rPr>
                <w:rFonts w:ascii="Times New Roman"/>
                <w:color w:val="000000"/>
              </w:rPr>
              <w:t>17</w:t>
            </w:r>
          </w:p>
        </w:tc>
        <w:tc>
          <w:tcPr>
            <w:tcW w:w="913" w:type="dxa"/>
          </w:tcPr>
          <w:p w14:paraId="47F82805" w14:textId="77777777" w:rsidR="006B4A66" w:rsidRPr="006B4A66" w:rsidRDefault="006B4A66" w:rsidP="0073496A">
            <w:pPr>
              <w:spacing w:line="480" w:lineRule="auto"/>
              <w:rPr>
                <w:rFonts w:ascii="Times New Roman"/>
                <w:color w:val="000000"/>
              </w:rPr>
            </w:pPr>
            <w:r w:rsidRPr="006B4A66">
              <w:rPr>
                <w:rFonts w:ascii="Times New Roman"/>
                <w:color w:val="000000"/>
              </w:rPr>
              <w:t>8</w:t>
            </w:r>
          </w:p>
        </w:tc>
      </w:tr>
      <w:tr w:rsidR="006B4A66" w:rsidRPr="006B4A66" w14:paraId="45A3AF53" w14:textId="77777777">
        <w:tc>
          <w:tcPr>
            <w:tcW w:w="1552" w:type="dxa"/>
          </w:tcPr>
          <w:p w14:paraId="02C1A07E" w14:textId="77777777" w:rsidR="006B4A66" w:rsidRPr="006B4A66" w:rsidRDefault="006B4A66" w:rsidP="0073496A">
            <w:pPr>
              <w:spacing w:line="480" w:lineRule="auto"/>
              <w:rPr>
                <w:rFonts w:ascii="Times New Roman"/>
                <w:color w:val="000000"/>
              </w:rPr>
            </w:pPr>
            <w:r w:rsidRPr="006B4A66">
              <w:rPr>
                <w:rFonts w:ascii="Times New Roman"/>
                <w:color w:val="000000"/>
              </w:rPr>
              <w:t xml:space="preserve">6. Improved low-carbon district energy </w:t>
            </w:r>
            <w:r w:rsidRPr="006B4A66">
              <w:rPr>
                <w:rFonts w:ascii="Times New Roman"/>
                <w:color w:val="000000"/>
              </w:rPr>
              <w:lastRenderedPageBreak/>
              <w:t>system (20% better)</w:t>
            </w:r>
          </w:p>
        </w:tc>
        <w:tc>
          <w:tcPr>
            <w:tcW w:w="1281" w:type="dxa"/>
          </w:tcPr>
          <w:p w14:paraId="5936B3D3" w14:textId="77777777" w:rsidR="006B4A66" w:rsidRPr="006B4A66" w:rsidRDefault="006B4A66" w:rsidP="0073496A">
            <w:pPr>
              <w:spacing w:line="480" w:lineRule="auto"/>
              <w:rPr>
                <w:rFonts w:ascii="Times New Roman"/>
                <w:color w:val="000000"/>
              </w:rPr>
            </w:pPr>
            <w:r w:rsidRPr="006B4A66">
              <w:rPr>
                <w:rFonts w:ascii="Times New Roman"/>
                <w:color w:val="000000"/>
              </w:rPr>
              <w:lastRenderedPageBreak/>
              <w:t>C406.2.25</w:t>
            </w:r>
          </w:p>
        </w:tc>
        <w:tc>
          <w:tcPr>
            <w:tcW w:w="1060" w:type="dxa"/>
          </w:tcPr>
          <w:p w14:paraId="229D8C62" w14:textId="77777777" w:rsidR="006B4A66" w:rsidRPr="006B4A66" w:rsidRDefault="006B4A66" w:rsidP="0073496A">
            <w:pPr>
              <w:spacing w:line="480" w:lineRule="auto"/>
              <w:rPr>
                <w:rFonts w:ascii="Times New Roman"/>
                <w:color w:val="000000"/>
              </w:rPr>
            </w:pPr>
          </w:p>
        </w:tc>
        <w:tc>
          <w:tcPr>
            <w:tcW w:w="899" w:type="dxa"/>
          </w:tcPr>
          <w:p w14:paraId="111F5735" w14:textId="77777777" w:rsidR="006B4A66" w:rsidRPr="006B4A66" w:rsidRDefault="006B4A66" w:rsidP="0073496A">
            <w:pPr>
              <w:spacing w:line="480" w:lineRule="auto"/>
              <w:rPr>
                <w:rFonts w:ascii="Times New Roman"/>
                <w:color w:val="000000"/>
              </w:rPr>
            </w:pPr>
            <w:r w:rsidRPr="006B4A66">
              <w:rPr>
                <w:rFonts w:ascii="Times New Roman"/>
                <w:color w:val="000000"/>
              </w:rPr>
              <w:t>9</w:t>
            </w:r>
          </w:p>
        </w:tc>
        <w:tc>
          <w:tcPr>
            <w:tcW w:w="900" w:type="dxa"/>
          </w:tcPr>
          <w:p w14:paraId="7A614A4B" w14:textId="77777777" w:rsidR="006B4A66" w:rsidRPr="006B4A66" w:rsidRDefault="006B4A66" w:rsidP="0073496A">
            <w:pPr>
              <w:spacing w:line="480" w:lineRule="auto"/>
              <w:rPr>
                <w:rFonts w:ascii="Times New Roman"/>
                <w:color w:val="000000"/>
              </w:rPr>
            </w:pPr>
            <w:r w:rsidRPr="006B4A66">
              <w:rPr>
                <w:rFonts w:ascii="Times New Roman"/>
                <w:color w:val="000000"/>
              </w:rPr>
              <w:t>10</w:t>
            </w:r>
          </w:p>
        </w:tc>
        <w:tc>
          <w:tcPr>
            <w:tcW w:w="900" w:type="dxa"/>
          </w:tcPr>
          <w:p w14:paraId="016C0860" w14:textId="77777777" w:rsidR="006B4A66" w:rsidRPr="006B4A66" w:rsidRDefault="006B4A66" w:rsidP="0073496A">
            <w:pPr>
              <w:spacing w:line="480" w:lineRule="auto"/>
              <w:rPr>
                <w:rFonts w:ascii="Times New Roman"/>
                <w:color w:val="000000"/>
              </w:rPr>
            </w:pPr>
            <w:r w:rsidRPr="006B4A66">
              <w:rPr>
                <w:rFonts w:ascii="Times New Roman"/>
                <w:color w:val="000000"/>
              </w:rPr>
              <w:t>12</w:t>
            </w:r>
          </w:p>
        </w:tc>
        <w:tc>
          <w:tcPr>
            <w:tcW w:w="900" w:type="dxa"/>
          </w:tcPr>
          <w:p w14:paraId="2889F85C" w14:textId="77777777" w:rsidR="006B4A66" w:rsidRPr="006B4A66" w:rsidRDefault="006B4A66" w:rsidP="0073496A">
            <w:pPr>
              <w:spacing w:line="480" w:lineRule="auto"/>
              <w:rPr>
                <w:rFonts w:ascii="Times New Roman"/>
                <w:color w:val="000000"/>
              </w:rPr>
            </w:pPr>
            <w:r w:rsidRPr="006B4A66">
              <w:rPr>
                <w:rFonts w:ascii="Times New Roman"/>
                <w:color w:val="000000"/>
              </w:rPr>
              <w:t>33</w:t>
            </w:r>
          </w:p>
        </w:tc>
        <w:tc>
          <w:tcPr>
            <w:tcW w:w="1058" w:type="dxa"/>
          </w:tcPr>
          <w:p w14:paraId="50099EB7" w14:textId="77777777" w:rsidR="006B4A66" w:rsidRPr="006B4A66" w:rsidRDefault="006B4A66" w:rsidP="0073496A">
            <w:pPr>
              <w:spacing w:line="480" w:lineRule="auto"/>
              <w:rPr>
                <w:rFonts w:ascii="Times New Roman"/>
                <w:color w:val="000000"/>
              </w:rPr>
            </w:pPr>
            <w:r w:rsidRPr="006B4A66">
              <w:rPr>
                <w:rFonts w:ascii="Times New Roman"/>
                <w:color w:val="000000"/>
              </w:rPr>
              <w:t>52</w:t>
            </w:r>
          </w:p>
        </w:tc>
        <w:tc>
          <w:tcPr>
            <w:tcW w:w="913" w:type="dxa"/>
          </w:tcPr>
          <w:p w14:paraId="1C1AA7CA" w14:textId="77777777" w:rsidR="006B4A66" w:rsidRPr="006B4A66" w:rsidRDefault="006B4A66" w:rsidP="0073496A">
            <w:pPr>
              <w:spacing w:line="480" w:lineRule="auto"/>
              <w:rPr>
                <w:rFonts w:ascii="Times New Roman"/>
                <w:color w:val="000000"/>
              </w:rPr>
            </w:pPr>
            <w:r w:rsidRPr="006B4A66">
              <w:rPr>
                <w:rFonts w:ascii="Times New Roman"/>
                <w:color w:val="000000"/>
              </w:rPr>
              <w:t>24</w:t>
            </w:r>
          </w:p>
        </w:tc>
      </w:tr>
      <w:tr w:rsidR="006B4A66" w:rsidRPr="006B4A66" w14:paraId="7C0C8297" w14:textId="77777777">
        <w:tc>
          <w:tcPr>
            <w:tcW w:w="1552" w:type="dxa"/>
          </w:tcPr>
          <w:p w14:paraId="3389CCCF" w14:textId="77777777" w:rsidR="006B4A66" w:rsidRPr="006B4A66" w:rsidRDefault="006B4A66" w:rsidP="0073496A">
            <w:pPr>
              <w:spacing w:line="480" w:lineRule="auto"/>
              <w:rPr>
                <w:rFonts w:ascii="Times New Roman"/>
                <w:color w:val="000000"/>
              </w:rPr>
            </w:pPr>
            <w:r w:rsidRPr="006B4A66">
              <w:rPr>
                <w:rFonts w:ascii="Times New Roman"/>
                <w:color w:val="000000"/>
              </w:rPr>
              <w:t>7. High performance DOAS</w:t>
            </w:r>
          </w:p>
        </w:tc>
        <w:tc>
          <w:tcPr>
            <w:tcW w:w="1281" w:type="dxa"/>
          </w:tcPr>
          <w:p w14:paraId="4882E9E1" w14:textId="77777777" w:rsidR="006B4A66" w:rsidRPr="006B4A66" w:rsidRDefault="006B4A66" w:rsidP="0073496A">
            <w:pPr>
              <w:spacing w:line="480" w:lineRule="auto"/>
              <w:rPr>
                <w:rFonts w:ascii="Times New Roman"/>
                <w:color w:val="000000"/>
              </w:rPr>
            </w:pPr>
            <w:r w:rsidRPr="006B4A66">
              <w:rPr>
                <w:rFonts w:ascii="Times New Roman"/>
                <w:color w:val="000000"/>
              </w:rPr>
              <w:t>C406.2.2.6</w:t>
            </w:r>
          </w:p>
        </w:tc>
        <w:tc>
          <w:tcPr>
            <w:tcW w:w="1060" w:type="dxa"/>
          </w:tcPr>
          <w:p w14:paraId="61533DEB" w14:textId="77777777" w:rsidR="006B4A66" w:rsidRPr="006B4A66" w:rsidRDefault="006B4A66" w:rsidP="0073496A">
            <w:pPr>
              <w:spacing w:line="480" w:lineRule="auto"/>
              <w:rPr>
                <w:rFonts w:ascii="Times New Roman"/>
                <w:color w:val="000000"/>
              </w:rPr>
            </w:pPr>
            <w:r w:rsidRPr="006B4A66">
              <w:rPr>
                <w:rFonts w:ascii="Times New Roman"/>
                <w:color w:val="000000"/>
              </w:rPr>
              <w:t>Heat</w:t>
            </w:r>
          </w:p>
        </w:tc>
        <w:tc>
          <w:tcPr>
            <w:tcW w:w="899" w:type="dxa"/>
          </w:tcPr>
          <w:p w14:paraId="517B50C3" w14:textId="77777777" w:rsidR="006B4A66" w:rsidRPr="006B4A66" w:rsidRDefault="006B4A66" w:rsidP="0073496A">
            <w:pPr>
              <w:spacing w:line="480" w:lineRule="auto"/>
              <w:rPr>
                <w:rFonts w:ascii="Times New Roman"/>
                <w:color w:val="000000"/>
              </w:rPr>
            </w:pPr>
            <w:r w:rsidRPr="006B4A66">
              <w:rPr>
                <w:rFonts w:ascii="Times New Roman"/>
                <w:color w:val="000000"/>
              </w:rPr>
              <w:t>31</w:t>
            </w:r>
          </w:p>
        </w:tc>
        <w:tc>
          <w:tcPr>
            <w:tcW w:w="900" w:type="dxa"/>
          </w:tcPr>
          <w:p w14:paraId="02D6345E" w14:textId="77777777" w:rsidR="006B4A66" w:rsidRPr="006B4A66" w:rsidRDefault="006B4A66" w:rsidP="0073496A">
            <w:pPr>
              <w:spacing w:line="480" w:lineRule="auto"/>
              <w:rPr>
                <w:rFonts w:ascii="Times New Roman"/>
                <w:color w:val="000000"/>
              </w:rPr>
            </w:pPr>
            <w:r w:rsidRPr="006B4A66">
              <w:rPr>
                <w:rFonts w:ascii="Times New Roman"/>
                <w:color w:val="000000"/>
              </w:rPr>
              <w:t>31</w:t>
            </w:r>
          </w:p>
        </w:tc>
        <w:tc>
          <w:tcPr>
            <w:tcW w:w="900" w:type="dxa"/>
          </w:tcPr>
          <w:p w14:paraId="6EA3A05C" w14:textId="77777777" w:rsidR="006B4A66" w:rsidRPr="006B4A66" w:rsidRDefault="006B4A66" w:rsidP="0073496A">
            <w:pPr>
              <w:spacing w:line="480" w:lineRule="auto"/>
              <w:rPr>
                <w:rFonts w:ascii="Times New Roman"/>
                <w:color w:val="000000"/>
              </w:rPr>
            </w:pPr>
            <w:r w:rsidRPr="006B4A66">
              <w:rPr>
                <w:rFonts w:ascii="Times New Roman"/>
                <w:color w:val="000000"/>
              </w:rPr>
              <w:t>21</w:t>
            </w:r>
          </w:p>
        </w:tc>
        <w:tc>
          <w:tcPr>
            <w:tcW w:w="900" w:type="dxa"/>
          </w:tcPr>
          <w:p w14:paraId="164BDBB1" w14:textId="77777777" w:rsidR="006B4A66" w:rsidRPr="006B4A66" w:rsidRDefault="006B4A66" w:rsidP="0073496A">
            <w:pPr>
              <w:spacing w:line="480" w:lineRule="auto"/>
              <w:rPr>
                <w:rFonts w:ascii="Times New Roman"/>
                <w:color w:val="000000"/>
              </w:rPr>
            </w:pPr>
            <w:r w:rsidRPr="006B4A66">
              <w:rPr>
                <w:rFonts w:ascii="Times New Roman"/>
                <w:color w:val="000000"/>
              </w:rPr>
              <w:t>39</w:t>
            </w:r>
          </w:p>
        </w:tc>
        <w:tc>
          <w:tcPr>
            <w:tcW w:w="1058" w:type="dxa"/>
          </w:tcPr>
          <w:p w14:paraId="7737DFDA" w14:textId="77777777" w:rsidR="006B4A66" w:rsidRPr="006B4A66" w:rsidRDefault="006B4A66" w:rsidP="0073496A">
            <w:pPr>
              <w:spacing w:line="480" w:lineRule="auto"/>
              <w:rPr>
                <w:rFonts w:ascii="Times New Roman"/>
                <w:color w:val="000000"/>
              </w:rPr>
            </w:pPr>
            <w:r w:rsidRPr="006B4A66">
              <w:rPr>
                <w:rFonts w:ascii="Times New Roman"/>
                <w:color w:val="000000"/>
              </w:rPr>
              <w:t>40</w:t>
            </w:r>
          </w:p>
        </w:tc>
        <w:tc>
          <w:tcPr>
            <w:tcW w:w="913" w:type="dxa"/>
          </w:tcPr>
          <w:p w14:paraId="3593A422" w14:textId="77777777" w:rsidR="006B4A66" w:rsidRPr="006B4A66" w:rsidRDefault="006B4A66" w:rsidP="0073496A">
            <w:pPr>
              <w:spacing w:line="480" w:lineRule="auto"/>
              <w:rPr>
                <w:rFonts w:ascii="Times New Roman"/>
                <w:color w:val="000000"/>
              </w:rPr>
            </w:pPr>
            <w:r w:rsidRPr="006B4A66">
              <w:rPr>
                <w:rFonts w:ascii="Times New Roman"/>
                <w:color w:val="000000"/>
              </w:rPr>
              <w:t>21/ (Group A:40)</w:t>
            </w:r>
            <w:r w:rsidRPr="006B4A66">
              <w:rPr>
                <w:rFonts w:ascii="Times New Roman"/>
                <w:color w:val="000000"/>
                <w:vertAlign w:val="superscript"/>
              </w:rPr>
              <w:t>c</w:t>
            </w:r>
          </w:p>
        </w:tc>
      </w:tr>
      <w:tr w:rsidR="006B4A66" w:rsidRPr="006B4A66" w14:paraId="4B91E163" w14:textId="77777777">
        <w:tc>
          <w:tcPr>
            <w:tcW w:w="1552" w:type="dxa"/>
          </w:tcPr>
          <w:p w14:paraId="06FADDAF" w14:textId="77777777" w:rsidR="006B4A66" w:rsidRPr="006B4A66" w:rsidRDefault="006B4A66" w:rsidP="0073496A">
            <w:pPr>
              <w:spacing w:line="480" w:lineRule="auto"/>
              <w:rPr>
                <w:rFonts w:ascii="Times New Roman"/>
                <w:color w:val="000000"/>
              </w:rPr>
            </w:pPr>
            <w:r w:rsidRPr="006B4A66">
              <w:rPr>
                <w:rFonts w:ascii="Times New Roman"/>
                <w:color w:val="000000"/>
              </w:rPr>
              <w:t>8. Fault detection &amp; diagnostics (FDD)</w:t>
            </w:r>
          </w:p>
        </w:tc>
        <w:tc>
          <w:tcPr>
            <w:tcW w:w="1281" w:type="dxa"/>
          </w:tcPr>
          <w:p w14:paraId="61173BBE" w14:textId="77777777" w:rsidR="006B4A66" w:rsidRPr="006B4A66" w:rsidRDefault="006B4A66" w:rsidP="0073496A">
            <w:pPr>
              <w:spacing w:line="480" w:lineRule="auto"/>
              <w:rPr>
                <w:rFonts w:ascii="Times New Roman"/>
                <w:color w:val="000000"/>
              </w:rPr>
            </w:pPr>
            <w:r w:rsidRPr="006B4A66">
              <w:rPr>
                <w:rFonts w:ascii="Times New Roman"/>
                <w:color w:val="000000"/>
              </w:rPr>
              <w:t>C406.2.2.7</w:t>
            </w:r>
          </w:p>
        </w:tc>
        <w:tc>
          <w:tcPr>
            <w:tcW w:w="1060" w:type="dxa"/>
          </w:tcPr>
          <w:p w14:paraId="535BD891" w14:textId="77777777" w:rsidR="006B4A66" w:rsidRPr="006B4A66" w:rsidRDefault="006B4A66" w:rsidP="0073496A">
            <w:pPr>
              <w:spacing w:line="480" w:lineRule="auto"/>
              <w:rPr>
                <w:rFonts w:ascii="Times New Roman"/>
                <w:color w:val="000000"/>
              </w:rPr>
            </w:pPr>
            <w:r w:rsidRPr="006B4A66">
              <w:rPr>
                <w:rFonts w:ascii="Times New Roman"/>
                <w:color w:val="000000"/>
              </w:rPr>
              <w:t>Heat</w:t>
            </w:r>
          </w:p>
        </w:tc>
        <w:tc>
          <w:tcPr>
            <w:tcW w:w="899" w:type="dxa"/>
          </w:tcPr>
          <w:p w14:paraId="059005C6" w14:textId="77777777" w:rsidR="006B4A66" w:rsidRPr="006B4A66" w:rsidRDefault="006B4A66" w:rsidP="0073496A">
            <w:pPr>
              <w:spacing w:line="480" w:lineRule="auto"/>
              <w:rPr>
                <w:rFonts w:ascii="Times New Roman"/>
                <w:color w:val="000000"/>
              </w:rPr>
            </w:pPr>
            <w:r w:rsidRPr="006B4A66">
              <w:rPr>
                <w:rFonts w:ascii="Times New Roman"/>
                <w:color w:val="000000"/>
              </w:rPr>
              <w:t>2</w:t>
            </w:r>
          </w:p>
        </w:tc>
        <w:tc>
          <w:tcPr>
            <w:tcW w:w="900" w:type="dxa"/>
          </w:tcPr>
          <w:p w14:paraId="013A4145" w14:textId="77777777" w:rsidR="006B4A66" w:rsidRPr="006B4A66" w:rsidRDefault="006B4A66" w:rsidP="0073496A">
            <w:pPr>
              <w:spacing w:line="480" w:lineRule="auto"/>
              <w:rPr>
                <w:rFonts w:ascii="Times New Roman"/>
                <w:color w:val="000000"/>
              </w:rPr>
            </w:pPr>
            <w:r w:rsidRPr="006B4A66">
              <w:rPr>
                <w:rFonts w:ascii="Times New Roman"/>
                <w:color w:val="000000"/>
              </w:rPr>
              <w:t>2</w:t>
            </w:r>
          </w:p>
        </w:tc>
        <w:tc>
          <w:tcPr>
            <w:tcW w:w="900" w:type="dxa"/>
          </w:tcPr>
          <w:p w14:paraId="32E69A5B" w14:textId="77777777" w:rsidR="006B4A66" w:rsidRPr="006B4A66" w:rsidRDefault="006B4A66" w:rsidP="0073496A">
            <w:pPr>
              <w:spacing w:line="480" w:lineRule="auto"/>
              <w:rPr>
                <w:rFonts w:ascii="Times New Roman"/>
                <w:color w:val="000000"/>
              </w:rPr>
            </w:pPr>
            <w:r w:rsidRPr="006B4A66">
              <w:rPr>
                <w:rFonts w:ascii="Times New Roman"/>
                <w:color w:val="000000"/>
              </w:rPr>
              <w:t>2</w:t>
            </w:r>
          </w:p>
        </w:tc>
        <w:tc>
          <w:tcPr>
            <w:tcW w:w="900" w:type="dxa"/>
          </w:tcPr>
          <w:p w14:paraId="53BC67EE" w14:textId="77777777" w:rsidR="006B4A66" w:rsidRPr="006B4A66" w:rsidRDefault="006B4A66" w:rsidP="0073496A">
            <w:pPr>
              <w:spacing w:line="480" w:lineRule="auto"/>
              <w:rPr>
                <w:rFonts w:ascii="Times New Roman"/>
                <w:color w:val="000000"/>
              </w:rPr>
            </w:pPr>
            <w:r w:rsidRPr="006B4A66">
              <w:rPr>
                <w:rFonts w:ascii="Times New Roman"/>
                <w:color w:val="000000"/>
              </w:rPr>
              <w:t>6</w:t>
            </w:r>
          </w:p>
        </w:tc>
        <w:tc>
          <w:tcPr>
            <w:tcW w:w="1058" w:type="dxa"/>
          </w:tcPr>
          <w:p w14:paraId="7DEBF6C0" w14:textId="77777777" w:rsidR="006B4A66" w:rsidRPr="006B4A66" w:rsidRDefault="006B4A66" w:rsidP="0073496A">
            <w:pPr>
              <w:spacing w:line="480" w:lineRule="auto"/>
              <w:rPr>
                <w:rFonts w:ascii="Times New Roman"/>
                <w:color w:val="000000"/>
              </w:rPr>
            </w:pPr>
            <w:r w:rsidRPr="006B4A66">
              <w:rPr>
                <w:rFonts w:ascii="Times New Roman"/>
                <w:color w:val="000000"/>
              </w:rPr>
              <w:t>9</w:t>
            </w:r>
          </w:p>
        </w:tc>
        <w:tc>
          <w:tcPr>
            <w:tcW w:w="913" w:type="dxa"/>
          </w:tcPr>
          <w:p w14:paraId="606631D0" w14:textId="77777777" w:rsidR="006B4A66" w:rsidRPr="006B4A66" w:rsidRDefault="006B4A66" w:rsidP="0073496A">
            <w:pPr>
              <w:spacing w:line="480" w:lineRule="auto"/>
              <w:rPr>
                <w:rFonts w:ascii="Times New Roman"/>
                <w:color w:val="000000"/>
              </w:rPr>
            </w:pPr>
            <w:r w:rsidRPr="006B4A66">
              <w:rPr>
                <w:rFonts w:ascii="Times New Roman"/>
                <w:color w:val="000000"/>
              </w:rPr>
              <w:t>4</w:t>
            </w:r>
          </w:p>
        </w:tc>
      </w:tr>
      <w:tr w:rsidR="006B4A66" w:rsidRPr="006B4A66" w14:paraId="746FE54F" w14:textId="77777777">
        <w:tc>
          <w:tcPr>
            <w:tcW w:w="1552" w:type="dxa"/>
          </w:tcPr>
          <w:p w14:paraId="3680713A" w14:textId="77777777" w:rsidR="006B4A66" w:rsidRPr="006B4A66" w:rsidRDefault="006B4A66" w:rsidP="0073496A">
            <w:pPr>
              <w:spacing w:line="480" w:lineRule="auto"/>
              <w:rPr>
                <w:rFonts w:ascii="Times New Roman"/>
                <w:color w:val="000000"/>
              </w:rPr>
            </w:pPr>
            <w:r w:rsidRPr="006B4A66">
              <w:rPr>
                <w:rFonts w:ascii="Times New Roman"/>
                <w:color w:val="000000"/>
              </w:rPr>
              <w:t>9. 10% reduced lighting power</w:t>
            </w:r>
          </w:p>
        </w:tc>
        <w:tc>
          <w:tcPr>
            <w:tcW w:w="1281" w:type="dxa"/>
          </w:tcPr>
          <w:p w14:paraId="788484E0" w14:textId="77777777" w:rsidR="006B4A66" w:rsidRPr="006B4A66" w:rsidRDefault="006B4A66" w:rsidP="0073496A">
            <w:pPr>
              <w:spacing w:line="480" w:lineRule="auto"/>
              <w:rPr>
                <w:rFonts w:ascii="Times New Roman"/>
                <w:color w:val="000000"/>
              </w:rPr>
            </w:pPr>
            <w:r w:rsidRPr="006B4A66">
              <w:rPr>
                <w:rFonts w:ascii="Times New Roman"/>
                <w:color w:val="000000"/>
              </w:rPr>
              <w:t>C406.2.3.1</w:t>
            </w:r>
          </w:p>
        </w:tc>
        <w:tc>
          <w:tcPr>
            <w:tcW w:w="1060" w:type="dxa"/>
          </w:tcPr>
          <w:p w14:paraId="0EEA782B" w14:textId="77777777" w:rsidR="006B4A66" w:rsidRPr="006B4A66" w:rsidRDefault="006B4A66" w:rsidP="0073496A">
            <w:pPr>
              <w:spacing w:line="480" w:lineRule="auto"/>
              <w:rPr>
                <w:rFonts w:ascii="Times New Roman"/>
                <w:color w:val="000000"/>
              </w:rPr>
            </w:pPr>
            <w:r w:rsidRPr="006B4A66">
              <w:rPr>
                <w:rFonts w:ascii="Times New Roman"/>
                <w:color w:val="000000"/>
              </w:rPr>
              <w:t>Heat</w:t>
            </w:r>
          </w:p>
        </w:tc>
        <w:tc>
          <w:tcPr>
            <w:tcW w:w="899" w:type="dxa"/>
          </w:tcPr>
          <w:p w14:paraId="5410C796" w14:textId="77777777" w:rsidR="006B4A66" w:rsidRPr="006B4A66" w:rsidRDefault="006B4A66" w:rsidP="0073496A">
            <w:pPr>
              <w:spacing w:line="480" w:lineRule="auto"/>
              <w:rPr>
                <w:rFonts w:ascii="Times New Roman"/>
                <w:color w:val="000000"/>
              </w:rPr>
            </w:pPr>
            <w:r w:rsidRPr="006B4A66">
              <w:rPr>
                <w:rFonts w:ascii="Times New Roman"/>
                <w:color w:val="000000"/>
              </w:rPr>
              <w:t>7</w:t>
            </w:r>
          </w:p>
        </w:tc>
        <w:tc>
          <w:tcPr>
            <w:tcW w:w="900" w:type="dxa"/>
          </w:tcPr>
          <w:p w14:paraId="22C5A7A6" w14:textId="77777777" w:rsidR="006B4A66" w:rsidRPr="006B4A66" w:rsidRDefault="006B4A66" w:rsidP="0073496A">
            <w:pPr>
              <w:spacing w:line="480" w:lineRule="auto"/>
              <w:rPr>
                <w:rFonts w:ascii="Times New Roman"/>
                <w:color w:val="000000"/>
              </w:rPr>
            </w:pPr>
            <w:r w:rsidRPr="006B4A66">
              <w:rPr>
                <w:rFonts w:ascii="Times New Roman"/>
                <w:color w:val="000000"/>
              </w:rPr>
              <w:t>4</w:t>
            </w:r>
          </w:p>
        </w:tc>
        <w:tc>
          <w:tcPr>
            <w:tcW w:w="900" w:type="dxa"/>
          </w:tcPr>
          <w:p w14:paraId="13BD6333" w14:textId="77777777" w:rsidR="006B4A66" w:rsidRPr="006B4A66" w:rsidRDefault="006B4A66" w:rsidP="0073496A">
            <w:pPr>
              <w:spacing w:line="480" w:lineRule="auto"/>
              <w:rPr>
                <w:rFonts w:ascii="Times New Roman"/>
                <w:color w:val="000000"/>
              </w:rPr>
            </w:pPr>
            <w:r w:rsidRPr="006B4A66">
              <w:rPr>
                <w:rFonts w:ascii="Times New Roman"/>
                <w:color w:val="000000"/>
              </w:rPr>
              <w:t>18</w:t>
            </w:r>
          </w:p>
        </w:tc>
        <w:tc>
          <w:tcPr>
            <w:tcW w:w="900" w:type="dxa"/>
          </w:tcPr>
          <w:p w14:paraId="63935179" w14:textId="77777777" w:rsidR="006B4A66" w:rsidRPr="006B4A66" w:rsidRDefault="006B4A66" w:rsidP="0073496A">
            <w:pPr>
              <w:spacing w:line="480" w:lineRule="auto"/>
              <w:rPr>
                <w:rFonts w:ascii="Times New Roman"/>
                <w:color w:val="000000"/>
              </w:rPr>
            </w:pPr>
            <w:r w:rsidRPr="006B4A66">
              <w:rPr>
                <w:rFonts w:ascii="Times New Roman"/>
                <w:color w:val="000000"/>
              </w:rPr>
              <w:t>16</w:t>
            </w:r>
          </w:p>
        </w:tc>
        <w:tc>
          <w:tcPr>
            <w:tcW w:w="1058" w:type="dxa"/>
          </w:tcPr>
          <w:p w14:paraId="25A986C5" w14:textId="77777777" w:rsidR="006B4A66" w:rsidRPr="006B4A66" w:rsidRDefault="006B4A66" w:rsidP="0073496A">
            <w:pPr>
              <w:spacing w:line="480" w:lineRule="auto"/>
              <w:rPr>
                <w:rFonts w:ascii="Times New Roman"/>
                <w:color w:val="000000"/>
              </w:rPr>
            </w:pPr>
            <w:r w:rsidRPr="006B4A66">
              <w:rPr>
                <w:rFonts w:ascii="Times New Roman"/>
                <w:color w:val="000000"/>
              </w:rPr>
              <w:t>36</w:t>
            </w:r>
          </w:p>
        </w:tc>
        <w:tc>
          <w:tcPr>
            <w:tcW w:w="913" w:type="dxa"/>
          </w:tcPr>
          <w:p w14:paraId="73A3F80C" w14:textId="77777777" w:rsidR="006B4A66" w:rsidRPr="006B4A66" w:rsidRDefault="006B4A66" w:rsidP="0073496A">
            <w:pPr>
              <w:spacing w:line="480" w:lineRule="auto"/>
              <w:rPr>
                <w:rFonts w:ascii="Times New Roman"/>
                <w:color w:val="000000"/>
              </w:rPr>
            </w:pPr>
            <w:r w:rsidRPr="006B4A66">
              <w:rPr>
                <w:rFonts w:ascii="Times New Roman"/>
                <w:color w:val="000000"/>
              </w:rPr>
              <w:t>16</w:t>
            </w:r>
          </w:p>
        </w:tc>
      </w:tr>
      <w:tr w:rsidR="006B4A66" w:rsidRPr="006B4A66" w14:paraId="3E39C61B" w14:textId="77777777">
        <w:tc>
          <w:tcPr>
            <w:tcW w:w="1552" w:type="dxa"/>
          </w:tcPr>
          <w:p w14:paraId="03BCF8C5" w14:textId="77777777" w:rsidR="006B4A66" w:rsidRPr="006B4A66" w:rsidRDefault="006B4A66" w:rsidP="0073496A">
            <w:pPr>
              <w:spacing w:line="480" w:lineRule="auto"/>
              <w:rPr>
                <w:rFonts w:ascii="Times New Roman"/>
                <w:color w:val="000000"/>
              </w:rPr>
            </w:pPr>
            <w:r w:rsidRPr="006B4A66">
              <w:rPr>
                <w:rFonts w:ascii="Times New Roman"/>
                <w:color w:val="000000"/>
              </w:rPr>
              <w:t>10. 20% reduced lighting power</w:t>
            </w:r>
            <w:r w:rsidRPr="006B4A66">
              <w:rPr>
                <w:rFonts w:ascii="Times New Roman"/>
                <w:color w:val="000000"/>
                <w:vertAlign w:val="superscript"/>
              </w:rPr>
              <w:t>d</w:t>
            </w:r>
          </w:p>
        </w:tc>
        <w:tc>
          <w:tcPr>
            <w:tcW w:w="1281" w:type="dxa"/>
          </w:tcPr>
          <w:p w14:paraId="03A054CB" w14:textId="77777777" w:rsidR="006B4A66" w:rsidRPr="006B4A66" w:rsidRDefault="006B4A66" w:rsidP="0073496A">
            <w:pPr>
              <w:spacing w:line="480" w:lineRule="auto"/>
              <w:rPr>
                <w:rFonts w:ascii="Times New Roman"/>
                <w:color w:val="000000"/>
              </w:rPr>
            </w:pPr>
            <w:r w:rsidRPr="006B4A66">
              <w:rPr>
                <w:rFonts w:ascii="Times New Roman"/>
                <w:color w:val="000000"/>
              </w:rPr>
              <w:t>C406.2.3.2</w:t>
            </w:r>
          </w:p>
        </w:tc>
        <w:tc>
          <w:tcPr>
            <w:tcW w:w="1060" w:type="dxa"/>
          </w:tcPr>
          <w:p w14:paraId="38E19E34" w14:textId="77777777" w:rsidR="006B4A66" w:rsidRPr="006B4A66" w:rsidRDefault="006B4A66" w:rsidP="0073496A">
            <w:pPr>
              <w:spacing w:line="480" w:lineRule="auto"/>
              <w:rPr>
                <w:rFonts w:ascii="Times New Roman"/>
                <w:color w:val="000000"/>
              </w:rPr>
            </w:pPr>
            <w:r w:rsidRPr="006B4A66">
              <w:rPr>
                <w:rFonts w:ascii="Times New Roman"/>
                <w:color w:val="000000"/>
              </w:rPr>
              <w:t>Heat</w:t>
            </w:r>
          </w:p>
        </w:tc>
        <w:tc>
          <w:tcPr>
            <w:tcW w:w="899" w:type="dxa"/>
          </w:tcPr>
          <w:p w14:paraId="427EFC0B" w14:textId="77777777" w:rsidR="006B4A66" w:rsidRPr="006B4A66" w:rsidRDefault="006B4A66" w:rsidP="0073496A">
            <w:pPr>
              <w:spacing w:line="480" w:lineRule="auto"/>
              <w:rPr>
                <w:rFonts w:ascii="Times New Roman"/>
                <w:color w:val="000000"/>
              </w:rPr>
            </w:pPr>
            <w:r w:rsidRPr="006B4A66">
              <w:rPr>
                <w:rFonts w:ascii="Times New Roman"/>
                <w:color w:val="000000"/>
              </w:rPr>
              <w:t>13</w:t>
            </w:r>
          </w:p>
        </w:tc>
        <w:tc>
          <w:tcPr>
            <w:tcW w:w="900" w:type="dxa"/>
          </w:tcPr>
          <w:p w14:paraId="1C9812F5" w14:textId="77777777" w:rsidR="006B4A66" w:rsidRPr="006B4A66" w:rsidRDefault="006B4A66" w:rsidP="0073496A">
            <w:pPr>
              <w:spacing w:line="480" w:lineRule="auto"/>
              <w:rPr>
                <w:rFonts w:ascii="Times New Roman"/>
                <w:color w:val="000000"/>
              </w:rPr>
            </w:pPr>
            <w:r w:rsidRPr="006B4A66">
              <w:rPr>
                <w:rFonts w:ascii="Times New Roman"/>
                <w:color w:val="000000"/>
              </w:rPr>
              <w:t>8</w:t>
            </w:r>
          </w:p>
        </w:tc>
        <w:tc>
          <w:tcPr>
            <w:tcW w:w="900" w:type="dxa"/>
          </w:tcPr>
          <w:p w14:paraId="111BF622" w14:textId="77777777" w:rsidR="006B4A66" w:rsidRPr="006B4A66" w:rsidRDefault="006B4A66" w:rsidP="0073496A">
            <w:pPr>
              <w:spacing w:line="480" w:lineRule="auto"/>
              <w:rPr>
                <w:rFonts w:ascii="Times New Roman"/>
                <w:color w:val="000000"/>
              </w:rPr>
            </w:pPr>
            <w:r w:rsidRPr="006B4A66">
              <w:rPr>
                <w:rFonts w:ascii="Times New Roman"/>
                <w:color w:val="000000"/>
              </w:rPr>
              <w:t>36</w:t>
            </w:r>
          </w:p>
        </w:tc>
        <w:tc>
          <w:tcPr>
            <w:tcW w:w="900" w:type="dxa"/>
          </w:tcPr>
          <w:p w14:paraId="78BE2182" w14:textId="77777777" w:rsidR="006B4A66" w:rsidRPr="006B4A66" w:rsidRDefault="006B4A66" w:rsidP="0073496A">
            <w:pPr>
              <w:spacing w:line="480" w:lineRule="auto"/>
              <w:rPr>
                <w:rFonts w:ascii="Times New Roman"/>
                <w:color w:val="000000"/>
              </w:rPr>
            </w:pPr>
            <w:r w:rsidRPr="006B4A66">
              <w:rPr>
                <w:rFonts w:ascii="Times New Roman"/>
                <w:color w:val="000000"/>
              </w:rPr>
              <w:t>32</w:t>
            </w:r>
          </w:p>
        </w:tc>
        <w:tc>
          <w:tcPr>
            <w:tcW w:w="1058" w:type="dxa"/>
          </w:tcPr>
          <w:p w14:paraId="31186A0B" w14:textId="77777777" w:rsidR="006B4A66" w:rsidRPr="006B4A66" w:rsidRDefault="006B4A66" w:rsidP="0073496A">
            <w:pPr>
              <w:spacing w:line="480" w:lineRule="auto"/>
              <w:rPr>
                <w:rFonts w:ascii="Times New Roman"/>
                <w:color w:val="000000"/>
              </w:rPr>
            </w:pPr>
            <w:r w:rsidRPr="006B4A66">
              <w:rPr>
                <w:rFonts w:ascii="Times New Roman"/>
                <w:color w:val="000000"/>
              </w:rPr>
              <w:t>72</w:t>
            </w:r>
          </w:p>
        </w:tc>
        <w:tc>
          <w:tcPr>
            <w:tcW w:w="913" w:type="dxa"/>
          </w:tcPr>
          <w:p w14:paraId="10A8FE8B" w14:textId="77777777" w:rsidR="006B4A66" w:rsidRPr="006B4A66" w:rsidRDefault="006B4A66" w:rsidP="0073496A">
            <w:pPr>
              <w:spacing w:line="480" w:lineRule="auto"/>
              <w:rPr>
                <w:rFonts w:ascii="Times New Roman"/>
                <w:color w:val="000000"/>
              </w:rPr>
            </w:pPr>
            <w:r w:rsidRPr="006B4A66">
              <w:rPr>
                <w:rFonts w:ascii="Times New Roman"/>
                <w:color w:val="000000"/>
              </w:rPr>
              <w:t>32</w:t>
            </w:r>
          </w:p>
        </w:tc>
      </w:tr>
      <w:tr w:rsidR="006B4A66" w:rsidRPr="006B4A66" w14:paraId="77A49F51" w14:textId="77777777">
        <w:tc>
          <w:tcPr>
            <w:tcW w:w="1552" w:type="dxa"/>
          </w:tcPr>
          <w:p w14:paraId="4971C8B5" w14:textId="77777777" w:rsidR="006B4A66" w:rsidRPr="006B4A66" w:rsidRDefault="006B4A66" w:rsidP="0073496A">
            <w:pPr>
              <w:spacing w:line="480" w:lineRule="auto"/>
              <w:rPr>
                <w:rFonts w:ascii="Times New Roman"/>
                <w:color w:val="000000"/>
              </w:rPr>
            </w:pPr>
            <w:r w:rsidRPr="006B4A66">
              <w:rPr>
                <w:rFonts w:ascii="Times New Roman"/>
                <w:color w:val="000000"/>
              </w:rPr>
              <w:t>11. Lamp efficacy improvement</w:t>
            </w:r>
          </w:p>
        </w:tc>
        <w:tc>
          <w:tcPr>
            <w:tcW w:w="1281" w:type="dxa"/>
          </w:tcPr>
          <w:p w14:paraId="2D2DABDC" w14:textId="77777777" w:rsidR="006B4A66" w:rsidRPr="006B4A66" w:rsidRDefault="006B4A66" w:rsidP="0073496A">
            <w:pPr>
              <w:spacing w:line="480" w:lineRule="auto"/>
              <w:rPr>
                <w:rFonts w:ascii="Times New Roman"/>
                <w:color w:val="000000"/>
              </w:rPr>
            </w:pPr>
            <w:r w:rsidRPr="006B4A66">
              <w:rPr>
                <w:rFonts w:ascii="Times New Roman"/>
                <w:color w:val="000000"/>
              </w:rPr>
              <w:t>C406.2.3.3</w:t>
            </w:r>
          </w:p>
        </w:tc>
        <w:tc>
          <w:tcPr>
            <w:tcW w:w="1060" w:type="dxa"/>
          </w:tcPr>
          <w:p w14:paraId="4C26E42C" w14:textId="77777777" w:rsidR="006B4A66" w:rsidRPr="006B4A66" w:rsidRDefault="006B4A66" w:rsidP="0073496A">
            <w:pPr>
              <w:spacing w:line="480" w:lineRule="auto"/>
              <w:rPr>
                <w:rFonts w:ascii="Times New Roman"/>
                <w:color w:val="000000"/>
              </w:rPr>
            </w:pPr>
            <w:r w:rsidRPr="006B4A66">
              <w:rPr>
                <w:rFonts w:ascii="Times New Roman"/>
                <w:color w:val="000000"/>
              </w:rPr>
              <w:t>Heat</w:t>
            </w:r>
          </w:p>
        </w:tc>
        <w:tc>
          <w:tcPr>
            <w:tcW w:w="899" w:type="dxa"/>
          </w:tcPr>
          <w:p w14:paraId="0B0C503E" w14:textId="77777777" w:rsidR="006B4A66" w:rsidRPr="006B4A66" w:rsidRDefault="006B4A66" w:rsidP="0073496A">
            <w:pPr>
              <w:spacing w:line="480" w:lineRule="auto"/>
              <w:rPr>
                <w:rFonts w:ascii="Times New Roman"/>
                <w:color w:val="000000"/>
              </w:rPr>
            </w:pPr>
            <w:r w:rsidRPr="006B4A66">
              <w:rPr>
                <w:rFonts w:ascii="Times New Roman"/>
                <w:color w:val="000000"/>
              </w:rPr>
              <w:t>5</w:t>
            </w:r>
          </w:p>
        </w:tc>
        <w:tc>
          <w:tcPr>
            <w:tcW w:w="900" w:type="dxa"/>
          </w:tcPr>
          <w:p w14:paraId="726F0F58" w14:textId="77777777" w:rsidR="006B4A66" w:rsidRPr="006B4A66" w:rsidRDefault="006B4A66" w:rsidP="0073496A">
            <w:pPr>
              <w:spacing w:line="480" w:lineRule="auto"/>
              <w:rPr>
                <w:rFonts w:ascii="Times New Roman"/>
                <w:color w:val="000000"/>
              </w:rPr>
            </w:pPr>
            <w:r w:rsidRPr="006B4A66">
              <w:rPr>
                <w:rFonts w:ascii="Times New Roman"/>
                <w:color w:val="000000"/>
              </w:rPr>
              <w:t>6</w:t>
            </w:r>
          </w:p>
        </w:tc>
        <w:tc>
          <w:tcPr>
            <w:tcW w:w="900" w:type="dxa"/>
          </w:tcPr>
          <w:p w14:paraId="29ACA558"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900" w:type="dxa"/>
          </w:tcPr>
          <w:p w14:paraId="5F4FFCE7"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1058" w:type="dxa"/>
          </w:tcPr>
          <w:p w14:paraId="1AA62541"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913" w:type="dxa"/>
          </w:tcPr>
          <w:p w14:paraId="72EFE156"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r>
      <w:tr w:rsidR="006B4A66" w:rsidRPr="006B4A66" w14:paraId="50E6D5EE" w14:textId="77777777">
        <w:tc>
          <w:tcPr>
            <w:tcW w:w="1552" w:type="dxa"/>
          </w:tcPr>
          <w:p w14:paraId="0180E908" w14:textId="77777777" w:rsidR="006B4A66" w:rsidRPr="006B4A66" w:rsidRDefault="006B4A66" w:rsidP="0073496A">
            <w:pPr>
              <w:spacing w:line="480" w:lineRule="auto"/>
              <w:rPr>
                <w:rFonts w:ascii="Times New Roman"/>
                <w:color w:val="000000"/>
              </w:rPr>
            </w:pPr>
            <w:r w:rsidRPr="006B4A66">
              <w:rPr>
                <w:rFonts w:ascii="Times New Roman"/>
                <w:color w:val="000000"/>
              </w:rPr>
              <w:lastRenderedPageBreak/>
              <w:t>12. Residential lighting control</w:t>
            </w:r>
          </w:p>
        </w:tc>
        <w:tc>
          <w:tcPr>
            <w:tcW w:w="1281" w:type="dxa"/>
          </w:tcPr>
          <w:p w14:paraId="49787C19" w14:textId="77777777" w:rsidR="006B4A66" w:rsidRPr="006B4A66" w:rsidRDefault="006B4A66" w:rsidP="0073496A">
            <w:pPr>
              <w:spacing w:line="480" w:lineRule="auto"/>
              <w:rPr>
                <w:rFonts w:ascii="Times New Roman"/>
                <w:color w:val="000000"/>
              </w:rPr>
            </w:pPr>
            <w:r w:rsidRPr="006B4A66">
              <w:rPr>
                <w:rFonts w:ascii="Times New Roman"/>
                <w:color w:val="000000"/>
              </w:rPr>
              <w:t>C406.2.4.1</w:t>
            </w:r>
          </w:p>
        </w:tc>
        <w:tc>
          <w:tcPr>
            <w:tcW w:w="1060" w:type="dxa"/>
          </w:tcPr>
          <w:p w14:paraId="2E3D9AA9" w14:textId="77777777" w:rsidR="006B4A66" w:rsidRPr="006B4A66" w:rsidRDefault="006B4A66" w:rsidP="0073496A">
            <w:pPr>
              <w:spacing w:line="480" w:lineRule="auto"/>
              <w:rPr>
                <w:rFonts w:ascii="Times New Roman"/>
                <w:color w:val="000000"/>
              </w:rPr>
            </w:pPr>
            <w:r w:rsidRPr="006B4A66">
              <w:rPr>
                <w:rFonts w:ascii="Times New Roman"/>
                <w:color w:val="000000"/>
              </w:rPr>
              <w:t>Heat</w:t>
            </w:r>
          </w:p>
        </w:tc>
        <w:tc>
          <w:tcPr>
            <w:tcW w:w="899" w:type="dxa"/>
          </w:tcPr>
          <w:p w14:paraId="0C630097"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900" w:type="dxa"/>
          </w:tcPr>
          <w:p w14:paraId="4D1A675D" w14:textId="77777777" w:rsidR="006B4A66" w:rsidRPr="006B4A66" w:rsidRDefault="006B4A66" w:rsidP="0073496A">
            <w:pPr>
              <w:spacing w:line="480" w:lineRule="auto"/>
              <w:rPr>
                <w:rFonts w:ascii="Times New Roman"/>
                <w:color w:val="000000"/>
              </w:rPr>
            </w:pPr>
            <w:r w:rsidRPr="006B4A66">
              <w:rPr>
                <w:rFonts w:ascii="Times New Roman"/>
                <w:color w:val="000000"/>
              </w:rPr>
              <w:t>8</w:t>
            </w:r>
          </w:p>
        </w:tc>
        <w:tc>
          <w:tcPr>
            <w:tcW w:w="900" w:type="dxa"/>
          </w:tcPr>
          <w:p w14:paraId="08FC31B5"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900" w:type="dxa"/>
          </w:tcPr>
          <w:p w14:paraId="4E0B94D7"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1058" w:type="dxa"/>
          </w:tcPr>
          <w:p w14:paraId="2D59DCC4"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913" w:type="dxa"/>
          </w:tcPr>
          <w:p w14:paraId="6B770AD1"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r>
      <w:tr w:rsidR="006B4A66" w:rsidRPr="006B4A66" w14:paraId="19DBA1E6" w14:textId="77777777">
        <w:tc>
          <w:tcPr>
            <w:tcW w:w="1552" w:type="dxa"/>
          </w:tcPr>
          <w:p w14:paraId="42A9FBC7" w14:textId="77777777" w:rsidR="006B4A66" w:rsidRPr="006B4A66" w:rsidRDefault="006B4A66" w:rsidP="0073496A">
            <w:pPr>
              <w:spacing w:line="480" w:lineRule="auto"/>
              <w:rPr>
                <w:rFonts w:ascii="Times New Roman"/>
                <w:color w:val="000000"/>
              </w:rPr>
            </w:pPr>
            <w:r w:rsidRPr="006B4A66">
              <w:rPr>
                <w:rFonts w:ascii="Times New Roman"/>
                <w:color w:val="000000"/>
              </w:rPr>
              <w:t>13. Enhanced lighting control</w:t>
            </w:r>
          </w:p>
        </w:tc>
        <w:tc>
          <w:tcPr>
            <w:tcW w:w="1281" w:type="dxa"/>
          </w:tcPr>
          <w:p w14:paraId="0E2CE5DA" w14:textId="77777777" w:rsidR="006B4A66" w:rsidRPr="006B4A66" w:rsidRDefault="006B4A66" w:rsidP="0073496A">
            <w:pPr>
              <w:spacing w:line="480" w:lineRule="auto"/>
              <w:rPr>
                <w:rFonts w:ascii="Times New Roman"/>
                <w:color w:val="000000"/>
              </w:rPr>
            </w:pPr>
            <w:r w:rsidRPr="006B4A66">
              <w:rPr>
                <w:rFonts w:ascii="Times New Roman"/>
                <w:color w:val="000000"/>
              </w:rPr>
              <w:t>C406.2.4.2</w:t>
            </w:r>
          </w:p>
        </w:tc>
        <w:tc>
          <w:tcPr>
            <w:tcW w:w="1060" w:type="dxa"/>
          </w:tcPr>
          <w:p w14:paraId="6B7A8687" w14:textId="77777777" w:rsidR="006B4A66" w:rsidRPr="006B4A66" w:rsidRDefault="006B4A66" w:rsidP="0073496A">
            <w:pPr>
              <w:spacing w:line="480" w:lineRule="auto"/>
              <w:rPr>
                <w:rFonts w:ascii="Times New Roman"/>
                <w:color w:val="000000"/>
              </w:rPr>
            </w:pPr>
            <w:r w:rsidRPr="006B4A66">
              <w:rPr>
                <w:rFonts w:ascii="Times New Roman"/>
                <w:color w:val="000000"/>
              </w:rPr>
              <w:t>Heat</w:t>
            </w:r>
          </w:p>
        </w:tc>
        <w:tc>
          <w:tcPr>
            <w:tcW w:w="899" w:type="dxa"/>
          </w:tcPr>
          <w:p w14:paraId="5687DAEF" w14:textId="77777777" w:rsidR="006B4A66" w:rsidRPr="006B4A66" w:rsidRDefault="006B4A66" w:rsidP="0073496A">
            <w:pPr>
              <w:spacing w:line="480" w:lineRule="auto"/>
              <w:rPr>
                <w:rFonts w:ascii="Times New Roman"/>
                <w:color w:val="000000"/>
              </w:rPr>
            </w:pPr>
            <w:r w:rsidRPr="006B4A66">
              <w:rPr>
                <w:rFonts w:ascii="Times New Roman"/>
                <w:color w:val="000000"/>
              </w:rPr>
              <w:t>1</w:t>
            </w:r>
          </w:p>
        </w:tc>
        <w:tc>
          <w:tcPr>
            <w:tcW w:w="900" w:type="dxa"/>
          </w:tcPr>
          <w:p w14:paraId="34E6E043" w14:textId="77777777" w:rsidR="006B4A66" w:rsidRPr="006B4A66" w:rsidRDefault="006B4A66" w:rsidP="0073496A">
            <w:pPr>
              <w:spacing w:line="480" w:lineRule="auto"/>
              <w:rPr>
                <w:rFonts w:ascii="Times New Roman"/>
                <w:color w:val="000000"/>
              </w:rPr>
            </w:pPr>
            <w:r w:rsidRPr="006B4A66">
              <w:rPr>
                <w:rFonts w:ascii="Times New Roman"/>
                <w:color w:val="000000"/>
              </w:rPr>
              <w:t>1</w:t>
            </w:r>
          </w:p>
        </w:tc>
        <w:tc>
          <w:tcPr>
            <w:tcW w:w="900" w:type="dxa"/>
          </w:tcPr>
          <w:p w14:paraId="1836313A" w14:textId="77777777" w:rsidR="006B4A66" w:rsidRPr="006B4A66" w:rsidRDefault="006B4A66" w:rsidP="0073496A">
            <w:pPr>
              <w:spacing w:line="480" w:lineRule="auto"/>
              <w:rPr>
                <w:rFonts w:ascii="Times New Roman"/>
                <w:color w:val="000000"/>
              </w:rPr>
            </w:pPr>
            <w:r w:rsidRPr="006B4A66">
              <w:rPr>
                <w:rFonts w:ascii="Times New Roman"/>
                <w:color w:val="000000"/>
              </w:rPr>
              <w:t>6</w:t>
            </w:r>
          </w:p>
        </w:tc>
        <w:tc>
          <w:tcPr>
            <w:tcW w:w="900" w:type="dxa"/>
          </w:tcPr>
          <w:p w14:paraId="720B2B19" w14:textId="77777777" w:rsidR="006B4A66" w:rsidRPr="006B4A66" w:rsidRDefault="006B4A66" w:rsidP="0073496A">
            <w:pPr>
              <w:spacing w:line="480" w:lineRule="auto"/>
              <w:rPr>
                <w:rFonts w:ascii="Times New Roman"/>
                <w:color w:val="000000"/>
              </w:rPr>
            </w:pPr>
            <w:r w:rsidRPr="006B4A66">
              <w:rPr>
                <w:rFonts w:ascii="Times New Roman"/>
                <w:color w:val="000000"/>
              </w:rPr>
              <w:t>6</w:t>
            </w:r>
          </w:p>
        </w:tc>
        <w:tc>
          <w:tcPr>
            <w:tcW w:w="1058" w:type="dxa"/>
          </w:tcPr>
          <w:p w14:paraId="318164A8" w14:textId="77777777" w:rsidR="006B4A66" w:rsidRPr="006B4A66" w:rsidRDefault="006B4A66" w:rsidP="0073496A">
            <w:pPr>
              <w:spacing w:line="480" w:lineRule="auto"/>
              <w:rPr>
                <w:rFonts w:ascii="Times New Roman"/>
                <w:color w:val="000000"/>
              </w:rPr>
            </w:pPr>
            <w:r w:rsidRPr="006B4A66">
              <w:rPr>
                <w:rFonts w:ascii="Times New Roman"/>
                <w:color w:val="000000"/>
              </w:rPr>
              <w:t>11</w:t>
            </w:r>
          </w:p>
        </w:tc>
        <w:tc>
          <w:tcPr>
            <w:tcW w:w="913" w:type="dxa"/>
          </w:tcPr>
          <w:p w14:paraId="4BFF3D33" w14:textId="77777777" w:rsidR="006B4A66" w:rsidRPr="006B4A66" w:rsidRDefault="006B4A66" w:rsidP="0073496A">
            <w:pPr>
              <w:spacing w:line="480" w:lineRule="auto"/>
              <w:rPr>
                <w:rFonts w:ascii="Times New Roman"/>
                <w:color w:val="000000"/>
              </w:rPr>
            </w:pPr>
            <w:r w:rsidRPr="006B4A66">
              <w:rPr>
                <w:rFonts w:ascii="Times New Roman"/>
                <w:color w:val="000000"/>
              </w:rPr>
              <w:t>5</w:t>
            </w:r>
          </w:p>
        </w:tc>
      </w:tr>
      <w:tr w:rsidR="006B4A66" w:rsidRPr="006B4A66" w14:paraId="4A0B32D5" w14:textId="77777777">
        <w:tc>
          <w:tcPr>
            <w:tcW w:w="1552" w:type="dxa"/>
          </w:tcPr>
          <w:p w14:paraId="19DEBC44" w14:textId="77777777" w:rsidR="006B4A66" w:rsidRPr="006B4A66" w:rsidRDefault="006B4A66" w:rsidP="0073496A">
            <w:pPr>
              <w:spacing w:line="480" w:lineRule="auto"/>
              <w:rPr>
                <w:rFonts w:ascii="Times New Roman"/>
                <w:color w:val="000000"/>
              </w:rPr>
            </w:pPr>
            <w:r w:rsidRPr="006B4A66">
              <w:rPr>
                <w:rFonts w:ascii="Times New Roman"/>
                <w:color w:val="000000"/>
              </w:rPr>
              <w:t>14. Renewable energy</w:t>
            </w:r>
          </w:p>
        </w:tc>
        <w:tc>
          <w:tcPr>
            <w:tcW w:w="1281" w:type="dxa"/>
          </w:tcPr>
          <w:p w14:paraId="10E929AA" w14:textId="77777777" w:rsidR="006B4A66" w:rsidRPr="006B4A66" w:rsidRDefault="006B4A66" w:rsidP="0073496A">
            <w:pPr>
              <w:spacing w:line="480" w:lineRule="auto"/>
              <w:rPr>
                <w:rFonts w:ascii="Times New Roman"/>
                <w:color w:val="000000"/>
              </w:rPr>
            </w:pPr>
            <w:r w:rsidRPr="006B4A66">
              <w:rPr>
                <w:rFonts w:ascii="Times New Roman"/>
                <w:color w:val="000000"/>
              </w:rPr>
              <w:t>C406.2.5</w:t>
            </w:r>
          </w:p>
        </w:tc>
        <w:tc>
          <w:tcPr>
            <w:tcW w:w="1060" w:type="dxa"/>
          </w:tcPr>
          <w:p w14:paraId="5BF011A2" w14:textId="77777777" w:rsidR="006B4A66" w:rsidRPr="006B4A66" w:rsidRDefault="006B4A66" w:rsidP="0073496A">
            <w:pPr>
              <w:spacing w:line="480" w:lineRule="auto"/>
              <w:rPr>
                <w:rFonts w:ascii="Times New Roman"/>
                <w:color w:val="000000"/>
              </w:rPr>
            </w:pPr>
          </w:p>
        </w:tc>
        <w:tc>
          <w:tcPr>
            <w:tcW w:w="899" w:type="dxa"/>
          </w:tcPr>
          <w:p w14:paraId="23E15A81" w14:textId="77777777" w:rsidR="006B4A66" w:rsidRPr="006B4A66" w:rsidRDefault="006B4A66" w:rsidP="0073496A">
            <w:pPr>
              <w:spacing w:line="480" w:lineRule="auto"/>
              <w:rPr>
                <w:rFonts w:ascii="Times New Roman"/>
                <w:color w:val="000000"/>
              </w:rPr>
            </w:pPr>
            <w:r w:rsidRPr="006B4A66">
              <w:rPr>
                <w:rFonts w:ascii="Times New Roman"/>
                <w:color w:val="000000"/>
              </w:rPr>
              <w:t>7</w:t>
            </w:r>
          </w:p>
        </w:tc>
        <w:tc>
          <w:tcPr>
            <w:tcW w:w="900" w:type="dxa"/>
          </w:tcPr>
          <w:p w14:paraId="1759DADC" w14:textId="77777777" w:rsidR="006B4A66" w:rsidRPr="006B4A66" w:rsidRDefault="006B4A66" w:rsidP="0073496A">
            <w:pPr>
              <w:spacing w:line="480" w:lineRule="auto"/>
              <w:rPr>
                <w:rFonts w:ascii="Times New Roman"/>
                <w:color w:val="000000"/>
              </w:rPr>
            </w:pPr>
            <w:r w:rsidRPr="006B4A66">
              <w:rPr>
                <w:rFonts w:ascii="Times New Roman"/>
                <w:color w:val="000000"/>
              </w:rPr>
              <w:t>12</w:t>
            </w:r>
          </w:p>
        </w:tc>
        <w:tc>
          <w:tcPr>
            <w:tcW w:w="900" w:type="dxa"/>
          </w:tcPr>
          <w:p w14:paraId="6D2DF526" w14:textId="77777777" w:rsidR="006B4A66" w:rsidRPr="006B4A66" w:rsidRDefault="006B4A66" w:rsidP="0073496A">
            <w:pPr>
              <w:spacing w:line="480" w:lineRule="auto"/>
              <w:rPr>
                <w:rFonts w:ascii="Times New Roman"/>
                <w:color w:val="000000"/>
              </w:rPr>
            </w:pPr>
            <w:r w:rsidRPr="006B4A66">
              <w:rPr>
                <w:rFonts w:ascii="Times New Roman"/>
                <w:color w:val="000000"/>
              </w:rPr>
              <w:t>13</w:t>
            </w:r>
          </w:p>
        </w:tc>
        <w:tc>
          <w:tcPr>
            <w:tcW w:w="900" w:type="dxa"/>
          </w:tcPr>
          <w:p w14:paraId="17229ABC" w14:textId="77777777" w:rsidR="006B4A66" w:rsidRPr="006B4A66" w:rsidRDefault="006B4A66" w:rsidP="0073496A">
            <w:pPr>
              <w:spacing w:line="480" w:lineRule="auto"/>
              <w:rPr>
                <w:rFonts w:ascii="Times New Roman"/>
                <w:color w:val="000000"/>
              </w:rPr>
            </w:pPr>
            <w:r w:rsidRPr="006B4A66">
              <w:rPr>
                <w:rFonts w:ascii="Times New Roman"/>
                <w:color w:val="000000"/>
              </w:rPr>
              <w:t>13</w:t>
            </w:r>
          </w:p>
        </w:tc>
        <w:tc>
          <w:tcPr>
            <w:tcW w:w="1058" w:type="dxa"/>
          </w:tcPr>
          <w:p w14:paraId="2596CF60" w14:textId="77777777" w:rsidR="006B4A66" w:rsidRPr="006B4A66" w:rsidRDefault="006B4A66" w:rsidP="0073496A">
            <w:pPr>
              <w:spacing w:line="480" w:lineRule="auto"/>
              <w:rPr>
                <w:rFonts w:ascii="Times New Roman"/>
                <w:color w:val="000000"/>
              </w:rPr>
            </w:pPr>
            <w:r w:rsidRPr="006B4A66">
              <w:rPr>
                <w:rFonts w:ascii="Times New Roman"/>
                <w:color w:val="000000"/>
              </w:rPr>
              <w:t>10</w:t>
            </w:r>
          </w:p>
        </w:tc>
        <w:tc>
          <w:tcPr>
            <w:tcW w:w="913" w:type="dxa"/>
          </w:tcPr>
          <w:p w14:paraId="259E6EBE" w14:textId="77777777" w:rsidR="006B4A66" w:rsidRPr="006B4A66" w:rsidRDefault="006B4A66" w:rsidP="0073496A">
            <w:pPr>
              <w:spacing w:line="480" w:lineRule="auto"/>
              <w:rPr>
                <w:rFonts w:ascii="Times New Roman"/>
                <w:color w:val="000000"/>
              </w:rPr>
            </w:pPr>
            <w:r w:rsidRPr="006B4A66">
              <w:rPr>
                <w:rFonts w:ascii="Times New Roman"/>
                <w:color w:val="000000"/>
              </w:rPr>
              <w:t>11</w:t>
            </w:r>
          </w:p>
        </w:tc>
      </w:tr>
      <w:tr w:rsidR="006B4A66" w:rsidRPr="006B4A66" w14:paraId="2AADBCAD" w14:textId="77777777">
        <w:tc>
          <w:tcPr>
            <w:tcW w:w="1552" w:type="dxa"/>
          </w:tcPr>
          <w:p w14:paraId="2AA9FDFB" w14:textId="77777777" w:rsidR="006B4A66" w:rsidRPr="006B4A66" w:rsidRDefault="006B4A66" w:rsidP="0073496A">
            <w:pPr>
              <w:spacing w:line="480" w:lineRule="auto"/>
              <w:rPr>
                <w:rFonts w:ascii="Times New Roman"/>
                <w:color w:val="000000"/>
              </w:rPr>
            </w:pPr>
            <w:r w:rsidRPr="006B4A66">
              <w:rPr>
                <w:rFonts w:ascii="Times New Roman"/>
                <w:color w:val="000000"/>
              </w:rPr>
              <w:t>15. Shower drain heat recovery</w:t>
            </w:r>
          </w:p>
        </w:tc>
        <w:tc>
          <w:tcPr>
            <w:tcW w:w="1281" w:type="dxa"/>
          </w:tcPr>
          <w:p w14:paraId="56814F8A" w14:textId="77777777" w:rsidR="006B4A66" w:rsidRPr="006B4A66" w:rsidRDefault="006B4A66" w:rsidP="0073496A">
            <w:pPr>
              <w:spacing w:line="480" w:lineRule="auto"/>
              <w:rPr>
                <w:rFonts w:ascii="Times New Roman"/>
                <w:color w:val="000000"/>
              </w:rPr>
            </w:pPr>
            <w:r w:rsidRPr="006B4A66">
              <w:rPr>
                <w:rFonts w:ascii="Times New Roman"/>
                <w:color w:val="000000"/>
              </w:rPr>
              <w:t>C406.2.6.1</w:t>
            </w:r>
          </w:p>
        </w:tc>
        <w:tc>
          <w:tcPr>
            <w:tcW w:w="1060" w:type="dxa"/>
          </w:tcPr>
          <w:p w14:paraId="39D5344E" w14:textId="77777777" w:rsidR="006B4A66" w:rsidRPr="006B4A66" w:rsidRDefault="006B4A66" w:rsidP="0073496A">
            <w:pPr>
              <w:spacing w:line="480" w:lineRule="auto"/>
              <w:rPr>
                <w:rFonts w:ascii="Times New Roman"/>
                <w:color w:val="000000"/>
              </w:rPr>
            </w:pPr>
            <w:r w:rsidRPr="006B4A66">
              <w:rPr>
                <w:rFonts w:ascii="Times New Roman"/>
                <w:color w:val="000000"/>
              </w:rPr>
              <w:t>SWH</w:t>
            </w:r>
          </w:p>
        </w:tc>
        <w:tc>
          <w:tcPr>
            <w:tcW w:w="899" w:type="dxa"/>
          </w:tcPr>
          <w:p w14:paraId="43445FA4" w14:textId="77777777" w:rsidR="006B4A66" w:rsidRPr="006B4A66" w:rsidRDefault="006B4A66" w:rsidP="0073496A">
            <w:pPr>
              <w:spacing w:line="480" w:lineRule="auto"/>
              <w:rPr>
                <w:rFonts w:ascii="Times New Roman"/>
                <w:color w:val="000000"/>
              </w:rPr>
            </w:pPr>
            <w:r w:rsidRPr="006B4A66">
              <w:rPr>
                <w:rFonts w:ascii="Times New Roman"/>
                <w:color w:val="000000"/>
              </w:rPr>
              <w:t>9</w:t>
            </w:r>
          </w:p>
        </w:tc>
        <w:tc>
          <w:tcPr>
            <w:tcW w:w="900" w:type="dxa"/>
          </w:tcPr>
          <w:p w14:paraId="3115DF1C" w14:textId="77777777" w:rsidR="006B4A66" w:rsidRPr="006B4A66" w:rsidRDefault="006B4A66" w:rsidP="0073496A">
            <w:pPr>
              <w:spacing w:line="480" w:lineRule="auto"/>
              <w:rPr>
                <w:rFonts w:ascii="Times New Roman"/>
                <w:color w:val="000000"/>
              </w:rPr>
            </w:pPr>
            <w:r w:rsidRPr="006B4A66">
              <w:rPr>
                <w:rFonts w:ascii="Times New Roman"/>
                <w:color w:val="000000"/>
              </w:rPr>
              <w:t>30</w:t>
            </w:r>
          </w:p>
        </w:tc>
        <w:tc>
          <w:tcPr>
            <w:tcW w:w="900" w:type="dxa"/>
          </w:tcPr>
          <w:p w14:paraId="2F1D086B"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900" w:type="dxa"/>
          </w:tcPr>
          <w:p w14:paraId="07D8C325" w14:textId="77777777" w:rsidR="006B4A66" w:rsidRPr="006B4A66" w:rsidRDefault="006B4A66" w:rsidP="0073496A">
            <w:pPr>
              <w:spacing w:line="480" w:lineRule="auto"/>
              <w:rPr>
                <w:rFonts w:ascii="Times New Roman"/>
                <w:color w:val="000000"/>
              </w:rPr>
            </w:pPr>
            <w:r w:rsidRPr="006B4A66">
              <w:rPr>
                <w:rFonts w:ascii="Times New Roman"/>
                <w:color w:val="000000"/>
              </w:rPr>
              <w:t>3</w:t>
            </w:r>
          </w:p>
        </w:tc>
        <w:tc>
          <w:tcPr>
            <w:tcW w:w="1058" w:type="dxa"/>
          </w:tcPr>
          <w:p w14:paraId="21C326DA"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913" w:type="dxa"/>
          </w:tcPr>
          <w:p w14:paraId="56B64CD0"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r>
      <w:tr w:rsidR="006B4A66" w:rsidRPr="006B4A66" w14:paraId="0225BB78" w14:textId="77777777">
        <w:tc>
          <w:tcPr>
            <w:tcW w:w="1552" w:type="dxa"/>
          </w:tcPr>
          <w:p w14:paraId="662C0F03" w14:textId="77777777" w:rsidR="006B4A66" w:rsidRPr="006B4A66" w:rsidRDefault="006B4A66" w:rsidP="0073496A">
            <w:pPr>
              <w:spacing w:line="480" w:lineRule="auto"/>
              <w:rPr>
                <w:rFonts w:ascii="Times New Roman"/>
                <w:color w:val="000000"/>
              </w:rPr>
            </w:pPr>
            <w:r w:rsidRPr="006B4A66">
              <w:rPr>
                <w:rFonts w:ascii="Times New Roman"/>
                <w:color w:val="000000"/>
              </w:rPr>
              <w:t>16. Service water heat recovery</w:t>
            </w:r>
          </w:p>
        </w:tc>
        <w:tc>
          <w:tcPr>
            <w:tcW w:w="1281" w:type="dxa"/>
          </w:tcPr>
          <w:p w14:paraId="4348E1F2" w14:textId="77777777" w:rsidR="006B4A66" w:rsidRPr="006B4A66" w:rsidRDefault="006B4A66" w:rsidP="0073496A">
            <w:pPr>
              <w:spacing w:line="480" w:lineRule="auto"/>
              <w:rPr>
                <w:rFonts w:ascii="Times New Roman"/>
                <w:color w:val="000000"/>
              </w:rPr>
            </w:pPr>
            <w:r w:rsidRPr="006B4A66">
              <w:rPr>
                <w:rFonts w:ascii="Times New Roman"/>
                <w:color w:val="000000"/>
              </w:rPr>
              <w:t>C406.2.6.2</w:t>
            </w:r>
          </w:p>
        </w:tc>
        <w:tc>
          <w:tcPr>
            <w:tcW w:w="1060" w:type="dxa"/>
          </w:tcPr>
          <w:p w14:paraId="5E10E46B" w14:textId="77777777" w:rsidR="006B4A66" w:rsidRPr="006B4A66" w:rsidRDefault="006B4A66" w:rsidP="0073496A">
            <w:pPr>
              <w:spacing w:line="480" w:lineRule="auto"/>
              <w:rPr>
                <w:rFonts w:ascii="Times New Roman"/>
                <w:color w:val="000000"/>
              </w:rPr>
            </w:pPr>
            <w:r w:rsidRPr="006B4A66">
              <w:rPr>
                <w:rFonts w:ascii="Times New Roman"/>
                <w:color w:val="000000"/>
              </w:rPr>
              <w:t>SWH</w:t>
            </w:r>
          </w:p>
        </w:tc>
        <w:tc>
          <w:tcPr>
            <w:tcW w:w="899" w:type="dxa"/>
          </w:tcPr>
          <w:p w14:paraId="4917BF1A" w14:textId="77777777" w:rsidR="006B4A66" w:rsidRPr="006B4A66" w:rsidRDefault="006B4A66" w:rsidP="0073496A">
            <w:pPr>
              <w:spacing w:line="480" w:lineRule="auto"/>
              <w:rPr>
                <w:rFonts w:ascii="Times New Roman"/>
                <w:color w:val="000000"/>
              </w:rPr>
            </w:pPr>
            <w:r w:rsidRPr="006B4A66">
              <w:rPr>
                <w:rFonts w:ascii="Times New Roman"/>
                <w:color w:val="000000"/>
              </w:rPr>
              <w:t>35</w:t>
            </w:r>
          </w:p>
        </w:tc>
        <w:tc>
          <w:tcPr>
            <w:tcW w:w="900" w:type="dxa"/>
          </w:tcPr>
          <w:p w14:paraId="2F0B274E" w14:textId="77777777" w:rsidR="006B4A66" w:rsidRPr="006B4A66" w:rsidRDefault="006B4A66" w:rsidP="0073496A">
            <w:pPr>
              <w:spacing w:line="480" w:lineRule="auto"/>
              <w:rPr>
                <w:rFonts w:ascii="Times New Roman"/>
                <w:color w:val="000000"/>
              </w:rPr>
            </w:pPr>
            <w:r w:rsidRPr="006B4A66">
              <w:rPr>
                <w:rFonts w:ascii="Times New Roman"/>
                <w:color w:val="000000"/>
              </w:rPr>
              <w:t>111</w:t>
            </w:r>
          </w:p>
        </w:tc>
        <w:tc>
          <w:tcPr>
            <w:tcW w:w="900" w:type="dxa"/>
          </w:tcPr>
          <w:p w14:paraId="59EFB386" w14:textId="77777777" w:rsidR="006B4A66" w:rsidRPr="006B4A66" w:rsidRDefault="006B4A66" w:rsidP="0073496A">
            <w:pPr>
              <w:spacing w:line="480" w:lineRule="auto"/>
              <w:rPr>
                <w:rFonts w:ascii="Times New Roman"/>
                <w:color w:val="000000"/>
              </w:rPr>
            </w:pPr>
            <w:r w:rsidRPr="006B4A66">
              <w:rPr>
                <w:rFonts w:ascii="Times New Roman"/>
                <w:color w:val="000000"/>
              </w:rPr>
              <w:t>13</w:t>
            </w:r>
          </w:p>
        </w:tc>
        <w:tc>
          <w:tcPr>
            <w:tcW w:w="900" w:type="dxa"/>
          </w:tcPr>
          <w:p w14:paraId="5BC713DD" w14:textId="77777777" w:rsidR="006B4A66" w:rsidRPr="006B4A66" w:rsidRDefault="006B4A66" w:rsidP="0073496A">
            <w:pPr>
              <w:spacing w:line="480" w:lineRule="auto"/>
              <w:rPr>
                <w:rFonts w:ascii="Times New Roman"/>
                <w:color w:val="000000"/>
              </w:rPr>
            </w:pPr>
            <w:r w:rsidRPr="006B4A66">
              <w:rPr>
                <w:rFonts w:ascii="Times New Roman"/>
                <w:color w:val="000000"/>
              </w:rPr>
              <w:t>14</w:t>
            </w:r>
          </w:p>
        </w:tc>
        <w:tc>
          <w:tcPr>
            <w:tcW w:w="1058" w:type="dxa"/>
          </w:tcPr>
          <w:p w14:paraId="7F51EC9C" w14:textId="77777777" w:rsidR="006B4A66" w:rsidRPr="006B4A66" w:rsidRDefault="006B4A66" w:rsidP="0073496A">
            <w:pPr>
              <w:spacing w:line="480" w:lineRule="auto"/>
              <w:rPr>
                <w:rFonts w:ascii="Times New Roman"/>
                <w:color w:val="000000"/>
              </w:rPr>
            </w:pPr>
            <w:r w:rsidRPr="006B4A66">
              <w:rPr>
                <w:rFonts w:ascii="Times New Roman"/>
                <w:color w:val="000000"/>
              </w:rPr>
              <w:t>(Grocery)</w:t>
            </w:r>
          </w:p>
          <w:p w14:paraId="04EF0906" w14:textId="77777777" w:rsidR="006B4A66" w:rsidRPr="006B4A66" w:rsidRDefault="006B4A66" w:rsidP="0073496A">
            <w:pPr>
              <w:spacing w:line="480" w:lineRule="auto"/>
              <w:rPr>
                <w:rFonts w:ascii="Times New Roman"/>
                <w:color w:val="000000"/>
              </w:rPr>
            </w:pPr>
            <w:r w:rsidRPr="006B4A66">
              <w:rPr>
                <w:rFonts w:ascii="Times New Roman"/>
                <w:color w:val="000000"/>
              </w:rPr>
              <w:t>41</w:t>
            </w:r>
            <w:r w:rsidRPr="006B4A66">
              <w:rPr>
                <w:rFonts w:ascii="Times New Roman"/>
                <w:color w:val="000000"/>
                <w:vertAlign w:val="superscript"/>
              </w:rPr>
              <w:t>e</w:t>
            </w:r>
          </w:p>
        </w:tc>
        <w:tc>
          <w:tcPr>
            <w:tcW w:w="913" w:type="dxa"/>
          </w:tcPr>
          <w:p w14:paraId="6139D177"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r>
      <w:tr w:rsidR="006B4A66" w:rsidRPr="006B4A66" w14:paraId="71CC1E2E" w14:textId="77777777">
        <w:tc>
          <w:tcPr>
            <w:tcW w:w="1552" w:type="dxa"/>
          </w:tcPr>
          <w:p w14:paraId="7C959A05" w14:textId="77777777" w:rsidR="006B4A66" w:rsidRPr="006B4A66" w:rsidRDefault="006B4A66" w:rsidP="0073496A">
            <w:pPr>
              <w:spacing w:line="480" w:lineRule="auto"/>
              <w:rPr>
                <w:rFonts w:ascii="Times New Roman"/>
                <w:color w:val="000000"/>
              </w:rPr>
            </w:pPr>
            <w:r w:rsidRPr="006B4A66">
              <w:rPr>
                <w:rFonts w:ascii="Times New Roman"/>
                <w:color w:val="000000"/>
              </w:rPr>
              <w:t>17. Reserved</w:t>
            </w:r>
          </w:p>
        </w:tc>
        <w:tc>
          <w:tcPr>
            <w:tcW w:w="1281" w:type="dxa"/>
          </w:tcPr>
          <w:p w14:paraId="1242B133" w14:textId="77777777" w:rsidR="006B4A66" w:rsidRPr="006B4A66" w:rsidRDefault="006B4A66" w:rsidP="0073496A">
            <w:pPr>
              <w:spacing w:line="480" w:lineRule="auto"/>
              <w:rPr>
                <w:rFonts w:ascii="Times New Roman"/>
                <w:color w:val="000000"/>
              </w:rPr>
            </w:pPr>
          </w:p>
        </w:tc>
        <w:tc>
          <w:tcPr>
            <w:tcW w:w="1060" w:type="dxa"/>
          </w:tcPr>
          <w:p w14:paraId="2394B3FE" w14:textId="77777777" w:rsidR="006B4A66" w:rsidRPr="006B4A66" w:rsidRDefault="006B4A66" w:rsidP="0073496A">
            <w:pPr>
              <w:spacing w:line="480" w:lineRule="auto"/>
              <w:rPr>
                <w:rFonts w:ascii="Times New Roman"/>
                <w:color w:val="000000"/>
              </w:rPr>
            </w:pPr>
          </w:p>
        </w:tc>
        <w:tc>
          <w:tcPr>
            <w:tcW w:w="899" w:type="dxa"/>
          </w:tcPr>
          <w:p w14:paraId="1AC9CF2C" w14:textId="77777777" w:rsidR="006B4A66" w:rsidRPr="006B4A66" w:rsidRDefault="006B4A66" w:rsidP="0073496A">
            <w:pPr>
              <w:spacing w:line="480" w:lineRule="auto"/>
              <w:rPr>
                <w:rFonts w:ascii="Times New Roman"/>
                <w:color w:val="000000"/>
              </w:rPr>
            </w:pPr>
          </w:p>
        </w:tc>
        <w:tc>
          <w:tcPr>
            <w:tcW w:w="900" w:type="dxa"/>
          </w:tcPr>
          <w:p w14:paraId="4B1D91CB" w14:textId="77777777" w:rsidR="006B4A66" w:rsidRPr="006B4A66" w:rsidRDefault="006B4A66" w:rsidP="0073496A">
            <w:pPr>
              <w:spacing w:line="480" w:lineRule="auto"/>
              <w:rPr>
                <w:rFonts w:ascii="Times New Roman"/>
                <w:color w:val="000000"/>
              </w:rPr>
            </w:pPr>
          </w:p>
        </w:tc>
        <w:tc>
          <w:tcPr>
            <w:tcW w:w="900" w:type="dxa"/>
          </w:tcPr>
          <w:p w14:paraId="486EE52C" w14:textId="77777777" w:rsidR="006B4A66" w:rsidRPr="006B4A66" w:rsidRDefault="006B4A66" w:rsidP="0073496A">
            <w:pPr>
              <w:spacing w:line="480" w:lineRule="auto"/>
              <w:rPr>
                <w:rFonts w:ascii="Times New Roman"/>
                <w:color w:val="000000"/>
              </w:rPr>
            </w:pPr>
          </w:p>
        </w:tc>
        <w:tc>
          <w:tcPr>
            <w:tcW w:w="900" w:type="dxa"/>
          </w:tcPr>
          <w:p w14:paraId="615AAD50" w14:textId="77777777" w:rsidR="006B4A66" w:rsidRPr="006B4A66" w:rsidRDefault="006B4A66" w:rsidP="0073496A">
            <w:pPr>
              <w:spacing w:line="480" w:lineRule="auto"/>
              <w:rPr>
                <w:rFonts w:ascii="Times New Roman"/>
                <w:color w:val="000000"/>
              </w:rPr>
            </w:pPr>
          </w:p>
        </w:tc>
        <w:tc>
          <w:tcPr>
            <w:tcW w:w="1058" w:type="dxa"/>
          </w:tcPr>
          <w:p w14:paraId="6EB7B837" w14:textId="77777777" w:rsidR="006B4A66" w:rsidRPr="006B4A66" w:rsidRDefault="006B4A66" w:rsidP="0073496A">
            <w:pPr>
              <w:spacing w:line="480" w:lineRule="auto"/>
              <w:rPr>
                <w:rFonts w:ascii="Times New Roman"/>
                <w:color w:val="000000"/>
              </w:rPr>
            </w:pPr>
          </w:p>
        </w:tc>
        <w:tc>
          <w:tcPr>
            <w:tcW w:w="913" w:type="dxa"/>
          </w:tcPr>
          <w:p w14:paraId="1923143D" w14:textId="77777777" w:rsidR="006B4A66" w:rsidRPr="006B4A66" w:rsidRDefault="006B4A66" w:rsidP="0073496A">
            <w:pPr>
              <w:spacing w:line="480" w:lineRule="auto"/>
              <w:rPr>
                <w:rFonts w:ascii="Times New Roman"/>
                <w:color w:val="000000"/>
              </w:rPr>
            </w:pPr>
          </w:p>
        </w:tc>
      </w:tr>
      <w:tr w:rsidR="006B4A66" w:rsidRPr="006B4A66" w14:paraId="6A302BE6" w14:textId="77777777">
        <w:tc>
          <w:tcPr>
            <w:tcW w:w="1552" w:type="dxa"/>
          </w:tcPr>
          <w:p w14:paraId="3EAEC97D" w14:textId="77777777" w:rsidR="006B4A66" w:rsidRPr="006B4A66" w:rsidRDefault="006B4A66" w:rsidP="0073496A">
            <w:pPr>
              <w:spacing w:line="480" w:lineRule="auto"/>
              <w:rPr>
                <w:rFonts w:ascii="Times New Roman"/>
                <w:color w:val="000000"/>
              </w:rPr>
            </w:pPr>
            <w:r w:rsidRPr="006B4A66">
              <w:rPr>
                <w:rFonts w:ascii="Times New Roman"/>
                <w:color w:val="000000"/>
              </w:rPr>
              <w:t xml:space="preserve">18. High efficiency service water </w:t>
            </w:r>
            <w:r w:rsidRPr="006B4A66">
              <w:rPr>
                <w:rFonts w:ascii="Times New Roman"/>
                <w:color w:val="000000"/>
              </w:rPr>
              <w:lastRenderedPageBreak/>
              <w:t>heating, gas-fired</w:t>
            </w:r>
          </w:p>
        </w:tc>
        <w:tc>
          <w:tcPr>
            <w:tcW w:w="1281" w:type="dxa"/>
          </w:tcPr>
          <w:p w14:paraId="5274A723" w14:textId="77777777" w:rsidR="006B4A66" w:rsidRPr="006B4A66" w:rsidRDefault="006B4A66" w:rsidP="0073496A">
            <w:pPr>
              <w:spacing w:line="480" w:lineRule="auto"/>
              <w:rPr>
                <w:rFonts w:ascii="Times New Roman"/>
                <w:color w:val="000000"/>
              </w:rPr>
            </w:pPr>
            <w:r w:rsidRPr="006B4A66">
              <w:rPr>
                <w:rFonts w:ascii="Times New Roman"/>
                <w:color w:val="000000"/>
              </w:rPr>
              <w:lastRenderedPageBreak/>
              <w:t>C406.2.6.4</w:t>
            </w:r>
          </w:p>
        </w:tc>
        <w:tc>
          <w:tcPr>
            <w:tcW w:w="1060" w:type="dxa"/>
          </w:tcPr>
          <w:p w14:paraId="603CC4AD" w14:textId="77777777" w:rsidR="006B4A66" w:rsidRPr="006B4A66" w:rsidRDefault="006B4A66" w:rsidP="0073496A">
            <w:pPr>
              <w:spacing w:line="480" w:lineRule="auto"/>
              <w:rPr>
                <w:rFonts w:ascii="Times New Roman"/>
                <w:color w:val="000000"/>
              </w:rPr>
            </w:pPr>
            <w:r w:rsidRPr="006B4A66">
              <w:rPr>
                <w:rFonts w:ascii="Times New Roman"/>
                <w:color w:val="000000"/>
              </w:rPr>
              <w:t>SWH</w:t>
            </w:r>
          </w:p>
        </w:tc>
        <w:tc>
          <w:tcPr>
            <w:tcW w:w="899" w:type="dxa"/>
          </w:tcPr>
          <w:p w14:paraId="16520E52"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900" w:type="dxa"/>
          </w:tcPr>
          <w:p w14:paraId="64FC21B9"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900" w:type="dxa"/>
          </w:tcPr>
          <w:p w14:paraId="37A6B06A"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900" w:type="dxa"/>
          </w:tcPr>
          <w:p w14:paraId="10CAB62A"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1058" w:type="dxa"/>
          </w:tcPr>
          <w:p w14:paraId="4BBB3310"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913" w:type="dxa"/>
          </w:tcPr>
          <w:p w14:paraId="67A2C36D"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r>
      <w:tr w:rsidR="006B4A66" w:rsidRPr="006B4A66" w14:paraId="3BA258C0" w14:textId="77777777">
        <w:tc>
          <w:tcPr>
            <w:tcW w:w="1552" w:type="dxa"/>
          </w:tcPr>
          <w:p w14:paraId="551107B2" w14:textId="77777777" w:rsidR="006B4A66" w:rsidRPr="006B4A66" w:rsidRDefault="006B4A66" w:rsidP="0073496A">
            <w:pPr>
              <w:spacing w:line="480" w:lineRule="auto"/>
              <w:rPr>
                <w:rFonts w:ascii="Times New Roman"/>
                <w:color w:val="000000"/>
              </w:rPr>
            </w:pPr>
            <w:r w:rsidRPr="006B4A66">
              <w:rPr>
                <w:rFonts w:ascii="Times New Roman"/>
                <w:color w:val="000000"/>
              </w:rPr>
              <w:t>19. Heat trace system</w:t>
            </w:r>
          </w:p>
        </w:tc>
        <w:tc>
          <w:tcPr>
            <w:tcW w:w="1281" w:type="dxa"/>
          </w:tcPr>
          <w:p w14:paraId="09611C26" w14:textId="77777777" w:rsidR="006B4A66" w:rsidRPr="006B4A66" w:rsidRDefault="006B4A66" w:rsidP="0073496A">
            <w:pPr>
              <w:spacing w:line="480" w:lineRule="auto"/>
              <w:rPr>
                <w:rFonts w:ascii="Times New Roman"/>
                <w:color w:val="000000"/>
              </w:rPr>
            </w:pPr>
            <w:r w:rsidRPr="006B4A66">
              <w:rPr>
                <w:rFonts w:ascii="Times New Roman"/>
                <w:color w:val="000000"/>
              </w:rPr>
              <w:t>C406.2.7.1</w:t>
            </w:r>
          </w:p>
        </w:tc>
        <w:tc>
          <w:tcPr>
            <w:tcW w:w="1060" w:type="dxa"/>
          </w:tcPr>
          <w:p w14:paraId="6D81812B" w14:textId="77777777" w:rsidR="006B4A66" w:rsidRPr="006B4A66" w:rsidRDefault="006B4A66" w:rsidP="0073496A">
            <w:pPr>
              <w:spacing w:line="480" w:lineRule="auto"/>
              <w:rPr>
                <w:rFonts w:ascii="Times New Roman"/>
                <w:color w:val="000000"/>
              </w:rPr>
            </w:pPr>
            <w:r w:rsidRPr="006B4A66">
              <w:rPr>
                <w:rFonts w:ascii="Times New Roman"/>
                <w:color w:val="000000"/>
              </w:rPr>
              <w:t>SWH</w:t>
            </w:r>
          </w:p>
        </w:tc>
        <w:tc>
          <w:tcPr>
            <w:tcW w:w="899" w:type="dxa"/>
          </w:tcPr>
          <w:p w14:paraId="1C4544A3" w14:textId="77777777" w:rsidR="006B4A66" w:rsidRPr="006B4A66" w:rsidRDefault="006B4A66" w:rsidP="0073496A">
            <w:pPr>
              <w:spacing w:line="480" w:lineRule="auto"/>
              <w:rPr>
                <w:rFonts w:ascii="Times New Roman"/>
                <w:color w:val="000000"/>
              </w:rPr>
            </w:pPr>
            <w:r w:rsidRPr="006B4A66">
              <w:rPr>
                <w:rFonts w:ascii="Times New Roman"/>
                <w:color w:val="000000"/>
              </w:rPr>
              <w:t>6</w:t>
            </w:r>
          </w:p>
        </w:tc>
        <w:tc>
          <w:tcPr>
            <w:tcW w:w="900" w:type="dxa"/>
          </w:tcPr>
          <w:p w14:paraId="2866D7FD" w14:textId="77777777" w:rsidR="006B4A66" w:rsidRPr="006B4A66" w:rsidRDefault="006B4A66" w:rsidP="0073496A">
            <w:pPr>
              <w:spacing w:line="480" w:lineRule="auto"/>
              <w:rPr>
                <w:rFonts w:ascii="Times New Roman"/>
                <w:color w:val="000000"/>
              </w:rPr>
            </w:pPr>
            <w:r w:rsidRPr="006B4A66">
              <w:rPr>
                <w:rFonts w:ascii="Times New Roman"/>
                <w:color w:val="000000"/>
              </w:rPr>
              <w:t>13</w:t>
            </w:r>
          </w:p>
        </w:tc>
        <w:tc>
          <w:tcPr>
            <w:tcW w:w="900" w:type="dxa"/>
          </w:tcPr>
          <w:p w14:paraId="0C78D649" w14:textId="77777777" w:rsidR="006B4A66" w:rsidRPr="006B4A66" w:rsidRDefault="006B4A66" w:rsidP="0073496A">
            <w:pPr>
              <w:spacing w:line="480" w:lineRule="auto"/>
              <w:rPr>
                <w:rFonts w:ascii="Times New Roman"/>
                <w:color w:val="000000"/>
              </w:rPr>
            </w:pPr>
            <w:r w:rsidRPr="006B4A66">
              <w:rPr>
                <w:rFonts w:ascii="Times New Roman"/>
                <w:color w:val="000000"/>
              </w:rPr>
              <w:t>4</w:t>
            </w:r>
          </w:p>
        </w:tc>
        <w:tc>
          <w:tcPr>
            <w:tcW w:w="900" w:type="dxa"/>
          </w:tcPr>
          <w:p w14:paraId="12C16C0A" w14:textId="77777777" w:rsidR="006B4A66" w:rsidRPr="006B4A66" w:rsidRDefault="006B4A66" w:rsidP="0073496A">
            <w:pPr>
              <w:spacing w:line="480" w:lineRule="auto"/>
              <w:rPr>
                <w:rFonts w:ascii="Times New Roman"/>
                <w:color w:val="000000"/>
              </w:rPr>
            </w:pPr>
            <w:r w:rsidRPr="006B4A66">
              <w:rPr>
                <w:rFonts w:ascii="Times New Roman"/>
                <w:color w:val="000000"/>
              </w:rPr>
              <w:t>1</w:t>
            </w:r>
          </w:p>
        </w:tc>
        <w:tc>
          <w:tcPr>
            <w:tcW w:w="1058" w:type="dxa"/>
          </w:tcPr>
          <w:p w14:paraId="215A73FB"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913" w:type="dxa"/>
          </w:tcPr>
          <w:p w14:paraId="26202E70" w14:textId="77777777" w:rsidR="006B4A66" w:rsidRPr="006B4A66" w:rsidRDefault="006B4A66" w:rsidP="0073496A">
            <w:pPr>
              <w:spacing w:line="480" w:lineRule="auto"/>
              <w:rPr>
                <w:rFonts w:ascii="Times New Roman"/>
                <w:color w:val="000000"/>
              </w:rPr>
            </w:pPr>
            <w:r w:rsidRPr="006B4A66">
              <w:rPr>
                <w:rFonts w:ascii="Times New Roman"/>
                <w:color w:val="000000"/>
              </w:rPr>
              <w:t>6</w:t>
            </w:r>
          </w:p>
        </w:tc>
      </w:tr>
      <w:tr w:rsidR="006B4A66" w:rsidRPr="006B4A66" w14:paraId="6E188A61" w14:textId="77777777">
        <w:tc>
          <w:tcPr>
            <w:tcW w:w="1552" w:type="dxa"/>
          </w:tcPr>
          <w:p w14:paraId="5E33A453" w14:textId="77777777" w:rsidR="006B4A66" w:rsidRPr="006B4A66" w:rsidRDefault="006B4A66" w:rsidP="0073496A">
            <w:pPr>
              <w:spacing w:line="480" w:lineRule="auto"/>
              <w:rPr>
                <w:rFonts w:ascii="Times New Roman"/>
                <w:color w:val="000000"/>
              </w:rPr>
            </w:pPr>
            <w:r w:rsidRPr="006B4A66">
              <w:rPr>
                <w:rFonts w:ascii="Times New Roman"/>
                <w:color w:val="000000"/>
              </w:rPr>
              <w:t>20. Point of use water heater</w:t>
            </w:r>
          </w:p>
        </w:tc>
        <w:tc>
          <w:tcPr>
            <w:tcW w:w="1281" w:type="dxa"/>
          </w:tcPr>
          <w:p w14:paraId="7E33F78A" w14:textId="77777777" w:rsidR="006B4A66" w:rsidRPr="006B4A66" w:rsidRDefault="006B4A66" w:rsidP="0073496A">
            <w:pPr>
              <w:spacing w:line="480" w:lineRule="auto"/>
              <w:rPr>
                <w:rFonts w:ascii="Times New Roman"/>
                <w:color w:val="000000"/>
              </w:rPr>
            </w:pPr>
            <w:r w:rsidRPr="006B4A66">
              <w:rPr>
                <w:rFonts w:ascii="Times New Roman"/>
                <w:color w:val="000000"/>
              </w:rPr>
              <w:t>C406.2.7.2</w:t>
            </w:r>
          </w:p>
        </w:tc>
        <w:tc>
          <w:tcPr>
            <w:tcW w:w="1060" w:type="dxa"/>
          </w:tcPr>
          <w:p w14:paraId="2AAC5ED9" w14:textId="77777777" w:rsidR="006B4A66" w:rsidRPr="006B4A66" w:rsidRDefault="006B4A66" w:rsidP="0073496A">
            <w:pPr>
              <w:spacing w:line="480" w:lineRule="auto"/>
              <w:rPr>
                <w:rFonts w:ascii="Times New Roman"/>
                <w:color w:val="000000"/>
              </w:rPr>
            </w:pPr>
            <w:r w:rsidRPr="006B4A66">
              <w:rPr>
                <w:rFonts w:ascii="Times New Roman"/>
                <w:color w:val="000000"/>
              </w:rPr>
              <w:t>SWH</w:t>
            </w:r>
          </w:p>
        </w:tc>
        <w:tc>
          <w:tcPr>
            <w:tcW w:w="899" w:type="dxa"/>
          </w:tcPr>
          <w:p w14:paraId="31BF6C19"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900" w:type="dxa"/>
          </w:tcPr>
          <w:p w14:paraId="17A2B694"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900" w:type="dxa"/>
          </w:tcPr>
          <w:p w14:paraId="584307C8" w14:textId="77777777" w:rsidR="006B4A66" w:rsidRPr="006B4A66" w:rsidRDefault="006B4A66" w:rsidP="0073496A">
            <w:pPr>
              <w:spacing w:line="480" w:lineRule="auto"/>
              <w:rPr>
                <w:rFonts w:ascii="Times New Roman"/>
                <w:color w:val="000000"/>
              </w:rPr>
            </w:pPr>
            <w:r w:rsidRPr="006B4A66">
              <w:rPr>
                <w:rFonts w:ascii="Times New Roman"/>
                <w:color w:val="000000"/>
              </w:rPr>
              <w:t>19</w:t>
            </w:r>
          </w:p>
        </w:tc>
        <w:tc>
          <w:tcPr>
            <w:tcW w:w="900" w:type="dxa"/>
          </w:tcPr>
          <w:p w14:paraId="1E8E7074" w14:textId="77777777" w:rsidR="006B4A66" w:rsidRPr="006B4A66" w:rsidRDefault="006B4A66" w:rsidP="0073496A">
            <w:pPr>
              <w:spacing w:line="480" w:lineRule="auto"/>
              <w:rPr>
                <w:rFonts w:ascii="Times New Roman"/>
                <w:color w:val="000000"/>
              </w:rPr>
            </w:pPr>
            <w:r w:rsidRPr="006B4A66">
              <w:rPr>
                <w:rFonts w:ascii="Times New Roman"/>
                <w:color w:val="000000"/>
              </w:rPr>
              <w:t>5</w:t>
            </w:r>
          </w:p>
        </w:tc>
        <w:tc>
          <w:tcPr>
            <w:tcW w:w="1058" w:type="dxa"/>
          </w:tcPr>
          <w:p w14:paraId="597CE216"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913" w:type="dxa"/>
          </w:tcPr>
          <w:p w14:paraId="26FA5EEE"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r>
      <w:tr w:rsidR="006B4A66" w:rsidRPr="006B4A66" w14:paraId="383AF2BC" w14:textId="77777777">
        <w:tc>
          <w:tcPr>
            <w:tcW w:w="1552" w:type="dxa"/>
          </w:tcPr>
          <w:p w14:paraId="3E8194BD" w14:textId="77777777" w:rsidR="006B4A66" w:rsidRPr="006B4A66" w:rsidRDefault="006B4A66" w:rsidP="0073496A">
            <w:pPr>
              <w:spacing w:line="480" w:lineRule="auto"/>
              <w:rPr>
                <w:rFonts w:ascii="Times New Roman"/>
                <w:color w:val="000000"/>
              </w:rPr>
            </w:pPr>
            <w:r w:rsidRPr="006B4A66">
              <w:rPr>
                <w:rFonts w:ascii="Times New Roman"/>
                <w:color w:val="000000"/>
              </w:rPr>
              <w:t>21. Service hot water distribution right sizing</w:t>
            </w:r>
          </w:p>
        </w:tc>
        <w:tc>
          <w:tcPr>
            <w:tcW w:w="1281" w:type="dxa"/>
          </w:tcPr>
          <w:p w14:paraId="0C33E6E9" w14:textId="77777777" w:rsidR="006B4A66" w:rsidRPr="006B4A66" w:rsidRDefault="006B4A66" w:rsidP="0073496A">
            <w:pPr>
              <w:spacing w:line="480" w:lineRule="auto"/>
              <w:rPr>
                <w:rFonts w:ascii="Times New Roman"/>
                <w:color w:val="000000"/>
              </w:rPr>
            </w:pPr>
            <w:r w:rsidRPr="006B4A66">
              <w:rPr>
                <w:rFonts w:ascii="Times New Roman"/>
                <w:color w:val="000000"/>
              </w:rPr>
              <w:t>C406.2.8</w:t>
            </w:r>
          </w:p>
        </w:tc>
        <w:tc>
          <w:tcPr>
            <w:tcW w:w="1060" w:type="dxa"/>
          </w:tcPr>
          <w:p w14:paraId="3E2E40BA" w14:textId="77777777" w:rsidR="006B4A66" w:rsidRPr="006B4A66" w:rsidRDefault="006B4A66" w:rsidP="0073496A">
            <w:pPr>
              <w:spacing w:line="480" w:lineRule="auto"/>
              <w:rPr>
                <w:rFonts w:ascii="Times New Roman"/>
                <w:color w:val="000000"/>
              </w:rPr>
            </w:pPr>
          </w:p>
        </w:tc>
        <w:tc>
          <w:tcPr>
            <w:tcW w:w="899" w:type="dxa"/>
          </w:tcPr>
          <w:p w14:paraId="0F75EF5F" w14:textId="77777777" w:rsidR="006B4A66" w:rsidRPr="006B4A66" w:rsidRDefault="006B4A66" w:rsidP="0073496A">
            <w:pPr>
              <w:spacing w:line="480" w:lineRule="auto"/>
              <w:rPr>
                <w:rFonts w:ascii="Times New Roman"/>
                <w:color w:val="000000"/>
              </w:rPr>
            </w:pPr>
            <w:r w:rsidRPr="006B4A66">
              <w:rPr>
                <w:rFonts w:ascii="Times New Roman"/>
                <w:color w:val="000000"/>
              </w:rPr>
              <w:t>13</w:t>
            </w:r>
          </w:p>
        </w:tc>
        <w:tc>
          <w:tcPr>
            <w:tcW w:w="900" w:type="dxa"/>
          </w:tcPr>
          <w:p w14:paraId="3A6CD426" w14:textId="77777777" w:rsidR="006B4A66" w:rsidRPr="006B4A66" w:rsidRDefault="006B4A66" w:rsidP="0073496A">
            <w:pPr>
              <w:spacing w:line="480" w:lineRule="auto"/>
              <w:rPr>
                <w:rFonts w:ascii="Times New Roman"/>
                <w:color w:val="000000"/>
              </w:rPr>
            </w:pPr>
            <w:r w:rsidRPr="006B4A66">
              <w:rPr>
                <w:rFonts w:ascii="Times New Roman"/>
                <w:color w:val="000000"/>
              </w:rPr>
              <w:t>10</w:t>
            </w:r>
          </w:p>
        </w:tc>
        <w:tc>
          <w:tcPr>
            <w:tcW w:w="900" w:type="dxa"/>
          </w:tcPr>
          <w:p w14:paraId="7C1377F7"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900" w:type="dxa"/>
          </w:tcPr>
          <w:p w14:paraId="11EE277C"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1058" w:type="dxa"/>
          </w:tcPr>
          <w:p w14:paraId="786D711F"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913" w:type="dxa"/>
          </w:tcPr>
          <w:p w14:paraId="1999B17E"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r>
      <w:tr w:rsidR="006B4A66" w:rsidRPr="006B4A66" w14:paraId="17AD5471" w14:textId="77777777">
        <w:tc>
          <w:tcPr>
            <w:tcW w:w="1552" w:type="dxa"/>
          </w:tcPr>
          <w:p w14:paraId="487EE678" w14:textId="77777777" w:rsidR="006B4A66" w:rsidRPr="006B4A66" w:rsidRDefault="006B4A66" w:rsidP="0073496A">
            <w:pPr>
              <w:spacing w:line="480" w:lineRule="auto"/>
              <w:rPr>
                <w:rFonts w:ascii="Times New Roman"/>
                <w:color w:val="000000"/>
              </w:rPr>
            </w:pPr>
            <w:r w:rsidRPr="006B4A66">
              <w:rPr>
                <w:rFonts w:ascii="Times New Roman"/>
                <w:color w:val="000000"/>
              </w:rPr>
              <w:t>22. High performance service hot water temperature maintenance system</w:t>
            </w:r>
          </w:p>
        </w:tc>
        <w:tc>
          <w:tcPr>
            <w:tcW w:w="1281" w:type="dxa"/>
          </w:tcPr>
          <w:p w14:paraId="475C7112" w14:textId="77777777" w:rsidR="006B4A66" w:rsidRPr="006B4A66" w:rsidRDefault="006B4A66" w:rsidP="0073496A">
            <w:pPr>
              <w:spacing w:line="480" w:lineRule="auto"/>
              <w:rPr>
                <w:rFonts w:ascii="Times New Roman"/>
                <w:color w:val="000000"/>
              </w:rPr>
            </w:pPr>
            <w:r w:rsidRPr="006B4A66">
              <w:rPr>
                <w:rFonts w:ascii="Times New Roman"/>
                <w:color w:val="000000"/>
              </w:rPr>
              <w:t>C406.2.9</w:t>
            </w:r>
          </w:p>
        </w:tc>
        <w:tc>
          <w:tcPr>
            <w:tcW w:w="1060" w:type="dxa"/>
          </w:tcPr>
          <w:p w14:paraId="406A9376" w14:textId="77777777" w:rsidR="006B4A66" w:rsidRPr="006B4A66" w:rsidRDefault="006B4A66" w:rsidP="0073496A">
            <w:pPr>
              <w:spacing w:line="480" w:lineRule="auto"/>
              <w:rPr>
                <w:rFonts w:ascii="Times New Roman"/>
                <w:color w:val="000000"/>
              </w:rPr>
            </w:pPr>
          </w:p>
        </w:tc>
        <w:tc>
          <w:tcPr>
            <w:tcW w:w="899" w:type="dxa"/>
          </w:tcPr>
          <w:p w14:paraId="53A7DA20" w14:textId="77777777" w:rsidR="006B4A66" w:rsidRPr="006B4A66" w:rsidRDefault="006B4A66" w:rsidP="0073496A">
            <w:pPr>
              <w:spacing w:line="480" w:lineRule="auto"/>
              <w:rPr>
                <w:rFonts w:ascii="Times New Roman"/>
                <w:color w:val="000000"/>
              </w:rPr>
            </w:pPr>
            <w:r w:rsidRPr="006B4A66">
              <w:rPr>
                <w:rFonts w:ascii="Times New Roman"/>
                <w:color w:val="000000"/>
              </w:rPr>
              <w:t>6</w:t>
            </w:r>
          </w:p>
        </w:tc>
        <w:tc>
          <w:tcPr>
            <w:tcW w:w="900" w:type="dxa"/>
          </w:tcPr>
          <w:p w14:paraId="6967E9AB" w14:textId="77777777" w:rsidR="006B4A66" w:rsidRPr="006B4A66" w:rsidRDefault="006B4A66" w:rsidP="0073496A">
            <w:pPr>
              <w:spacing w:line="480" w:lineRule="auto"/>
              <w:rPr>
                <w:rFonts w:ascii="Times New Roman"/>
                <w:color w:val="000000"/>
              </w:rPr>
            </w:pPr>
            <w:r w:rsidRPr="006B4A66">
              <w:rPr>
                <w:rFonts w:ascii="Times New Roman"/>
                <w:color w:val="000000"/>
              </w:rPr>
              <w:t>13</w:t>
            </w:r>
          </w:p>
        </w:tc>
        <w:tc>
          <w:tcPr>
            <w:tcW w:w="900" w:type="dxa"/>
          </w:tcPr>
          <w:p w14:paraId="527C427A" w14:textId="77777777" w:rsidR="006B4A66" w:rsidRPr="006B4A66" w:rsidRDefault="006B4A66" w:rsidP="0073496A">
            <w:pPr>
              <w:spacing w:line="480" w:lineRule="auto"/>
              <w:rPr>
                <w:rFonts w:ascii="Times New Roman"/>
                <w:color w:val="000000"/>
              </w:rPr>
            </w:pPr>
            <w:r w:rsidRPr="006B4A66">
              <w:rPr>
                <w:rFonts w:ascii="Times New Roman"/>
                <w:color w:val="000000"/>
              </w:rPr>
              <w:t>4</w:t>
            </w:r>
          </w:p>
        </w:tc>
        <w:tc>
          <w:tcPr>
            <w:tcW w:w="900" w:type="dxa"/>
          </w:tcPr>
          <w:p w14:paraId="040F17BE" w14:textId="77777777" w:rsidR="006B4A66" w:rsidRPr="006B4A66" w:rsidRDefault="006B4A66" w:rsidP="0073496A">
            <w:pPr>
              <w:spacing w:line="480" w:lineRule="auto"/>
              <w:rPr>
                <w:rFonts w:ascii="Times New Roman"/>
                <w:color w:val="000000"/>
              </w:rPr>
            </w:pPr>
            <w:r w:rsidRPr="006B4A66">
              <w:rPr>
                <w:rFonts w:ascii="Times New Roman"/>
                <w:color w:val="000000"/>
              </w:rPr>
              <w:t>1</w:t>
            </w:r>
          </w:p>
        </w:tc>
        <w:tc>
          <w:tcPr>
            <w:tcW w:w="1058" w:type="dxa"/>
          </w:tcPr>
          <w:p w14:paraId="520E8A32"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913" w:type="dxa"/>
          </w:tcPr>
          <w:p w14:paraId="12D88685" w14:textId="77777777" w:rsidR="006B4A66" w:rsidRPr="006B4A66" w:rsidRDefault="006B4A66" w:rsidP="0073496A">
            <w:pPr>
              <w:spacing w:line="480" w:lineRule="auto"/>
              <w:rPr>
                <w:rFonts w:ascii="Times New Roman"/>
                <w:color w:val="000000"/>
              </w:rPr>
            </w:pPr>
            <w:r w:rsidRPr="006B4A66">
              <w:rPr>
                <w:rFonts w:ascii="Times New Roman"/>
                <w:color w:val="000000"/>
              </w:rPr>
              <w:t>6</w:t>
            </w:r>
          </w:p>
        </w:tc>
      </w:tr>
      <w:tr w:rsidR="006B4A66" w:rsidRPr="006B4A66" w14:paraId="5C7DF167" w14:textId="77777777">
        <w:tc>
          <w:tcPr>
            <w:tcW w:w="1552" w:type="dxa"/>
          </w:tcPr>
          <w:p w14:paraId="6F8D2866" w14:textId="77777777" w:rsidR="006B4A66" w:rsidRPr="006B4A66" w:rsidRDefault="006B4A66" w:rsidP="0073496A">
            <w:pPr>
              <w:spacing w:line="480" w:lineRule="auto"/>
              <w:rPr>
                <w:rFonts w:ascii="Times New Roman"/>
                <w:color w:val="000000"/>
              </w:rPr>
            </w:pPr>
            <w:r w:rsidRPr="006B4A66">
              <w:rPr>
                <w:rFonts w:ascii="Times New Roman"/>
                <w:color w:val="000000"/>
              </w:rPr>
              <w:t>23. Reserved</w:t>
            </w:r>
          </w:p>
        </w:tc>
        <w:tc>
          <w:tcPr>
            <w:tcW w:w="1281" w:type="dxa"/>
          </w:tcPr>
          <w:p w14:paraId="1553B77C" w14:textId="77777777" w:rsidR="006B4A66" w:rsidRPr="006B4A66" w:rsidRDefault="006B4A66" w:rsidP="0073496A">
            <w:pPr>
              <w:spacing w:line="480" w:lineRule="auto"/>
              <w:rPr>
                <w:rFonts w:ascii="Times New Roman"/>
                <w:color w:val="000000"/>
              </w:rPr>
            </w:pPr>
          </w:p>
        </w:tc>
        <w:tc>
          <w:tcPr>
            <w:tcW w:w="1060" w:type="dxa"/>
          </w:tcPr>
          <w:p w14:paraId="47B2CF36" w14:textId="77777777" w:rsidR="006B4A66" w:rsidRPr="006B4A66" w:rsidRDefault="006B4A66" w:rsidP="0073496A">
            <w:pPr>
              <w:spacing w:line="480" w:lineRule="auto"/>
              <w:rPr>
                <w:rFonts w:ascii="Times New Roman"/>
                <w:color w:val="000000"/>
              </w:rPr>
            </w:pPr>
          </w:p>
        </w:tc>
        <w:tc>
          <w:tcPr>
            <w:tcW w:w="899" w:type="dxa"/>
          </w:tcPr>
          <w:p w14:paraId="31C4292E" w14:textId="77777777" w:rsidR="006B4A66" w:rsidRPr="006B4A66" w:rsidRDefault="006B4A66" w:rsidP="0073496A">
            <w:pPr>
              <w:spacing w:line="480" w:lineRule="auto"/>
              <w:rPr>
                <w:rFonts w:ascii="Times New Roman"/>
                <w:color w:val="000000"/>
              </w:rPr>
            </w:pPr>
          </w:p>
        </w:tc>
        <w:tc>
          <w:tcPr>
            <w:tcW w:w="900" w:type="dxa"/>
          </w:tcPr>
          <w:p w14:paraId="4D6C8607" w14:textId="77777777" w:rsidR="006B4A66" w:rsidRPr="006B4A66" w:rsidRDefault="006B4A66" w:rsidP="0073496A">
            <w:pPr>
              <w:spacing w:line="480" w:lineRule="auto"/>
              <w:rPr>
                <w:rFonts w:ascii="Times New Roman"/>
                <w:color w:val="000000"/>
              </w:rPr>
            </w:pPr>
          </w:p>
        </w:tc>
        <w:tc>
          <w:tcPr>
            <w:tcW w:w="900" w:type="dxa"/>
          </w:tcPr>
          <w:p w14:paraId="575E9CD9" w14:textId="77777777" w:rsidR="006B4A66" w:rsidRPr="006B4A66" w:rsidRDefault="006B4A66" w:rsidP="0073496A">
            <w:pPr>
              <w:spacing w:line="480" w:lineRule="auto"/>
              <w:rPr>
                <w:rFonts w:ascii="Times New Roman"/>
                <w:color w:val="000000"/>
              </w:rPr>
            </w:pPr>
          </w:p>
        </w:tc>
        <w:tc>
          <w:tcPr>
            <w:tcW w:w="900" w:type="dxa"/>
          </w:tcPr>
          <w:p w14:paraId="63B416A8" w14:textId="77777777" w:rsidR="006B4A66" w:rsidRPr="006B4A66" w:rsidRDefault="006B4A66" w:rsidP="0073496A">
            <w:pPr>
              <w:spacing w:line="480" w:lineRule="auto"/>
              <w:rPr>
                <w:rFonts w:ascii="Times New Roman"/>
                <w:color w:val="000000"/>
              </w:rPr>
            </w:pPr>
          </w:p>
        </w:tc>
        <w:tc>
          <w:tcPr>
            <w:tcW w:w="1058" w:type="dxa"/>
          </w:tcPr>
          <w:p w14:paraId="0ED62578" w14:textId="77777777" w:rsidR="006B4A66" w:rsidRPr="006B4A66" w:rsidRDefault="006B4A66" w:rsidP="0073496A">
            <w:pPr>
              <w:spacing w:line="480" w:lineRule="auto"/>
              <w:rPr>
                <w:rFonts w:ascii="Times New Roman"/>
                <w:color w:val="000000"/>
              </w:rPr>
            </w:pPr>
          </w:p>
        </w:tc>
        <w:tc>
          <w:tcPr>
            <w:tcW w:w="913" w:type="dxa"/>
          </w:tcPr>
          <w:p w14:paraId="4868186D" w14:textId="77777777" w:rsidR="006B4A66" w:rsidRPr="006B4A66" w:rsidRDefault="006B4A66" w:rsidP="0073496A">
            <w:pPr>
              <w:spacing w:line="480" w:lineRule="auto"/>
              <w:rPr>
                <w:rFonts w:ascii="Times New Roman"/>
                <w:color w:val="000000"/>
              </w:rPr>
            </w:pPr>
          </w:p>
        </w:tc>
      </w:tr>
      <w:tr w:rsidR="006B4A66" w:rsidRPr="006B4A66" w14:paraId="156D0F5C" w14:textId="77777777">
        <w:tc>
          <w:tcPr>
            <w:tcW w:w="1552" w:type="dxa"/>
          </w:tcPr>
          <w:p w14:paraId="66A2D428" w14:textId="77777777" w:rsidR="006B4A66" w:rsidRPr="006B4A66" w:rsidRDefault="006B4A66" w:rsidP="0073496A">
            <w:pPr>
              <w:spacing w:line="480" w:lineRule="auto"/>
              <w:rPr>
                <w:rFonts w:ascii="Times New Roman"/>
                <w:color w:val="000000"/>
              </w:rPr>
            </w:pPr>
            <w:r w:rsidRPr="006B4A66">
              <w:rPr>
                <w:rFonts w:ascii="Times New Roman"/>
                <w:color w:val="000000"/>
              </w:rPr>
              <w:lastRenderedPageBreak/>
              <w:t>24. Low flow residential showerhead</w:t>
            </w:r>
          </w:p>
        </w:tc>
        <w:tc>
          <w:tcPr>
            <w:tcW w:w="1281" w:type="dxa"/>
          </w:tcPr>
          <w:p w14:paraId="0FB1F746" w14:textId="77777777" w:rsidR="006B4A66" w:rsidRPr="006B4A66" w:rsidRDefault="006B4A66" w:rsidP="0073496A">
            <w:pPr>
              <w:spacing w:line="480" w:lineRule="auto"/>
              <w:rPr>
                <w:rFonts w:ascii="Times New Roman"/>
                <w:color w:val="000000"/>
              </w:rPr>
            </w:pPr>
            <w:r w:rsidRPr="006B4A66">
              <w:rPr>
                <w:rFonts w:ascii="Times New Roman"/>
                <w:color w:val="000000"/>
              </w:rPr>
              <w:t>C406.2.11</w:t>
            </w:r>
          </w:p>
        </w:tc>
        <w:tc>
          <w:tcPr>
            <w:tcW w:w="1060" w:type="dxa"/>
          </w:tcPr>
          <w:p w14:paraId="3967EBC2" w14:textId="77777777" w:rsidR="006B4A66" w:rsidRPr="006B4A66" w:rsidRDefault="006B4A66" w:rsidP="0073496A">
            <w:pPr>
              <w:spacing w:line="480" w:lineRule="auto"/>
              <w:rPr>
                <w:rFonts w:ascii="Times New Roman"/>
                <w:color w:val="000000"/>
              </w:rPr>
            </w:pPr>
            <w:r w:rsidRPr="006B4A66">
              <w:rPr>
                <w:rFonts w:ascii="Times New Roman"/>
                <w:color w:val="000000"/>
              </w:rPr>
              <w:t>SWH</w:t>
            </w:r>
          </w:p>
        </w:tc>
        <w:tc>
          <w:tcPr>
            <w:tcW w:w="899" w:type="dxa"/>
          </w:tcPr>
          <w:p w14:paraId="62CC3536" w14:textId="77777777" w:rsidR="006B4A66" w:rsidRPr="006B4A66" w:rsidRDefault="006B4A66" w:rsidP="0073496A">
            <w:pPr>
              <w:spacing w:line="480" w:lineRule="auto"/>
              <w:rPr>
                <w:rFonts w:ascii="Times New Roman"/>
                <w:color w:val="000000"/>
              </w:rPr>
            </w:pPr>
            <w:r w:rsidRPr="006B4A66">
              <w:rPr>
                <w:rFonts w:ascii="Times New Roman"/>
                <w:color w:val="000000"/>
              </w:rPr>
              <w:t>3</w:t>
            </w:r>
          </w:p>
        </w:tc>
        <w:tc>
          <w:tcPr>
            <w:tcW w:w="900" w:type="dxa"/>
          </w:tcPr>
          <w:p w14:paraId="4F223A40" w14:textId="77777777" w:rsidR="006B4A66" w:rsidRPr="006B4A66" w:rsidRDefault="006B4A66" w:rsidP="0073496A">
            <w:pPr>
              <w:spacing w:line="480" w:lineRule="auto"/>
              <w:rPr>
                <w:rFonts w:ascii="Times New Roman"/>
                <w:color w:val="000000"/>
              </w:rPr>
            </w:pPr>
            <w:r w:rsidRPr="006B4A66">
              <w:rPr>
                <w:rFonts w:ascii="Times New Roman"/>
                <w:color w:val="000000"/>
              </w:rPr>
              <w:t>3</w:t>
            </w:r>
          </w:p>
        </w:tc>
        <w:tc>
          <w:tcPr>
            <w:tcW w:w="900" w:type="dxa"/>
          </w:tcPr>
          <w:p w14:paraId="6F2176B9"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900" w:type="dxa"/>
          </w:tcPr>
          <w:p w14:paraId="71D4905D"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1058" w:type="dxa"/>
          </w:tcPr>
          <w:p w14:paraId="02B3350D"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913" w:type="dxa"/>
          </w:tcPr>
          <w:p w14:paraId="3006F18A"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r>
      <w:tr w:rsidR="006B4A66" w:rsidRPr="006B4A66" w14:paraId="127AE4FA" w14:textId="77777777">
        <w:tc>
          <w:tcPr>
            <w:tcW w:w="1552" w:type="dxa"/>
          </w:tcPr>
          <w:p w14:paraId="13F2E6D6" w14:textId="77777777" w:rsidR="006B4A66" w:rsidRPr="006B4A66" w:rsidRDefault="006B4A66" w:rsidP="0073496A">
            <w:pPr>
              <w:spacing w:line="480" w:lineRule="auto"/>
              <w:rPr>
                <w:rFonts w:ascii="Times New Roman"/>
                <w:color w:val="000000"/>
              </w:rPr>
            </w:pPr>
            <w:r w:rsidRPr="006B4A66">
              <w:rPr>
                <w:rFonts w:ascii="Times New Roman"/>
                <w:color w:val="000000"/>
              </w:rPr>
              <w:t>25. Enhanced envelope performance</w:t>
            </w:r>
            <w:r w:rsidRPr="006B4A66">
              <w:rPr>
                <w:rFonts w:ascii="Times New Roman"/>
                <w:color w:val="000000"/>
                <w:vertAlign w:val="superscript"/>
              </w:rPr>
              <w:t>g</w:t>
            </w:r>
          </w:p>
        </w:tc>
        <w:tc>
          <w:tcPr>
            <w:tcW w:w="1281" w:type="dxa"/>
          </w:tcPr>
          <w:p w14:paraId="688E4BDF" w14:textId="77777777" w:rsidR="006B4A66" w:rsidRPr="006B4A66" w:rsidRDefault="006B4A66" w:rsidP="0073496A">
            <w:pPr>
              <w:spacing w:line="480" w:lineRule="auto"/>
              <w:rPr>
                <w:rFonts w:ascii="Times New Roman"/>
                <w:color w:val="000000"/>
              </w:rPr>
            </w:pPr>
            <w:r w:rsidRPr="006B4A66">
              <w:rPr>
                <w:rFonts w:ascii="Times New Roman"/>
                <w:color w:val="000000"/>
              </w:rPr>
              <w:t>C406.2.12</w:t>
            </w:r>
          </w:p>
        </w:tc>
        <w:tc>
          <w:tcPr>
            <w:tcW w:w="1060" w:type="dxa"/>
          </w:tcPr>
          <w:p w14:paraId="3601A9B1" w14:textId="77777777" w:rsidR="006B4A66" w:rsidRPr="006B4A66" w:rsidRDefault="006B4A66" w:rsidP="0073496A">
            <w:pPr>
              <w:spacing w:line="480" w:lineRule="auto"/>
              <w:rPr>
                <w:rFonts w:ascii="Times New Roman"/>
                <w:color w:val="000000"/>
              </w:rPr>
            </w:pPr>
            <w:r w:rsidRPr="006B4A66">
              <w:rPr>
                <w:rFonts w:ascii="Times New Roman"/>
                <w:color w:val="000000"/>
              </w:rPr>
              <w:t>Heat</w:t>
            </w:r>
          </w:p>
        </w:tc>
        <w:tc>
          <w:tcPr>
            <w:tcW w:w="899" w:type="dxa"/>
          </w:tcPr>
          <w:p w14:paraId="78D7B28E" w14:textId="77777777" w:rsidR="006B4A66" w:rsidRPr="006B4A66" w:rsidRDefault="006B4A66" w:rsidP="0073496A">
            <w:pPr>
              <w:spacing w:line="480" w:lineRule="auto"/>
              <w:rPr>
                <w:rFonts w:ascii="Times New Roman"/>
                <w:color w:val="000000"/>
              </w:rPr>
            </w:pPr>
            <w:r w:rsidRPr="006B4A66">
              <w:rPr>
                <w:rFonts w:ascii="Times New Roman"/>
                <w:color w:val="000000"/>
              </w:rPr>
              <w:t>24</w:t>
            </w:r>
          </w:p>
        </w:tc>
        <w:tc>
          <w:tcPr>
            <w:tcW w:w="900" w:type="dxa"/>
          </w:tcPr>
          <w:p w14:paraId="05E9E7D4" w14:textId="77777777" w:rsidR="006B4A66" w:rsidRPr="006B4A66" w:rsidRDefault="006B4A66" w:rsidP="0073496A">
            <w:pPr>
              <w:spacing w:line="480" w:lineRule="auto"/>
              <w:rPr>
                <w:rFonts w:ascii="Times New Roman"/>
                <w:color w:val="000000"/>
              </w:rPr>
            </w:pPr>
            <w:r w:rsidRPr="006B4A66">
              <w:rPr>
                <w:rFonts w:ascii="Times New Roman"/>
                <w:color w:val="000000"/>
              </w:rPr>
              <w:t>20</w:t>
            </w:r>
          </w:p>
        </w:tc>
        <w:tc>
          <w:tcPr>
            <w:tcW w:w="900" w:type="dxa"/>
          </w:tcPr>
          <w:p w14:paraId="796F5567" w14:textId="77777777" w:rsidR="006B4A66" w:rsidRPr="006B4A66" w:rsidRDefault="006B4A66" w:rsidP="0073496A">
            <w:pPr>
              <w:spacing w:line="480" w:lineRule="auto"/>
              <w:rPr>
                <w:rFonts w:ascii="Times New Roman"/>
                <w:color w:val="000000"/>
              </w:rPr>
            </w:pPr>
            <w:r w:rsidRPr="006B4A66">
              <w:rPr>
                <w:rFonts w:ascii="Times New Roman"/>
                <w:color w:val="000000"/>
              </w:rPr>
              <w:t>13</w:t>
            </w:r>
          </w:p>
        </w:tc>
        <w:tc>
          <w:tcPr>
            <w:tcW w:w="900" w:type="dxa"/>
          </w:tcPr>
          <w:p w14:paraId="3F2C42C2" w14:textId="77777777" w:rsidR="006B4A66" w:rsidRPr="006B4A66" w:rsidRDefault="006B4A66" w:rsidP="0073496A">
            <w:pPr>
              <w:spacing w:line="480" w:lineRule="auto"/>
              <w:rPr>
                <w:rFonts w:ascii="Times New Roman"/>
                <w:color w:val="000000"/>
              </w:rPr>
            </w:pPr>
            <w:r w:rsidRPr="006B4A66">
              <w:rPr>
                <w:rFonts w:ascii="Times New Roman"/>
                <w:color w:val="000000"/>
              </w:rPr>
              <w:t>5</w:t>
            </w:r>
          </w:p>
        </w:tc>
        <w:tc>
          <w:tcPr>
            <w:tcW w:w="1058" w:type="dxa"/>
          </w:tcPr>
          <w:p w14:paraId="2009ED83" w14:textId="77777777" w:rsidR="006B4A66" w:rsidRPr="006B4A66" w:rsidRDefault="006B4A66" w:rsidP="0073496A">
            <w:pPr>
              <w:spacing w:line="480" w:lineRule="auto"/>
              <w:rPr>
                <w:rFonts w:ascii="Times New Roman"/>
                <w:color w:val="000000"/>
              </w:rPr>
            </w:pPr>
            <w:r w:rsidRPr="006B4A66">
              <w:rPr>
                <w:rFonts w:ascii="Times New Roman"/>
                <w:color w:val="000000"/>
              </w:rPr>
              <w:t>19</w:t>
            </w:r>
          </w:p>
        </w:tc>
        <w:tc>
          <w:tcPr>
            <w:tcW w:w="913" w:type="dxa"/>
          </w:tcPr>
          <w:p w14:paraId="37E976AF" w14:textId="77777777" w:rsidR="006B4A66" w:rsidRPr="006B4A66" w:rsidRDefault="006B4A66" w:rsidP="0073496A">
            <w:pPr>
              <w:spacing w:line="480" w:lineRule="auto"/>
              <w:rPr>
                <w:rFonts w:ascii="Times New Roman"/>
                <w:color w:val="000000"/>
              </w:rPr>
            </w:pPr>
            <w:r w:rsidRPr="006B4A66">
              <w:rPr>
                <w:rFonts w:ascii="Times New Roman"/>
                <w:color w:val="000000"/>
              </w:rPr>
              <w:t>16</w:t>
            </w:r>
          </w:p>
        </w:tc>
      </w:tr>
      <w:tr w:rsidR="006B4A66" w:rsidRPr="006B4A66" w14:paraId="32690A13" w14:textId="77777777">
        <w:tc>
          <w:tcPr>
            <w:tcW w:w="1552" w:type="dxa"/>
          </w:tcPr>
          <w:p w14:paraId="0FAF16A7" w14:textId="77777777" w:rsidR="006B4A66" w:rsidRPr="006B4A66" w:rsidRDefault="006B4A66" w:rsidP="0073496A">
            <w:pPr>
              <w:spacing w:line="480" w:lineRule="auto"/>
              <w:rPr>
                <w:rFonts w:ascii="Times New Roman"/>
                <w:color w:val="000000"/>
              </w:rPr>
            </w:pPr>
            <w:r w:rsidRPr="006B4A66">
              <w:rPr>
                <w:rFonts w:ascii="Times New Roman"/>
                <w:color w:val="000000"/>
              </w:rPr>
              <w:t>26. Base reduced air leakage</w:t>
            </w:r>
            <w:r w:rsidRPr="006B4A66">
              <w:rPr>
                <w:rFonts w:ascii="Times New Roman"/>
                <w:color w:val="000000"/>
                <w:vertAlign w:val="superscript"/>
              </w:rPr>
              <w:t>g</w:t>
            </w:r>
          </w:p>
        </w:tc>
        <w:tc>
          <w:tcPr>
            <w:tcW w:w="1281" w:type="dxa"/>
          </w:tcPr>
          <w:p w14:paraId="4B04B140" w14:textId="77777777" w:rsidR="006B4A66" w:rsidRPr="006B4A66" w:rsidRDefault="006B4A66" w:rsidP="0073496A">
            <w:pPr>
              <w:spacing w:line="480" w:lineRule="auto"/>
              <w:rPr>
                <w:rFonts w:ascii="Times New Roman"/>
                <w:color w:val="000000"/>
              </w:rPr>
            </w:pPr>
            <w:r w:rsidRPr="006B4A66">
              <w:rPr>
                <w:rFonts w:ascii="Times New Roman"/>
                <w:color w:val="000000"/>
              </w:rPr>
              <w:t>C406.2.13.1</w:t>
            </w:r>
          </w:p>
        </w:tc>
        <w:tc>
          <w:tcPr>
            <w:tcW w:w="1060" w:type="dxa"/>
          </w:tcPr>
          <w:p w14:paraId="0E10C104" w14:textId="77777777" w:rsidR="006B4A66" w:rsidRPr="006B4A66" w:rsidRDefault="006B4A66" w:rsidP="0073496A">
            <w:pPr>
              <w:spacing w:line="480" w:lineRule="auto"/>
              <w:rPr>
                <w:rFonts w:ascii="Times New Roman"/>
                <w:color w:val="000000"/>
              </w:rPr>
            </w:pPr>
          </w:p>
        </w:tc>
        <w:tc>
          <w:tcPr>
            <w:tcW w:w="899" w:type="dxa"/>
          </w:tcPr>
          <w:p w14:paraId="33C964FC" w14:textId="77777777" w:rsidR="006B4A66" w:rsidRPr="006B4A66" w:rsidRDefault="006B4A66" w:rsidP="0073496A">
            <w:pPr>
              <w:spacing w:line="480" w:lineRule="auto"/>
              <w:rPr>
                <w:rFonts w:ascii="Times New Roman"/>
                <w:color w:val="000000"/>
              </w:rPr>
            </w:pPr>
            <w:r w:rsidRPr="006B4A66">
              <w:rPr>
                <w:rFonts w:ascii="Times New Roman"/>
                <w:color w:val="000000"/>
              </w:rPr>
              <w:t>29</w:t>
            </w:r>
          </w:p>
        </w:tc>
        <w:tc>
          <w:tcPr>
            <w:tcW w:w="900" w:type="dxa"/>
          </w:tcPr>
          <w:p w14:paraId="5033E9AB" w14:textId="77777777" w:rsidR="006B4A66" w:rsidRPr="006B4A66" w:rsidRDefault="006B4A66" w:rsidP="0073496A">
            <w:pPr>
              <w:spacing w:line="480" w:lineRule="auto"/>
              <w:rPr>
                <w:rFonts w:ascii="Times New Roman"/>
                <w:color w:val="000000"/>
              </w:rPr>
            </w:pPr>
            <w:r w:rsidRPr="006B4A66">
              <w:rPr>
                <w:rFonts w:ascii="Times New Roman"/>
                <w:color w:val="000000"/>
              </w:rPr>
              <w:t>24</w:t>
            </w:r>
          </w:p>
        </w:tc>
        <w:tc>
          <w:tcPr>
            <w:tcW w:w="900" w:type="dxa"/>
          </w:tcPr>
          <w:p w14:paraId="729821F4" w14:textId="77777777" w:rsidR="006B4A66" w:rsidRPr="006B4A66" w:rsidRDefault="006B4A66" w:rsidP="0073496A">
            <w:pPr>
              <w:spacing w:line="480" w:lineRule="auto"/>
              <w:rPr>
                <w:rFonts w:ascii="Times New Roman"/>
                <w:color w:val="000000"/>
              </w:rPr>
            </w:pPr>
            <w:r w:rsidRPr="006B4A66">
              <w:rPr>
                <w:rFonts w:ascii="Times New Roman"/>
                <w:color w:val="000000"/>
              </w:rPr>
              <w:t>6</w:t>
            </w:r>
          </w:p>
        </w:tc>
        <w:tc>
          <w:tcPr>
            <w:tcW w:w="900" w:type="dxa"/>
          </w:tcPr>
          <w:p w14:paraId="515B8FDE" w14:textId="77777777" w:rsidR="006B4A66" w:rsidRPr="006B4A66" w:rsidRDefault="006B4A66" w:rsidP="0073496A">
            <w:pPr>
              <w:spacing w:line="480" w:lineRule="auto"/>
              <w:rPr>
                <w:rFonts w:ascii="Times New Roman"/>
                <w:color w:val="000000"/>
              </w:rPr>
            </w:pPr>
            <w:r w:rsidRPr="006B4A66">
              <w:rPr>
                <w:rFonts w:ascii="Times New Roman"/>
                <w:color w:val="000000"/>
              </w:rPr>
              <w:t>3</w:t>
            </w:r>
          </w:p>
        </w:tc>
        <w:tc>
          <w:tcPr>
            <w:tcW w:w="1058" w:type="dxa"/>
          </w:tcPr>
          <w:p w14:paraId="40AB05CD" w14:textId="77777777" w:rsidR="006B4A66" w:rsidRPr="006B4A66" w:rsidRDefault="006B4A66" w:rsidP="0073496A">
            <w:pPr>
              <w:spacing w:line="480" w:lineRule="auto"/>
              <w:rPr>
                <w:rFonts w:ascii="Times New Roman"/>
                <w:color w:val="000000"/>
              </w:rPr>
            </w:pPr>
            <w:r w:rsidRPr="006B4A66">
              <w:rPr>
                <w:rFonts w:ascii="Times New Roman"/>
                <w:color w:val="000000"/>
              </w:rPr>
              <w:t>9</w:t>
            </w:r>
          </w:p>
        </w:tc>
        <w:tc>
          <w:tcPr>
            <w:tcW w:w="913" w:type="dxa"/>
          </w:tcPr>
          <w:p w14:paraId="7C0A4E41" w14:textId="77777777" w:rsidR="006B4A66" w:rsidRPr="006B4A66" w:rsidRDefault="006B4A66" w:rsidP="0073496A">
            <w:pPr>
              <w:spacing w:line="480" w:lineRule="auto"/>
              <w:rPr>
                <w:rFonts w:ascii="Times New Roman"/>
                <w:color w:val="000000"/>
              </w:rPr>
            </w:pPr>
            <w:r w:rsidRPr="006B4A66">
              <w:rPr>
                <w:rFonts w:ascii="Times New Roman"/>
                <w:color w:val="000000"/>
              </w:rPr>
              <w:t>14</w:t>
            </w:r>
          </w:p>
        </w:tc>
      </w:tr>
      <w:tr w:rsidR="006B4A66" w:rsidRPr="006B4A66" w14:paraId="06BFD418" w14:textId="77777777">
        <w:tc>
          <w:tcPr>
            <w:tcW w:w="1552" w:type="dxa"/>
          </w:tcPr>
          <w:p w14:paraId="02B45B7D" w14:textId="77777777" w:rsidR="006B4A66" w:rsidRPr="006B4A66" w:rsidRDefault="006B4A66" w:rsidP="0073496A">
            <w:pPr>
              <w:spacing w:line="480" w:lineRule="auto"/>
              <w:rPr>
                <w:rFonts w:ascii="Times New Roman"/>
                <w:color w:val="000000"/>
              </w:rPr>
            </w:pPr>
            <w:r w:rsidRPr="006B4A66">
              <w:rPr>
                <w:rFonts w:ascii="Times New Roman"/>
                <w:color w:val="000000"/>
              </w:rPr>
              <w:t>27. Enhanced reduced air leakage</w:t>
            </w:r>
            <w:r w:rsidRPr="006B4A66">
              <w:rPr>
                <w:rFonts w:ascii="Times New Roman"/>
                <w:color w:val="000000"/>
                <w:vertAlign w:val="superscript"/>
              </w:rPr>
              <w:t>g</w:t>
            </w:r>
          </w:p>
        </w:tc>
        <w:tc>
          <w:tcPr>
            <w:tcW w:w="1281" w:type="dxa"/>
          </w:tcPr>
          <w:p w14:paraId="5C26830E" w14:textId="77777777" w:rsidR="006B4A66" w:rsidRPr="006B4A66" w:rsidRDefault="006B4A66" w:rsidP="0073496A">
            <w:pPr>
              <w:spacing w:line="480" w:lineRule="auto"/>
              <w:rPr>
                <w:rFonts w:ascii="Times New Roman"/>
                <w:color w:val="000000"/>
              </w:rPr>
            </w:pPr>
            <w:r w:rsidRPr="006B4A66">
              <w:rPr>
                <w:rFonts w:ascii="Times New Roman"/>
                <w:color w:val="000000"/>
              </w:rPr>
              <w:t>C406.2.13.2</w:t>
            </w:r>
          </w:p>
        </w:tc>
        <w:tc>
          <w:tcPr>
            <w:tcW w:w="1060" w:type="dxa"/>
          </w:tcPr>
          <w:p w14:paraId="4C7E9637" w14:textId="77777777" w:rsidR="006B4A66" w:rsidRPr="006B4A66" w:rsidRDefault="006B4A66" w:rsidP="0073496A">
            <w:pPr>
              <w:spacing w:line="480" w:lineRule="auto"/>
              <w:rPr>
                <w:rFonts w:ascii="Times New Roman"/>
                <w:color w:val="000000"/>
              </w:rPr>
            </w:pPr>
            <w:r w:rsidRPr="006B4A66">
              <w:rPr>
                <w:rFonts w:ascii="Times New Roman"/>
                <w:color w:val="000000"/>
              </w:rPr>
              <w:t>Heat</w:t>
            </w:r>
          </w:p>
        </w:tc>
        <w:tc>
          <w:tcPr>
            <w:tcW w:w="899" w:type="dxa"/>
          </w:tcPr>
          <w:p w14:paraId="2F559C90" w14:textId="77777777" w:rsidR="006B4A66" w:rsidRPr="006B4A66" w:rsidRDefault="006B4A66" w:rsidP="0073496A">
            <w:pPr>
              <w:spacing w:line="480" w:lineRule="auto"/>
              <w:rPr>
                <w:rFonts w:ascii="Times New Roman"/>
                <w:color w:val="000000"/>
              </w:rPr>
            </w:pPr>
            <w:r w:rsidRPr="006B4A66">
              <w:rPr>
                <w:rFonts w:ascii="Times New Roman"/>
                <w:color w:val="000000"/>
              </w:rPr>
              <w:t>53</w:t>
            </w:r>
          </w:p>
        </w:tc>
        <w:tc>
          <w:tcPr>
            <w:tcW w:w="900" w:type="dxa"/>
          </w:tcPr>
          <w:p w14:paraId="02641F53" w14:textId="77777777" w:rsidR="006B4A66" w:rsidRPr="006B4A66" w:rsidRDefault="006B4A66" w:rsidP="0073496A">
            <w:pPr>
              <w:spacing w:line="480" w:lineRule="auto"/>
              <w:rPr>
                <w:rFonts w:ascii="Times New Roman"/>
                <w:color w:val="000000"/>
              </w:rPr>
            </w:pPr>
            <w:r w:rsidRPr="006B4A66">
              <w:rPr>
                <w:rFonts w:ascii="Times New Roman"/>
                <w:color w:val="000000"/>
              </w:rPr>
              <w:t>44</w:t>
            </w:r>
          </w:p>
        </w:tc>
        <w:tc>
          <w:tcPr>
            <w:tcW w:w="900" w:type="dxa"/>
          </w:tcPr>
          <w:p w14:paraId="561272EA" w14:textId="77777777" w:rsidR="006B4A66" w:rsidRPr="006B4A66" w:rsidRDefault="006B4A66" w:rsidP="0073496A">
            <w:pPr>
              <w:spacing w:line="480" w:lineRule="auto"/>
              <w:rPr>
                <w:rFonts w:ascii="Times New Roman"/>
                <w:color w:val="000000"/>
              </w:rPr>
            </w:pPr>
            <w:r w:rsidRPr="006B4A66">
              <w:rPr>
                <w:rFonts w:ascii="Times New Roman"/>
                <w:color w:val="000000"/>
              </w:rPr>
              <w:t>11</w:t>
            </w:r>
          </w:p>
        </w:tc>
        <w:tc>
          <w:tcPr>
            <w:tcW w:w="900" w:type="dxa"/>
          </w:tcPr>
          <w:p w14:paraId="1CCF6AF5" w14:textId="77777777" w:rsidR="006B4A66" w:rsidRPr="006B4A66" w:rsidRDefault="006B4A66" w:rsidP="0073496A">
            <w:pPr>
              <w:spacing w:line="480" w:lineRule="auto"/>
              <w:rPr>
                <w:rFonts w:ascii="Times New Roman"/>
                <w:color w:val="000000"/>
              </w:rPr>
            </w:pPr>
            <w:r w:rsidRPr="006B4A66">
              <w:rPr>
                <w:rFonts w:ascii="Times New Roman"/>
                <w:color w:val="000000"/>
              </w:rPr>
              <w:t>5</w:t>
            </w:r>
          </w:p>
        </w:tc>
        <w:tc>
          <w:tcPr>
            <w:tcW w:w="1058" w:type="dxa"/>
          </w:tcPr>
          <w:p w14:paraId="5C46EB5B" w14:textId="77777777" w:rsidR="006B4A66" w:rsidRPr="006B4A66" w:rsidRDefault="006B4A66" w:rsidP="0073496A">
            <w:pPr>
              <w:spacing w:line="480" w:lineRule="auto"/>
              <w:rPr>
                <w:rFonts w:ascii="Times New Roman"/>
                <w:color w:val="000000"/>
              </w:rPr>
            </w:pPr>
            <w:r w:rsidRPr="006B4A66">
              <w:rPr>
                <w:rFonts w:ascii="Times New Roman"/>
                <w:color w:val="000000"/>
              </w:rPr>
              <w:t>16</w:t>
            </w:r>
          </w:p>
        </w:tc>
        <w:tc>
          <w:tcPr>
            <w:tcW w:w="913" w:type="dxa"/>
          </w:tcPr>
          <w:p w14:paraId="27BFDE4C" w14:textId="77777777" w:rsidR="006B4A66" w:rsidRPr="006B4A66" w:rsidRDefault="006B4A66" w:rsidP="0073496A">
            <w:pPr>
              <w:spacing w:line="480" w:lineRule="auto"/>
              <w:rPr>
                <w:rFonts w:ascii="Times New Roman"/>
                <w:color w:val="000000"/>
              </w:rPr>
            </w:pPr>
            <w:r w:rsidRPr="006B4A66">
              <w:rPr>
                <w:rFonts w:ascii="Times New Roman"/>
                <w:color w:val="000000"/>
              </w:rPr>
              <w:t>26</w:t>
            </w:r>
          </w:p>
        </w:tc>
      </w:tr>
      <w:tr w:rsidR="006B4A66" w:rsidRPr="006B4A66" w14:paraId="084ABA93" w14:textId="77777777">
        <w:tc>
          <w:tcPr>
            <w:tcW w:w="1552" w:type="dxa"/>
          </w:tcPr>
          <w:p w14:paraId="08383EF7" w14:textId="77777777" w:rsidR="006B4A66" w:rsidRPr="006B4A66" w:rsidRDefault="006B4A66" w:rsidP="0073496A">
            <w:pPr>
              <w:spacing w:line="480" w:lineRule="auto"/>
              <w:rPr>
                <w:rFonts w:ascii="Times New Roman"/>
                <w:color w:val="000000"/>
              </w:rPr>
            </w:pPr>
            <w:r w:rsidRPr="006B4A66">
              <w:rPr>
                <w:rFonts w:ascii="Times New Roman"/>
                <w:color w:val="000000"/>
              </w:rPr>
              <w:t>28. Reserved</w:t>
            </w:r>
          </w:p>
        </w:tc>
        <w:tc>
          <w:tcPr>
            <w:tcW w:w="1281" w:type="dxa"/>
          </w:tcPr>
          <w:p w14:paraId="70D43D94" w14:textId="77777777" w:rsidR="006B4A66" w:rsidRPr="006B4A66" w:rsidRDefault="006B4A66" w:rsidP="0073496A">
            <w:pPr>
              <w:spacing w:line="480" w:lineRule="auto"/>
              <w:rPr>
                <w:rFonts w:ascii="Times New Roman"/>
                <w:color w:val="000000"/>
              </w:rPr>
            </w:pPr>
          </w:p>
        </w:tc>
        <w:tc>
          <w:tcPr>
            <w:tcW w:w="1060" w:type="dxa"/>
          </w:tcPr>
          <w:p w14:paraId="194B4B48" w14:textId="77777777" w:rsidR="006B4A66" w:rsidRPr="006B4A66" w:rsidRDefault="006B4A66" w:rsidP="0073496A">
            <w:pPr>
              <w:spacing w:line="480" w:lineRule="auto"/>
              <w:rPr>
                <w:rFonts w:ascii="Times New Roman"/>
                <w:color w:val="000000"/>
              </w:rPr>
            </w:pPr>
          </w:p>
        </w:tc>
        <w:tc>
          <w:tcPr>
            <w:tcW w:w="899" w:type="dxa"/>
          </w:tcPr>
          <w:p w14:paraId="7893CE03" w14:textId="77777777" w:rsidR="006B4A66" w:rsidRPr="006B4A66" w:rsidRDefault="006B4A66" w:rsidP="0073496A">
            <w:pPr>
              <w:spacing w:line="480" w:lineRule="auto"/>
              <w:rPr>
                <w:rFonts w:ascii="Times New Roman"/>
                <w:color w:val="000000"/>
              </w:rPr>
            </w:pPr>
          </w:p>
        </w:tc>
        <w:tc>
          <w:tcPr>
            <w:tcW w:w="900" w:type="dxa"/>
          </w:tcPr>
          <w:p w14:paraId="59534685" w14:textId="77777777" w:rsidR="006B4A66" w:rsidRPr="006B4A66" w:rsidRDefault="006B4A66" w:rsidP="0073496A">
            <w:pPr>
              <w:spacing w:line="480" w:lineRule="auto"/>
              <w:rPr>
                <w:rFonts w:ascii="Times New Roman"/>
                <w:color w:val="000000"/>
              </w:rPr>
            </w:pPr>
          </w:p>
        </w:tc>
        <w:tc>
          <w:tcPr>
            <w:tcW w:w="900" w:type="dxa"/>
          </w:tcPr>
          <w:p w14:paraId="6AC538DA" w14:textId="77777777" w:rsidR="006B4A66" w:rsidRPr="006B4A66" w:rsidRDefault="006B4A66" w:rsidP="0073496A">
            <w:pPr>
              <w:spacing w:line="480" w:lineRule="auto"/>
              <w:rPr>
                <w:rFonts w:ascii="Times New Roman"/>
                <w:color w:val="000000"/>
              </w:rPr>
            </w:pPr>
          </w:p>
        </w:tc>
        <w:tc>
          <w:tcPr>
            <w:tcW w:w="900" w:type="dxa"/>
          </w:tcPr>
          <w:p w14:paraId="2B22E98D" w14:textId="77777777" w:rsidR="006B4A66" w:rsidRPr="006B4A66" w:rsidRDefault="006B4A66" w:rsidP="0073496A">
            <w:pPr>
              <w:spacing w:line="480" w:lineRule="auto"/>
              <w:rPr>
                <w:rFonts w:ascii="Times New Roman"/>
                <w:color w:val="000000"/>
              </w:rPr>
            </w:pPr>
          </w:p>
        </w:tc>
        <w:tc>
          <w:tcPr>
            <w:tcW w:w="1058" w:type="dxa"/>
          </w:tcPr>
          <w:p w14:paraId="75667E7E" w14:textId="77777777" w:rsidR="006B4A66" w:rsidRPr="006B4A66" w:rsidRDefault="006B4A66" w:rsidP="0073496A">
            <w:pPr>
              <w:spacing w:line="480" w:lineRule="auto"/>
              <w:rPr>
                <w:rFonts w:ascii="Times New Roman"/>
                <w:color w:val="000000"/>
              </w:rPr>
            </w:pPr>
          </w:p>
        </w:tc>
        <w:tc>
          <w:tcPr>
            <w:tcW w:w="913" w:type="dxa"/>
          </w:tcPr>
          <w:p w14:paraId="780F916B" w14:textId="77777777" w:rsidR="006B4A66" w:rsidRPr="006B4A66" w:rsidRDefault="006B4A66" w:rsidP="0073496A">
            <w:pPr>
              <w:spacing w:line="480" w:lineRule="auto"/>
              <w:rPr>
                <w:rFonts w:ascii="Times New Roman"/>
                <w:color w:val="000000"/>
              </w:rPr>
            </w:pPr>
          </w:p>
        </w:tc>
      </w:tr>
      <w:tr w:rsidR="006B4A66" w:rsidRPr="006B4A66" w14:paraId="38E14AE1" w14:textId="77777777">
        <w:tc>
          <w:tcPr>
            <w:tcW w:w="1552" w:type="dxa"/>
          </w:tcPr>
          <w:p w14:paraId="35E440E4" w14:textId="77777777" w:rsidR="006B4A66" w:rsidRPr="006B4A66" w:rsidRDefault="006B4A66" w:rsidP="0073496A">
            <w:pPr>
              <w:spacing w:line="480" w:lineRule="auto"/>
              <w:rPr>
                <w:rFonts w:ascii="Times New Roman"/>
                <w:color w:val="000000"/>
              </w:rPr>
            </w:pPr>
            <w:r w:rsidRPr="006B4A66">
              <w:rPr>
                <w:rFonts w:ascii="Times New Roman"/>
                <w:color w:val="000000"/>
              </w:rPr>
              <w:t>29. Enhanced residential kitchen equipment</w:t>
            </w:r>
          </w:p>
        </w:tc>
        <w:tc>
          <w:tcPr>
            <w:tcW w:w="1281" w:type="dxa"/>
          </w:tcPr>
          <w:p w14:paraId="109A3A1B" w14:textId="77777777" w:rsidR="006B4A66" w:rsidRPr="006B4A66" w:rsidRDefault="006B4A66" w:rsidP="0073496A">
            <w:pPr>
              <w:spacing w:line="480" w:lineRule="auto"/>
              <w:rPr>
                <w:rFonts w:ascii="Times New Roman"/>
                <w:color w:val="000000"/>
              </w:rPr>
            </w:pPr>
            <w:r w:rsidRPr="006B4A66">
              <w:rPr>
                <w:rFonts w:ascii="Times New Roman"/>
                <w:color w:val="000000"/>
              </w:rPr>
              <w:t>C406.2.15</w:t>
            </w:r>
          </w:p>
        </w:tc>
        <w:tc>
          <w:tcPr>
            <w:tcW w:w="1060" w:type="dxa"/>
          </w:tcPr>
          <w:p w14:paraId="07B3D808" w14:textId="77777777" w:rsidR="006B4A66" w:rsidRPr="006B4A66" w:rsidRDefault="006B4A66" w:rsidP="0073496A">
            <w:pPr>
              <w:spacing w:line="480" w:lineRule="auto"/>
              <w:rPr>
                <w:rFonts w:ascii="Times New Roman"/>
                <w:color w:val="000000"/>
              </w:rPr>
            </w:pPr>
            <w:r w:rsidRPr="006B4A66">
              <w:rPr>
                <w:rFonts w:ascii="Times New Roman"/>
                <w:color w:val="000000"/>
              </w:rPr>
              <w:t>Heat</w:t>
            </w:r>
          </w:p>
        </w:tc>
        <w:tc>
          <w:tcPr>
            <w:tcW w:w="899" w:type="dxa"/>
          </w:tcPr>
          <w:p w14:paraId="1973638E" w14:textId="77777777" w:rsidR="006B4A66" w:rsidRPr="006B4A66" w:rsidRDefault="006B4A66" w:rsidP="0073496A">
            <w:pPr>
              <w:spacing w:line="480" w:lineRule="auto"/>
              <w:rPr>
                <w:rFonts w:ascii="Times New Roman"/>
                <w:color w:val="000000"/>
              </w:rPr>
            </w:pPr>
            <w:r w:rsidRPr="006B4A66">
              <w:rPr>
                <w:rFonts w:ascii="Times New Roman"/>
                <w:color w:val="000000"/>
              </w:rPr>
              <w:t>12</w:t>
            </w:r>
          </w:p>
        </w:tc>
        <w:tc>
          <w:tcPr>
            <w:tcW w:w="900" w:type="dxa"/>
          </w:tcPr>
          <w:p w14:paraId="7ABEFE59" w14:textId="77777777" w:rsidR="006B4A66" w:rsidRPr="006B4A66" w:rsidRDefault="006B4A66" w:rsidP="0073496A">
            <w:pPr>
              <w:spacing w:line="480" w:lineRule="auto"/>
              <w:rPr>
                <w:rFonts w:ascii="Times New Roman"/>
                <w:color w:val="000000"/>
              </w:rPr>
            </w:pPr>
            <w:r w:rsidRPr="006B4A66">
              <w:rPr>
                <w:rFonts w:ascii="Times New Roman"/>
                <w:color w:val="000000"/>
              </w:rPr>
              <w:t>19</w:t>
            </w:r>
          </w:p>
        </w:tc>
        <w:tc>
          <w:tcPr>
            <w:tcW w:w="900" w:type="dxa"/>
          </w:tcPr>
          <w:p w14:paraId="0C308C47"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900" w:type="dxa"/>
          </w:tcPr>
          <w:p w14:paraId="3D8241A8"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1058" w:type="dxa"/>
          </w:tcPr>
          <w:p w14:paraId="491D96E8"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913" w:type="dxa"/>
          </w:tcPr>
          <w:p w14:paraId="0F332A0F"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r>
      <w:tr w:rsidR="006B4A66" w:rsidRPr="006B4A66" w14:paraId="209AE024" w14:textId="77777777">
        <w:tc>
          <w:tcPr>
            <w:tcW w:w="1552" w:type="dxa"/>
          </w:tcPr>
          <w:p w14:paraId="360273E1" w14:textId="77777777" w:rsidR="006B4A66" w:rsidRPr="006B4A66" w:rsidRDefault="006B4A66" w:rsidP="0073496A">
            <w:pPr>
              <w:spacing w:line="480" w:lineRule="auto"/>
              <w:rPr>
                <w:rFonts w:ascii="Times New Roman"/>
                <w:color w:val="000000"/>
              </w:rPr>
            </w:pPr>
            <w:r w:rsidRPr="006B4A66">
              <w:rPr>
                <w:rFonts w:ascii="Times New Roman"/>
                <w:color w:val="000000"/>
              </w:rPr>
              <w:t xml:space="preserve">30. Enhanced residential </w:t>
            </w:r>
            <w:r w:rsidRPr="006B4A66">
              <w:rPr>
                <w:rFonts w:ascii="Times New Roman"/>
                <w:color w:val="000000"/>
              </w:rPr>
              <w:lastRenderedPageBreak/>
              <w:t>laundry equipment</w:t>
            </w:r>
          </w:p>
        </w:tc>
        <w:tc>
          <w:tcPr>
            <w:tcW w:w="1281" w:type="dxa"/>
          </w:tcPr>
          <w:p w14:paraId="172445EC" w14:textId="77777777" w:rsidR="006B4A66" w:rsidRPr="006B4A66" w:rsidRDefault="006B4A66" w:rsidP="0073496A">
            <w:pPr>
              <w:spacing w:line="480" w:lineRule="auto"/>
              <w:rPr>
                <w:rFonts w:ascii="Times New Roman"/>
                <w:color w:val="000000"/>
              </w:rPr>
            </w:pPr>
            <w:r w:rsidRPr="006B4A66">
              <w:rPr>
                <w:rFonts w:ascii="Times New Roman"/>
                <w:color w:val="000000"/>
              </w:rPr>
              <w:lastRenderedPageBreak/>
              <w:t>C406.2.16</w:t>
            </w:r>
          </w:p>
        </w:tc>
        <w:tc>
          <w:tcPr>
            <w:tcW w:w="1060" w:type="dxa"/>
          </w:tcPr>
          <w:p w14:paraId="659B37A3" w14:textId="77777777" w:rsidR="006B4A66" w:rsidRPr="006B4A66" w:rsidRDefault="006B4A66" w:rsidP="0073496A">
            <w:pPr>
              <w:spacing w:line="480" w:lineRule="auto"/>
              <w:rPr>
                <w:rFonts w:ascii="Times New Roman"/>
                <w:color w:val="000000"/>
              </w:rPr>
            </w:pPr>
            <w:r w:rsidRPr="006B4A66">
              <w:rPr>
                <w:rFonts w:ascii="Times New Roman"/>
                <w:color w:val="000000"/>
              </w:rPr>
              <w:t>Heat</w:t>
            </w:r>
          </w:p>
        </w:tc>
        <w:tc>
          <w:tcPr>
            <w:tcW w:w="899" w:type="dxa"/>
          </w:tcPr>
          <w:p w14:paraId="0EB25E4E"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900" w:type="dxa"/>
          </w:tcPr>
          <w:p w14:paraId="6BD89400" w14:textId="77777777" w:rsidR="006B4A66" w:rsidRPr="006B4A66" w:rsidRDefault="006B4A66" w:rsidP="0073496A">
            <w:pPr>
              <w:spacing w:line="480" w:lineRule="auto"/>
              <w:rPr>
                <w:rFonts w:ascii="Times New Roman"/>
                <w:color w:val="000000"/>
              </w:rPr>
            </w:pPr>
            <w:r w:rsidRPr="006B4A66">
              <w:rPr>
                <w:rFonts w:ascii="Times New Roman"/>
                <w:color w:val="000000"/>
              </w:rPr>
              <w:t>6</w:t>
            </w:r>
          </w:p>
        </w:tc>
        <w:tc>
          <w:tcPr>
            <w:tcW w:w="900" w:type="dxa"/>
          </w:tcPr>
          <w:p w14:paraId="6EB2B0A5"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900" w:type="dxa"/>
          </w:tcPr>
          <w:p w14:paraId="582F9277"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1058" w:type="dxa"/>
          </w:tcPr>
          <w:p w14:paraId="3412C80E"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913" w:type="dxa"/>
          </w:tcPr>
          <w:p w14:paraId="4F919F58"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r>
      <w:tr w:rsidR="006B4A66" w:rsidRPr="006B4A66" w14:paraId="0D412940" w14:textId="77777777">
        <w:tc>
          <w:tcPr>
            <w:tcW w:w="1552" w:type="dxa"/>
          </w:tcPr>
          <w:p w14:paraId="70959181" w14:textId="77777777" w:rsidR="006B4A66" w:rsidRPr="006B4A66" w:rsidRDefault="006B4A66" w:rsidP="0073496A">
            <w:pPr>
              <w:spacing w:line="480" w:lineRule="auto"/>
              <w:rPr>
                <w:rFonts w:ascii="Times New Roman"/>
                <w:color w:val="000000"/>
              </w:rPr>
            </w:pPr>
            <w:r w:rsidRPr="006B4A66">
              <w:rPr>
                <w:rFonts w:ascii="Times New Roman"/>
                <w:color w:val="000000"/>
              </w:rPr>
              <w:t>31. Heat pump clothes dryers</w:t>
            </w:r>
          </w:p>
        </w:tc>
        <w:tc>
          <w:tcPr>
            <w:tcW w:w="1281" w:type="dxa"/>
          </w:tcPr>
          <w:p w14:paraId="34FBE631" w14:textId="77777777" w:rsidR="006B4A66" w:rsidRPr="006B4A66" w:rsidRDefault="006B4A66" w:rsidP="0073496A">
            <w:pPr>
              <w:spacing w:line="480" w:lineRule="auto"/>
              <w:rPr>
                <w:rFonts w:ascii="Times New Roman"/>
                <w:color w:val="000000"/>
              </w:rPr>
            </w:pPr>
            <w:r w:rsidRPr="006B4A66">
              <w:rPr>
                <w:rFonts w:ascii="Times New Roman"/>
                <w:color w:val="000000"/>
              </w:rPr>
              <w:t>C406.2.17</w:t>
            </w:r>
          </w:p>
        </w:tc>
        <w:tc>
          <w:tcPr>
            <w:tcW w:w="1060" w:type="dxa"/>
          </w:tcPr>
          <w:p w14:paraId="3EBAC808" w14:textId="77777777" w:rsidR="006B4A66" w:rsidRPr="006B4A66" w:rsidRDefault="006B4A66" w:rsidP="0073496A">
            <w:pPr>
              <w:spacing w:line="480" w:lineRule="auto"/>
              <w:rPr>
                <w:rFonts w:ascii="Times New Roman"/>
                <w:color w:val="000000"/>
              </w:rPr>
            </w:pPr>
            <w:r w:rsidRPr="006B4A66">
              <w:rPr>
                <w:rFonts w:ascii="Times New Roman"/>
                <w:color w:val="000000"/>
              </w:rPr>
              <w:t>Heat</w:t>
            </w:r>
          </w:p>
        </w:tc>
        <w:tc>
          <w:tcPr>
            <w:tcW w:w="899" w:type="dxa"/>
          </w:tcPr>
          <w:p w14:paraId="1E98B9C5" w14:textId="77777777" w:rsidR="006B4A66" w:rsidRPr="006B4A66" w:rsidRDefault="006B4A66" w:rsidP="0073496A">
            <w:pPr>
              <w:spacing w:line="480" w:lineRule="auto"/>
              <w:rPr>
                <w:rFonts w:ascii="Times New Roman"/>
                <w:color w:val="000000"/>
              </w:rPr>
            </w:pPr>
            <w:r w:rsidRPr="006B4A66">
              <w:rPr>
                <w:rFonts w:ascii="Times New Roman"/>
                <w:color w:val="000000"/>
              </w:rPr>
              <w:t>6</w:t>
            </w:r>
          </w:p>
        </w:tc>
        <w:tc>
          <w:tcPr>
            <w:tcW w:w="900" w:type="dxa"/>
          </w:tcPr>
          <w:p w14:paraId="641B6C64" w14:textId="77777777" w:rsidR="006B4A66" w:rsidRPr="006B4A66" w:rsidRDefault="006B4A66" w:rsidP="0073496A">
            <w:pPr>
              <w:spacing w:line="480" w:lineRule="auto"/>
              <w:rPr>
                <w:rFonts w:ascii="Times New Roman"/>
                <w:color w:val="000000"/>
              </w:rPr>
            </w:pPr>
            <w:r w:rsidRPr="006B4A66">
              <w:rPr>
                <w:rFonts w:ascii="Times New Roman"/>
                <w:color w:val="000000"/>
              </w:rPr>
              <w:t>6</w:t>
            </w:r>
          </w:p>
        </w:tc>
        <w:tc>
          <w:tcPr>
            <w:tcW w:w="900" w:type="dxa"/>
          </w:tcPr>
          <w:p w14:paraId="0B1A3084"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900" w:type="dxa"/>
          </w:tcPr>
          <w:p w14:paraId="06C3F8EB"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1058" w:type="dxa"/>
          </w:tcPr>
          <w:p w14:paraId="2731155B"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c>
          <w:tcPr>
            <w:tcW w:w="913" w:type="dxa"/>
          </w:tcPr>
          <w:p w14:paraId="210D1090" w14:textId="77777777" w:rsidR="006B4A66" w:rsidRPr="006B4A66" w:rsidRDefault="006B4A66" w:rsidP="0073496A">
            <w:pPr>
              <w:spacing w:line="480" w:lineRule="auto"/>
              <w:rPr>
                <w:rFonts w:ascii="Times New Roman"/>
                <w:color w:val="000000"/>
              </w:rPr>
            </w:pPr>
            <w:r w:rsidRPr="006B4A66">
              <w:rPr>
                <w:rFonts w:ascii="Times New Roman"/>
                <w:color w:val="000000"/>
              </w:rPr>
              <w:t>NA</w:t>
            </w:r>
          </w:p>
        </w:tc>
      </w:tr>
      <w:tr w:rsidR="006B4A66" w:rsidRPr="006B4A66" w14:paraId="5037A47D" w14:textId="77777777">
        <w:tc>
          <w:tcPr>
            <w:tcW w:w="1552" w:type="dxa"/>
          </w:tcPr>
          <w:p w14:paraId="17D833ED" w14:textId="77777777" w:rsidR="006B4A66" w:rsidRPr="006B4A66" w:rsidRDefault="006B4A66" w:rsidP="0073496A">
            <w:pPr>
              <w:spacing w:line="480" w:lineRule="auto"/>
              <w:rPr>
                <w:rFonts w:ascii="Times New Roman"/>
                <w:color w:val="000000"/>
              </w:rPr>
            </w:pPr>
            <w:r w:rsidRPr="006B4A66">
              <w:rPr>
                <w:rFonts w:ascii="Times New Roman"/>
                <w:color w:val="000000"/>
              </w:rPr>
              <w:t>32. Efficient elevator equipment</w:t>
            </w:r>
          </w:p>
        </w:tc>
        <w:tc>
          <w:tcPr>
            <w:tcW w:w="1281" w:type="dxa"/>
          </w:tcPr>
          <w:p w14:paraId="5C4CBD00" w14:textId="77777777" w:rsidR="006B4A66" w:rsidRPr="006B4A66" w:rsidRDefault="006B4A66" w:rsidP="0073496A">
            <w:pPr>
              <w:spacing w:line="480" w:lineRule="auto"/>
              <w:rPr>
                <w:rFonts w:ascii="Times New Roman"/>
                <w:color w:val="000000"/>
              </w:rPr>
            </w:pPr>
            <w:r w:rsidRPr="006B4A66">
              <w:rPr>
                <w:rFonts w:ascii="Times New Roman"/>
                <w:color w:val="000000"/>
              </w:rPr>
              <w:t>C406.2.18</w:t>
            </w:r>
          </w:p>
        </w:tc>
        <w:tc>
          <w:tcPr>
            <w:tcW w:w="1060" w:type="dxa"/>
          </w:tcPr>
          <w:p w14:paraId="06FB81CB" w14:textId="77777777" w:rsidR="006B4A66" w:rsidRPr="006B4A66" w:rsidRDefault="006B4A66" w:rsidP="0073496A">
            <w:pPr>
              <w:spacing w:line="480" w:lineRule="auto"/>
              <w:rPr>
                <w:rFonts w:ascii="Times New Roman"/>
                <w:color w:val="000000"/>
              </w:rPr>
            </w:pPr>
            <w:r w:rsidRPr="006B4A66">
              <w:rPr>
                <w:rFonts w:ascii="Times New Roman"/>
                <w:color w:val="000000"/>
              </w:rPr>
              <w:t>Heat</w:t>
            </w:r>
          </w:p>
        </w:tc>
        <w:tc>
          <w:tcPr>
            <w:tcW w:w="899" w:type="dxa"/>
          </w:tcPr>
          <w:p w14:paraId="79AF0596" w14:textId="77777777" w:rsidR="006B4A66" w:rsidRPr="006B4A66" w:rsidRDefault="006B4A66" w:rsidP="0073496A">
            <w:pPr>
              <w:spacing w:line="480" w:lineRule="auto"/>
              <w:rPr>
                <w:rFonts w:ascii="Times New Roman"/>
                <w:color w:val="000000"/>
              </w:rPr>
            </w:pPr>
            <w:r w:rsidRPr="006B4A66">
              <w:rPr>
                <w:rFonts w:ascii="Times New Roman"/>
                <w:color w:val="000000"/>
              </w:rPr>
              <w:t>3</w:t>
            </w:r>
          </w:p>
        </w:tc>
        <w:tc>
          <w:tcPr>
            <w:tcW w:w="900" w:type="dxa"/>
          </w:tcPr>
          <w:p w14:paraId="4A763836" w14:textId="77777777" w:rsidR="006B4A66" w:rsidRPr="006B4A66" w:rsidRDefault="006B4A66" w:rsidP="0073496A">
            <w:pPr>
              <w:spacing w:line="480" w:lineRule="auto"/>
              <w:rPr>
                <w:rFonts w:ascii="Times New Roman"/>
                <w:color w:val="000000"/>
              </w:rPr>
            </w:pPr>
            <w:r w:rsidRPr="006B4A66">
              <w:rPr>
                <w:rFonts w:ascii="Times New Roman"/>
                <w:color w:val="000000"/>
              </w:rPr>
              <w:t>5</w:t>
            </w:r>
          </w:p>
        </w:tc>
        <w:tc>
          <w:tcPr>
            <w:tcW w:w="900" w:type="dxa"/>
          </w:tcPr>
          <w:p w14:paraId="34575F09" w14:textId="77777777" w:rsidR="006B4A66" w:rsidRPr="006B4A66" w:rsidRDefault="006B4A66" w:rsidP="0073496A">
            <w:pPr>
              <w:spacing w:line="480" w:lineRule="auto"/>
              <w:rPr>
                <w:rFonts w:ascii="Times New Roman"/>
                <w:color w:val="000000"/>
              </w:rPr>
            </w:pPr>
            <w:r w:rsidRPr="006B4A66">
              <w:rPr>
                <w:rFonts w:ascii="Times New Roman"/>
                <w:color w:val="000000"/>
              </w:rPr>
              <w:t>5</w:t>
            </w:r>
          </w:p>
        </w:tc>
        <w:tc>
          <w:tcPr>
            <w:tcW w:w="900" w:type="dxa"/>
          </w:tcPr>
          <w:p w14:paraId="16E5B9EF" w14:textId="77777777" w:rsidR="006B4A66" w:rsidRPr="006B4A66" w:rsidRDefault="006B4A66" w:rsidP="0073496A">
            <w:pPr>
              <w:spacing w:line="480" w:lineRule="auto"/>
              <w:rPr>
                <w:rFonts w:ascii="Times New Roman"/>
                <w:color w:val="000000"/>
              </w:rPr>
            </w:pPr>
            <w:r w:rsidRPr="006B4A66">
              <w:rPr>
                <w:rFonts w:ascii="Times New Roman"/>
                <w:color w:val="000000"/>
              </w:rPr>
              <w:t>5</w:t>
            </w:r>
          </w:p>
        </w:tc>
        <w:tc>
          <w:tcPr>
            <w:tcW w:w="1058" w:type="dxa"/>
          </w:tcPr>
          <w:p w14:paraId="061ABB41" w14:textId="77777777" w:rsidR="006B4A66" w:rsidRPr="006B4A66" w:rsidRDefault="006B4A66" w:rsidP="0073496A">
            <w:pPr>
              <w:spacing w:line="480" w:lineRule="auto"/>
              <w:rPr>
                <w:rFonts w:ascii="Times New Roman"/>
                <w:color w:val="000000"/>
              </w:rPr>
            </w:pPr>
            <w:r w:rsidRPr="006B4A66">
              <w:rPr>
                <w:rFonts w:ascii="Times New Roman"/>
                <w:color w:val="000000"/>
              </w:rPr>
              <w:t>4</w:t>
            </w:r>
          </w:p>
        </w:tc>
        <w:tc>
          <w:tcPr>
            <w:tcW w:w="913" w:type="dxa"/>
          </w:tcPr>
          <w:p w14:paraId="4A8E4D48" w14:textId="77777777" w:rsidR="006B4A66" w:rsidRPr="006B4A66" w:rsidRDefault="006B4A66" w:rsidP="0073496A">
            <w:pPr>
              <w:spacing w:line="480" w:lineRule="auto"/>
              <w:rPr>
                <w:rFonts w:ascii="Times New Roman"/>
                <w:color w:val="000000"/>
              </w:rPr>
            </w:pPr>
            <w:r w:rsidRPr="006B4A66">
              <w:rPr>
                <w:rFonts w:ascii="Times New Roman"/>
                <w:color w:val="000000"/>
              </w:rPr>
              <w:t>4</w:t>
            </w:r>
          </w:p>
        </w:tc>
      </w:tr>
    </w:tbl>
    <w:p w14:paraId="01AE2761" w14:textId="77777777" w:rsidR="006B4A66" w:rsidRPr="006B4A66" w:rsidRDefault="006B4A66" w:rsidP="0073496A">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Footnotes:</w:t>
      </w:r>
    </w:p>
    <w:p w14:paraId="11297128" w14:textId="77777777" w:rsidR="006B4A66" w:rsidRPr="006B4A66" w:rsidRDefault="006B4A66" w:rsidP="0073496A">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a.  Projects using Item 2 shall not use Items 3, 4, or 7.</w:t>
      </w:r>
    </w:p>
    <w:p w14:paraId="7DE6D8DB" w14:textId="77777777" w:rsidR="006B4A66" w:rsidRPr="006B4A66" w:rsidRDefault="006B4A66" w:rsidP="0073496A">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b.  Projects using </w:t>
      </w:r>
      <w:r w:rsidRPr="006B4A66">
        <w:rPr>
          <w:rFonts w:ascii="Times New Roman" w:eastAsia="Times New Roman" w:hAnsi="Times New Roman" w:cs="Times New Roman"/>
          <w:color w:val="000000"/>
          <w:kern w:val="0"/>
          <w:sz w:val="24"/>
          <w:szCs w:val="20"/>
          <w14:ligatures w14:val="none"/>
        </w:rPr>
        <w:t>WSEC</w:t>
      </w:r>
      <w:r w:rsidRPr="006B4A66">
        <w:rPr>
          <w:rFonts w:ascii="Times New Roman" w:eastAsia="Times New Roman" w:hAnsi="Times New Roman" w:cs="Times New Roman"/>
          <w:color w:val="000000"/>
          <w:kern w:val="0"/>
          <w:sz w:val="24"/>
          <w:szCs w:val="24"/>
          <w14:ligatures w14:val="none"/>
        </w:rPr>
        <w:t xml:space="preserve"> C406.2.2.5 shall not use</w:t>
      </w:r>
      <w:r w:rsidRPr="006B4A66">
        <w:rPr>
          <w:rFonts w:ascii="Times New Roman" w:eastAsia="Times New Roman" w:hAnsi="Times New Roman" w:cs="Times New Roman"/>
          <w:color w:val="000000"/>
          <w:kern w:val="0"/>
          <w:sz w:val="24"/>
          <w:szCs w:val="20"/>
          <w14:ligatures w14:val="none"/>
        </w:rPr>
        <w:t xml:space="preserve"> WSEC</w:t>
      </w:r>
      <w:r w:rsidRPr="006B4A66">
        <w:rPr>
          <w:rFonts w:ascii="Times New Roman" w:eastAsia="Times New Roman" w:hAnsi="Times New Roman" w:cs="Times New Roman"/>
          <w:color w:val="000000"/>
          <w:kern w:val="0"/>
          <w:sz w:val="24"/>
          <w:szCs w:val="24"/>
          <w14:ligatures w14:val="none"/>
        </w:rPr>
        <w:t xml:space="preserve"> C406.2.2.4.</w:t>
      </w:r>
    </w:p>
    <w:p w14:paraId="1C1A4BC9" w14:textId="77777777" w:rsidR="006B4A66" w:rsidRPr="006B4A66" w:rsidRDefault="006B4A66" w:rsidP="0073496A">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c.  For </w:t>
      </w:r>
      <w:r w:rsidRPr="006B4A66">
        <w:rPr>
          <w:rFonts w:ascii="Times New Roman" w:eastAsia="Times New Roman" w:hAnsi="Times New Roman" w:cs="Times New Roman"/>
          <w:color w:val="000000"/>
          <w:kern w:val="0"/>
          <w:sz w:val="24"/>
          <w:szCs w:val="20"/>
          <w14:ligatures w14:val="none"/>
        </w:rPr>
        <w:t>WSEC</w:t>
      </w:r>
      <w:r w:rsidRPr="006B4A66">
        <w:rPr>
          <w:rFonts w:ascii="Times New Roman" w:eastAsia="Times New Roman" w:hAnsi="Times New Roman" w:cs="Times New Roman"/>
          <w:color w:val="000000"/>
          <w:kern w:val="0"/>
          <w:sz w:val="24"/>
          <w:szCs w:val="24"/>
          <w14:ligatures w14:val="none"/>
        </w:rPr>
        <w:t xml:space="preserve"> C406.2.2.6, Group A occupancies achieve 40 credits.  Other occupancy groups within the "all other" category achieve 21 credits.</w:t>
      </w:r>
    </w:p>
    <w:p w14:paraId="37DA2C2C" w14:textId="77777777" w:rsidR="006B4A66" w:rsidRPr="006B4A66" w:rsidRDefault="006B4A66" w:rsidP="0073496A">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d.   Projects using </w:t>
      </w:r>
      <w:r w:rsidRPr="006B4A66">
        <w:rPr>
          <w:rFonts w:ascii="Times New Roman" w:eastAsia="Times New Roman" w:hAnsi="Times New Roman" w:cs="Times New Roman"/>
          <w:color w:val="000000"/>
          <w:kern w:val="0"/>
          <w:sz w:val="24"/>
          <w:szCs w:val="20"/>
          <w14:ligatures w14:val="none"/>
        </w:rPr>
        <w:t>WSEC</w:t>
      </w:r>
      <w:r w:rsidRPr="006B4A66">
        <w:rPr>
          <w:rFonts w:ascii="Times New Roman" w:eastAsia="Times New Roman" w:hAnsi="Times New Roman" w:cs="Times New Roman"/>
          <w:color w:val="000000"/>
          <w:kern w:val="0"/>
          <w:sz w:val="24"/>
          <w:szCs w:val="24"/>
          <w14:ligatures w14:val="none"/>
        </w:rPr>
        <w:t xml:space="preserve"> C406.2.3.2 shall not use </w:t>
      </w:r>
      <w:r w:rsidRPr="006B4A66">
        <w:rPr>
          <w:rFonts w:ascii="Times New Roman" w:eastAsia="Times New Roman" w:hAnsi="Times New Roman" w:cs="Times New Roman"/>
          <w:color w:val="000000"/>
          <w:kern w:val="0"/>
          <w:sz w:val="24"/>
          <w:szCs w:val="20"/>
          <w14:ligatures w14:val="none"/>
        </w:rPr>
        <w:t>WSEC</w:t>
      </w:r>
      <w:r w:rsidRPr="006B4A66">
        <w:rPr>
          <w:rFonts w:ascii="Times New Roman" w:eastAsia="Times New Roman" w:hAnsi="Times New Roman" w:cs="Times New Roman"/>
          <w:color w:val="000000"/>
          <w:kern w:val="0"/>
          <w:sz w:val="24"/>
          <w:szCs w:val="24"/>
          <w14:ligatures w14:val="none"/>
        </w:rPr>
        <w:t xml:space="preserve"> C406.2.3.1.</w:t>
      </w:r>
    </w:p>
    <w:p w14:paraId="47DD58C5" w14:textId="372B77BF" w:rsidR="006B4A66" w:rsidRPr="006B4A66" w:rsidRDefault="006B4A66" w:rsidP="0073496A">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e.   Service water heat recovery and heat pump water heating are available in Group M occupancies only for grocery stores larger than 10,000 square feet.  Large mixed retail uses with full grocery and butcher sections shall achieve half the credits.  This credit is not available where refrigeration recovery to heat service hot water is used to meet the requirements of </w:t>
      </w:r>
      <w:r w:rsidRPr="006B4A66">
        <w:rPr>
          <w:rFonts w:ascii="Times New Roman" w:eastAsia="Times New Roman" w:hAnsi="Times New Roman" w:cs="Times New Roman"/>
          <w:color w:val="000000"/>
          <w:kern w:val="0"/>
          <w:sz w:val="24"/>
          <w:szCs w:val="20"/>
          <w14:ligatures w14:val="none"/>
        </w:rPr>
        <w:t>WSEC</w:t>
      </w:r>
      <w:r w:rsidRPr="006B4A66">
        <w:rPr>
          <w:rFonts w:ascii="Times New Roman" w:eastAsia="Times New Roman" w:hAnsi="Times New Roman" w:cs="Times New Roman"/>
          <w:color w:val="000000"/>
          <w:kern w:val="0"/>
          <w:sz w:val="24"/>
          <w:szCs w:val="24"/>
          <w14:ligatures w14:val="none"/>
        </w:rPr>
        <w:t xml:space="preserve"> C403.9.2.3.</w:t>
      </w:r>
    </w:p>
    <w:p w14:paraId="11A34DAB" w14:textId="199DB0EE" w:rsidR="006B4A66" w:rsidRPr="006B4A66" w:rsidRDefault="006B4A66" w:rsidP="0073496A">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lastRenderedPageBreak/>
        <w:tab/>
        <w:t xml:space="preserve">f.  </w:t>
      </w:r>
      <w:r w:rsidR="0046657A" w:rsidRPr="0046657A">
        <w:rPr>
          <w:rFonts w:ascii="Times New Roman" w:eastAsia="Times New Roman" w:hAnsi="Times New Roman" w:cs="Times New Roman"/>
          <w:color w:val="000000"/>
          <w:kern w:val="0"/>
          <w:sz w:val="24"/>
          <w:szCs w:val="24"/>
          <w14:ligatures w14:val="none"/>
        </w:rPr>
        <w:t>Heat pump water heating efficiency credits are available in the “all other” category only for Group A-2</w:t>
      </w:r>
      <w:r w:rsidRPr="006B4A66">
        <w:rPr>
          <w:rFonts w:ascii="Times New Roman" w:eastAsia="Times New Roman" w:hAnsi="Times New Roman" w:cs="Times New Roman"/>
          <w:color w:val="000000"/>
          <w:kern w:val="0"/>
          <w:sz w:val="24"/>
          <w:szCs w:val="24"/>
          <w14:ligatures w14:val="none"/>
        </w:rPr>
        <w:t>.</w:t>
      </w:r>
    </w:p>
    <w:p w14:paraId="40E75344" w14:textId="77777777" w:rsidR="006B4A66" w:rsidRPr="006B4A66" w:rsidRDefault="006B4A66" w:rsidP="0073496A">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 xml:space="preserve">g.  Buildings or building areas that are exempt from the thermal envelope requirements in accordance with </w:t>
      </w:r>
      <w:r w:rsidRPr="006B4A66">
        <w:rPr>
          <w:rFonts w:ascii="Times New Roman" w:eastAsia="Times New Roman" w:hAnsi="Times New Roman" w:cs="Times New Roman"/>
          <w:color w:val="000000"/>
          <w:kern w:val="0"/>
          <w:sz w:val="24"/>
          <w:szCs w:val="20"/>
          <w14:ligatures w14:val="none"/>
        </w:rPr>
        <w:t>WSEC</w:t>
      </w:r>
      <w:r w:rsidRPr="006B4A66">
        <w:rPr>
          <w:rFonts w:ascii="Times New Roman" w:eastAsia="Times New Roman" w:hAnsi="Times New Roman" w:cs="Times New Roman"/>
          <w:color w:val="000000"/>
          <w:kern w:val="0"/>
          <w:sz w:val="24"/>
          <w:szCs w:val="24"/>
          <w14:ligatures w14:val="none"/>
        </w:rPr>
        <w:t xml:space="preserve"> C402.1.1 and C402.1.2 do not qualify for this package.</w:t>
      </w:r>
    </w:p>
    <w:p w14:paraId="05722FBF" w14:textId="1B62584D"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104.</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089E7647"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Table C406.2(2) of the Washington State Energy Code is not adopted and the following is substituted:</w:t>
      </w:r>
    </w:p>
    <w:p w14:paraId="422C24A3"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Table C406.2(2)</w:t>
      </w:r>
    </w:p>
    <w:p w14:paraId="32864673"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Efficiency Measure Credits for use with Fossil Fuel Compliance Path</w:t>
      </w:r>
    </w:p>
    <w:tbl>
      <w:tblPr>
        <w:tblStyle w:val="TableGrid"/>
        <w:tblW w:w="9642" w:type="dxa"/>
        <w:tblLayout w:type="fixed"/>
        <w:tblLook w:val="04A0" w:firstRow="1" w:lastRow="0" w:firstColumn="1" w:lastColumn="0" w:noHBand="0" w:noVBand="1"/>
      </w:tblPr>
      <w:tblGrid>
        <w:gridCol w:w="2277"/>
        <w:gridCol w:w="1200"/>
        <w:gridCol w:w="1050"/>
        <w:gridCol w:w="783"/>
        <w:gridCol w:w="783"/>
        <w:gridCol w:w="783"/>
        <w:gridCol w:w="783"/>
        <w:gridCol w:w="1005"/>
        <w:gridCol w:w="978"/>
      </w:tblGrid>
      <w:tr w:rsidR="006B4A66" w:rsidRPr="006B4A66" w14:paraId="7A4989A3" w14:textId="77777777">
        <w:tc>
          <w:tcPr>
            <w:tcW w:w="2277" w:type="dxa"/>
            <w:vMerge w:val="restart"/>
          </w:tcPr>
          <w:p w14:paraId="64497D52" w14:textId="77777777" w:rsidR="006B4A66" w:rsidRPr="006B4A66" w:rsidRDefault="006B4A66" w:rsidP="0073496A">
            <w:pPr>
              <w:spacing w:line="480" w:lineRule="auto"/>
              <w:jc w:val="center"/>
              <w:rPr>
                <w:rFonts w:eastAsia="Calibri"/>
                <w:b/>
                <w:color w:val="000000"/>
              </w:rPr>
            </w:pPr>
            <w:r w:rsidRPr="006B4A66">
              <w:rPr>
                <w:rFonts w:eastAsia="Calibri"/>
                <w:b/>
                <w:color w:val="000000"/>
              </w:rPr>
              <w:t>Measure Title</w:t>
            </w:r>
          </w:p>
        </w:tc>
        <w:tc>
          <w:tcPr>
            <w:tcW w:w="1200" w:type="dxa"/>
            <w:vMerge w:val="restart"/>
          </w:tcPr>
          <w:p w14:paraId="7259A0EE" w14:textId="77777777" w:rsidR="006B4A66" w:rsidRPr="006B4A66" w:rsidRDefault="006B4A66" w:rsidP="0073496A">
            <w:pPr>
              <w:spacing w:line="480" w:lineRule="auto"/>
              <w:jc w:val="center"/>
              <w:rPr>
                <w:rFonts w:eastAsia="Calibri"/>
                <w:b/>
                <w:color w:val="000000"/>
              </w:rPr>
            </w:pPr>
            <w:r w:rsidRPr="006B4A66">
              <w:rPr>
                <w:rFonts w:eastAsia="Calibri"/>
                <w:b/>
                <w:color w:val="000000"/>
              </w:rPr>
              <w:t>Applicable WSEC Section</w:t>
            </w:r>
          </w:p>
        </w:tc>
        <w:tc>
          <w:tcPr>
            <w:tcW w:w="1050" w:type="dxa"/>
            <w:vMerge w:val="restart"/>
          </w:tcPr>
          <w:p w14:paraId="737FCB1C" w14:textId="77777777" w:rsidR="006B4A66" w:rsidRPr="006B4A66" w:rsidRDefault="006B4A66" w:rsidP="0073496A">
            <w:pPr>
              <w:spacing w:line="480" w:lineRule="auto"/>
              <w:jc w:val="center"/>
              <w:rPr>
                <w:rFonts w:eastAsia="Calibri"/>
                <w:b/>
                <w:color w:val="000000"/>
              </w:rPr>
            </w:pPr>
            <w:r w:rsidRPr="006B4A66">
              <w:rPr>
                <w:rFonts w:eastAsia="Calibri"/>
                <w:b/>
                <w:color w:val="000000"/>
              </w:rPr>
              <w:t>Prorating Flag</w:t>
            </w:r>
          </w:p>
        </w:tc>
        <w:tc>
          <w:tcPr>
            <w:tcW w:w="5115" w:type="dxa"/>
            <w:gridSpan w:val="6"/>
          </w:tcPr>
          <w:p w14:paraId="089FECBB" w14:textId="77777777" w:rsidR="006B4A66" w:rsidRPr="006B4A66" w:rsidRDefault="006B4A66" w:rsidP="0073496A">
            <w:pPr>
              <w:spacing w:line="480" w:lineRule="auto"/>
              <w:jc w:val="center"/>
              <w:rPr>
                <w:rFonts w:eastAsia="Calibri"/>
                <w:color w:val="000000"/>
              </w:rPr>
            </w:pPr>
            <w:r w:rsidRPr="006B4A66">
              <w:rPr>
                <w:rFonts w:eastAsia="Calibri"/>
                <w:b/>
                <w:color w:val="000000"/>
              </w:rPr>
              <w:t>Occupancy Group</w:t>
            </w:r>
          </w:p>
        </w:tc>
      </w:tr>
      <w:tr w:rsidR="006B4A66" w:rsidRPr="006B4A66" w14:paraId="27C6AA7C" w14:textId="77777777">
        <w:tc>
          <w:tcPr>
            <w:tcW w:w="2277" w:type="dxa"/>
            <w:vMerge/>
          </w:tcPr>
          <w:p w14:paraId="72322BE5" w14:textId="77777777" w:rsidR="006B4A66" w:rsidRPr="006B4A66" w:rsidRDefault="006B4A66" w:rsidP="0073496A">
            <w:pPr>
              <w:spacing w:line="480" w:lineRule="auto"/>
              <w:rPr>
                <w:rFonts w:eastAsia="Calibri"/>
                <w:color w:val="000000"/>
              </w:rPr>
            </w:pPr>
          </w:p>
        </w:tc>
        <w:tc>
          <w:tcPr>
            <w:tcW w:w="1200" w:type="dxa"/>
            <w:vMerge/>
          </w:tcPr>
          <w:p w14:paraId="09CAEFCC" w14:textId="77777777" w:rsidR="006B4A66" w:rsidRPr="006B4A66" w:rsidRDefault="006B4A66" w:rsidP="0073496A">
            <w:pPr>
              <w:spacing w:line="480" w:lineRule="auto"/>
              <w:rPr>
                <w:rFonts w:eastAsia="Calibri"/>
                <w:color w:val="000000"/>
              </w:rPr>
            </w:pPr>
          </w:p>
        </w:tc>
        <w:tc>
          <w:tcPr>
            <w:tcW w:w="1050" w:type="dxa"/>
            <w:vMerge/>
          </w:tcPr>
          <w:p w14:paraId="495E2579" w14:textId="77777777" w:rsidR="006B4A66" w:rsidRPr="006B4A66" w:rsidRDefault="006B4A66" w:rsidP="0073496A">
            <w:pPr>
              <w:spacing w:line="480" w:lineRule="auto"/>
              <w:rPr>
                <w:rFonts w:eastAsia="Calibri"/>
                <w:color w:val="000000"/>
              </w:rPr>
            </w:pPr>
          </w:p>
        </w:tc>
        <w:tc>
          <w:tcPr>
            <w:tcW w:w="783" w:type="dxa"/>
          </w:tcPr>
          <w:p w14:paraId="3BD06DEC" w14:textId="77777777" w:rsidR="006B4A66" w:rsidRPr="006B4A66" w:rsidRDefault="006B4A66" w:rsidP="0073496A">
            <w:pPr>
              <w:spacing w:line="480" w:lineRule="auto"/>
              <w:jc w:val="center"/>
              <w:rPr>
                <w:rFonts w:eastAsia="Calibri"/>
                <w:b/>
                <w:color w:val="000000"/>
              </w:rPr>
            </w:pPr>
            <w:r w:rsidRPr="006B4A66">
              <w:rPr>
                <w:rFonts w:eastAsia="Calibri"/>
                <w:b/>
                <w:color w:val="000000"/>
              </w:rPr>
              <w:t>Group R-1</w:t>
            </w:r>
          </w:p>
        </w:tc>
        <w:tc>
          <w:tcPr>
            <w:tcW w:w="783" w:type="dxa"/>
          </w:tcPr>
          <w:p w14:paraId="4615BDD7" w14:textId="77777777" w:rsidR="006B4A66" w:rsidRPr="006B4A66" w:rsidRDefault="006B4A66" w:rsidP="0073496A">
            <w:pPr>
              <w:spacing w:line="480" w:lineRule="auto"/>
              <w:jc w:val="center"/>
              <w:rPr>
                <w:rFonts w:eastAsia="Calibri"/>
                <w:b/>
                <w:color w:val="000000"/>
              </w:rPr>
            </w:pPr>
            <w:r w:rsidRPr="006B4A66">
              <w:rPr>
                <w:rFonts w:eastAsia="Calibri"/>
                <w:b/>
                <w:color w:val="000000"/>
              </w:rPr>
              <w:t>Group R-2</w:t>
            </w:r>
          </w:p>
        </w:tc>
        <w:tc>
          <w:tcPr>
            <w:tcW w:w="783" w:type="dxa"/>
          </w:tcPr>
          <w:p w14:paraId="4B20C968" w14:textId="77777777" w:rsidR="006B4A66" w:rsidRPr="006B4A66" w:rsidRDefault="006B4A66" w:rsidP="0073496A">
            <w:pPr>
              <w:spacing w:line="480" w:lineRule="auto"/>
              <w:jc w:val="center"/>
              <w:rPr>
                <w:rFonts w:eastAsia="Calibri"/>
                <w:b/>
                <w:color w:val="000000"/>
              </w:rPr>
            </w:pPr>
            <w:r w:rsidRPr="006B4A66">
              <w:rPr>
                <w:rFonts w:eastAsia="Calibri"/>
                <w:b/>
                <w:color w:val="000000"/>
              </w:rPr>
              <w:t>Group B</w:t>
            </w:r>
          </w:p>
        </w:tc>
        <w:tc>
          <w:tcPr>
            <w:tcW w:w="783" w:type="dxa"/>
          </w:tcPr>
          <w:p w14:paraId="43DB6EA0" w14:textId="77777777" w:rsidR="006B4A66" w:rsidRPr="006B4A66" w:rsidRDefault="006B4A66" w:rsidP="0073496A">
            <w:pPr>
              <w:spacing w:line="480" w:lineRule="auto"/>
              <w:jc w:val="center"/>
              <w:rPr>
                <w:rFonts w:eastAsia="Calibri"/>
                <w:b/>
                <w:color w:val="000000"/>
              </w:rPr>
            </w:pPr>
            <w:r w:rsidRPr="006B4A66">
              <w:rPr>
                <w:rFonts w:eastAsia="Calibri"/>
                <w:b/>
                <w:color w:val="000000"/>
              </w:rPr>
              <w:t>Group E</w:t>
            </w:r>
          </w:p>
        </w:tc>
        <w:tc>
          <w:tcPr>
            <w:tcW w:w="1005" w:type="dxa"/>
          </w:tcPr>
          <w:p w14:paraId="542FD3C7" w14:textId="77777777" w:rsidR="006B4A66" w:rsidRPr="006B4A66" w:rsidRDefault="006B4A66" w:rsidP="0073496A">
            <w:pPr>
              <w:spacing w:line="480" w:lineRule="auto"/>
              <w:jc w:val="center"/>
              <w:rPr>
                <w:rFonts w:eastAsia="Calibri"/>
                <w:b/>
                <w:color w:val="000000"/>
              </w:rPr>
            </w:pPr>
            <w:r w:rsidRPr="006B4A66">
              <w:rPr>
                <w:rFonts w:eastAsia="Calibri"/>
                <w:b/>
                <w:color w:val="000000"/>
              </w:rPr>
              <w:t>Group M</w:t>
            </w:r>
          </w:p>
        </w:tc>
        <w:tc>
          <w:tcPr>
            <w:tcW w:w="978" w:type="dxa"/>
          </w:tcPr>
          <w:p w14:paraId="49DC6976" w14:textId="77777777" w:rsidR="006B4A66" w:rsidRPr="006B4A66" w:rsidRDefault="006B4A66" w:rsidP="0073496A">
            <w:pPr>
              <w:spacing w:line="480" w:lineRule="auto"/>
              <w:jc w:val="center"/>
              <w:rPr>
                <w:rFonts w:eastAsia="Calibri"/>
                <w:b/>
                <w:color w:val="000000"/>
              </w:rPr>
            </w:pPr>
            <w:r w:rsidRPr="006B4A66">
              <w:rPr>
                <w:rFonts w:eastAsia="Calibri"/>
                <w:b/>
                <w:color w:val="000000"/>
              </w:rPr>
              <w:t>All Other</w:t>
            </w:r>
          </w:p>
        </w:tc>
      </w:tr>
      <w:tr w:rsidR="006B4A66" w:rsidRPr="006B4A66" w14:paraId="3EC88D62" w14:textId="77777777">
        <w:tc>
          <w:tcPr>
            <w:tcW w:w="2277" w:type="dxa"/>
          </w:tcPr>
          <w:p w14:paraId="0B872FFE" w14:textId="77777777" w:rsidR="006B4A66" w:rsidRPr="006B4A66" w:rsidRDefault="006B4A66" w:rsidP="0073496A">
            <w:pPr>
              <w:numPr>
                <w:ilvl w:val="0"/>
                <w:numId w:val="7"/>
              </w:numPr>
              <w:spacing w:line="480" w:lineRule="auto"/>
              <w:ind w:left="180" w:hanging="180"/>
              <w:rPr>
                <w:rFonts w:eastAsia="Calibri"/>
                <w:color w:val="000000"/>
              </w:rPr>
            </w:pPr>
            <w:r w:rsidRPr="006B4A66">
              <w:rPr>
                <w:rFonts w:eastAsia="Calibri"/>
                <w:color w:val="000000"/>
              </w:rPr>
              <w:t>Dwelling unit HVAC control</w:t>
            </w:r>
          </w:p>
        </w:tc>
        <w:tc>
          <w:tcPr>
            <w:tcW w:w="1200" w:type="dxa"/>
          </w:tcPr>
          <w:p w14:paraId="5C48C7B0" w14:textId="77777777" w:rsidR="006B4A66" w:rsidRPr="006B4A66" w:rsidRDefault="006B4A66" w:rsidP="0073496A">
            <w:pPr>
              <w:spacing w:line="480" w:lineRule="auto"/>
              <w:rPr>
                <w:rFonts w:eastAsia="Calibri"/>
                <w:color w:val="000000"/>
              </w:rPr>
            </w:pPr>
            <w:r w:rsidRPr="006B4A66">
              <w:rPr>
                <w:rFonts w:eastAsia="Calibri"/>
                <w:color w:val="000000"/>
              </w:rPr>
              <w:t>C406.2.1</w:t>
            </w:r>
          </w:p>
        </w:tc>
        <w:tc>
          <w:tcPr>
            <w:tcW w:w="1050" w:type="dxa"/>
          </w:tcPr>
          <w:p w14:paraId="6F218F6A" w14:textId="77777777" w:rsidR="006B4A66" w:rsidRPr="006B4A66" w:rsidRDefault="006B4A66" w:rsidP="0073496A">
            <w:pPr>
              <w:spacing w:line="480" w:lineRule="auto"/>
              <w:jc w:val="center"/>
              <w:rPr>
                <w:rFonts w:eastAsia="Calibri"/>
                <w:color w:val="000000"/>
              </w:rPr>
            </w:pPr>
            <w:r w:rsidRPr="006B4A66">
              <w:rPr>
                <w:rFonts w:eastAsia="Calibri"/>
                <w:color w:val="000000"/>
              </w:rPr>
              <w:t>Heat</w:t>
            </w:r>
          </w:p>
        </w:tc>
        <w:tc>
          <w:tcPr>
            <w:tcW w:w="783" w:type="dxa"/>
          </w:tcPr>
          <w:p w14:paraId="7587C599"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c>
          <w:tcPr>
            <w:tcW w:w="783" w:type="dxa"/>
          </w:tcPr>
          <w:p w14:paraId="74B47497" w14:textId="77777777" w:rsidR="006B4A66" w:rsidRPr="006B4A66" w:rsidRDefault="006B4A66" w:rsidP="0073496A">
            <w:pPr>
              <w:spacing w:line="480" w:lineRule="auto"/>
              <w:jc w:val="center"/>
              <w:rPr>
                <w:rFonts w:eastAsia="Calibri"/>
                <w:color w:val="000000"/>
              </w:rPr>
            </w:pPr>
            <w:r w:rsidRPr="006B4A66">
              <w:rPr>
                <w:rFonts w:eastAsia="Calibri"/>
                <w:color w:val="000000"/>
              </w:rPr>
              <w:t>8</w:t>
            </w:r>
          </w:p>
        </w:tc>
        <w:tc>
          <w:tcPr>
            <w:tcW w:w="783" w:type="dxa"/>
          </w:tcPr>
          <w:p w14:paraId="49E9C85B"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c>
          <w:tcPr>
            <w:tcW w:w="783" w:type="dxa"/>
          </w:tcPr>
          <w:p w14:paraId="28B81C82"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c>
          <w:tcPr>
            <w:tcW w:w="1005" w:type="dxa"/>
          </w:tcPr>
          <w:p w14:paraId="3A2A6BB6"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c>
          <w:tcPr>
            <w:tcW w:w="978" w:type="dxa"/>
          </w:tcPr>
          <w:p w14:paraId="0872FFB6"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r>
      <w:tr w:rsidR="006B4A66" w:rsidRPr="006B4A66" w14:paraId="20056082" w14:textId="77777777">
        <w:tc>
          <w:tcPr>
            <w:tcW w:w="2277" w:type="dxa"/>
          </w:tcPr>
          <w:p w14:paraId="2EE4BF25" w14:textId="77777777" w:rsidR="006B4A66" w:rsidRPr="006B4A66" w:rsidRDefault="006B4A66" w:rsidP="0073496A">
            <w:pPr>
              <w:numPr>
                <w:ilvl w:val="0"/>
                <w:numId w:val="7"/>
              </w:numPr>
              <w:spacing w:line="480" w:lineRule="auto"/>
              <w:ind w:left="180" w:hanging="180"/>
              <w:rPr>
                <w:rFonts w:eastAsia="Calibri"/>
                <w:color w:val="000000"/>
              </w:rPr>
            </w:pPr>
            <w:r w:rsidRPr="006B4A66">
              <w:rPr>
                <w:rFonts w:eastAsia="Calibri"/>
                <w:color w:val="000000"/>
              </w:rPr>
              <w:t>Improved HVAC TSPR</w:t>
            </w:r>
            <w:r w:rsidRPr="006B4A66">
              <w:rPr>
                <w:rFonts w:eastAsia="Calibri"/>
                <w:color w:val="000000"/>
                <w:vertAlign w:val="superscript"/>
              </w:rPr>
              <w:t>a</w:t>
            </w:r>
          </w:p>
        </w:tc>
        <w:tc>
          <w:tcPr>
            <w:tcW w:w="1200" w:type="dxa"/>
          </w:tcPr>
          <w:p w14:paraId="1885C06A" w14:textId="77777777" w:rsidR="006B4A66" w:rsidRPr="006B4A66" w:rsidRDefault="006B4A66" w:rsidP="0073496A">
            <w:pPr>
              <w:spacing w:line="480" w:lineRule="auto"/>
              <w:rPr>
                <w:rFonts w:eastAsia="Calibri"/>
                <w:color w:val="000000"/>
              </w:rPr>
            </w:pPr>
            <w:r w:rsidRPr="006B4A66">
              <w:rPr>
                <w:rFonts w:eastAsia="Calibri"/>
                <w:color w:val="000000"/>
              </w:rPr>
              <w:t>C406.2.2.1</w:t>
            </w:r>
          </w:p>
        </w:tc>
        <w:tc>
          <w:tcPr>
            <w:tcW w:w="1050" w:type="dxa"/>
          </w:tcPr>
          <w:p w14:paraId="5E337168" w14:textId="77777777" w:rsidR="006B4A66" w:rsidRPr="006B4A66" w:rsidRDefault="006B4A66" w:rsidP="0073496A">
            <w:pPr>
              <w:spacing w:line="480" w:lineRule="auto"/>
              <w:jc w:val="center"/>
              <w:rPr>
                <w:rFonts w:eastAsia="Calibri"/>
                <w:color w:val="000000"/>
              </w:rPr>
            </w:pPr>
            <w:r w:rsidRPr="006B4A66">
              <w:rPr>
                <w:rFonts w:eastAsia="Calibri"/>
                <w:color w:val="000000"/>
              </w:rPr>
              <w:t>Heat</w:t>
            </w:r>
          </w:p>
        </w:tc>
        <w:tc>
          <w:tcPr>
            <w:tcW w:w="783" w:type="dxa"/>
          </w:tcPr>
          <w:p w14:paraId="769286E2"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c>
          <w:tcPr>
            <w:tcW w:w="783" w:type="dxa"/>
          </w:tcPr>
          <w:p w14:paraId="6E4D7FB7" w14:textId="77777777" w:rsidR="006B4A66" w:rsidRPr="006B4A66" w:rsidRDefault="006B4A66" w:rsidP="0073496A">
            <w:pPr>
              <w:spacing w:line="480" w:lineRule="auto"/>
              <w:jc w:val="center"/>
              <w:rPr>
                <w:rFonts w:eastAsia="Calibri"/>
                <w:color w:val="000000"/>
              </w:rPr>
            </w:pPr>
            <w:r w:rsidRPr="006B4A66">
              <w:rPr>
                <w:rFonts w:eastAsia="Calibri"/>
                <w:color w:val="000000"/>
              </w:rPr>
              <w:t>9</w:t>
            </w:r>
          </w:p>
        </w:tc>
        <w:tc>
          <w:tcPr>
            <w:tcW w:w="783" w:type="dxa"/>
          </w:tcPr>
          <w:p w14:paraId="2E2973D0" w14:textId="77777777" w:rsidR="006B4A66" w:rsidRPr="006B4A66" w:rsidRDefault="006B4A66" w:rsidP="0073496A">
            <w:pPr>
              <w:spacing w:line="480" w:lineRule="auto"/>
              <w:jc w:val="center"/>
              <w:rPr>
                <w:rFonts w:eastAsia="Calibri"/>
                <w:color w:val="000000"/>
              </w:rPr>
            </w:pPr>
            <w:r w:rsidRPr="006B4A66">
              <w:rPr>
                <w:rFonts w:eastAsia="Calibri"/>
                <w:color w:val="000000"/>
              </w:rPr>
              <w:t>12</w:t>
            </w:r>
          </w:p>
        </w:tc>
        <w:tc>
          <w:tcPr>
            <w:tcW w:w="783" w:type="dxa"/>
          </w:tcPr>
          <w:p w14:paraId="074CAE6F" w14:textId="77777777" w:rsidR="006B4A66" w:rsidRPr="006B4A66" w:rsidRDefault="006B4A66" w:rsidP="0073496A">
            <w:pPr>
              <w:spacing w:line="480" w:lineRule="auto"/>
              <w:jc w:val="center"/>
              <w:rPr>
                <w:rFonts w:eastAsia="Calibri"/>
                <w:color w:val="000000"/>
              </w:rPr>
            </w:pPr>
            <w:r w:rsidRPr="006B4A66">
              <w:rPr>
                <w:rFonts w:eastAsia="Calibri"/>
                <w:color w:val="000000"/>
              </w:rPr>
              <w:t>19</w:t>
            </w:r>
          </w:p>
        </w:tc>
        <w:tc>
          <w:tcPr>
            <w:tcW w:w="1005" w:type="dxa"/>
          </w:tcPr>
          <w:p w14:paraId="23CC90D2" w14:textId="77777777" w:rsidR="006B4A66" w:rsidRPr="006B4A66" w:rsidRDefault="006B4A66" w:rsidP="0073496A">
            <w:pPr>
              <w:spacing w:line="480" w:lineRule="auto"/>
              <w:jc w:val="center"/>
              <w:rPr>
                <w:rFonts w:eastAsia="Calibri"/>
                <w:color w:val="000000"/>
              </w:rPr>
            </w:pPr>
            <w:r w:rsidRPr="006B4A66">
              <w:rPr>
                <w:rFonts w:eastAsia="Calibri"/>
                <w:color w:val="000000"/>
              </w:rPr>
              <w:t>24</w:t>
            </w:r>
          </w:p>
        </w:tc>
        <w:tc>
          <w:tcPr>
            <w:tcW w:w="978" w:type="dxa"/>
          </w:tcPr>
          <w:p w14:paraId="79DCA07A"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r>
      <w:tr w:rsidR="006B4A66" w:rsidRPr="006B4A66" w14:paraId="1340FF4B" w14:textId="77777777">
        <w:tc>
          <w:tcPr>
            <w:tcW w:w="2277" w:type="dxa"/>
          </w:tcPr>
          <w:p w14:paraId="09541C31" w14:textId="77777777" w:rsidR="006B4A66" w:rsidRPr="006B4A66" w:rsidRDefault="006B4A66" w:rsidP="0073496A">
            <w:pPr>
              <w:numPr>
                <w:ilvl w:val="0"/>
                <w:numId w:val="7"/>
              </w:numPr>
              <w:spacing w:line="480" w:lineRule="auto"/>
              <w:ind w:left="180" w:hanging="180"/>
              <w:rPr>
                <w:rFonts w:eastAsia="Calibri"/>
                <w:color w:val="000000"/>
              </w:rPr>
            </w:pPr>
            <w:r w:rsidRPr="006B4A66">
              <w:rPr>
                <w:rFonts w:eastAsia="Calibri"/>
                <w:color w:val="000000"/>
              </w:rPr>
              <w:t>Improved cooling and fan efficiency</w:t>
            </w:r>
          </w:p>
        </w:tc>
        <w:tc>
          <w:tcPr>
            <w:tcW w:w="1200" w:type="dxa"/>
          </w:tcPr>
          <w:p w14:paraId="7ACA49C8" w14:textId="77777777" w:rsidR="006B4A66" w:rsidRPr="006B4A66" w:rsidRDefault="006B4A66" w:rsidP="0073496A">
            <w:pPr>
              <w:spacing w:line="480" w:lineRule="auto"/>
              <w:rPr>
                <w:rFonts w:eastAsia="Calibri"/>
                <w:color w:val="000000"/>
              </w:rPr>
            </w:pPr>
            <w:r w:rsidRPr="006B4A66">
              <w:rPr>
                <w:rFonts w:eastAsia="Calibri"/>
                <w:color w:val="000000"/>
              </w:rPr>
              <w:t>C406.2.2.2</w:t>
            </w:r>
          </w:p>
        </w:tc>
        <w:tc>
          <w:tcPr>
            <w:tcW w:w="1050" w:type="dxa"/>
          </w:tcPr>
          <w:p w14:paraId="3D7D7086" w14:textId="77777777" w:rsidR="006B4A66" w:rsidRPr="006B4A66" w:rsidRDefault="006B4A66" w:rsidP="0073496A">
            <w:pPr>
              <w:spacing w:line="480" w:lineRule="auto"/>
              <w:jc w:val="center"/>
              <w:rPr>
                <w:rFonts w:eastAsia="Calibri"/>
                <w:color w:val="000000"/>
              </w:rPr>
            </w:pPr>
            <w:r w:rsidRPr="006B4A66">
              <w:rPr>
                <w:rFonts w:eastAsia="Calibri"/>
                <w:color w:val="000000"/>
              </w:rPr>
              <w:t>Heat</w:t>
            </w:r>
          </w:p>
        </w:tc>
        <w:tc>
          <w:tcPr>
            <w:tcW w:w="783" w:type="dxa"/>
          </w:tcPr>
          <w:p w14:paraId="105289B1" w14:textId="77777777" w:rsidR="006B4A66" w:rsidRPr="006B4A66" w:rsidRDefault="006B4A66" w:rsidP="0073496A">
            <w:pPr>
              <w:spacing w:line="480" w:lineRule="auto"/>
              <w:jc w:val="center"/>
              <w:rPr>
                <w:rFonts w:eastAsia="Calibri"/>
                <w:color w:val="000000"/>
              </w:rPr>
            </w:pPr>
            <w:r w:rsidRPr="006B4A66">
              <w:rPr>
                <w:rFonts w:eastAsia="Calibri"/>
                <w:color w:val="000000"/>
              </w:rPr>
              <w:t>12</w:t>
            </w:r>
          </w:p>
        </w:tc>
        <w:tc>
          <w:tcPr>
            <w:tcW w:w="783" w:type="dxa"/>
          </w:tcPr>
          <w:p w14:paraId="497909F1" w14:textId="77777777" w:rsidR="006B4A66" w:rsidRPr="006B4A66" w:rsidRDefault="006B4A66" w:rsidP="0073496A">
            <w:pPr>
              <w:spacing w:line="480" w:lineRule="auto"/>
              <w:jc w:val="center"/>
              <w:rPr>
                <w:rFonts w:eastAsia="Calibri"/>
                <w:color w:val="000000"/>
              </w:rPr>
            </w:pPr>
            <w:r w:rsidRPr="006B4A66">
              <w:rPr>
                <w:rFonts w:eastAsia="Calibri"/>
                <w:color w:val="000000"/>
              </w:rPr>
              <w:t>8</w:t>
            </w:r>
          </w:p>
        </w:tc>
        <w:tc>
          <w:tcPr>
            <w:tcW w:w="783" w:type="dxa"/>
          </w:tcPr>
          <w:p w14:paraId="437F36B2" w14:textId="77777777" w:rsidR="006B4A66" w:rsidRPr="006B4A66" w:rsidRDefault="006B4A66" w:rsidP="0073496A">
            <w:pPr>
              <w:spacing w:line="480" w:lineRule="auto"/>
              <w:jc w:val="center"/>
              <w:rPr>
                <w:rFonts w:eastAsia="Calibri"/>
                <w:color w:val="000000"/>
              </w:rPr>
            </w:pPr>
            <w:r w:rsidRPr="006B4A66">
              <w:rPr>
                <w:rFonts w:eastAsia="Calibri"/>
                <w:color w:val="000000"/>
              </w:rPr>
              <w:t>14</w:t>
            </w:r>
          </w:p>
        </w:tc>
        <w:tc>
          <w:tcPr>
            <w:tcW w:w="783" w:type="dxa"/>
          </w:tcPr>
          <w:p w14:paraId="026223D5" w14:textId="77777777" w:rsidR="006B4A66" w:rsidRPr="006B4A66" w:rsidRDefault="006B4A66" w:rsidP="0073496A">
            <w:pPr>
              <w:spacing w:line="480" w:lineRule="auto"/>
              <w:jc w:val="center"/>
              <w:rPr>
                <w:rFonts w:eastAsia="Calibri"/>
                <w:color w:val="000000"/>
              </w:rPr>
            </w:pPr>
            <w:r w:rsidRPr="006B4A66">
              <w:rPr>
                <w:rFonts w:eastAsia="Calibri"/>
                <w:color w:val="000000"/>
              </w:rPr>
              <w:t>8</w:t>
            </w:r>
          </w:p>
        </w:tc>
        <w:tc>
          <w:tcPr>
            <w:tcW w:w="1005" w:type="dxa"/>
          </w:tcPr>
          <w:p w14:paraId="0A055BB4" w14:textId="77777777" w:rsidR="006B4A66" w:rsidRPr="006B4A66" w:rsidRDefault="006B4A66" w:rsidP="0073496A">
            <w:pPr>
              <w:spacing w:line="480" w:lineRule="auto"/>
              <w:jc w:val="center"/>
              <w:rPr>
                <w:rFonts w:eastAsia="Calibri"/>
                <w:color w:val="000000"/>
              </w:rPr>
            </w:pPr>
            <w:r w:rsidRPr="006B4A66">
              <w:rPr>
                <w:rFonts w:eastAsia="Calibri"/>
                <w:color w:val="000000"/>
              </w:rPr>
              <w:t>10</w:t>
            </w:r>
          </w:p>
        </w:tc>
        <w:tc>
          <w:tcPr>
            <w:tcW w:w="978" w:type="dxa"/>
          </w:tcPr>
          <w:p w14:paraId="0A9BBA26" w14:textId="77777777" w:rsidR="006B4A66" w:rsidRPr="006B4A66" w:rsidRDefault="006B4A66" w:rsidP="0073496A">
            <w:pPr>
              <w:spacing w:line="480" w:lineRule="auto"/>
              <w:jc w:val="center"/>
              <w:rPr>
                <w:rFonts w:eastAsia="Calibri"/>
                <w:color w:val="000000"/>
              </w:rPr>
            </w:pPr>
            <w:r w:rsidRPr="006B4A66">
              <w:rPr>
                <w:rFonts w:eastAsia="Calibri"/>
                <w:color w:val="000000"/>
              </w:rPr>
              <w:t>10</w:t>
            </w:r>
          </w:p>
        </w:tc>
      </w:tr>
      <w:tr w:rsidR="006B4A66" w:rsidRPr="006B4A66" w14:paraId="185D74A0" w14:textId="77777777">
        <w:tc>
          <w:tcPr>
            <w:tcW w:w="2277" w:type="dxa"/>
          </w:tcPr>
          <w:p w14:paraId="3F8E8D02" w14:textId="77777777" w:rsidR="006B4A66" w:rsidRPr="006B4A66" w:rsidRDefault="006B4A66" w:rsidP="0073496A">
            <w:pPr>
              <w:numPr>
                <w:ilvl w:val="0"/>
                <w:numId w:val="7"/>
              </w:numPr>
              <w:spacing w:line="480" w:lineRule="auto"/>
              <w:ind w:left="180" w:hanging="180"/>
              <w:rPr>
                <w:rFonts w:eastAsia="Calibri"/>
                <w:color w:val="000000"/>
              </w:rPr>
            </w:pPr>
            <w:r w:rsidRPr="006B4A66">
              <w:rPr>
                <w:rFonts w:eastAsia="Calibri"/>
                <w:color w:val="000000"/>
              </w:rPr>
              <w:t>Improved heating efficiency</w:t>
            </w:r>
          </w:p>
        </w:tc>
        <w:tc>
          <w:tcPr>
            <w:tcW w:w="1200" w:type="dxa"/>
          </w:tcPr>
          <w:p w14:paraId="5AC4517A" w14:textId="77777777" w:rsidR="006B4A66" w:rsidRPr="006B4A66" w:rsidRDefault="006B4A66" w:rsidP="0073496A">
            <w:pPr>
              <w:spacing w:line="480" w:lineRule="auto"/>
              <w:rPr>
                <w:rFonts w:eastAsia="Calibri"/>
                <w:color w:val="000000"/>
              </w:rPr>
            </w:pPr>
            <w:r w:rsidRPr="006B4A66">
              <w:rPr>
                <w:rFonts w:eastAsia="Calibri"/>
                <w:color w:val="000000"/>
              </w:rPr>
              <w:t>C406.2.2.3</w:t>
            </w:r>
          </w:p>
        </w:tc>
        <w:tc>
          <w:tcPr>
            <w:tcW w:w="1050" w:type="dxa"/>
          </w:tcPr>
          <w:p w14:paraId="3876A7A9" w14:textId="77777777" w:rsidR="006B4A66" w:rsidRPr="006B4A66" w:rsidRDefault="006B4A66" w:rsidP="0073496A">
            <w:pPr>
              <w:spacing w:line="480" w:lineRule="auto"/>
              <w:jc w:val="center"/>
              <w:rPr>
                <w:rFonts w:eastAsia="Calibri"/>
                <w:color w:val="000000"/>
              </w:rPr>
            </w:pPr>
            <w:r w:rsidRPr="006B4A66">
              <w:rPr>
                <w:rFonts w:eastAsia="Calibri"/>
                <w:color w:val="000000"/>
              </w:rPr>
              <w:t>Heat</w:t>
            </w:r>
          </w:p>
        </w:tc>
        <w:tc>
          <w:tcPr>
            <w:tcW w:w="783" w:type="dxa"/>
          </w:tcPr>
          <w:p w14:paraId="3B0ADF47" w14:textId="77777777" w:rsidR="006B4A66" w:rsidRPr="006B4A66" w:rsidRDefault="006B4A66" w:rsidP="0073496A">
            <w:pPr>
              <w:spacing w:line="480" w:lineRule="auto"/>
              <w:jc w:val="center"/>
              <w:rPr>
                <w:rFonts w:eastAsia="Calibri"/>
                <w:color w:val="000000"/>
              </w:rPr>
            </w:pPr>
            <w:r w:rsidRPr="006B4A66">
              <w:rPr>
                <w:rFonts w:eastAsia="Calibri"/>
                <w:color w:val="000000"/>
              </w:rPr>
              <w:t>2</w:t>
            </w:r>
          </w:p>
        </w:tc>
        <w:tc>
          <w:tcPr>
            <w:tcW w:w="783" w:type="dxa"/>
          </w:tcPr>
          <w:p w14:paraId="2B247B50" w14:textId="77777777" w:rsidR="006B4A66" w:rsidRPr="006B4A66" w:rsidRDefault="006B4A66" w:rsidP="0073496A">
            <w:pPr>
              <w:spacing w:line="480" w:lineRule="auto"/>
              <w:jc w:val="center"/>
              <w:rPr>
                <w:rFonts w:eastAsia="Calibri"/>
                <w:color w:val="000000"/>
              </w:rPr>
            </w:pPr>
            <w:r w:rsidRPr="006B4A66">
              <w:rPr>
                <w:rFonts w:eastAsia="Calibri"/>
                <w:color w:val="000000"/>
              </w:rPr>
              <w:t>3</w:t>
            </w:r>
          </w:p>
        </w:tc>
        <w:tc>
          <w:tcPr>
            <w:tcW w:w="783" w:type="dxa"/>
          </w:tcPr>
          <w:p w14:paraId="319B81B5" w14:textId="77777777" w:rsidR="006B4A66" w:rsidRPr="006B4A66" w:rsidRDefault="006B4A66" w:rsidP="0073496A">
            <w:pPr>
              <w:spacing w:line="480" w:lineRule="auto"/>
              <w:jc w:val="center"/>
              <w:rPr>
                <w:rFonts w:eastAsia="Calibri"/>
                <w:color w:val="000000"/>
              </w:rPr>
            </w:pPr>
            <w:r w:rsidRPr="006B4A66">
              <w:rPr>
                <w:rFonts w:eastAsia="Calibri"/>
                <w:color w:val="000000"/>
              </w:rPr>
              <w:t>3</w:t>
            </w:r>
          </w:p>
        </w:tc>
        <w:tc>
          <w:tcPr>
            <w:tcW w:w="783" w:type="dxa"/>
          </w:tcPr>
          <w:p w14:paraId="35CBC7D5" w14:textId="77777777" w:rsidR="006B4A66" w:rsidRPr="006B4A66" w:rsidRDefault="006B4A66" w:rsidP="0073496A">
            <w:pPr>
              <w:spacing w:line="480" w:lineRule="auto"/>
              <w:jc w:val="center"/>
              <w:rPr>
                <w:rFonts w:eastAsia="Calibri"/>
                <w:color w:val="000000"/>
              </w:rPr>
            </w:pPr>
            <w:r w:rsidRPr="006B4A66">
              <w:rPr>
                <w:rFonts w:eastAsia="Calibri"/>
                <w:color w:val="000000"/>
              </w:rPr>
              <w:t>11</w:t>
            </w:r>
          </w:p>
        </w:tc>
        <w:tc>
          <w:tcPr>
            <w:tcW w:w="1005" w:type="dxa"/>
          </w:tcPr>
          <w:p w14:paraId="65BE105E" w14:textId="77777777" w:rsidR="006B4A66" w:rsidRPr="006B4A66" w:rsidRDefault="006B4A66" w:rsidP="0073496A">
            <w:pPr>
              <w:spacing w:line="480" w:lineRule="auto"/>
              <w:jc w:val="center"/>
              <w:rPr>
                <w:rFonts w:eastAsia="Calibri"/>
                <w:color w:val="000000"/>
              </w:rPr>
            </w:pPr>
            <w:r w:rsidRPr="006B4A66">
              <w:rPr>
                <w:rFonts w:eastAsia="Calibri"/>
                <w:color w:val="000000"/>
              </w:rPr>
              <w:t>18</w:t>
            </w:r>
          </w:p>
        </w:tc>
        <w:tc>
          <w:tcPr>
            <w:tcW w:w="978" w:type="dxa"/>
          </w:tcPr>
          <w:p w14:paraId="4786C5C2" w14:textId="77777777" w:rsidR="006B4A66" w:rsidRPr="006B4A66" w:rsidRDefault="006B4A66" w:rsidP="0073496A">
            <w:pPr>
              <w:spacing w:line="480" w:lineRule="auto"/>
              <w:jc w:val="center"/>
              <w:rPr>
                <w:rFonts w:eastAsia="Calibri"/>
                <w:color w:val="000000"/>
              </w:rPr>
            </w:pPr>
            <w:r w:rsidRPr="006B4A66">
              <w:rPr>
                <w:rFonts w:eastAsia="Calibri"/>
                <w:color w:val="000000"/>
              </w:rPr>
              <w:t>8</w:t>
            </w:r>
          </w:p>
        </w:tc>
      </w:tr>
      <w:tr w:rsidR="006B4A66" w:rsidRPr="006B4A66" w14:paraId="6D298253" w14:textId="77777777">
        <w:tc>
          <w:tcPr>
            <w:tcW w:w="2277" w:type="dxa"/>
          </w:tcPr>
          <w:p w14:paraId="544FED19" w14:textId="77777777" w:rsidR="006B4A66" w:rsidRPr="006B4A66" w:rsidRDefault="006B4A66" w:rsidP="0073496A">
            <w:pPr>
              <w:numPr>
                <w:ilvl w:val="0"/>
                <w:numId w:val="7"/>
              </w:numPr>
              <w:spacing w:line="480" w:lineRule="auto"/>
              <w:ind w:left="180" w:hanging="180"/>
              <w:rPr>
                <w:rFonts w:eastAsia="Calibri"/>
                <w:color w:val="000000"/>
              </w:rPr>
            </w:pPr>
            <w:r w:rsidRPr="006B4A66">
              <w:rPr>
                <w:rFonts w:eastAsia="Calibri"/>
                <w:color w:val="000000"/>
              </w:rPr>
              <w:t>Improved low-carbon district energy system (10% better)</w:t>
            </w:r>
          </w:p>
        </w:tc>
        <w:tc>
          <w:tcPr>
            <w:tcW w:w="1200" w:type="dxa"/>
          </w:tcPr>
          <w:p w14:paraId="1947C328" w14:textId="77777777" w:rsidR="006B4A66" w:rsidRPr="006B4A66" w:rsidRDefault="006B4A66" w:rsidP="0073496A">
            <w:pPr>
              <w:spacing w:line="480" w:lineRule="auto"/>
              <w:rPr>
                <w:rFonts w:eastAsia="Calibri"/>
                <w:color w:val="000000"/>
              </w:rPr>
            </w:pPr>
            <w:r w:rsidRPr="006B4A66">
              <w:rPr>
                <w:rFonts w:eastAsia="Calibri"/>
                <w:color w:val="000000"/>
              </w:rPr>
              <w:t>C406.2.2.4</w:t>
            </w:r>
          </w:p>
        </w:tc>
        <w:tc>
          <w:tcPr>
            <w:tcW w:w="1050" w:type="dxa"/>
          </w:tcPr>
          <w:p w14:paraId="71169EA9" w14:textId="77777777" w:rsidR="006B4A66" w:rsidRPr="006B4A66" w:rsidRDefault="006B4A66" w:rsidP="0073496A">
            <w:pPr>
              <w:spacing w:line="480" w:lineRule="auto"/>
              <w:jc w:val="center"/>
              <w:rPr>
                <w:rFonts w:eastAsia="Calibri"/>
                <w:color w:val="000000"/>
              </w:rPr>
            </w:pPr>
          </w:p>
        </w:tc>
        <w:tc>
          <w:tcPr>
            <w:tcW w:w="783" w:type="dxa"/>
          </w:tcPr>
          <w:p w14:paraId="0BD19E07" w14:textId="77777777" w:rsidR="006B4A66" w:rsidRPr="006B4A66" w:rsidRDefault="006B4A66" w:rsidP="0073496A">
            <w:pPr>
              <w:spacing w:line="480" w:lineRule="auto"/>
              <w:jc w:val="center"/>
              <w:rPr>
                <w:rFonts w:eastAsia="Calibri"/>
                <w:color w:val="000000"/>
              </w:rPr>
            </w:pPr>
            <w:r w:rsidRPr="006B4A66">
              <w:rPr>
                <w:rFonts w:eastAsia="Calibri"/>
                <w:color w:val="000000"/>
              </w:rPr>
              <w:t>3</w:t>
            </w:r>
          </w:p>
        </w:tc>
        <w:tc>
          <w:tcPr>
            <w:tcW w:w="783" w:type="dxa"/>
          </w:tcPr>
          <w:p w14:paraId="03A823ED" w14:textId="77777777" w:rsidR="006B4A66" w:rsidRPr="006B4A66" w:rsidRDefault="006B4A66" w:rsidP="0073496A">
            <w:pPr>
              <w:spacing w:line="480" w:lineRule="auto"/>
              <w:jc w:val="center"/>
              <w:rPr>
                <w:rFonts w:eastAsia="Calibri"/>
                <w:color w:val="000000"/>
              </w:rPr>
            </w:pPr>
            <w:r w:rsidRPr="006B4A66">
              <w:rPr>
                <w:rFonts w:eastAsia="Calibri"/>
                <w:color w:val="000000"/>
              </w:rPr>
              <w:t>3</w:t>
            </w:r>
          </w:p>
        </w:tc>
        <w:tc>
          <w:tcPr>
            <w:tcW w:w="783" w:type="dxa"/>
          </w:tcPr>
          <w:p w14:paraId="6476E31C" w14:textId="77777777" w:rsidR="006B4A66" w:rsidRPr="006B4A66" w:rsidRDefault="006B4A66" w:rsidP="0073496A">
            <w:pPr>
              <w:spacing w:line="480" w:lineRule="auto"/>
              <w:jc w:val="center"/>
              <w:rPr>
                <w:rFonts w:eastAsia="Calibri"/>
                <w:color w:val="000000"/>
              </w:rPr>
            </w:pPr>
            <w:r w:rsidRPr="006B4A66">
              <w:rPr>
                <w:rFonts w:eastAsia="Calibri"/>
                <w:color w:val="000000"/>
              </w:rPr>
              <w:t>4</w:t>
            </w:r>
          </w:p>
        </w:tc>
        <w:tc>
          <w:tcPr>
            <w:tcW w:w="783" w:type="dxa"/>
          </w:tcPr>
          <w:p w14:paraId="3FF382DD" w14:textId="77777777" w:rsidR="006B4A66" w:rsidRPr="006B4A66" w:rsidRDefault="006B4A66" w:rsidP="0073496A">
            <w:pPr>
              <w:spacing w:line="480" w:lineRule="auto"/>
              <w:jc w:val="center"/>
              <w:rPr>
                <w:rFonts w:eastAsia="Calibri"/>
                <w:color w:val="000000"/>
              </w:rPr>
            </w:pPr>
            <w:r w:rsidRPr="006B4A66">
              <w:rPr>
                <w:rFonts w:eastAsia="Calibri"/>
                <w:color w:val="000000"/>
              </w:rPr>
              <w:t>12</w:t>
            </w:r>
          </w:p>
        </w:tc>
        <w:tc>
          <w:tcPr>
            <w:tcW w:w="1005" w:type="dxa"/>
          </w:tcPr>
          <w:p w14:paraId="7BF01C04" w14:textId="77777777" w:rsidR="006B4A66" w:rsidRPr="006B4A66" w:rsidRDefault="006B4A66" w:rsidP="0073496A">
            <w:pPr>
              <w:spacing w:line="480" w:lineRule="auto"/>
              <w:jc w:val="center"/>
              <w:rPr>
                <w:rFonts w:eastAsia="Calibri"/>
                <w:color w:val="000000"/>
              </w:rPr>
            </w:pPr>
            <w:r w:rsidRPr="006B4A66">
              <w:rPr>
                <w:rFonts w:eastAsia="Calibri"/>
                <w:color w:val="000000"/>
              </w:rPr>
              <w:t>19</w:t>
            </w:r>
          </w:p>
        </w:tc>
        <w:tc>
          <w:tcPr>
            <w:tcW w:w="978" w:type="dxa"/>
          </w:tcPr>
          <w:p w14:paraId="456FCD73" w14:textId="77777777" w:rsidR="006B4A66" w:rsidRPr="006B4A66" w:rsidRDefault="006B4A66" w:rsidP="0073496A">
            <w:pPr>
              <w:spacing w:line="480" w:lineRule="auto"/>
              <w:jc w:val="center"/>
              <w:rPr>
                <w:rFonts w:eastAsia="Calibri"/>
                <w:color w:val="000000"/>
              </w:rPr>
            </w:pPr>
            <w:r w:rsidRPr="006B4A66">
              <w:rPr>
                <w:rFonts w:eastAsia="Calibri"/>
                <w:color w:val="000000"/>
              </w:rPr>
              <w:t>9</w:t>
            </w:r>
          </w:p>
        </w:tc>
      </w:tr>
      <w:tr w:rsidR="006B4A66" w:rsidRPr="006B4A66" w14:paraId="13C3373B" w14:textId="77777777">
        <w:tc>
          <w:tcPr>
            <w:tcW w:w="2277" w:type="dxa"/>
          </w:tcPr>
          <w:p w14:paraId="6C79AA47" w14:textId="77777777" w:rsidR="006B4A66" w:rsidRPr="006B4A66" w:rsidRDefault="006B4A66" w:rsidP="0073496A">
            <w:pPr>
              <w:numPr>
                <w:ilvl w:val="0"/>
                <w:numId w:val="7"/>
              </w:numPr>
              <w:spacing w:line="480" w:lineRule="auto"/>
              <w:ind w:left="180" w:hanging="180"/>
              <w:rPr>
                <w:rFonts w:eastAsia="Calibri"/>
                <w:color w:val="000000"/>
              </w:rPr>
            </w:pPr>
            <w:r w:rsidRPr="006B4A66">
              <w:rPr>
                <w:rFonts w:eastAsia="Calibri"/>
                <w:color w:val="000000"/>
              </w:rPr>
              <w:lastRenderedPageBreak/>
              <w:t>Improved low-carbon district energy system (20% better)</w:t>
            </w:r>
            <w:r w:rsidRPr="006B4A66">
              <w:rPr>
                <w:rFonts w:eastAsia="Calibri"/>
                <w:color w:val="000000"/>
                <w:vertAlign w:val="superscript"/>
              </w:rPr>
              <w:t>b</w:t>
            </w:r>
          </w:p>
        </w:tc>
        <w:tc>
          <w:tcPr>
            <w:tcW w:w="1200" w:type="dxa"/>
          </w:tcPr>
          <w:p w14:paraId="12865703" w14:textId="77777777" w:rsidR="006B4A66" w:rsidRPr="006B4A66" w:rsidRDefault="006B4A66" w:rsidP="0073496A">
            <w:pPr>
              <w:spacing w:line="480" w:lineRule="auto"/>
              <w:rPr>
                <w:rFonts w:eastAsia="Calibri"/>
                <w:color w:val="000000"/>
              </w:rPr>
            </w:pPr>
            <w:r w:rsidRPr="006B4A66">
              <w:rPr>
                <w:rFonts w:eastAsia="Calibri"/>
                <w:color w:val="000000"/>
              </w:rPr>
              <w:t>C406.2.2.5</w:t>
            </w:r>
          </w:p>
        </w:tc>
        <w:tc>
          <w:tcPr>
            <w:tcW w:w="1050" w:type="dxa"/>
          </w:tcPr>
          <w:p w14:paraId="46C4D340" w14:textId="77777777" w:rsidR="006B4A66" w:rsidRPr="006B4A66" w:rsidRDefault="006B4A66" w:rsidP="0073496A">
            <w:pPr>
              <w:spacing w:line="480" w:lineRule="auto"/>
              <w:jc w:val="center"/>
              <w:rPr>
                <w:rFonts w:eastAsia="Calibri"/>
                <w:color w:val="000000"/>
              </w:rPr>
            </w:pPr>
          </w:p>
        </w:tc>
        <w:tc>
          <w:tcPr>
            <w:tcW w:w="783" w:type="dxa"/>
          </w:tcPr>
          <w:p w14:paraId="07E90AD5" w14:textId="77777777" w:rsidR="006B4A66" w:rsidRPr="006B4A66" w:rsidRDefault="006B4A66" w:rsidP="0073496A">
            <w:pPr>
              <w:spacing w:line="480" w:lineRule="auto"/>
              <w:jc w:val="center"/>
              <w:rPr>
                <w:rFonts w:eastAsia="Calibri"/>
                <w:color w:val="000000"/>
              </w:rPr>
            </w:pPr>
            <w:r w:rsidRPr="006B4A66">
              <w:rPr>
                <w:rFonts w:eastAsia="Calibri"/>
                <w:color w:val="000000"/>
              </w:rPr>
              <w:t>10</w:t>
            </w:r>
          </w:p>
        </w:tc>
        <w:tc>
          <w:tcPr>
            <w:tcW w:w="783" w:type="dxa"/>
          </w:tcPr>
          <w:p w14:paraId="125132EC" w14:textId="77777777" w:rsidR="006B4A66" w:rsidRPr="006B4A66" w:rsidRDefault="006B4A66" w:rsidP="0073496A">
            <w:pPr>
              <w:spacing w:line="480" w:lineRule="auto"/>
              <w:jc w:val="center"/>
              <w:rPr>
                <w:rFonts w:eastAsia="Calibri"/>
                <w:color w:val="000000"/>
              </w:rPr>
            </w:pPr>
            <w:r w:rsidRPr="006B4A66">
              <w:rPr>
                <w:rFonts w:eastAsia="Calibri"/>
                <w:color w:val="000000"/>
              </w:rPr>
              <w:t>11</w:t>
            </w:r>
          </w:p>
        </w:tc>
        <w:tc>
          <w:tcPr>
            <w:tcW w:w="783" w:type="dxa"/>
          </w:tcPr>
          <w:p w14:paraId="501B3B49" w14:textId="77777777" w:rsidR="006B4A66" w:rsidRPr="006B4A66" w:rsidRDefault="006B4A66" w:rsidP="0073496A">
            <w:pPr>
              <w:spacing w:line="480" w:lineRule="auto"/>
              <w:jc w:val="center"/>
              <w:rPr>
                <w:rFonts w:eastAsia="Calibri"/>
                <w:color w:val="000000"/>
              </w:rPr>
            </w:pPr>
            <w:r w:rsidRPr="006B4A66">
              <w:rPr>
                <w:rFonts w:eastAsia="Calibri"/>
                <w:color w:val="000000"/>
              </w:rPr>
              <w:t>13</w:t>
            </w:r>
          </w:p>
        </w:tc>
        <w:tc>
          <w:tcPr>
            <w:tcW w:w="783" w:type="dxa"/>
          </w:tcPr>
          <w:p w14:paraId="3FBE3829" w14:textId="77777777" w:rsidR="006B4A66" w:rsidRPr="006B4A66" w:rsidRDefault="006B4A66" w:rsidP="0073496A">
            <w:pPr>
              <w:spacing w:line="480" w:lineRule="auto"/>
              <w:jc w:val="center"/>
              <w:rPr>
                <w:rFonts w:eastAsia="Calibri"/>
                <w:color w:val="000000"/>
              </w:rPr>
            </w:pPr>
            <w:r w:rsidRPr="006B4A66">
              <w:rPr>
                <w:rFonts w:eastAsia="Calibri"/>
                <w:color w:val="000000"/>
              </w:rPr>
              <w:t>36</w:t>
            </w:r>
          </w:p>
        </w:tc>
        <w:tc>
          <w:tcPr>
            <w:tcW w:w="1005" w:type="dxa"/>
          </w:tcPr>
          <w:p w14:paraId="7F7D5229" w14:textId="77777777" w:rsidR="006B4A66" w:rsidRPr="006B4A66" w:rsidRDefault="006B4A66" w:rsidP="0073496A">
            <w:pPr>
              <w:spacing w:line="480" w:lineRule="auto"/>
              <w:jc w:val="center"/>
              <w:rPr>
                <w:rFonts w:eastAsia="Calibri"/>
                <w:color w:val="000000"/>
              </w:rPr>
            </w:pPr>
            <w:r w:rsidRPr="006B4A66">
              <w:rPr>
                <w:rFonts w:eastAsia="Calibri"/>
                <w:color w:val="000000"/>
              </w:rPr>
              <w:t>57</w:t>
            </w:r>
          </w:p>
        </w:tc>
        <w:tc>
          <w:tcPr>
            <w:tcW w:w="978" w:type="dxa"/>
          </w:tcPr>
          <w:p w14:paraId="05C5E3DD" w14:textId="77777777" w:rsidR="006B4A66" w:rsidRPr="006B4A66" w:rsidRDefault="006B4A66" w:rsidP="0073496A">
            <w:pPr>
              <w:spacing w:line="480" w:lineRule="auto"/>
              <w:jc w:val="center"/>
              <w:rPr>
                <w:rFonts w:eastAsia="Calibri"/>
                <w:color w:val="000000"/>
              </w:rPr>
            </w:pPr>
            <w:r w:rsidRPr="006B4A66">
              <w:rPr>
                <w:rFonts w:eastAsia="Calibri"/>
                <w:color w:val="000000"/>
              </w:rPr>
              <w:t>26</w:t>
            </w:r>
          </w:p>
        </w:tc>
      </w:tr>
      <w:tr w:rsidR="006B4A66" w:rsidRPr="006B4A66" w14:paraId="7632B428" w14:textId="77777777">
        <w:tc>
          <w:tcPr>
            <w:tcW w:w="2277" w:type="dxa"/>
          </w:tcPr>
          <w:p w14:paraId="432A90C6" w14:textId="77777777" w:rsidR="006B4A66" w:rsidRPr="006B4A66" w:rsidRDefault="006B4A66" w:rsidP="0073496A">
            <w:pPr>
              <w:numPr>
                <w:ilvl w:val="0"/>
                <w:numId w:val="7"/>
              </w:numPr>
              <w:spacing w:line="480" w:lineRule="auto"/>
              <w:ind w:left="180" w:hanging="180"/>
              <w:rPr>
                <w:rFonts w:eastAsia="Calibri"/>
                <w:color w:val="000000"/>
              </w:rPr>
            </w:pPr>
            <w:r w:rsidRPr="006B4A66">
              <w:rPr>
                <w:rFonts w:eastAsia="Calibri"/>
                <w:color w:val="000000"/>
              </w:rPr>
              <w:t>High performance DOAS</w:t>
            </w:r>
          </w:p>
        </w:tc>
        <w:tc>
          <w:tcPr>
            <w:tcW w:w="1200" w:type="dxa"/>
          </w:tcPr>
          <w:p w14:paraId="5300DA90" w14:textId="77777777" w:rsidR="006B4A66" w:rsidRPr="006B4A66" w:rsidRDefault="006B4A66" w:rsidP="0073496A">
            <w:pPr>
              <w:spacing w:line="480" w:lineRule="auto"/>
              <w:rPr>
                <w:rFonts w:eastAsia="Calibri"/>
                <w:color w:val="000000"/>
              </w:rPr>
            </w:pPr>
            <w:r w:rsidRPr="006B4A66">
              <w:rPr>
                <w:rFonts w:eastAsia="Calibri"/>
                <w:color w:val="000000"/>
              </w:rPr>
              <w:t>C406.2.2.6</w:t>
            </w:r>
          </w:p>
        </w:tc>
        <w:tc>
          <w:tcPr>
            <w:tcW w:w="1050" w:type="dxa"/>
          </w:tcPr>
          <w:p w14:paraId="62CDAFF6" w14:textId="77777777" w:rsidR="006B4A66" w:rsidRPr="006B4A66" w:rsidRDefault="006B4A66" w:rsidP="0073496A">
            <w:pPr>
              <w:spacing w:line="480" w:lineRule="auto"/>
              <w:jc w:val="center"/>
              <w:rPr>
                <w:rFonts w:eastAsia="Calibri"/>
                <w:color w:val="000000"/>
              </w:rPr>
            </w:pPr>
            <w:r w:rsidRPr="006B4A66">
              <w:rPr>
                <w:rFonts w:eastAsia="Calibri"/>
                <w:color w:val="000000"/>
              </w:rPr>
              <w:t>Heat</w:t>
            </w:r>
          </w:p>
        </w:tc>
        <w:tc>
          <w:tcPr>
            <w:tcW w:w="783" w:type="dxa"/>
          </w:tcPr>
          <w:p w14:paraId="07E44E8E" w14:textId="77777777" w:rsidR="006B4A66" w:rsidRPr="006B4A66" w:rsidRDefault="006B4A66" w:rsidP="0073496A">
            <w:pPr>
              <w:spacing w:line="480" w:lineRule="auto"/>
              <w:jc w:val="center"/>
              <w:rPr>
                <w:rFonts w:eastAsia="Calibri"/>
                <w:color w:val="000000"/>
              </w:rPr>
            </w:pPr>
            <w:r w:rsidRPr="006B4A66">
              <w:rPr>
                <w:rFonts w:eastAsia="Calibri"/>
                <w:color w:val="000000"/>
              </w:rPr>
              <w:t>34</w:t>
            </w:r>
          </w:p>
        </w:tc>
        <w:tc>
          <w:tcPr>
            <w:tcW w:w="783" w:type="dxa"/>
          </w:tcPr>
          <w:p w14:paraId="5CA65D6C" w14:textId="77777777" w:rsidR="006B4A66" w:rsidRPr="006B4A66" w:rsidRDefault="006B4A66" w:rsidP="0073496A">
            <w:pPr>
              <w:spacing w:line="480" w:lineRule="auto"/>
              <w:jc w:val="center"/>
              <w:rPr>
                <w:rFonts w:eastAsia="Calibri"/>
                <w:color w:val="000000"/>
              </w:rPr>
            </w:pPr>
            <w:r w:rsidRPr="006B4A66">
              <w:rPr>
                <w:rFonts w:eastAsia="Calibri"/>
                <w:color w:val="000000"/>
              </w:rPr>
              <w:t>34</w:t>
            </w:r>
          </w:p>
        </w:tc>
        <w:tc>
          <w:tcPr>
            <w:tcW w:w="783" w:type="dxa"/>
          </w:tcPr>
          <w:p w14:paraId="755AEF25" w14:textId="77777777" w:rsidR="006B4A66" w:rsidRPr="006B4A66" w:rsidRDefault="006B4A66" w:rsidP="0073496A">
            <w:pPr>
              <w:spacing w:line="480" w:lineRule="auto"/>
              <w:jc w:val="center"/>
              <w:rPr>
                <w:rFonts w:eastAsia="Calibri"/>
                <w:color w:val="000000"/>
              </w:rPr>
            </w:pPr>
            <w:r w:rsidRPr="006B4A66">
              <w:rPr>
                <w:rFonts w:eastAsia="Calibri"/>
                <w:color w:val="000000"/>
              </w:rPr>
              <w:t>23</w:t>
            </w:r>
          </w:p>
        </w:tc>
        <w:tc>
          <w:tcPr>
            <w:tcW w:w="783" w:type="dxa"/>
          </w:tcPr>
          <w:p w14:paraId="3C954265" w14:textId="77777777" w:rsidR="006B4A66" w:rsidRPr="006B4A66" w:rsidRDefault="006B4A66" w:rsidP="0073496A">
            <w:pPr>
              <w:spacing w:line="480" w:lineRule="auto"/>
              <w:jc w:val="center"/>
              <w:rPr>
                <w:rFonts w:eastAsia="Calibri"/>
                <w:color w:val="000000"/>
              </w:rPr>
            </w:pPr>
            <w:r w:rsidRPr="006B4A66">
              <w:rPr>
                <w:rFonts w:eastAsia="Calibri"/>
                <w:color w:val="000000"/>
              </w:rPr>
              <w:t>43</w:t>
            </w:r>
          </w:p>
        </w:tc>
        <w:tc>
          <w:tcPr>
            <w:tcW w:w="1005" w:type="dxa"/>
          </w:tcPr>
          <w:p w14:paraId="45210285" w14:textId="77777777" w:rsidR="006B4A66" w:rsidRPr="006B4A66" w:rsidRDefault="006B4A66" w:rsidP="0073496A">
            <w:pPr>
              <w:spacing w:line="480" w:lineRule="auto"/>
              <w:jc w:val="center"/>
              <w:rPr>
                <w:rFonts w:eastAsia="Calibri"/>
                <w:color w:val="000000"/>
              </w:rPr>
            </w:pPr>
            <w:r w:rsidRPr="006B4A66">
              <w:rPr>
                <w:rFonts w:eastAsia="Calibri"/>
                <w:color w:val="000000"/>
              </w:rPr>
              <w:t>44</w:t>
            </w:r>
          </w:p>
        </w:tc>
        <w:tc>
          <w:tcPr>
            <w:tcW w:w="978" w:type="dxa"/>
          </w:tcPr>
          <w:p w14:paraId="1E6A7C63" w14:textId="77777777" w:rsidR="006B4A66" w:rsidRPr="006B4A66" w:rsidRDefault="006B4A66" w:rsidP="0073496A">
            <w:pPr>
              <w:spacing w:line="480" w:lineRule="auto"/>
              <w:jc w:val="center"/>
              <w:rPr>
                <w:rFonts w:eastAsia="Calibri"/>
                <w:color w:val="000000"/>
              </w:rPr>
            </w:pPr>
            <w:r w:rsidRPr="006B4A66">
              <w:rPr>
                <w:rFonts w:eastAsia="Calibri"/>
                <w:color w:val="000000"/>
              </w:rPr>
              <w:t>23/(A) 40</w:t>
            </w:r>
            <w:r w:rsidRPr="006B4A66">
              <w:rPr>
                <w:rFonts w:eastAsia="Calibri"/>
                <w:color w:val="000000"/>
                <w:vertAlign w:val="superscript"/>
              </w:rPr>
              <w:t>c</w:t>
            </w:r>
          </w:p>
        </w:tc>
      </w:tr>
      <w:tr w:rsidR="006B4A66" w:rsidRPr="006B4A66" w14:paraId="259165B4" w14:textId="77777777">
        <w:tc>
          <w:tcPr>
            <w:tcW w:w="2277" w:type="dxa"/>
          </w:tcPr>
          <w:p w14:paraId="12366CB4" w14:textId="77777777" w:rsidR="006B4A66" w:rsidRPr="006B4A66" w:rsidRDefault="006B4A66" w:rsidP="0073496A">
            <w:pPr>
              <w:numPr>
                <w:ilvl w:val="0"/>
                <w:numId w:val="7"/>
              </w:numPr>
              <w:spacing w:line="480" w:lineRule="auto"/>
              <w:ind w:left="180" w:hanging="180"/>
              <w:rPr>
                <w:rFonts w:eastAsia="Calibri"/>
                <w:color w:val="000000"/>
              </w:rPr>
            </w:pPr>
            <w:r w:rsidRPr="006B4A66">
              <w:rPr>
                <w:rFonts w:eastAsia="Calibri"/>
                <w:color w:val="000000"/>
              </w:rPr>
              <w:t>Fault detection &amp; diagnostics (FDD)</w:t>
            </w:r>
          </w:p>
        </w:tc>
        <w:tc>
          <w:tcPr>
            <w:tcW w:w="1200" w:type="dxa"/>
          </w:tcPr>
          <w:p w14:paraId="4CF4E6C5" w14:textId="77777777" w:rsidR="006B4A66" w:rsidRPr="006B4A66" w:rsidRDefault="006B4A66" w:rsidP="0073496A">
            <w:pPr>
              <w:spacing w:line="480" w:lineRule="auto"/>
              <w:rPr>
                <w:rFonts w:eastAsia="Calibri"/>
                <w:color w:val="000000"/>
              </w:rPr>
            </w:pPr>
            <w:r w:rsidRPr="006B4A66">
              <w:rPr>
                <w:rFonts w:eastAsia="Calibri"/>
                <w:color w:val="000000"/>
              </w:rPr>
              <w:t>C406.2.2.7</w:t>
            </w:r>
          </w:p>
        </w:tc>
        <w:tc>
          <w:tcPr>
            <w:tcW w:w="1050" w:type="dxa"/>
          </w:tcPr>
          <w:p w14:paraId="6A45E1F0" w14:textId="77777777" w:rsidR="006B4A66" w:rsidRPr="006B4A66" w:rsidRDefault="006B4A66" w:rsidP="0073496A">
            <w:pPr>
              <w:spacing w:line="480" w:lineRule="auto"/>
              <w:jc w:val="center"/>
              <w:rPr>
                <w:rFonts w:eastAsia="Calibri"/>
                <w:color w:val="000000"/>
              </w:rPr>
            </w:pPr>
            <w:r w:rsidRPr="006B4A66">
              <w:rPr>
                <w:rFonts w:eastAsia="Calibri"/>
                <w:color w:val="000000"/>
              </w:rPr>
              <w:t>Heat</w:t>
            </w:r>
          </w:p>
        </w:tc>
        <w:tc>
          <w:tcPr>
            <w:tcW w:w="783" w:type="dxa"/>
          </w:tcPr>
          <w:p w14:paraId="15F9B43E" w14:textId="77777777" w:rsidR="006B4A66" w:rsidRPr="006B4A66" w:rsidRDefault="006B4A66" w:rsidP="0073496A">
            <w:pPr>
              <w:spacing w:line="480" w:lineRule="auto"/>
              <w:jc w:val="center"/>
              <w:rPr>
                <w:rFonts w:eastAsia="Calibri"/>
                <w:color w:val="000000"/>
              </w:rPr>
            </w:pPr>
            <w:r w:rsidRPr="006B4A66">
              <w:rPr>
                <w:rFonts w:eastAsia="Calibri"/>
                <w:color w:val="000000"/>
              </w:rPr>
              <w:t>2</w:t>
            </w:r>
          </w:p>
        </w:tc>
        <w:tc>
          <w:tcPr>
            <w:tcW w:w="783" w:type="dxa"/>
          </w:tcPr>
          <w:p w14:paraId="27847243" w14:textId="77777777" w:rsidR="006B4A66" w:rsidRPr="006B4A66" w:rsidRDefault="006B4A66" w:rsidP="0073496A">
            <w:pPr>
              <w:spacing w:line="480" w:lineRule="auto"/>
              <w:jc w:val="center"/>
              <w:rPr>
                <w:rFonts w:eastAsia="Calibri"/>
                <w:color w:val="000000"/>
              </w:rPr>
            </w:pPr>
            <w:r w:rsidRPr="006B4A66">
              <w:rPr>
                <w:rFonts w:eastAsia="Calibri"/>
                <w:color w:val="000000"/>
              </w:rPr>
              <w:t>2</w:t>
            </w:r>
          </w:p>
        </w:tc>
        <w:tc>
          <w:tcPr>
            <w:tcW w:w="783" w:type="dxa"/>
          </w:tcPr>
          <w:p w14:paraId="1F202F9C" w14:textId="77777777" w:rsidR="006B4A66" w:rsidRPr="006B4A66" w:rsidRDefault="006B4A66" w:rsidP="0073496A">
            <w:pPr>
              <w:spacing w:line="480" w:lineRule="auto"/>
              <w:jc w:val="center"/>
              <w:rPr>
                <w:rFonts w:eastAsia="Calibri"/>
                <w:color w:val="000000"/>
              </w:rPr>
            </w:pPr>
            <w:r w:rsidRPr="006B4A66">
              <w:rPr>
                <w:rFonts w:eastAsia="Calibri"/>
                <w:color w:val="000000"/>
              </w:rPr>
              <w:t>2</w:t>
            </w:r>
          </w:p>
        </w:tc>
        <w:tc>
          <w:tcPr>
            <w:tcW w:w="783" w:type="dxa"/>
          </w:tcPr>
          <w:p w14:paraId="30CF4126" w14:textId="77777777" w:rsidR="006B4A66" w:rsidRPr="006B4A66" w:rsidRDefault="006B4A66" w:rsidP="0073496A">
            <w:pPr>
              <w:spacing w:line="480" w:lineRule="auto"/>
              <w:jc w:val="center"/>
              <w:rPr>
                <w:rFonts w:eastAsia="Calibri"/>
                <w:color w:val="000000"/>
              </w:rPr>
            </w:pPr>
            <w:r w:rsidRPr="006B4A66">
              <w:rPr>
                <w:rFonts w:eastAsia="Calibri"/>
                <w:color w:val="000000"/>
              </w:rPr>
              <w:t>6</w:t>
            </w:r>
          </w:p>
        </w:tc>
        <w:tc>
          <w:tcPr>
            <w:tcW w:w="1005" w:type="dxa"/>
          </w:tcPr>
          <w:p w14:paraId="1A03219A" w14:textId="77777777" w:rsidR="006B4A66" w:rsidRPr="006B4A66" w:rsidRDefault="006B4A66" w:rsidP="0073496A">
            <w:pPr>
              <w:spacing w:line="480" w:lineRule="auto"/>
              <w:jc w:val="center"/>
              <w:rPr>
                <w:rFonts w:eastAsia="Calibri"/>
                <w:color w:val="000000"/>
              </w:rPr>
            </w:pPr>
            <w:r w:rsidRPr="006B4A66">
              <w:rPr>
                <w:rFonts w:eastAsia="Calibri"/>
                <w:color w:val="000000"/>
              </w:rPr>
              <w:t>9</w:t>
            </w:r>
          </w:p>
        </w:tc>
        <w:tc>
          <w:tcPr>
            <w:tcW w:w="978" w:type="dxa"/>
          </w:tcPr>
          <w:p w14:paraId="052CDFC6" w14:textId="77777777" w:rsidR="006B4A66" w:rsidRPr="006B4A66" w:rsidRDefault="006B4A66" w:rsidP="0073496A">
            <w:pPr>
              <w:spacing w:line="480" w:lineRule="auto"/>
              <w:jc w:val="center"/>
              <w:rPr>
                <w:rFonts w:eastAsia="Calibri"/>
                <w:color w:val="000000"/>
              </w:rPr>
            </w:pPr>
            <w:r w:rsidRPr="006B4A66">
              <w:rPr>
                <w:rFonts w:eastAsia="Calibri"/>
                <w:color w:val="000000"/>
              </w:rPr>
              <w:t>4</w:t>
            </w:r>
          </w:p>
        </w:tc>
      </w:tr>
      <w:tr w:rsidR="006B4A66" w:rsidRPr="006B4A66" w14:paraId="4840ABC3" w14:textId="77777777">
        <w:tc>
          <w:tcPr>
            <w:tcW w:w="2277" w:type="dxa"/>
          </w:tcPr>
          <w:p w14:paraId="55F77BC3" w14:textId="77777777" w:rsidR="006B4A66" w:rsidRPr="006B4A66" w:rsidRDefault="006B4A66" w:rsidP="0073496A">
            <w:pPr>
              <w:numPr>
                <w:ilvl w:val="0"/>
                <w:numId w:val="7"/>
              </w:numPr>
              <w:spacing w:line="480" w:lineRule="auto"/>
              <w:ind w:left="180" w:hanging="180"/>
              <w:rPr>
                <w:rFonts w:eastAsia="Calibri"/>
                <w:color w:val="000000"/>
              </w:rPr>
            </w:pPr>
            <w:r w:rsidRPr="006B4A66">
              <w:rPr>
                <w:rFonts w:eastAsia="Calibri"/>
                <w:color w:val="000000"/>
              </w:rPr>
              <w:t>10% reduced lighting power</w:t>
            </w:r>
          </w:p>
        </w:tc>
        <w:tc>
          <w:tcPr>
            <w:tcW w:w="1200" w:type="dxa"/>
          </w:tcPr>
          <w:p w14:paraId="1253CBB9" w14:textId="77777777" w:rsidR="006B4A66" w:rsidRPr="006B4A66" w:rsidRDefault="006B4A66" w:rsidP="0073496A">
            <w:pPr>
              <w:spacing w:line="480" w:lineRule="auto"/>
              <w:rPr>
                <w:rFonts w:eastAsia="Calibri"/>
                <w:color w:val="000000"/>
              </w:rPr>
            </w:pPr>
            <w:r w:rsidRPr="006B4A66">
              <w:rPr>
                <w:rFonts w:eastAsia="Calibri"/>
                <w:color w:val="000000"/>
              </w:rPr>
              <w:t>C406.2.3.1</w:t>
            </w:r>
          </w:p>
        </w:tc>
        <w:tc>
          <w:tcPr>
            <w:tcW w:w="1050" w:type="dxa"/>
          </w:tcPr>
          <w:p w14:paraId="33BB308E" w14:textId="77777777" w:rsidR="006B4A66" w:rsidRPr="006B4A66" w:rsidRDefault="006B4A66" w:rsidP="0073496A">
            <w:pPr>
              <w:spacing w:line="480" w:lineRule="auto"/>
              <w:jc w:val="center"/>
              <w:rPr>
                <w:rFonts w:eastAsia="Calibri"/>
                <w:color w:val="000000"/>
              </w:rPr>
            </w:pPr>
            <w:r w:rsidRPr="006B4A66">
              <w:rPr>
                <w:rFonts w:eastAsia="Calibri"/>
                <w:color w:val="000000"/>
              </w:rPr>
              <w:t>Heat</w:t>
            </w:r>
          </w:p>
        </w:tc>
        <w:tc>
          <w:tcPr>
            <w:tcW w:w="783" w:type="dxa"/>
          </w:tcPr>
          <w:p w14:paraId="2F4281D7" w14:textId="77777777" w:rsidR="006B4A66" w:rsidRPr="006B4A66" w:rsidRDefault="006B4A66" w:rsidP="0073496A">
            <w:pPr>
              <w:spacing w:line="480" w:lineRule="auto"/>
              <w:jc w:val="center"/>
              <w:rPr>
                <w:rFonts w:eastAsia="Calibri"/>
                <w:color w:val="000000"/>
              </w:rPr>
            </w:pPr>
            <w:r w:rsidRPr="006B4A66">
              <w:rPr>
                <w:rFonts w:eastAsia="Calibri"/>
                <w:color w:val="000000"/>
              </w:rPr>
              <w:t>7</w:t>
            </w:r>
          </w:p>
        </w:tc>
        <w:tc>
          <w:tcPr>
            <w:tcW w:w="783" w:type="dxa"/>
          </w:tcPr>
          <w:p w14:paraId="257BEF2C" w14:textId="77777777" w:rsidR="006B4A66" w:rsidRPr="006B4A66" w:rsidRDefault="006B4A66" w:rsidP="0073496A">
            <w:pPr>
              <w:spacing w:line="480" w:lineRule="auto"/>
              <w:jc w:val="center"/>
              <w:rPr>
                <w:rFonts w:eastAsia="Calibri"/>
                <w:color w:val="000000"/>
              </w:rPr>
            </w:pPr>
            <w:r w:rsidRPr="006B4A66">
              <w:rPr>
                <w:rFonts w:eastAsia="Calibri"/>
                <w:color w:val="000000"/>
              </w:rPr>
              <w:t>4</w:t>
            </w:r>
          </w:p>
        </w:tc>
        <w:tc>
          <w:tcPr>
            <w:tcW w:w="783" w:type="dxa"/>
          </w:tcPr>
          <w:p w14:paraId="1E932B33" w14:textId="77777777" w:rsidR="006B4A66" w:rsidRPr="006B4A66" w:rsidRDefault="006B4A66" w:rsidP="0073496A">
            <w:pPr>
              <w:spacing w:line="480" w:lineRule="auto"/>
              <w:jc w:val="center"/>
              <w:rPr>
                <w:rFonts w:eastAsia="Calibri"/>
                <w:color w:val="000000"/>
              </w:rPr>
            </w:pPr>
            <w:r w:rsidRPr="006B4A66">
              <w:rPr>
                <w:rFonts w:eastAsia="Calibri"/>
                <w:color w:val="000000"/>
              </w:rPr>
              <w:t>18</w:t>
            </w:r>
          </w:p>
        </w:tc>
        <w:tc>
          <w:tcPr>
            <w:tcW w:w="783" w:type="dxa"/>
          </w:tcPr>
          <w:p w14:paraId="0EED108F" w14:textId="77777777" w:rsidR="006B4A66" w:rsidRPr="006B4A66" w:rsidRDefault="006B4A66" w:rsidP="0073496A">
            <w:pPr>
              <w:spacing w:line="480" w:lineRule="auto"/>
              <w:jc w:val="center"/>
              <w:rPr>
                <w:rFonts w:eastAsia="Calibri"/>
                <w:color w:val="000000"/>
              </w:rPr>
            </w:pPr>
            <w:r w:rsidRPr="006B4A66">
              <w:rPr>
                <w:rFonts w:eastAsia="Calibri"/>
                <w:color w:val="000000"/>
              </w:rPr>
              <w:t>16</w:t>
            </w:r>
          </w:p>
        </w:tc>
        <w:tc>
          <w:tcPr>
            <w:tcW w:w="1005" w:type="dxa"/>
          </w:tcPr>
          <w:p w14:paraId="37A0E6F0" w14:textId="77777777" w:rsidR="006B4A66" w:rsidRPr="006B4A66" w:rsidRDefault="006B4A66" w:rsidP="0073496A">
            <w:pPr>
              <w:spacing w:line="480" w:lineRule="auto"/>
              <w:jc w:val="center"/>
              <w:rPr>
                <w:rFonts w:eastAsia="Calibri"/>
                <w:color w:val="000000"/>
              </w:rPr>
            </w:pPr>
            <w:r w:rsidRPr="006B4A66">
              <w:rPr>
                <w:rFonts w:eastAsia="Calibri"/>
                <w:color w:val="000000"/>
              </w:rPr>
              <w:t>20</w:t>
            </w:r>
          </w:p>
        </w:tc>
        <w:tc>
          <w:tcPr>
            <w:tcW w:w="978" w:type="dxa"/>
          </w:tcPr>
          <w:p w14:paraId="32C84660" w14:textId="77777777" w:rsidR="006B4A66" w:rsidRPr="006B4A66" w:rsidRDefault="006B4A66" w:rsidP="0073496A">
            <w:pPr>
              <w:spacing w:line="480" w:lineRule="auto"/>
              <w:jc w:val="center"/>
              <w:rPr>
                <w:rFonts w:eastAsia="Calibri"/>
                <w:color w:val="000000"/>
              </w:rPr>
            </w:pPr>
            <w:r w:rsidRPr="006B4A66">
              <w:rPr>
                <w:rFonts w:eastAsia="Calibri"/>
                <w:color w:val="000000"/>
              </w:rPr>
              <w:t>15</w:t>
            </w:r>
          </w:p>
        </w:tc>
      </w:tr>
      <w:tr w:rsidR="006B4A66" w:rsidRPr="006B4A66" w14:paraId="7EBB8FE7" w14:textId="77777777">
        <w:tc>
          <w:tcPr>
            <w:tcW w:w="2277" w:type="dxa"/>
          </w:tcPr>
          <w:p w14:paraId="740A3E57" w14:textId="77777777" w:rsidR="006B4A66" w:rsidRPr="006B4A66" w:rsidRDefault="006B4A66" w:rsidP="0073496A">
            <w:pPr>
              <w:numPr>
                <w:ilvl w:val="0"/>
                <w:numId w:val="7"/>
              </w:numPr>
              <w:spacing w:line="480" w:lineRule="auto"/>
              <w:ind w:left="360"/>
              <w:rPr>
                <w:rFonts w:eastAsia="Calibri"/>
                <w:color w:val="000000"/>
              </w:rPr>
            </w:pPr>
            <w:r w:rsidRPr="006B4A66">
              <w:rPr>
                <w:rFonts w:eastAsia="Calibri"/>
                <w:color w:val="000000"/>
              </w:rPr>
              <w:t>20% reduced lighting power</w:t>
            </w:r>
            <w:r w:rsidRPr="006B4A66">
              <w:rPr>
                <w:rFonts w:eastAsia="Calibri"/>
                <w:color w:val="000000"/>
                <w:vertAlign w:val="superscript"/>
              </w:rPr>
              <w:t>d</w:t>
            </w:r>
          </w:p>
        </w:tc>
        <w:tc>
          <w:tcPr>
            <w:tcW w:w="1200" w:type="dxa"/>
          </w:tcPr>
          <w:p w14:paraId="48067C07" w14:textId="77777777" w:rsidR="006B4A66" w:rsidRPr="006B4A66" w:rsidRDefault="006B4A66" w:rsidP="0073496A">
            <w:pPr>
              <w:spacing w:line="480" w:lineRule="auto"/>
              <w:rPr>
                <w:rFonts w:eastAsia="Calibri"/>
                <w:color w:val="000000"/>
              </w:rPr>
            </w:pPr>
            <w:r w:rsidRPr="006B4A66">
              <w:rPr>
                <w:rFonts w:eastAsia="Calibri"/>
                <w:color w:val="000000"/>
              </w:rPr>
              <w:t>C406.2.3.2</w:t>
            </w:r>
          </w:p>
        </w:tc>
        <w:tc>
          <w:tcPr>
            <w:tcW w:w="1050" w:type="dxa"/>
          </w:tcPr>
          <w:p w14:paraId="3BD0EC17" w14:textId="77777777" w:rsidR="006B4A66" w:rsidRPr="006B4A66" w:rsidRDefault="006B4A66" w:rsidP="0073496A">
            <w:pPr>
              <w:spacing w:line="480" w:lineRule="auto"/>
              <w:jc w:val="center"/>
              <w:rPr>
                <w:rFonts w:eastAsia="Calibri"/>
                <w:color w:val="000000"/>
              </w:rPr>
            </w:pPr>
            <w:r w:rsidRPr="006B4A66">
              <w:rPr>
                <w:rFonts w:eastAsia="Calibri"/>
                <w:color w:val="000000"/>
              </w:rPr>
              <w:t>Heat</w:t>
            </w:r>
          </w:p>
        </w:tc>
        <w:tc>
          <w:tcPr>
            <w:tcW w:w="783" w:type="dxa"/>
          </w:tcPr>
          <w:p w14:paraId="58FDF623" w14:textId="77777777" w:rsidR="006B4A66" w:rsidRPr="006B4A66" w:rsidRDefault="006B4A66" w:rsidP="0073496A">
            <w:pPr>
              <w:spacing w:line="480" w:lineRule="auto"/>
              <w:jc w:val="center"/>
              <w:rPr>
                <w:rFonts w:eastAsia="Calibri"/>
                <w:color w:val="000000"/>
              </w:rPr>
            </w:pPr>
            <w:r w:rsidRPr="006B4A66">
              <w:rPr>
                <w:rFonts w:eastAsia="Calibri"/>
                <w:color w:val="000000"/>
              </w:rPr>
              <w:t>13</w:t>
            </w:r>
          </w:p>
        </w:tc>
        <w:tc>
          <w:tcPr>
            <w:tcW w:w="783" w:type="dxa"/>
          </w:tcPr>
          <w:p w14:paraId="21D87701" w14:textId="77777777" w:rsidR="006B4A66" w:rsidRPr="006B4A66" w:rsidRDefault="006B4A66" w:rsidP="0073496A">
            <w:pPr>
              <w:spacing w:line="480" w:lineRule="auto"/>
              <w:jc w:val="center"/>
              <w:rPr>
                <w:rFonts w:eastAsia="Calibri"/>
                <w:color w:val="000000"/>
              </w:rPr>
            </w:pPr>
            <w:r w:rsidRPr="006B4A66">
              <w:rPr>
                <w:rFonts w:eastAsia="Calibri"/>
                <w:color w:val="000000"/>
              </w:rPr>
              <w:t>8</w:t>
            </w:r>
          </w:p>
        </w:tc>
        <w:tc>
          <w:tcPr>
            <w:tcW w:w="783" w:type="dxa"/>
          </w:tcPr>
          <w:p w14:paraId="085A367C" w14:textId="77777777" w:rsidR="006B4A66" w:rsidRPr="006B4A66" w:rsidRDefault="006B4A66" w:rsidP="0073496A">
            <w:pPr>
              <w:spacing w:line="480" w:lineRule="auto"/>
              <w:jc w:val="center"/>
              <w:rPr>
                <w:rFonts w:eastAsia="Calibri"/>
                <w:color w:val="000000"/>
              </w:rPr>
            </w:pPr>
            <w:r w:rsidRPr="006B4A66">
              <w:rPr>
                <w:rFonts w:eastAsia="Calibri"/>
                <w:color w:val="000000"/>
              </w:rPr>
              <w:t>36</w:t>
            </w:r>
          </w:p>
        </w:tc>
        <w:tc>
          <w:tcPr>
            <w:tcW w:w="783" w:type="dxa"/>
          </w:tcPr>
          <w:p w14:paraId="07E8F3B7" w14:textId="77777777" w:rsidR="006B4A66" w:rsidRPr="006B4A66" w:rsidRDefault="006B4A66" w:rsidP="0073496A">
            <w:pPr>
              <w:spacing w:line="480" w:lineRule="auto"/>
              <w:jc w:val="center"/>
              <w:rPr>
                <w:rFonts w:eastAsia="Calibri"/>
                <w:color w:val="000000"/>
              </w:rPr>
            </w:pPr>
            <w:r w:rsidRPr="006B4A66">
              <w:rPr>
                <w:rFonts w:eastAsia="Calibri"/>
                <w:color w:val="000000"/>
              </w:rPr>
              <w:t>32</w:t>
            </w:r>
          </w:p>
        </w:tc>
        <w:tc>
          <w:tcPr>
            <w:tcW w:w="1005" w:type="dxa"/>
          </w:tcPr>
          <w:p w14:paraId="0EDA5D98" w14:textId="77777777" w:rsidR="006B4A66" w:rsidRPr="006B4A66" w:rsidRDefault="006B4A66" w:rsidP="0073496A">
            <w:pPr>
              <w:spacing w:line="480" w:lineRule="auto"/>
              <w:jc w:val="center"/>
              <w:rPr>
                <w:rFonts w:eastAsia="Calibri"/>
                <w:color w:val="000000"/>
              </w:rPr>
            </w:pPr>
            <w:r w:rsidRPr="006B4A66">
              <w:rPr>
                <w:rFonts w:eastAsia="Calibri"/>
                <w:color w:val="000000"/>
              </w:rPr>
              <w:t>40</w:t>
            </w:r>
          </w:p>
        </w:tc>
        <w:tc>
          <w:tcPr>
            <w:tcW w:w="978" w:type="dxa"/>
          </w:tcPr>
          <w:p w14:paraId="6A4546D7" w14:textId="77777777" w:rsidR="006B4A66" w:rsidRPr="006B4A66" w:rsidRDefault="006B4A66" w:rsidP="0073496A">
            <w:pPr>
              <w:spacing w:line="480" w:lineRule="auto"/>
              <w:jc w:val="center"/>
              <w:rPr>
                <w:rFonts w:eastAsia="Calibri"/>
                <w:color w:val="000000"/>
              </w:rPr>
            </w:pPr>
            <w:r w:rsidRPr="006B4A66">
              <w:rPr>
                <w:rFonts w:eastAsia="Calibri"/>
                <w:color w:val="000000"/>
              </w:rPr>
              <w:t>29</w:t>
            </w:r>
          </w:p>
        </w:tc>
      </w:tr>
      <w:tr w:rsidR="006B4A66" w:rsidRPr="006B4A66" w14:paraId="48D31C20" w14:textId="77777777">
        <w:tc>
          <w:tcPr>
            <w:tcW w:w="2277" w:type="dxa"/>
          </w:tcPr>
          <w:p w14:paraId="7C8C7D09" w14:textId="77777777" w:rsidR="006B4A66" w:rsidRPr="006B4A66" w:rsidRDefault="006B4A66" w:rsidP="0073496A">
            <w:pPr>
              <w:numPr>
                <w:ilvl w:val="0"/>
                <w:numId w:val="7"/>
              </w:numPr>
              <w:spacing w:line="480" w:lineRule="auto"/>
              <w:ind w:left="360"/>
              <w:rPr>
                <w:rFonts w:eastAsia="Calibri"/>
                <w:color w:val="000000"/>
              </w:rPr>
            </w:pPr>
            <w:r w:rsidRPr="006B4A66">
              <w:rPr>
                <w:rFonts w:eastAsia="Calibri"/>
                <w:color w:val="000000"/>
              </w:rPr>
              <w:t>Lamp efficacy improvement</w:t>
            </w:r>
          </w:p>
        </w:tc>
        <w:tc>
          <w:tcPr>
            <w:tcW w:w="1200" w:type="dxa"/>
          </w:tcPr>
          <w:p w14:paraId="34A5C6AB" w14:textId="77777777" w:rsidR="006B4A66" w:rsidRPr="006B4A66" w:rsidRDefault="006B4A66" w:rsidP="0073496A">
            <w:pPr>
              <w:spacing w:line="480" w:lineRule="auto"/>
              <w:rPr>
                <w:rFonts w:eastAsia="Calibri"/>
                <w:color w:val="000000"/>
              </w:rPr>
            </w:pPr>
            <w:r w:rsidRPr="006B4A66">
              <w:rPr>
                <w:rFonts w:eastAsia="Calibri"/>
                <w:color w:val="000000"/>
              </w:rPr>
              <w:t>C406.2.3.3</w:t>
            </w:r>
          </w:p>
        </w:tc>
        <w:tc>
          <w:tcPr>
            <w:tcW w:w="1050" w:type="dxa"/>
          </w:tcPr>
          <w:p w14:paraId="56C36676" w14:textId="77777777" w:rsidR="006B4A66" w:rsidRPr="006B4A66" w:rsidRDefault="006B4A66" w:rsidP="0073496A">
            <w:pPr>
              <w:spacing w:line="480" w:lineRule="auto"/>
              <w:jc w:val="center"/>
              <w:rPr>
                <w:rFonts w:eastAsia="Calibri"/>
                <w:color w:val="000000"/>
              </w:rPr>
            </w:pPr>
            <w:r w:rsidRPr="006B4A66">
              <w:rPr>
                <w:rFonts w:eastAsia="Calibri"/>
                <w:color w:val="000000"/>
              </w:rPr>
              <w:t>Heat</w:t>
            </w:r>
          </w:p>
        </w:tc>
        <w:tc>
          <w:tcPr>
            <w:tcW w:w="783" w:type="dxa"/>
          </w:tcPr>
          <w:p w14:paraId="213E9CA1" w14:textId="77777777" w:rsidR="006B4A66" w:rsidRPr="006B4A66" w:rsidRDefault="006B4A66" w:rsidP="0073496A">
            <w:pPr>
              <w:spacing w:line="480" w:lineRule="auto"/>
              <w:jc w:val="center"/>
              <w:rPr>
                <w:rFonts w:eastAsia="Calibri"/>
                <w:color w:val="000000"/>
              </w:rPr>
            </w:pPr>
            <w:r w:rsidRPr="006B4A66">
              <w:rPr>
                <w:rFonts w:eastAsia="Calibri"/>
                <w:color w:val="000000"/>
              </w:rPr>
              <w:t>5</w:t>
            </w:r>
          </w:p>
        </w:tc>
        <w:tc>
          <w:tcPr>
            <w:tcW w:w="783" w:type="dxa"/>
          </w:tcPr>
          <w:p w14:paraId="7A0B8535" w14:textId="77777777" w:rsidR="006B4A66" w:rsidRPr="006B4A66" w:rsidRDefault="006B4A66" w:rsidP="0073496A">
            <w:pPr>
              <w:spacing w:line="480" w:lineRule="auto"/>
              <w:jc w:val="center"/>
              <w:rPr>
                <w:rFonts w:eastAsia="Calibri"/>
                <w:color w:val="000000"/>
              </w:rPr>
            </w:pPr>
            <w:r w:rsidRPr="006B4A66">
              <w:rPr>
                <w:rFonts w:eastAsia="Calibri"/>
                <w:color w:val="000000"/>
              </w:rPr>
              <w:t>6</w:t>
            </w:r>
          </w:p>
        </w:tc>
        <w:tc>
          <w:tcPr>
            <w:tcW w:w="783" w:type="dxa"/>
          </w:tcPr>
          <w:p w14:paraId="27022F5A"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c>
          <w:tcPr>
            <w:tcW w:w="783" w:type="dxa"/>
          </w:tcPr>
          <w:p w14:paraId="19DF5528"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c>
          <w:tcPr>
            <w:tcW w:w="1005" w:type="dxa"/>
          </w:tcPr>
          <w:p w14:paraId="27D2A19F"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c>
          <w:tcPr>
            <w:tcW w:w="978" w:type="dxa"/>
          </w:tcPr>
          <w:p w14:paraId="568F0C2E"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r>
      <w:tr w:rsidR="006B4A66" w:rsidRPr="006B4A66" w14:paraId="151F9F9F" w14:textId="77777777">
        <w:tc>
          <w:tcPr>
            <w:tcW w:w="2277" w:type="dxa"/>
          </w:tcPr>
          <w:p w14:paraId="65EAC22D" w14:textId="77777777" w:rsidR="006B4A66" w:rsidRPr="006B4A66" w:rsidRDefault="006B4A66" w:rsidP="0073496A">
            <w:pPr>
              <w:numPr>
                <w:ilvl w:val="0"/>
                <w:numId w:val="7"/>
              </w:numPr>
              <w:spacing w:line="480" w:lineRule="auto"/>
              <w:ind w:left="360"/>
              <w:rPr>
                <w:rFonts w:eastAsia="Calibri"/>
                <w:color w:val="000000"/>
              </w:rPr>
            </w:pPr>
            <w:r w:rsidRPr="006B4A66">
              <w:rPr>
                <w:rFonts w:eastAsia="Calibri"/>
                <w:color w:val="000000"/>
              </w:rPr>
              <w:t>Residential lighting control</w:t>
            </w:r>
          </w:p>
        </w:tc>
        <w:tc>
          <w:tcPr>
            <w:tcW w:w="1200" w:type="dxa"/>
          </w:tcPr>
          <w:p w14:paraId="7A282E48" w14:textId="77777777" w:rsidR="006B4A66" w:rsidRPr="006B4A66" w:rsidRDefault="006B4A66" w:rsidP="0073496A">
            <w:pPr>
              <w:spacing w:line="480" w:lineRule="auto"/>
              <w:rPr>
                <w:rFonts w:eastAsia="Calibri"/>
                <w:color w:val="000000"/>
              </w:rPr>
            </w:pPr>
            <w:r w:rsidRPr="006B4A66">
              <w:rPr>
                <w:rFonts w:eastAsia="Calibri"/>
                <w:color w:val="000000"/>
              </w:rPr>
              <w:t>C406.2.4.1</w:t>
            </w:r>
          </w:p>
        </w:tc>
        <w:tc>
          <w:tcPr>
            <w:tcW w:w="1050" w:type="dxa"/>
          </w:tcPr>
          <w:p w14:paraId="72847C9C" w14:textId="77777777" w:rsidR="006B4A66" w:rsidRPr="006B4A66" w:rsidRDefault="006B4A66" w:rsidP="0073496A">
            <w:pPr>
              <w:spacing w:line="480" w:lineRule="auto"/>
              <w:jc w:val="center"/>
              <w:rPr>
                <w:rFonts w:eastAsia="Calibri"/>
                <w:color w:val="000000"/>
              </w:rPr>
            </w:pPr>
            <w:r w:rsidRPr="006B4A66">
              <w:rPr>
                <w:rFonts w:eastAsia="Calibri"/>
                <w:color w:val="000000"/>
              </w:rPr>
              <w:t>Heat</w:t>
            </w:r>
          </w:p>
        </w:tc>
        <w:tc>
          <w:tcPr>
            <w:tcW w:w="783" w:type="dxa"/>
          </w:tcPr>
          <w:p w14:paraId="5FAD61A2"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c>
          <w:tcPr>
            <w:tcW w:w="783" w:type="dxa"/>
          </w:tcPr>
          <w:p w14:paraId="19877286" w14:textId="77777777" w:rsidR="006B4A66" w:rsidRPr="006B4A66" w:rsidRDefault="006B4A66" w:rsidP="0073496A">
            <w:pPr>
              <w:spacing w:line="480" w:lineRule="auto"/>
              <w:jc w:val="center"/>
              <w:rPr>
                <w:rFonts w:eastAsia="Calibri"/>
                <w:color w:val="000000"/>
              </w:rPr>
            </w:pPr>
            <w:r w:rsidRPr="006B4A66">
              <w:rPr>
                <w:rFonts w:eastAsia="Calibri"/>
                <w:color w:val="000000"/>
              </w:rPr>
              <w:t>8</w:t>
            </w:r>
          </w:p>
        </w:tc>
        <w:tc>
          <w:tcPr>
            <w:tcW w:w="783" w:type="dxa"/>
          </w:tcPr>
          <w:p w14:paraId="7C413D04"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c>
          <w:tcPr>
            <w:tcW w:w="783" w:type="dxa"/>
          </w:tcPr>
          <w:p w14:paraId="6DCEC773"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c>
          <w:tcPr>
            <w:tcW w:w="1005" w:type="dxa"/>
          </w:tcPr>
          <w:p w14:paraId="30C67081"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c>
          <w:tcPr>
            <w:tcW w:w="978" w:type="dxa"/>
          </w:tcPr>
          <w:p w14:paraId="47D6C3BA"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r>
      <w:tr w:rsidR="006B4A66" w:rsidRPr="006B4A66" w14:paraId="29D49F95" w14:textId="77777777">
        <w:tc>
          <w:tcPr>
            <w:tcW w:w="2277" w:type="dxa"/>
          </w:tcPr>
          <w:p w14:paraId="793B638F" w14:textId="77777777" w:rsidR="006B4A66" w:rsidRPr="006B4A66" w:rsidRDefault="006B4A66" w:rsidP="0073496A">
            <w:pPr>
              <w:numPr>
                <w:ilvl w:val="0"/>
                <w:numId w:val="7"/>
              </w:numPr>
              <w:spacing w:line="480" w:lineRule="auto"/>
              <w:ind w:left="360"/>
              <w:rPr>
                <w:rFonts w:eastAsia="Calibri"/>
                <w:color w:val="000000"/>
              </w:rPr>
            </w:pPr>
            <w:r w:rsidRPr="006B4A66">
              <w:rPr>
                <w:rFonts w:eastAsia="Calibri"/>
                <w:color w:val="000000"/>
              </w:rPr>
              <w:t>Enhanced lighting control</w:t>
            </w:r>
          </w:p>
        </w:tc>
        <w:tc>
          <w:tcPr>
            <w:tcW w:w="1200" w:type="dxa"/>
          </w:tcPr>
          <w:p w14:paraId="76676C1E" w14:textId="77777777" w:rsidR="006B4A66" w:rsidRPr="006B4A66" w:rsidRDefault="006B4A66" w:rsidP="0073496A">
            <w:pPr>
              <w:spacing w:line="480" w:lineRule="auto"/>
              <w:rPr>
                <w:rFonts w:eastAsia="Calibri"/>
                <w:color w:val="000000"/>
              </w:rPr>
            </w:pPr>
            <w:r w:rsidRPr="006B4A66">
              <w:rPr>
                <w:rFonts w:eastAsia="Calibri"/>
                <w:color w:val="000000"/>
              </w:rPr>
              <w:t>C405.2.4.2</w:t>
            </w:r>
          </w:p>
        </w:tc>
        <w:tc>
          <w:tcPr>
            <w:tcW w:w="1050" w:type="dxa"/>
          </w:tcPr>
          <w:p w14:paraId="78ABAECF" w14:textId="77777777" w:rsidR="006B4A66" w:rsidRPr="006B4A66" w:rsidRDefault="006B4A66" w:rsidP="0073496A">
            <w:pPr>
              <w:spacing w:line="480" w:lineRule="auto"/>
              <w:jc w:val="center"/>
              <w:rPr>
                <w:rFonts w:eastAsia="Calibri"/>
                <w:color w:val="000000"/>
              </w:rPr>
            </w:pPr>
            <w:r w:rsidRPr="006B4A66">
              <w:rPr>
                <w:rFonts w:eastAsia="Calibri"/>
                <w:color w:val="000000"/>
              </w:rPr>
              <w:t>Heat</w:t>
            </w:r>
          </w:p>
        </w:tc>
        <w:tc>
          <w:tcPr>
            <w:tcW w:w="783" w:type="dxa"/>
          </w:tcPr>
          <w:p w14:paraId="6D5E3B66" w14:textId="77777777" w:rsidR="006B4A66" w:rsidRPr="006B4A66" w:rsidRDefault="006B4A66" w:rsidP="0073496A">
            <w:pPr>
              <w:spacing w:line="480" w:lineRule="auto"/>
              <w:jc w:val="center"/>
              <w:rPr>
                <w:rFonts w:eastAsia="Calibri"/>
                <w:color w:val="000000"/>
              </w:rPr>
            </w:pPr>
            <w:r w:rsidRPr="006B4A66">
              <w:rPr>
                <w:rFonts w:eastAsia="Calibri"/>
                <w:color w:val="000000"/>
              </w:rPr>
              <w:t>1</w:t>
            </w:r>
          </w:p>
        </w:tc>
        <w:tc>
          <w:tcPr>
            <w:tcW w:w="783" w:type="dxa"/>
          </w:tcPr>
          <w:p w14:paraId="5319B02A" w14:textId="77777777" w:rsidR="006B4A66" w:rsidRPr="006B4A66" w:rsidRDefault="006B4A66" w:rsidP="0073496A">
            <w:pPr>
              <w:spacing w:line="480" w:lineRule="auto"/>
              <w:jc w:val="center"/>
              <w:rPr>
                <w:rFonts w:eastAsia="Calibri"/>
                <w:color w:val="000000"/>
              </w:rPr>
            </w:pPr>
            <w:r w:rsidRPr="006B4A66">
              <w:rPr>
                <w:rFonts w:eastAsia="Calibri"/>
                <w:color w:val="000000"/>
              </w:rPr>
              <w:t>1</w:t>
            </w:r>
          </w:p>
        </w:tc>
        <w:tc>
          <w:tcPr>
            <w:tcW w:w="783" w:type="dxa"/>
          </w:tcPr>
          <w:p w14:paraId="1B881BB1" w14:textId="77777777" w:rsidR="006B4A66" w:rsidRPr="006B4A66" w:rsidRDefault="006B4A66" w:rsidP="0073496A">
            <w:pPr>
              <w:spacing w:line="480" w:lineRule="auto"/>
              <w:jc w:val="center"/>
              <w:rPr>
                <w:rFonts w:eastAsia="Calibri"/>
                <w:color w:val="000000"/>
              </w:rPr>
            </w:pPr>
            <w:r w:rsidRPr="006B4A66">
              <w:rPr>
                <w:rFonts w:eastAsia="Calibri"/>
                <w:color w:val="000000"/>
              </w:rPr>
              <w:t>6</w:t>
            </w:r>
          </w:p>
        </w:tc>
        <w:tc>
          <w:tcPr>
            <w:tcW w:w="783" w:type="dxa"/>
          </w:tcPr>
          <w:p w14:paraId="4F9B265F" w14:textId="77777777" w:rsidR="006B4A66" w:rsidRPr="006B4A66" w:rsidRDefault="006B4A66" w:rsidP="0073496A">
            <w:pPr>
              <w:spacing w:line="480" w:lineRule="auto"/>
              <w:jc w:val="center"/>
              <w:rPr>
                <w:rFonts w:eastAsia="Calibri"/>
                <w:color w:val="000000"/>
              </w:rPr>
            </w:pPr>
            <w:r w:rsidRPr="006B4A66">
              <w:rPr>
                <w:rFonts w:eastAsia="Calibri"/>
                <w:color w:val="000000"/>
              </w:rPr>
              <w:t>6</w:t>
            </w:r>
          </w:p>
        </w:tc>
        <w:tc>
          <w:tcPr>
            <w:tcW w:w="1005" w:type="dxa"/>
          </w:tcPr>
          <w:p w14:paraId="0E1BF8E2" w14:textId="77777777" w:rsidR="006B4A66" w:rsidRPr="006B4A66" w:rsidRDefault="006B4A66" w:rsidP="0073496A">
            <w:pPr>
              <w:spacing w:line="480" w:lineRule="auto"/>
              <w:jc w:val="center"/>
              <w:rPr>
                <w:rFonts w:eastAsia="Calibri"/>
                <w:color w:val="000000"/>
              </w:rPr>
            </w:pPr>
            <w:r w:rsidRPr="006B4A66">
              <w:rPr>
                <w:rFonts w:eastAsia="Calibri"/>
                <w:color w:val="000000"/>
              </w:rPr>
              <w:t>11</w:t>
            </w:r>
          </w:p>
        </w:tc>
        <w:tc>
          <w:tcPr>
            <w:tcW w:w="978" w:type="dxa"/>
          </w:tcPr>
          <w:p w14:paraId="6227BEEE" w14:textId="77777777" w:rsidR="006B4A66" w:rsidRPr="006B4A66" w:rsidRDefault="006B4A66" w:rsidP="0073496A">
            <w:pPr>
              <w:spacing w:line="480" w:lineRule="auto"/>
              <w:jc w:val="center"/>
              <w:rPr>
                <w:rFonts w:eastAsia="Calibri"/>
                <w:color w:val="000000"/>
              </w:rPr>
            </w:pPr>
            <w:r w:rsidRPr="006B4A66">
              <w:rPr>
                <w:rFonts w:eastAsia="Calibri"/>
                <w:color w:val="000000"/>
              </w:rPr>
              <w:t>6</w:t>
            </w:r>
          </w:p>
        </w:tc>
      </w:tr>
      <w:tr w:rsidR="006B4A66" w:rsidRPr="006B4A66" w14:paraId="322C1C12" w14:textId="77777777">
        <w:tc>
          <w:tcPr>
            <w:tcW w:w="2277" w:type="dxa"/>
          </w:tcPr>
          <w:p w14:paraId="5CFAD8EA" w14:textId="77777777" w:rsidR="006B4A66" w:rsidRPr="006B4A66" w:rsidRDefault="006B4A66" w:rsidP="0073496A">
            <w:pPr>
              <w:numPr>
                <w:ilvl w:val="0"/>
                <w:numId w:val="7"/>
              </w:numPr>
              <w:spacing w:line="480" w:lineRule="auto"/>
              <w:ind w:left="360"/>
              <w:rPr>
                <w:rFonts w:eastAsia="Calibri"/>
                <w:color w:val="000000"/>
              </w:rPr>
            </w:pPr>
            <w:r w:rsidRPr="006B4A66">
              <w:rPr>
                <w:rFonts w:eastAsia="Calibri"/>
                <w:color w:val="000000"/>
              </w:rPr>
              <w:t>Renewable energy</w:t>
            </w:r>
          </w:p>
        </w:tc>
        <w:tc>
          <w:tcPr>
            <w:tcW w:w="1200" w:type="dxa"/>
          </w:tcPr>
          <w:p w14:paraId="1E607548" w14:textId="77777777" w:rsidR="006B4A66" w:rsidRPr="006B4A66" w:rsidRDefault="006B4A66" w:rsidP="0073496A">
            <w:pPr>
              <w:spacing w:line="480" w:lineRule="auto"/>
              <w:rPr>
                <w:rFonts w:eastAsia="Calibri"/>
                <w:color w:val="000000"/>
              </w:rPr>
            </w:pPr>
            <w:r w:rsidRPr="006B4A66">
              <w:rPr>
                <w:rFonts w:eastAsia="Calibri"/>
                <w:color w:val="000000"/>
              </w:rPr>
              <w:t>C406.2.5</w:t>
            </w:r>
          </w:p>
        </w:tc>
        <w:tc>
          <w:tcPr>
            <w:tcW w:w="1050" w:type="dxa"/>
          </w:tcPr>
          <w:p w14:paraId="758010B0" w14:textId="77777777" w:rsidR="006B4A66" w:rsidRPr="006B4A66" w:rsidRDefault="006B4A66" w:rsidP="0073496A">
            <w:pPr>
              <w:spacing w:line="480" w:lineRule="auto"/>
              <w:jc w:val="center"/>
              <w:rPr>
                <w:rFonts w:eastAsia="Calibri"/>
                <w:color w:val="000000"/>
              </w:rPr>
            </w:pPr>
          </w:p>
        </w:tc>
        <w:tc>
          <w:tcPr>
            <w:tcW w:w="783" w:type="dxa"/>
          </w:tcPr>
          <w:p w14:paraId="4D0D1F5B" w14:textId="77777777" w:rsidR="006B4A66" w:rsidRPr="006B4A66" w:rsidRDefault="006B4A66" w:rsidP="0073496A">
            <w:pPr>
              <w:spacing w:line="480" w:lineRule="auto"/>
              <w:jc w:val="center"/>
              <w:rPr>
                <w:rFonts w:eastAsia="Calibri"/>
                <w:color w:val="000000"/>
              </w:rPr>
            </w:pPr>
            <w:r w:rsidRPr="006B4A66">
              <w:rPr>
                <w:rFonts w:eastAsia="Calibri"/>
                <w:color w:val="000000"/>
              </w:rPr>
              <w:t>7</w:t>
            </w:r>
          </w:p>
        </w:tc>
        <w:tc>
          <w:tcPr>
            <w:tcW w:w="783" w:type="dxa"/>
          </w:tcPr>
          <w:p w14:paraId="0B78C3CC" w14:textId="77777777" w:rsidR="006B4A66" w:rsidRPr="006B4A66" w:rsidRDefault="006B4A66" w:rsidP="0073496A">
            <w:pPr>
              <w:spacing w:line="480" w:lineRule="auto"/>
              <w:jc w:val="center"/>
              <w:rPr>
                <w:rFonts w:eastAsia="Calibri"/>
                <w:color w:val="000000"/>
              </w:rPr>
            </w:pPr>
            <w:r w:rsidRPr="006B4A66">
              <w:rPr>
                <w:rFonts w:eastAsia="Calibri"/>
                <w:color w:val="000000"/>
              </w:rPr>
              <w:t>12</w:t>
            </w:r>
          </w:p>
        </w:tc>
        <w:tc>
          <w:tcPr>
            <w:tcW w:w="783" w:type="dxa"/>
          </w:tcPr>
          <w:p w14:paraId="32FC2581" w14:textId="77777777" w:rsidR="006B4A66" w:rsidRPr="006B4A66" w:rsidRDefault="006B4A66" w:rsidP="0073496A">
            <w:pPr>
              <w:spacing w:line="480" w:lineRule="auto"/>
              <w:jc w:val="center"/>
              <w:rPr>
                <w:rFonts w:eastAsia="Calibri"/>
                <w:color w:val="000000"/>
              </w:rPr>
            </w:pPr>
            <w:r w:rsidRPr="006B4A66">
              <w:rPr>
                <w:rFonts w:eastAsia="Calibri"/>
                <w:color w:val="000000"/>
              </w:rPr>
              <w:t>13</w:t>
            </w:r>
          </w:p>
        </w:tc>
        <w:tc>
          <w:tcPr>
            <w:tcW w:w="783" w:type="dxa"/>
          </w:tcPr>
          <w:p w14:paraId="0E3788C7" w14:textId="77777777" w:rsidR="006B4A66" w:rsidRPr="006B4A66" w:rsidRDefault="006B4A66" w:rsidP="0073496A">
            <w:pPr>
              <w:spacing w:line="480" w:lineRule="auto"/>
              <w:jc w:val="center"/>
              <w:rPr>
                <w:rFonts w:eastAsia="Calibri"/>
                <w:color w:val="000000"/>
              </w:rPr>
            </w:pPr>
            <w:r w:rsidRPr="006B4A66">
              <w:rPr>
                <w:rFonts w:eastAsia="Calibri"/>
                <w:color w:val="000000"/>
              </w:rPr>
              <w:t>13</w:t>
            </w:r>
          </w:p>
        </w:tc>
        <w:tc>
          <w:tcPr>
            <w:tcW w:w="1005" w:type="dxa"/>
          </w:tcPr>
          <w:p w14:paraId="0386F5A4" w14:textId="77777777" w:rsidR="006B4A66" w:rsidRPr="006B4A66" w:rsidRDefault="006B4A66" w:rsidP="0073496A">
            <w:pPr>
              <w:spacing w:line="480" w:lineRule="auto"/>
              <w:jc w:val="center"/>
              <w:rPr>
                <w:rFonts w:eastAsia="Calibri"/>
                <w:color w:val="000000"/>
              </w:rPr>
            </w:pPr>
            <w:r w:rsidRPr="006B4A66">
              <w:rPr>
                <w:rFonts w:eastAsia="Calibri"/>
                <w:color w:val="000000"/>
              </w:rPr>
              <w:t>10</w:t>
            </w:r>
          </w:p>
        </w:tc>
        <w:tc>
          <w:tcPr>
            <w:tcW w:w="978" w:type="dxa"/>
          </w:tcPr>
          <w:p w14:paraId="6B8A42A8" w14:textId="77777777" w:rsidR="006B4A66" w:rsidRPr="006B4A66" w:rsidRDefault="006B4A66" w:rsidP="0073496A">
            <w:pPr>
              <w:spacing w:line="480" w:lineRule="auto"/>
              <w:jc w:val="center"/>
              <w:rPr>
                <w:rFonts w:eastAsia="Calibri"/>
                <w:color w:val="000000"/>
              </w:rPr>
            </w:pPr>
            <w:r w:rsidRPr="006B4A66">
              <w:rPr>
                <w:rFonts w:eastAsia="Calibri"/>
                <w:color w:val="000000"/>
              </w:rPr>
              <w:t>11</w:t>
            </w:r>
          </w:p>
        </w:tc>
      </w:tr>
      <w:tr w:rsidR="006B4A66" w:rsidRPr="006B4A66" w14:paraId="0072217C" w14:textId="77777777">
        <w:tc>
          <w:tcPr>
            <w:tcW w:w="2277" w:type="dxa"/>
          </w:tcPr>
          <w:p w14:paraId="613DADE3" w14:textId="77777777" w:rsidR="006B4A66" w:rsidRPr="006B4A66" w:rsidRDefault="006B4A66" w:rsidP="0073496A">
            <w:pPr>
              <w:numPr>
                <w:ilvl w:val="0"/>
                <w:numId w:val="7"/>
              </w:numPr>
              <w:spacing w:line="480" w:lineRule="auto"/>
              <w:ind w:left="360"/>
              <w:rPr>
                <w:rFonts w:eastAsia="Calibri"/>
                <w:color w:val="000000"/>
              </w:rPr>
            </w:pPr>
            <w:r w:rsidRPr="006B4A66">
              <w:rPr>
                <w:rFonts w:eastAsia="Calibri"/>
                <w:color w:val="000000"/>
              </w:rPr>
              <w:t>Shower drain heat recovery</w:t>
            </w:r>
          </w:p>
        </w:tc>
        <w:tc>
          <w:tcPr>
            <w:tcW w:w="1200" w:type="dxa"/>
          </w:tcPr>
          <w:p w14:paraId="1644C505" w14:textId="77777777" w:rsidR="006B4A66" w:rsidRPr="006B4A66" w:rsidRDefault="006B4A66" w:rsidP="0073496A">
            <w:pPr>
              <w:spacing w:line="480" w:lineRule="auto"/>
              <w:rPr>
                <w:rFonts w:eastAsia="Calibri"/>
                <w:color w:val="000000"/>
              </w:rPr>
            </w:pPr>
            <w:r w:rsidRPr="006B4A66">
              <w:rPr>
                <w:rFonts w:eastAsia="Calibri"/>
                <w:color w:val="000000"/>
              </w:rPr>
              <w:t>C406.2.6.1</w:t>
            </w:r>
          </w:p>
        </w:tc>
        <w:tc>
          <w:tcPr>
            <w:tcW w:w="1050" w:type="dxa"/>
          </w:tcPr>
          <w:p w14:paraId="67470557" w14:textId="77777777" w:rsidR="006B4A66" w:rsidRPr="006B4A66" w:rsidRDefault="006B4A66" w:rsidP="0073496A">
            <w:pPr>
              <w:spacing w:line="480" w:lineRule="auto"/>
              <w:jc w:val="center"/>
              <w:rPr>
                <w:rFonts w:eastAsia="Calibri"/>
                <w:color w:val="000000"/>
              </w:rPr>
            </w:pPr>
            <w:r w:rsidRPr="006B4A66">
              <w:rPr>
                <w:rFonts w:eastAsia="Calibri"/>
                <w:color w:val="000000"/>
              </w:rPr>
              <w:t>SWH</w:t>
            </w:r>
          </w:p>
        </w:tc>
        <w:tc>
          <w:tcPr>
            <w:tcW w:w="783" w:type="dxa"/>
          </w:tcPr>
          <w:p w14:paraId="2AA4C11C" w14:textId="77777777" w:rsidR="006B4A66" w:rsidRPr="006B4A66" w:rsidRDefault="006B4A66" w:rsidP="0073496A">
            <w:pPr>
              <w:spacing w:line="480" w:lineRule="auto"/>
              <w:jc w:val="center"/>
              <w:rPr>
                <w:rFonts w:eastAsia="Calibri"/>
                <w:color w:val="000000"/>
              </w:rPr>
            </w:pPr>
            <w:r w:rsidRPr="006B4A66">
              <w:rPr>
                <w:rFonts w:eastAsia="Calibri"/>
                <w:color w:val="000000"/>
              </w:rPr>
              <w:t>10</w:t>
            </w:r>
          </w:p>
        </w:tc>
        <w:tc>
          <w:tcPr>
            <w:tcW w:w="783" w:type="dxa"/>
          </w:tcPr>
          <w:p w14:paraId="0D91153C" w14:textId="77777777" w:rsidR="006B4A66" w:rsidRPr="006B4A66" w:rsidRDefault="006B4A66" w:rsidP="0073496A">
            <w:pPr>
              <w:spacing w:line="480" w:lineRule="auto"/>
              <w:jc w:val="center"/>
              <w:rPr>
                <w:rFonts w:eastAsia="Calibri"/>
                <w:color w:val="000000"/>
              </w:rPr>
            </w:pPr>
            <w:r w:rsidRPr="006B4A66">
              <w:rPr>
                <w:rFonts w:eastAsia="Calibri"/>
                <w:color w:val="000000"/>
              </w:rPr>
              <w:t>33</w:t>
            </w:r>
          </w:p>
        </w:tc>
        <w:tc>
          <w:tcPr>
            <w:tcW w:w="783" w:type="dxa"/>
          </w:tcPr>
          <w:p w14:paraId="11E84BE8"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c>
          <w:tcPr>
            <w:tcW w:w="783" w:type="dxa"/>
          </w:tcPr>
          <w:p w14:paraId="17B4C419" w14:textId="77777777" w:rsidR="006B4A66" w:rsidRPr="006B4A66" w:rsidRDefault="006B4A66" w:rsidP="0073496A">
            <w:pPr>
              <w:spacing w:line="480" w:lineRule="auto"/>
              <w:jc w:val="center"/>
              <w:rPr>
                <w:rFonts w:eastAsia="Calibri"/>
                <w:color w:val="000000"/>
              </w:rPr>
            </w:pPr>
            <w:r w:rsidRPr="006B4A66">
              <w:rPr>
                <w:rFonts w:eastAsia="Calibri"/>
                <w:color w:val="000000"/>
              </w:rPr>
              <w:t>3</w:t>
            </w:r>
          </w:p>
        </w:tc>
        <w:tc>
          <w:tcPr>
            <w:tcW w:w="1005" w:type="dxa"/>
          </w:tcPr>
          <w:p w14:paraId="0CD3AB22"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c>
          <w:tcPr>
            <w:tcW w:w="978" w:type="dxa"/>
          </w:tcPr>
          <w:p w14:paraId="2F58E5BC"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r>
      <w:tr w:rsidR="006B4A66" w:rsidRPr="006B4A66" w14:paraId="1B674290" w14:textId="77777777">
        <w:tc>
          <w:tcPr>
            <w:tcW w:w="2277" w:type="dxa"/>
          </w:tcPr>
          <w:p w14:paraId="357B50C3" w14:textId="77777777" w:rsidR="006B4A66" w:rsidRPr="006B4A66" w:rsidRDefault="006B4A66" w:rsidP="0073496A">
            <w:pPr>
              <w:numPr>
                <w:ilvl w:val="0"/>
                <w:numId w:val="7"/>
              </w:numPr>
              <w:spacing w:line="480" w:lineRule="auto"/>
              <w:ind w:left="360"/>
              <w:rPr>
                <w:rFonts w:eastAsia="Calibri"/>
                <w:color w:val="000000"/>
              </w:rPr>
            </w:pPr>
            <w:r w:rsidRPr="006B4A66">
              <w:rPr>
                <w:rFonts w:eastAsia="Calibri"/>
                <w:color w:val="000000"/>
              </w:rPr>
              <w:t>Service water heat recovery</w:t>
            </w:r>
          </w:p>
        </w:tc>
        <w:tc>
          <w:tcPr>
            <w:tcW w:w="1200" w:type="dxa"/>
          </w:tcPr>
          <w:p w14:paraId="56D623F4" w14:textId="77777777" w:rsidR="006B4A66" w:rsidRPr="006B4A66" w:rsidRDefault="006B4A66" w:rsidP="0073496A">
            <w:pPr>
              <w:spacing w:line="480" w:lineRule="auto"/>
              <w:rPr>
                <w:rFonts w:eastAsia="Calibri"/>
                <w:color w:val="000000"/>
              </w:rPr>
            </w:pPr>
            <w:r w:rsidRPr="006B4A66">
              <w:rPr>
                <w:rFonts w:eastAsia="Calibri"/>
                <w:color w:val="000000"/>
              </w:rPr>
              <w:t>C406.2.6.2</w:t>
            </w:r>
          </w:p>
        </w:tc>
        <w:tc>
          <w:tcPr>
            <w:tcW w:w="1050" w:type="dxa"/>
          </w:tcPr>
          <w:p w14:paraId="702E2825" w14:textId="77777777" w:rsidR="006B4A66" w:rsidRPr="006B4A66" w:rsidRDefault="006B4A66" w:rsidP="0073496A">
            <w:pPr>
              <w:spacing w:line="480" w:lineRule="auto"/>
              <w:jc w:val="center"/>
              <w:rPr>
                <w:rFonts w:eastAsia="Calibri"/>
                <w:color w:val="000000"/>
              </w:rPr>
            </w:pPr>
            <w:r w:rsidRPr="006B4A66">
              <w:rPr>
                <w:rFonts w:eastAsia="Calibri"/>
                <w:color w:val="000000"/>
              </w:rPr>
              <w:t>SWH</w:t>
            </w:r>
          </w:p>
        </w:tc>
        <w:tc>
          <w:tcPr>
            <w:tcW w:w="783" w:type="dxa"/>
          </w:tcPr>
          <w:p w14:paraId="35C711D9" w14:textId="77777777" w:rsidR="006B4A66" w:rsidRPr="006B4A66" w:rsidRDefault="006B4A66" w:rsidP="0073496A">
            <w:pPr>
              <w:spacing w:line="480" w:lineRule="auto"/>
              <w:jc w:val="center"/>
              <w:rPr>
                <w:rFonts w:eastAsia="Calibri"/>
                <w:color w:val="000000"/>
              </w:rPr>
            </w:pPr>
            <w:r w:rsidRPr="006B4A66">
              <w:rPr>
                <w:rFonts w:eastAsia="Calibri"/>
                <w:color w:val="000000"/>
              </w:rPr>
              <w:t>35</w:t>
            </w:r>
          </w:p>
        </w:tc>
        <w:tc>
          <w:tcPr>
            <w:tcW w:w="783" w:type="dxa"/>
          </w:tcPr>
          <w:p w14:paraId="310475CB" w14:textId="77777777" w:rsidR="006B4A66" w:rsidRPr="006B4A66" w:rsidRDefault="006B4A66" w:rsidP="0073496A">
            <w:pPr>
              <w:spacing w:line="480" w:lineRule="auto"/>
              <w:jc w:val="center"/>
              <w:rPr>
                <w:rFonts w:eastAsia="Calibri"/>
                <w:color w:val="000000"/>
              </w:rPr>
            </w:pPr>
            <w:r w:rsidRPr="006B4A66">
              <w:rPr>
                <w:rFonts w:eastAsia="Calibri"/>
                <w:color w:val="000000"/>
              </w:rPr>
              <w:t>111</w:t>
            </w:r>
          </w:p>
        </w:tc>
        <w:tc>
          <w:tcPr>
            <w:tcW w:w="783" w:type="dxa"/>
          </w:tcPr>
          <w:p w14:paraId="1327BCEC" w14:textId="77777777" w:rsidR="006B4A66" w:rsidRPr="006B4A66" w:rsidRDefault="006B4A66" w:rsidP="0073496A">
            <w:pPr>
              <w:spacing w:line="480" w:lineRule="auto"/>
              <w:jc w:val="center"/>
              <w:rPr>
                <w:rFonts w:eastAsia="Calibri"/>
                <w:color w:val="000000"/>
              </w:rPr>
            </w:pPr>
            <w:r w:rsidRPr="006B4A66">
              <w:rPr>
                <w:rFonts w:eastAsia="Calibri"/>
                <w:color w:val="000000"/>
              </w:rPr>
              <w:t>13</w:t>
            </w:r>
          </w:p>
        </w:tc>
        <w:tc>
          <w:tcPr>
            <w:tcW w:w="783" w:type="dxa"/>
          </w:tcPr>
          <w:p w14:paraId="76876AD8" w14:textId="77777777" w:rsidR="006B4A66" w:rsidRPr="006B4A66" w:rsidRDefault="006B4A66" w:rsidP="0073496A">
            <w:pPr>
              <w:spacing w:line="480" w:lineRule="auto"/>
              <w:jc w:val="center"/>
              <w:rPr>
                <w:rFonts w:eastAsia="Calibri"/>
                <w:color w:val="000000"/>
              </w:rPr>
            </w:pPr>
            <w:r w:rsidRPr="006B4A66">
              <w:rPr>
                <w:rFonts w:eastAsia="Calibri"/>
                <w:color w:val="000000"/>
              </w:rPr>
              <w:t>14</w:t>
            </w:r>
          </w:p>
        </w:tc>
        <w:tc>
          <w:tcPr>
            <w:tcW w:w="1005" w:type="dxa"/>
          </w:tcPr>
          <w:p w14:paraId="441ADAC0" w14:textId="77777777" w:rsidR="006B4A66" w:rsidRPr="006B4A66" w:rsidRDefault="006B4A66" w:rsidP="0073496A">
            <w:pPr>
              <w:spacing w:line="480" w:lineRule="auto"/>
              <w:jc w:val="center"/>
              <w:rPr>
                <w:rFonts w:eastAsia="Calibri"/>
                <w:color w:val="000000"/>
              </w:rPr>
            </w:pPr>
            <w:r w:rsidRPr="006B4A66">
              <w:rPr>
                <w:rFonts w:eastAsia="Calibri"/>
                <w:color w:val="000000"/>
              </w:rPr>
              <w:t>(Grocery) 41</w:t>
            </w:r>
            <w:r w:rsidRPr="006B4A66">
              <w:rPr>
                <w:rFonts w:eastAsia="Calibri"/>
                <w:color w:val="000000"/>
                <w:vertAlign w:val="superscript"/>
              </w:rPr>
              <w:t>e</w:t>
            </w:r>
          </w:p>
        </w:tc>
        <w:tc>
          <w:tcPr>
            <w:tcW w:w="978" w:type="dxa"/>
          </w:tcPr>
          <w:p w14:paraId="5546E25F"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r>
      <w:tr w:rsidR="006B4A66" w:rsidRPr="006B4A66" w14:paraId="57F631E3" w14:textId="77777777">
        <w:tc>
          <w:tcPr>
            <w:tcW w:w="2277" w:type="dxa"/>
          </w:tcPr>
          <w:p w14:paraId="63713EF0" w14:textId="77777777" w:rsidR="006B4A66" w:rsidRPr="006B4A66" w:rsidRDefault="006B4A66" w:rsidP="0073496A">
            <w:pPr>
              <w:numPr>
                <w:ilvl w:val="0"/>
                <w:numId w:val="7"/>
              </w:numPr>
              <w:spacing w:line="480" w:lineRule="auto"/>
              <w:ind w:left="360"/>
              <w:rPr>
                <w:rFonts w:eastAsia="Calibri"/>
                <w:color w:val="000000"/>
              </w:rPr>
            </w:pPr>
            <w:r w:rsidRPr="006B4A66">
              <w:rPr>
                <w:rFonts w:eastAsia="Calibri"/>
                <w:color w:val="000000"/>
              </w:rPr>
              <w:t>Heat pump water heating</w:t>
            </w:r>
          </w:p>
        </w:tc>
        <w:tc>
          <w:tcPr>
            <w:tcW w:w="1200" w:type="dxa"/>
          </w:tcPr>
          <w:p w14:paraId="0A8878F9" w14:textId="77777777" w:rsidR="006B4A66" w:rsidRPr="006B4A66" w:rsidRDefault="006B4A66" w:rsidP="0073496A">
            <w:pPr>
              <w:spacing w:line="480" w:lineRule="auto"/>
              <w:rPr>
                <w:rFonts w:eastAsia="Calibri"/>
                <w:color w:val="000000"/>
              </w:rPr>
            </w:pPr>
            <w:r w:rsidRPr="006B4A66">
              <w:rPr>
                <w:rFonts w:eastAsia="Calibri"/>
                <w:color w:val="000000"/>
              </w:rPr>
              <w:t>C406.2.3</w:t>
            </w:r>
          </w:p>
        </w:tc>
        <w:tc>
          <w:tcPr>
            <w:tcW w:w="1050" w:type="dxa"/>
          </w:tcPr>
          <w:p w14:paraId="30959EA2" w14:textId="77777777" w:rsidR="006B4A66" w:rsidRPr="006B4A66" w:rsidRDefault="006B4A66" w:rsidP="0073496A">
            <w:pPr>
              <w:spacing w:line="480" w:lineRule="auto"/>
              <w:jc w:val="center"/>
              <w:rPr>
                <w:rFonts w:eastAsia="Calibri"/>
                <w:color w:val="000000"/>
              </w:rPr>
            </w:pPr>
            <w:r w:rsidRPr="006B4A66">
              <w:rPr>
                <w:rFonts w:eastAsia="Calibri"/>
                <w:color w:val="000000"/>
              </w:rPr>
              <w:t>SWH</w:t>
            </w:r>
          </w:p>
        </w:tc>
        <w:tc>
          <w:tcPr>
            <w:tcW w:w="783" w:type="dxa"/>
          </w:tcPr>
          <w:p w14:paraId="76F36CD6" w14:textId="77777777" w:rsidR="006B4A66" w:rsidRPr="006B4A66" w:rsidRDefault="006B4A66" w:rsidP="0073496A">
            <w:pPr>
              <w:spacing w:line="480" w:lineRule="auto"/>
              <w:jc w:val="center"/>
              <w:rPr>
                <w:rFonts w:eastAsia="Calibri"/>
                <w:color w:val="000000"/>
              </w:rPr>
            </w:pPr>
            <w:r w:rsidRPr="006B4A66">
              <w:rPr>
                <w:rFonts w:eastAsia="Calibri"/>
                <w:color w:val="000000"/>
              </w:rPr>
              <w:t>135</w:t>
            </w:r>
          </w:p>
        </w:tc>
        <w:tc>
          <w:tcPr>
            <w:tcW w:w="783" w:type="dxa"/>
          </w:tcPr>
          <w:p w14:paraId="73A35296" w14:textId="77777777" w:rsidR="006B4A66" w:rsidRPr="006B4A66" w:rsidRDefault="006B4A66" w:rsidP="0073496A">
            <w:pPr>
              <w:spacing w:line="480" w:lineRule="auto"/>
              <w:jc w:val="center"/>
              <w:rPr>
                <w:rFonts w:eastAsia="Calibri"/>
                <w:color w:val="000000"/>
              </w:rPr>
            </w:pPr>
            <w:r w:rsidRPr="006B4A66">
              <w:rPr>
                <w:rFonts w:eastAsia="Calibri"/>
                <w:color w:val="000000"/>
              </w:rPr>
              <w:t>163</w:t>
            </w:r>
          </w:p>
        </w:tc>
        <w:tc>
          <w:tcPr>
            <w:tcW w:w="783" w:type="dxa"/>
          </w:tcPr>
          <w:p w14:paraId="5BA446A4" w14:textId="77777777" w:rsidR="006B4A66" w:rsidRPr="006B4A66" w:rsidRDefault="006B4A66" w:rsidP="0073496A">
            <w:pPr>
              <w:spacing w:line="480" w:lineRule="auto"/>
              <w:jc w:val="center"/>
              <w:rPr>
                <w:rFonts w:eastAsia="Calibri"/>
                <w:color w:val="000000"/>
              </w:rPr>
            </w:pPr>
            <w:r w:rsidRPr="006B4A66">
              <w:rPr>
                <w:rFonts w:eastAsia="Calibri"/>
                <w:color w:val="000000"/>
              </w:rPr>
              <w:t>17</w:t>
            </w:r>
          </w:p>
        </w:tc>
        <w:tc>
          <w:tcPr>
            <w:tcW w:w="783" w:type="dxa"/>
          </w:tcPr>
          <w:p w14:paraId="4836EF0C" w14:textId="77777777" w:rsidR="006B4A66" w:rsidRPr="006B4A66" w:rsidRDefault="006B4A66" w:rsidP="0073496A">
            <w:pPr>
              <w:spacing w:line="480" w:lineRule="auto"/>
              <w:jc w:val="center"/>
              <w:rPr>
                <w:rFonts w:eastAsia="Calibri"/>
                <w:color w:val="000000"/>
              </w:rPr>
            </w:pPr>
            <w:r w:rsidRPr="006B4A66">
              <w:rPr>
                <w:rFonts w:eastAsia="Calibri"/>
                <w:color w:val="000000"/>
              </w:rPr>
              <w:t>33</w:t>
            </w:r>
          </w:p>
        </w:tc>
        <w:tc>
          <w:tcPr>
            <w:tcW w:w="1005" w:type="dxa"/>
          </w:tcPr>
          <w:p w14:paraId="7E7D87A8" w14:textId="77777777" w:rsidR="006B4A66" w:rsidRPr="006B4A66" w:rsidRDefault="006B4A66" w:rsidP="0073496A">
            <w:pPr>
              <w:spacing w:line="480" w:lineRule="auto"/>
              <w:jc w:val="center"/>
              <w:rPr>
                <w:rFonts w:eastAsia="Calibri"/>
                <w:color w:val="000000"/>
              </w:rPr>
            </w:pPr>
            <w:r w:rsidRPr="006B4A66">
              <w:rPr>
                <w:rFonts w:eastAsia="Calibri"/>
                <w:color w:val="000000"/>
              </w:rPr>
              <w:t>(Grocery)95</w:t>
            </w:r>
            <w:r w:rsidRPr="006B4A66">
              <w:rPr>
                <w:rFonts w:eastAsia="Calibri"/>
                <w:color w:val="000000"/>
                <w:vertAlign w:val="superscript"/>
              </w:rPr>
              <w:t>e</w:t>
            </w:r>
          </w:p>
        </w:tc>
        <w:tc>
          <w:tcPr>
            <w:tcW w:w="978" w:type="dxa"/>
          </w:tcPr>
          <w:p w14:paraId="30CA323E" w14:textId="77777777" w:rsidR="006B4A66" w:rsidRPr="006B4A66" w:rsidRDefault="006B4A66" w:rsidP="0073496A">
            <w:pPr>
              <w:spacing w:line="480" w:lineRule="auto"/>
              <w:jc w:val="center"/>
              <w:rPr>
                <w:rFonts w:eastAsia="Calibri"/>
                <w:color w:val="000000"/>
              </w:rPr>
            </w:pPr>
            <w:r w:rsidRPr="006B4A66">
              <w:rPr>
                <w:rFonts w:eastAsia="Calibri"/>
                <w:color w:val="000000"/>
              </w:rPr>
              <w:t xml:space="preserve">(A-2) </w:t>
            </w:r>
            <w:r w:rsidRPr="006B4A66">
              <w:rPr>
                <w:rFonts w:eastAsia="Calibri"/>
                <w:color w:val="000000"/>
              </w:rPr>
              <w:br/>
              <w:t>95</w:t>
            </w:r>
            <w:r w:rsidRPr="006B4A66">
              <w:rPr>
                <w:rFonts w:eastAsia="Calibri"/>
                <w:color w:val="000000"/>
                <w:vertAlign w:val="superscript"/>
              </w:rPr>
              <w:t>f</w:t>
            </w:r>
          </w:p>
        </w:tc>
      </w:tr>
      <w:tr w:rsidR="006B4A66" w:rsidRPr="006B4A66" w14:paraId="127E0FF3" w14:textId="77777777">
        <w:tc>
          <w:tcPr>
            <w:tcW w:w="2277" w:type="dxa"/>
          </w:tcPr>
          <w:p w14:paraId="1AE4C89A" w14:textId="77777777" w:rsidR="006B4A66" w:rsidRPr="006B4A66" w:rsidRDefault="006B4A66" w:rsidP="0073496A">
            <w:pPr>
              <w:numPr>
                <w:ilvl w:val="0"/>
                <w:numId w:val="7"/>
              </w:numPr>
              <w:spacing w:line="480" w:lineRule="auto"/>
              <w:ind w:left="360"/>
              <w:rPr>
                <w:rFonts w:eastAsia="Calibri"/>
                <w:color w:val="000000"/>
              </w:rPr>
            </w:pPr>
            <w:r w:rsidRPr="006B4A66">
              <w:rPr>
                <w:rFonts w:eastAsia="Calibri"/>
                <w:color w:val="000000"/>
              </w:rPr>
              <w:t>High efficiency service water heating, gas-fired</w:t>
            </w:r>
          </w:p>
        </w:tc>
        <w:tc>
          <w:tcPr>
            <w:tcW w:w="1200" w:type="dxa"/>
          </w:tcPr>
          <w:p w14:paraId="55F08E71" w14:textId="77777777" w:rsidR="006B4A66" w:rsidRPr="006B4A66" w:rsidRDefault="006B4A66" w:rsidP="0073496A">
            <w:pPr>
              <w:spacing w:line="480" w:lineRule="auto"/>
              <w:rPr>
                <w:rFonts w:eastAsia="Calibri"/>
                <w:color w:val="000000"/>
              </w:rPr>
            </w:pPr>
            <w:r w:rsidRPr="006B4A66">
              <w:rPr>
                <w:rFonts w:eastAsia="Calibri"/>
                <w:color w:val="000000"/>
              </w:rPr>
              <w:t>C406.2.4</w:t>
            </w:r>
          </w:p>
        </w:tc>
        <w:tc>
          <w:tcPr>
            <w:tcW w:w="1050" w:type="dxa"/>
          </w:tcPr>
          <w:p w14:paraId="08955E5E" w14:textId="77777777" w:rsidR="006B4A66" w:rsidRPr="006B4A66" w:rsidRDefault="006B4A66" w:rsidP="0073496A">
            <w:pPr>
              <w:spacing w:line="480" w:lineRule="auto"/>
              <w:jc w:val="center"/>
              <w:rPr>
                <w:rFonts w:eastAsia="Calibri"/>
                <w:color w:val="000000"/>
              </w:rPr>
            </w:pPr>
            <w:r w:rsidRPr="006B4A66">
              <w:rPr>
                <w:rFonts w:eastAsia="Calibri"/>
                <w:color w:val="000000"/>
              </w:rPr>
              <w:t>SWH</w:t>
            </w:r>
          </w:p>
        </w:tc>
        <w:tc>
          <w:tcPr>
            <w:tcW w:w="783" w:type="dxa"/>
          </w:tcPr>
          <w:p w14:paraId="65520367" w14:textId="77777777" w:rsidR="006B4A66" w:rsidRPr="006B4A66" w:rsidRDefault="006B4A66" w:rsidP="0073496A">
            <w:pPr>
              <w:spacing w:line="480" w:lineRule="auto"/>
              <w:jc w:val="center"/>
              <w:rPr>
                <w:rFonts w:eastAsia="Calibri"/>
                <w:color w:val="000000"/>
              </w:rPr>
            </w:pPr>
            <w:r w:rsidRPr="006B4A66">
              <w:rPr>
                <w:rFonts w:eastAsia="Calibri"/>
                <w:color w:val="000000"/>
              </w:rPr>
              <w:t>59</w:t>
            </w:r>
          </w:p>
        </w:tc>
        <w:tc>
          <w:tcPr>
            <w:tcW w:w="783" w:type="dxa"/>
          </w:tcPr>
          <w:p w14:paraId="16597CA8" w14:textId="77777777" w:rsidR="006B4A66" w:rsidRPr="006B4A66" w:rsidRDefault="006B4A66" w:rsidP="0073496A">
            <w:pPr>
              <w:spacing w:line="480" w:lineRule="auto"/>
              <w:jc w:val="center"/>
              <w:rPr>
                <w:rFonts w:eastAsia="Calibri"/>
                <w:color w:val="000000"/>
              </w:rPr>
            </w:pPr>
            <w:r w:rsidRPr="006B4A66">
              <w:rPr>
                <w:rFonts w:eastAsia="Calibri"/>
                <w:color w:val="000000"/>
              </w:rPr>
              <w:t>65</w:t>
            </w:r>
          </w:p>
        </w:tc>
        <w:tc>
          <w:tcPr>
            <w:tcW w:w="783" w:type="dxa"/>
          </w:tcPr>
          <w:p w14:paraId="021004A3" w14:textId="77777777" w:rsidR="006B4A66" w:rsidRPr="006B4A66" w:rsidRDefault="006B4A66" w:rsidP="0073496A">
            <w:pPr>
              <w:spacing w:line="480" w:lineRule="auto"/>
              <w:jc w:val="center"/>
              <w:rPr>
                <w:rFonts w:eastAsia="Calibri"/>
                <w:color w:val="000000"/>
              </w:rPr>
            </w:pPr>
            <w:r w:rsidRPr="006B4A66">
              <w:rPr>
                <w:rFonts w:eastAsia="Calibri"/>
                <w:color w:val="000000"/>
              </w:rPr>
              <w:t>6</w:t>
            </w:r>
          </w:p>
        </w:tc>
        <w:tc>
          <w:tcPr>
            <w:tcW w:w="783" w:type="dxa"/>
          </w:tcPr>
          <w:p w14:paraId="3B8E9F42" w14:textId="77777777" w:rsidR="006B4A66" w:rsidRPr="006B4A66" w:rsidRDefault="006B4A66" w:rsidP="0073496A">
            <w:pPr>
              <w:spacing w:line="480" w:lineRule="auto"/>
              <w:jc w:val="center"/>
              <w:rPr>
                <w:rFonts w:eastAsia="Calibri"/>
                <w:color w:val="000000"/>
              </w:rPr>
            </w:pPr>
            <w:r w:rsidRPr="006B4A66">
              <w:rPr>
                <w:rFonts w:eastAsia="Calibri"/>
                <w:color w:val="000000"/>
              </w:rPr>
              <w:t>11</w:t>
            </w:r>
          </w:p>
        </w:tc>
        <w:tc>
          <w:tcPr>
            <w:tcW w:w="1005" w:type="dxa"/>
          </w:tcPr>
          <w:p w14:paraId="698069BD" w14:textId="77777777" w:rsidR="006B4A66" w:rsidRPr="006B4A66" w:rsidRDefault="006B4A66" w:rsidP="0073496A">
            <w:pPr>
              <w:spacing w:line="480" w:lineRule="auto"/>
              <w:jc w:val="center"/>
              <w:rPr>
                <w:rFonts w:eastAsia="Calibri"/>
                <w:color w:val="000000"/>
              </w:rPr>
            </w:pPr>
            <w:r w:rsidRPr="006B4A66">
              <w:rPr>
                <w:rFonts w:eastAsia="Calibri"/>
                <w:color w:val="000000"/>
              </w:rPr>
              <w:t>18</w:t>
            </w:r>
          </w:p>
        </w:tc>
        <w:tc>
          <w:tcPr>
            <w:tcW w:w="978" w:type="dxa"/>
          </w:tcPr>
          <w:p w14:paraId="7E65626E" w14:textId="77777777" w:rsidR="006B4A66" w:rsidRPr="006B4A66" w:rsidRDefault="006B4A66" w:rsidP="0073496A">
            <w:pPr>
              <w:spacing w:line="480" w:lineRule="auto"/>
              <w:jc w:val="center"/>
              <w:rPr>
                <w:rFonts w:eastAsia="Calibri"/>
                <w:color w:val="000000"/>
              </w:rPr>
            </w:pPr>
            <w:r w:rsidRPr="006B4A66">
              <w:rPr>
                <w:rFonts w:eastAsia="Calibri"/>
                <w:color w:val="000000"/>
              </w:rPr>
              <w:t>32</w:t>
            </w:r>
          </w:p>
        </w:tc>
      </w:tr>
      <w:tr w:rsidR="006B4A66" w:rsidRPr="006B4A66" w14:paraId="1CD64BBA" w14:textId="77777777">
        <w:tc>
          <w:tcPr>
            <w:tcW w:w="2277" w:type="dxa"/>
          </w:tcPr>
          <w:p w14:paraId="093685AB" w14:textId="77777777" w:rsidR="006B4A66" w:rsidRPr="006B4A66" w:rsidRDefault="006B4A66" w:rsidP="0073496A">
            <w:pPr>
              <w:numPr>
                <w:ilvl w:val="0"/>
                <w:numId w:val="7"/>
              </w:numPr>
              <w:spacing w:line="480" w:lineRule="auto"/>
              <w:ind w:left="360"/>
              <w:rPr>
                <w:rFonts w:eastAsia="Calibri"/>
                <w:color w:val="000000"/>
              </w:rPr>
            </w:pPr>
            <w:r w:rsidRPr="006B4A66">
              <w:rPr>
                <w:rFonts w:eastAsia="Calibri"/>
                <w:color w:val="000000"/>
              </w:rPr>
              <w:lastRenderedPageBreak/>
              <w:t>Heat trace system</w:t>
            </w:r>
          </w:p>
        </w:tc>
        <w:tc>
          <w:tcPr>
            <w:tcW w:w="1200" w:type="dxa"/>
          </w:tcPr>
          <w:p w14:paraId="0BB2A0EE" w14:textId="77777777" w:rsidR="006B4A66" w:rsidRPr="006B4A66" w:rsidRDefault="006B4A66" w:rsidP="0073496A">
            <w:pPr>
              <w:spacing w:line="480" w:lineRule="auto"/>
              <w:rPr>
                <w:rFonts w:eastAsia="Calibri"/>
                <w:color w:val="000000"/>
              </w:rPr>
            </w:pPr>
            <w:r w:rsidRPr="006B4A66">
              <w:rPr>
                <w:rFonts w:eastAsia="Calibri"/>
                <w:color w:val="000000"/>
              </w:rPr>
              <w:t>C406.2.7.1</w:t>
            </w:r>
          </w:p>
        </w:tc>
        <w:tc>
          <w:tcPr>
            <w:tcW w:w="1050" w:type="dxa"/>
          </w:tcPr>
          <w:p w14:paraId="5ED47997" w14:textId="77777777" w:rsidR="006B4A66" w:rsidRPr="006B4A66" w:rsidRDefault="006B4A66" w:rsidP="0073496A">
            <w:pPr>
              <w:spacing w:line="480" w:lineRule="auto"/>
              <w:jc w:val="center"/>
              <w:rPr>
                <w:rFonts w:eastAsia="Calibri"/>
                <w:color w:val="000000"/>
              </w:rPr>
            </w:pPr>
            <w:r w:rsidRPr="006B4A66">
              <w:rPr>
                <w:rFonts w:eastAsia="Calibri"/>
                <w:color w:val="000000"/>
              </w:rPr>
              <w:t>SWH</w:t>
            </w:r>
          </w:p>
        </w:tc>
        <w:tc>
          <w:tcPr>
            <w:tcW w:w="783" w:type="dxa"/>
          </w:tcPr>
          <w:p w14:paraId="1849795D" w14:textId="77777777" w:rsidR="006B4A66" w:rsidRPr="006B4A66" w:rsidRDefault="006B4A66" w:rsidP="0073496A">
            <w:pPr>
              <w:spacing w:line="480" w:lineRule="auto"/>
              <w:jc w:val="center"/>
              <w:rPr>
                <w:rFonts w:eastAsia="Calibri"/>
                <w:color w:val="000000"/>
              </w:rPr>
            </w:pPr>
            <w:r w:rsidRPr="006B4A66">
              <w:rPr>
                <w:rFonts w:eastAsia="Calibri"/>
                <w:color w:val="000000"/>
              </w:rPr>
              <w:t>6</w:t>
            </w:r>
          </w:p>
        </w:tc>
        <w:tc>
          <w:tcPr>
            <w:tcW w:w="783" w:type="dxa"/>
          </w:tcPr>
          <w:p w14:paraId="55C1A0A7" w14:textId="77777777" w:rsidR="006B4A66" w:rsidRPr="006B4A66" w:rsidRDefault="006B4A66" w:rsidP="0073496A">
            <w:pPr>
              <w:spacing w:line="480" w:lineRule="auto"/>
              <w:jc w:val="center"/>
              <w:rPr>
                <w:rFonts w:eastAsia="Calibri"/>
                <w:color w:val="000000"/>
              </w:rPr>
            </w:pPr>
            <w:r w:rsidRPr="006B4A66">
              <w:rPr>
                <w:rFonts w:eastAsia="Calibri"/>
                <w:color w:val="000000"/>
              </w:rPr>
              <w:t>13</w:t>
            </w:r>
          </w:p>
        </w:tc>
        <w:tc>
          <w:tcPr>
            <w:tcW w:w="783" w:type="dxa"/>
          </w:tcPr>
          <w:p w14:paraId="003D0588" w14:textId="77777777" w:rsidR="006B4A66" w:rsidRPr="006B4A66" w:rsidRDefault="006B4A66" w:rsidP="0073496A">
            <w:pPr>
              <w:spacing w:line="480" w:lineRule="auto"/>
              <w:jc w:val="center"/>
              <w:rPr>
                <w:rFonts w:eastAsia="Calibri"/>
                <w:color w:val="000000"/>
              </w:rPr>
            </w:pPr>
            <w:r w:rsidRPr="006B4A66">
              <w:rPr>
                <w:rFonts w:eastAsia="Calibri"/>
                <w:color w:val="000000"/>
              </w:rPr>
              <w:t>4</w:t>
            </w:r>
          </w:p>
        </w:tc>
        <w:tc>
          <w:tcPr>
            <w:tcW w:w="783" w:type="dxa"/>
          </w:tcPr>
          <w:p w14:paraId="4009E43C" w14:textId="77777777" w:rsidR="006B4A66" w:rsidRPr="006B4A66" w:rsidRDefault="006B4A66" w:rsidP="0073496A">
            <w:pPr>
              <w:spacing w:line="480" w:lineRule="auto"/>
              <w:jc w:val="center"/>
              <w:rPr>
                <w:rFonts w:eastAsia="Calibri"/>
                <w:color w:val="000000"/>
              </w:rPr>
            </w:pPr>
            <w:r w:rsidRPr="006B4A66">
              <w:rPr>
                <w:rFonts w:eastAsia="Calibri"/>
                <w:color w:val="000000"/>
              </w:rPr>
              <w:t>1</w:t>
            </w:r>
          </w:p>
        </w:tc>
        <w:tc>
          <w:tcPr>
            <w:tcW w:w="1005" w:type="dxa"/>
          </w:tcPr>
          <w:p w14:paraId="5685A39E"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c>
          <w:tcPr>
            <w:tcW w:w="978" w:type="dxa"/>
          </w:tcPr>
          <w:p w14:paraId="5FE2DA1C" w14:textId="77777777" w:rsidR="006B4A66" w:rsidRPr="006B4A66" w:rsidRDefault="006B4A66" w:rsidP="0073496A">
            <w:pPr>
              <w:spacing w:line="480" w:lineRule="auto"/>
              <w:jc w:val="center"/>
              <w:rPr>
                <w:rFonts w:eastAsia="Calibri"/>
                <w:color w:val="000000"/>
              </w:rPr>
            </w:pPr>
            <w:r w:rsidRPr="006B4A66">
              <w:rPr>
                <w:rFonts w:eastAsia="Calibri"/>
                <w:color w:val="000000"/>
              </w:rPr>
              <w:t>6</w:t>
            </w:r>
          </w:p>
        </w:tc>
      </w:tr>
      <w:tr w:rsidR="006B4A66" w:rsidRPr="006B4A66" w14:paraId="09E1F2F0" w14:textId="77777777">
        <w:tc>
          <w:tcPr>
            <w:tcW w:w="2277" w:type="dxa"/>
          </w:tcPr>
          <w:p w14:paraId="6423D318" w14:textId="77777777" w:rsidR="006B4A66" w:rsidRPr="006B4A66" w:rsidRDefault="006B4A66" w:rsidP="0073496A">
            <w:pPr>
              <w:numPr>
                <w:ilvl w:val="0"/>
                <w:numId w:val="7"/>
              </w:numPr>
              <w:spacing w:line="480" w:lineRule="auto"/>
              <w:ind w:left="360"/>
              <w:rPr>
                <w:rFonts w:eastAsia="Calibri"/>
                <w:color w:val="000000"/>
              </w:rPr>
            </w:pPr>
            <w:r w:rsidRPr="006B4A66">
              <w:rPr>
                <w:rFonts w:eastAsia="Calibri"/>
                <w:color w:val="000000"/>
              </w:rPr>
              <w:t>Point of use water heater</w:t>
            </w:r>
          </w:p>
        </w:tc>
        <w:tc>
          <w:tcPr>
            <w:tcW w:w="1200" w:type="dxa"/>
          </w:tcPr>
          <w:p w14:paraId="4D662638" w14:textId="77777777" w:rsidR="006B4A66" w:rsidRPr="006B4A66" w:rsidRDefault="006B4A66" w:rsidP="0073496A">
            <w:pPr>
              <w:spacing w:line="480" w:lineRule="auto"/>
              <w:rPr>
                <w:rFonts w:eastAsia="Calibri"/>
                <w:color w:val="000000"/>
              </w:rPr>
            </w:pPr>
            <w:r w:rsidRPr="006B4A66">
              <w:rPr>
                <w:rFonts w:eastAsia="Calibri"/>
                <w:color w:val="000000"/>
              </w:rPr>
              <w:t>C406.2.7.2</w:t>
            </w:r>
          </w:p>
        </w:tc>
        <w:tc>
          <w:tcPr>
            <w:tcW w:w="1050" w:type="dxa"/>
          </w:tcPr>
          <w:p w14:paraId="62D51EC3" w14:textId="77777777" w:rsidR="006B4A66" w:rsidRPr="006B4A66" w:rsidRDefault="006B4A66" w:rsidP="0073496A">
            <w:pPr>
              <w:spacing w:line="480" w:lineRule="auto"/>
              <w:jc w:val="center"/>
              <w:rPr>
                <w:rFonts w:eastAsia="Calibri"/>
                <w:color w:val="000000"/>
              </w:rPr>
            </w:pPr>
            <w:r w:rsidRPr="006B4A66">
              <w:rPr>
                <w:rFonts w:eastAsia="Calibri"/>
                <w:color w:val="000000"/>
              </w:rPr>
              <w:t>SWH</w:t>
            </w:r>
          </w:p>
        </w:tc>
        <w:tc>
          <w:tcPr>
            <w:tcW w:w="783" w:type="dxa"/>
          </w:tcPr>
          <w:p w14:paraId="250A18AD"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c>
          <w:tcPr>
            <w:tcW w:w="783" w:type="dxa"/>
          </w:tcPr>
          <w:p w14:paraId="0F6165AA"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c>
          <w:tcPr>
            <w:tcW w:w="783" w:type="dxa"/>
          </w:tcPr>
          <w:p w14:paraId="2685E2CE" w14:textId="77777777" w:rsidR="006B4A66" w:rsidRPr="006B4A66" w:rsidRDefault="006B4A66" w:rsidP="0073496A">
            <w:pPr>
              <w:spacing w:line="480" w:lineRule="auto"/>
              <w:jc w:val="center"/>
              <w:rPr>
                <w:rFonts w:eastAsia="Calibri"/>
                <w:color w:val="000000"/>
              </w:rPr>
            </w:pPr>
            <w:r w:rsidRPr="006B4A66">
              <w:rPr>
                <w:rFonts w:eastAsia="Calibri"/>
                <w:color w:val="000000"/>
              </w:rPr>
              <w:t>19</w:t>
            </w:r>
          </w:p>
        </w:tc>
        <w:tc>
          <w:tcPr>
            <w:tcW w:w="783" w:type="dxa"/>
          </w:tcPr>
          <w:p w14:paraId="795ACD94" w14:textId="77777777" w:rsidR="006B4A66" w:rsidRPr="006B4A66" w:rsidRDefault="006B4A66" w:rsidP="0073496A">
            <w:pPr>
              <w:spacing w:line="480" w:lineRule="auto"/>
              <w:jc w:val="center"/>
              <w:rPr>
                <w:rFonts w:eastAsia="Calibri"/>
                <w:color w:val="000000"/>
              </w:rPr>
            </w:pPr>
            <w:r w:rsidRPr="006B4A66">
              <w:rPr>
                <w:rFonts w:eastAsia="Calibri"/>
                <w:color w:val="000000"/>
              </w:rPr>
              <w:t>5</w:t>
            </w:r>
          </w:p>
        </w:tc>
        <w:tc>
          <w:tcPr>
            <w:tcW w:w="1005" w:type="dxa"/>
          </w:tcPr>
          <w:p w14:paraId="2B8D9151"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c>
          <w:tcPr>
            <w:tcW w:w="978" w:type="dxa"/>
          </w:tcPr>
          <w:p w14:paraId="710C8F4A"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r>
      <w:tr w:rsidR="006B4A66" w:rsidRPr="006B4A66" w14:paraId="27B979EA" w14:textId="77777777">
        <w:tc>
          <w:tcPr>
            <w:tcW w:w="2277" w:type="dxa"/>
          </w:tcPr>
          <w:p w14:paraId="3C3187C7" w14:textId="77777777" w:rsidR="006B4A66" w:rsidRPr="006B4A66" w:rsidRDefault="006B4A66" w:rsidP="0073496A">
            <w:pPr>
              <w:numPr>
                <w:ilvl w:val="0"/>
                <w:numId w:val="7"/>
              </w:numPr>
              <w:spacing w:line="480" w:lineRule="auto"/>
              <w:ind w:left="360"/>
              <w:rPr>
                <w:rFonts w:eastAsia="Calibri"/>
                <w:color w:val="000000"/>
              </w:rPr>
            </w:pPr>
            <w:r w:rsidRPr="006B4A66">
              <w:rPr>
                <w:rFonts w:eastAsia="Calibri"/>
                <w:color w:val="000000"/>
              </w:rPr>
              <w:t>Service hot water distribution right sizing</w:t>
            </w:r>
          </w:p>
        </w:tc>
        <w:tc>
          <w:tcPr>
            <w:tcW w:w="1200" w:type="dxa"/>
          </w:tcPr>
          <w:p w14:paraId="5332A5AC" w14:textId="77777777" w:rsidR="006B4A66" w:rsidRPr="006B4A66" w:rsidRDefault="006B4A66" w:rsidP="0073496A">
            <w:pPr>
              <w:spacing w:line="480" w:lineRule="auto"/>
              <w:rPr>
                <w:rFonts w:eastAsia="Calibri"/>
                <w:color w:val="000000"/>
              </w:rPr>
            </w:pPr>
            <w:r w:rsidRPr="006B4A66">
              <w:rPr>
                <w:rFonts w:eastAsia="Calibri"/>
                <w:color w:val="000000"/>
              </w:rPr>
              <w:t>C406.2.8</w:t>
            </w:r>
          </w:p>
        </w:tc>
        <w:tc>
          <w:tcPr>
            <w:tcW w:w="1050" w:type="dxa"/>
          </w:tcPr>
          <w:p w14:paraId="590AA328" w14:textId="77777777" w:rsidR="006B4A66" w:rsidRPr="006B4A66" w:rsidRDefault="006B4A66" w:rsidP="0073496A">
            <w:pPr>
              <w:spacing w:line="480" w:lineRule="auto"/>
              <w:jc w:val="center"/>
              <w:rPr>
                <w:rFonts w:eastAsia="Calibri"/>
                <w:color w:val="000000"/>
              </w:rPr>
            </w:pPr>
          </w:p>
        </w:tc>
        <w:tc>
          <w:tcPr>
            <w:tcW w:w="783" w:type="dxa"/>
          </w:tcPr>
          <w:p w14:paraId="0822100C" w14:textId="77777777" w:rsidR="006B4A66" w:rsidRPr="006B4A66" w:rsidRDefault="006B4A66" w:rsidP="0073496A">
            <w:pPr>
              <w:spacing w:line="480" w:lineRule="auto"/>
              <w:jc w:val="center"/>
              <w:rPr>
                <w:rFonts w:eastAsia="Calibri"/>
                <w:color w:val="000000"/>
              </w:rPr>
            </w:pPr>
            <w:r w:rsidRPr="006B4A66">
              <w:rPr>
                <w:rFonts w:eastAsia="Calibri"/>
                <w:color w:val="000000"/>
              </w:rPr>
              <w:t>13</w:t>
            </w:r>
          </w:p>
        </w:tc>
        <w:tc>
          <w:tcPr>
            <w:tcW w:w="783" w:type="dxa"/>
          </w:tcPr>
          <w:p w14:paraId="1DCE6006" w14:textId="77777777" w:rsidR="006B4A66" w:rsidRPr="006B4A66" w:rsidRDefault="006B4A66" w:rsidP="0073496A">
            <w:pPr>
              <w:spacing w:line="480" w:lineRule="auto"/>
              <w:jc w:val="center"/>
              <w:rPr>
                <w:rFonts w:eastAsia="Calibri"/>
                <w:color w:val="000000"/>
              </w:rPr>
            </w:pPr>
            <w:r w:rsidRPr="006B4A66">
              <w:rPr>
                <w:rFonts w:eastAsia="Calibri"/>
                <w:color w:val="000000"/>
              </w:rPr>
              <w:t>10</w:t>
            </w:r>
          </w:p>
        </w:tc>
        <w:tc>
          <w:tcPr>
            <w:tcW w:w="783" w:type="dxa"/>
          </w:tcPr>
          <w:p w14:paraId="11467A7C"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c>
          <w:tcPr>
            <w:tcW w:w="783" w:type="dxa"/>
          </w:tcPr>
          <w:p w14:paraId="57D59248"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c>
          <w:tcPr>
            <w:tcW w:w="1005" w:type="dxa"/>
          </w:tcPr>
          <w:p w14:paraId="3759A694"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c>
          <w:tcPr>
            <w:tcW w:w="978" w:type="dxa"/>
          </w:tcPr>
          <w:p w14:paraId="05584E1E"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r>
      <w:tr w:rsidR="006B4A66" w:rsidRPr="006B4A66" w14:paraId="19951A75" w14:textId="77777777">
        <w:tc>
          <w:tcPr>
            <w:tcW w:w="2277" w:type="dxa"/>
          </w:tcPr>
          <w:p w14:paraId="1186D583" w14:textId="77777777" w:rsidR="006B4A66" w:rsidRPr="006B4A66" w:rsidRDefault="006B4A66" w:rsidP="0073496A">
            <w:pPr>
              <w:numPr>
                <w:ilvl w:val="0"/>
                <w:numId w:val="7"/>
              </w:numPr>
              <w:spacing w:line="480" w:lineRule="auto"/>
              <w:ind w:left="360"/>
              <w:rPr>
                <w:rFonts w:eastAsia="Calibri"/>
                <w:color w:val="000000"/>
              </w:rPr>
            </w:pPr>
            <w:r w:rsidRPr="006B4A66">
              <w:rPr>
                <w:rFonts w:eastAsia="Calibri"/>
                <w:color w:val="000000"/>
              </w:rPr>
              <w:t>High performance service hot water temperature maintenance system</w:t>
            </w:r>
          </w:p>
        </w:tc>
        <w:tc>
          <w:tcPr>
            <w:tcW w:w="1200" w:type="dxa"/>
          </w:tcPr>
          <w:p w14:paraId="7CB9AB59" w14:textId="77777777" w:rsidR="006B4A66" w:rsidRPr="006B4A66" w:rsidRDefault="006B4A66" w:rsidP="0073496A">
            <w:pPr>
              <w:spacing w:line="480" w:lineRule="auto"/>
              <w:rPr>
                <w:rFonts w:eastAsia="Calibri"/>
                <w:color w:val="000000"/>
              </w:rPr>
            </w:pPr>
            <w:r w:rsidRPr="006B4A66">
              <w:rPr>
                <w:rFonts w:eastAsia="Calibri"/>
                <w:color w:val="000000"/>
              </w:rPr>
              <w:t>C406.2.9</w:t>
            </w:r>
          </w:p>
        </w:tc>
        <w:tc>
          <w:tcPr>
            <w:tcW w:w="1050" w:type="dxa"/>
          </w:tcPr>
          <w:p w14:paraId="79EF6E57" w14:textId="77777777" w:rsidR="006B4A66" w:rsidRPr="006B4A66" w:rsidRDefault="006B4A66" w:rsidP="0073496A">
            <w:pPr>
              <w:spacing w:line="480" w:lineRule="auto"/>
              <w:jc w:val="center"/>
              <w:rPr>
                <w:rFonts w:eastAsia="Calibri"/>
                <w:color w:val="000000"/>
              </w:rPr>
            </w:pPr>
          </w:p>
        </w:tc>
        <w:tc>
          <w:tcPr>
            <w:tcW w:w="783" w:type="dxa"/>
          </w:tcPr>
          <w:p w14:paraId="7168E6EE" w14:textId="77777777" w:rsidR="006B4A66" w:rsidRPr="006B4A66" w:rsidRDefault="006B4A66" w:rsidP="0073496A">
            <w:pPr>
              <w:spacing w:line="480" w:lineRule="auto"/>
              <w:jc w:val="center"/>
              <w:rPr>
                <w:rFonts w:eastAsia="Calibri"/>
                <w:color w:val="000000"/>
              </w:rPr>
            </w:pPr>
            <w:r w:rsidRPr="006B4A66">
              <w:rPr>
                <w:rFonts w:eastAsia="Calibri"/>
                <w:color w:val="000000"/>
              </w:rPr>
              <w:t>6</w:t>
            </w:r>
          </w:p>
        </w:tc>
        <w:tc>
          <w:tcPr>
            <w:tcW w:w="783" w:type="dxa"/>
          </w:tcPr>
          <w:p w14:paraId="607024E1" w14:textId="77777777" w:rsidR="006B4A66" w:rsidRPr="006B4A66" w:rsidRDefault="006B4A66" w:rsidP="0073496A">
            <w:pPr>
              <w:spacing w:line="480" w:lineRule="auto"/>
              <w:jc w:val="center"/>
              <w:rPr>
                <w:rFonts w:eastAsia="Calibri"/>
                <w:color w:val="000000"/>
              </w:rPr>
            </w:pPr>
            <w:r w:rsidRPr="006B4A66">
              <w:rPr>
                <w:rFonts w:eastAsia="Calibri"/>
                <w:color w:val="000000"/>
              </w:rPr>
              <w:t>13</w:t>
            </w:r>
          </w:p>
        </w:tc>
        <w:tc>
          <w:tcPr>
            <w:tcW w:w="783" w:type="dxa"/>
          </w:tcPr>
          <w:p w14:paraId="4943C5A5" w14:textId="77777777" w:rsidR="006B4A66" w:rsidRPr="006B4A66" w:rsidRDefault="006B4A66" w:rsidP="0073496A">
            <w:pPr>
              <w:spacing w:line="480" w:lineRule="auto"/>
              <w:jc w:val="center"/>
              <w:rPr>
                <w:rFonts w:eastAsia="Calibri"/>
                <w:color w:val="000000"/>
              </w:rPr>
            </w:pPr>
            <w:r w:rsidRPr="006B4A66">
              <w:rPr>
                <w:rFonts w:eastAsia="Calibri"/>
                <w:color w:val="000000"/>
              </w:rPr>
              <w:t>4</w:t>
            </w:r>
          </w:p>
        </w:tc>
        <w:tc>
          <w:tcPr>
            <w:tcW w:w="783" w:type="dxa"/>
          </w:tcPr>
          <w:p w14:paraId="48023916" w14:textId="77777777" w:rsidR="006B4A66" w:rsidRPr="006B4A66" w:rsidRDefault="006B4A66" w:rsidP="0073496A">
            <w:pPr>
              <w:spacing w:line="480" w:lineRule="auto"/>
              <w:jc w:val="center"/>
              <w:rPr>
                <w:rFonts w:eastAsia="Calibri"/>
                <w:color w:val="000000"/>
              </w:rPr>
            </w:pPr>
            <w:r w:rsidRPr="006B4A66">
              <w:rPr>
                <w:rFonts w:eastAsia="Calibri"/>
                <w:color w:val="000000"/>
              </w:rPr>
              <w:t>1</w:t>
            </w:r>
          </w:p>
        </w:tc>
        <w:tc>
          <w:tcPr>
            <w:tcW w:w="1005" w:type="dxa"/>
          </w:tcPr>
          <w:p w14:paraId="1854DB49"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c>
          <w:tcPr>
            <w:tcW w:w="978" w:type="dxa"/>
          </w:tcPr>
          <w:p w14:paraId="0A6D2E47" w14:textId="77777777" w:rsidR="006B4A66" w:rsidRPr="006B4A66" w:rsidRDefault="006B4A66" w:rsidP="0073496A">
            <w:pPr>
              <w:spacing w:line="480" w:lineRule="auto"/>
              <w:jc w:val="center"/>
              <w:rPr>
                <w:rFonts w:eastAsia="Calibri"/>
                <w:color w:val="000000"/>
              </w:rPr>
            </w:pPr>
            <w:r w:rsidRPr="006B4A66">
              <w:rPr>
                <w:rFonts w:eastAsia="Calibri"/>
                <w:color w:val="000000"/>
              </w:rPr>
              <w:t>6</w:t>
            </w:r>
          </w:p>
        </w:tc>
      </w:tr>
      <w:tr w:rsidR="006B4A66" w:rsidRPr="006B4A66" w14:paraId="7DA36C5D" w14:textId="77777777">
        <w:tc>
          <w:tcPr>
            <w:tcW w:w="2277" w:type="dxa"/>
          </w:tcPr>
          <w:p w14:paraId="0824CAFB" w14:textId="77777777" w:rsidR="006B4A66" w:rsidRPr="006B4A66" w:rsidRDefault="006B4A66" w:rsidP="0073496A">
            <w:pPr>
              <w:numPr>
                <w:ilvl w:val="0"/>
                <w:numId w:val="7"/>
              </w:numPr>
              <w:spacing w:line="480" w:lineRule="auto"/>
              <w:ind w:left="360"/>
              <w:rPr>
                <w:rFonts w:eastAsia="Calibri"/>
                <w:color w:val="000000"/>
              </w:rPr>
            </w:pPr>
            <w:r w:rsidRPr="006B4A66">
              <w:rPr>
                <w:rFonts w:eastAsia="Calibri"/>
                <w:color w:val="000000"/>
              </w:rPr>
              <w:t>Reserved</w:t>
            </w:r>
          </w:p>
        </w:tc>
        <w:tc>
          <w:tcPr>
            <w:tcW w:w="1200" w:type="dxa"/>
          </w:tcPr>
          <w:p w14:paraId="068BB5CF" w14:textId="77777777" w:rsidR="006B4A66" w:rsidRPr="006B4A66" w:rsidRDefault="006B4A66" w:rsidP="0073496A">
            <w:pPr>
              <w:spacing w:line="480" w:lineRule="auto"/>
              <w:rPr>
                <w:rFonts w:eastAsia="Calibri"/>
                <w:color w:val="000000"/>
                <w:highlight w:val="yellow"/>
              </w:rPr>
            </w:pPr>
          </w:p>
        </w:tc>
        <w:tc>
          <w:tcPr>
            <w:tcW w:w="1050" w:type="dxa"/>
          </w:tcPr>
          <w:p w14:paraId="38CA89A3" w14:textId="77777777" w:rsidR="006B4A66" w:rsidRPr="006B4A66" w:rsidRDefault="006B4A66" w:rsidP="0073496A">
            <w:pPr>
              <w:spacing w:line="480" w:lineRule="auto"/>
              <w:jc w:val="center"/>
              <w:rPr>
                <w:rFonts w:eastAsia="Calibri"/>
                <w:color w:val="000000"/>
                <w:highlight w:val="yellow"/>
              </w:rPr>
            </w:pPr>
          </w:p>
        </w:tc>
        <w:tc>
          <w:tcPr>
            <w:tcW w:w="783" w:type="dxa"/>
          </w:tcPr>
          <w:p w14:paraId="4D0EF7F9" w14:textId="77777777" w:rsidR="006B4A66" w:rsidRPr="006B4A66" w:rsidRDefault="006B4A66" w:rsidP="0073496A">
            <w:pPr>
              <w:spacing w:line="480" w:lineRule="auto"/>
              <w:jc w:val="center"/>
              <w:rPr>
                <w:rFonts w:eastAsia="Calibri"/>
                <w:color w:val="000000"/>
                <w:highlight w:val="yellow"/>
              </w:rPr>
            </w:pPr>
          </w:p>
        </w:tc>
        <w:tc>
          <w:tcPr>
            <w:tcW w:w="783" w:type="dxa"/>
          </w:tcPr>
          <w:p w14:paraId="524BE96B" w14:textId="77777777" w:rsidR="006B4A66" w:rsidRPr="006B4A66" w:rsidRDefault="006B4A66" w:rsidP="0073496A">
            <w:pPr>
              <w:spacing w:line="480" w:lineRule="auto"/>
              <w:jc w:val="center"/>
              <w:rPr>
                <w:rFonts w:eastAsia="Calibri"/>
                <w:color w:val="000000"/>
                <w:highlight w:val="yellow"/>
              </w:rPr>
            </w:pPr>
          </w:p>
        </w:tc>
        <w:tc>
          <w:tcPr>
            <w:tcW w:w="783" w:type="dxa"/>
          </w:tcPr>
          <w:p w14:paraId="45467F2B" w14:textId="77777777" w:rsidR="006B4A66" w:rsidRPr="006B4A66" w:rsidRDefault="006B4A66" w:rsidP="0073496A">
            <w:pPr>
              <w:spacing w:line="480" w:lineRule="auto"/>
              <w:jc w:val="center"/>
              <w:rPr>
                <w:rFonts w:eastAsia="Calibri"/>
                <w:color w:val="000000"/>
                <w:highlight w:val="yellow"/>
              </w:rPr>
            </w:pPr>
          </w:p>
        </w:tc>
        <w:tc>
          <w:tcPr>
            <w:tcW w:w="783" w:type="dxa"/>
          </w:tcPr>
          <w:p w14:paraId="3C897188" w14:textId="77777777" w:rsidR="006B4A66" w:rsidRPr="006B4A66" w:rsidRDefault="006B4A66" w:rsidP="0073496A">
            <w:pPr>
              <w:spacing w:line="480" w:lineRule="auto"/>
              <w:jc w:val="center"/>
              <w:rPr>
                <w:rFonts w:eastAsia="Calibri"/>
                <w:color w:val="000000"/>
                <w:highlight w:val="yellow"/>
              </w:rPr>
            </w:pPr>
          </w:p>
        </w:tc>
        <w:tc>
          <w:tcPr>
            <w:tcW w:w="1005" w:type="dxa"/>
          </w:tcPr>
          <w:p w14:paraId="7FD5513C" w14:textId="77777777" w:rsidR="006B4A66" w:rsidRPr="006B4A66" w:rsidRDefault="006B4A66" w:rsidP="0073496A">
            <w:pPr>
              <w:spacing w:line="480" w:lineRule="auto"/>
              <w:jc w:val="center"/>
              <w:rPr>
                <w:rFonts w:eastAsia="Calibri"/>
                <w:color w:val="000000"/>
                <w:highlight w:val="yellow"/>
              </w:rPr>
            </w:pPr>
          </w:p>
        </w:tc>
        <w:tc>
          <w:tcPr>
            <w:tcW w:w="978" w:type="dxa"/>
          </w:tcPr>
          <w:p w14:paraId="359A5B0A" w14:textId="77777777" w:rsidR="006B4A66" w:rsidRPr="006B4A66" w:rsidRDefault="006B4A66" w:rsidP="0073496A">
            <w:pPr>
              <w:spacing w:line="480" w:lineRule="auto"/>
              <w:jc w:val="center"/>
              <w:rPr>
                <w:rFonts w:eastAsia="Calibri"/>
                <w:color w:val="000000"/>
                <w:highlight w:val="yellow"/>
              </w:rPr>
            </w:pPr>
          </w:p>
        </w:tc>
      </w:tr>
      <w:tr w:rsidR="006B4A66" w:rsidRPr="006B4A66" w14:paraId="3E4076C1" w14:textId="77777777">
        <w:tc>
          <w:tcPr>
            <w:tcW w:w="2277" w:type="dxa"/>
          </w:tcPr>
          <w:p w14:paraId="018134E8" w14:textId="77777777" w:rsidR="006B4A66" w:rsidRPr="006B4A66" w:rsidRDefault="006B4A66" w:rsidP="0073496A">
            <w:pPr>
              <w:numPr>
                <w:ilvl w:val="0"/>
                <w:numId w:val="7"/>
              </w:numPr>
              <w:spacing w:line="480" w:lineRule="auto"/>
              <w:ind w:left="360"/>
              <w:rPr>
                <w:rFonts w:eastAsia="Calibri"/>
                <w:color w:val="000000"/>
              </w:rPr>
            </w:pPr>
            <w:r w:rsidRPr="006B4A66">
              <w:rPr>
                <w:rFonts w:eastAsia="Calibri"/>
                <w:color w:val="000000"/>
              </w:rPr>
              <w:t>Low flow residential showerheads</w:t>
            </w:r>
          </w:p>
        </w:tc>
        <w:tc>
          <w:tcPr>
            <w:tcW w:w="1200" w:type="dxa"/>
          </w:tcPr>
          <w:p w14:paraId="54D76B57" w14:textId="77777777" w:rsidR="006B4A66" w:rsidRPr="006B4A66" w:rsidRDefault="006B4A66" w:rsidP="0073496A">
            <w:pPr>
              <w:spacing w:line="480" w:lineRule="auto"/>
              <w:rPr>
                <w:rFonts w:eastAsia="Calibri"/>
                <w:color w:val="000000"/>
              </w:rPr>
            </w:pPr>
            <w:r w:rsidRPr="006B4A66">
              <w:rPr>
                <w:rFonts w:eastAsia="Calibri"/>
                <w:color w:val="000000"/>
              </w:rPr>
              <w:t>C406.2.11</w:t>
            </w:r>
          </w:p>
        </w:tc>
        <w:tc>
          <w:tcPr>
            <w:tcW w:w="1050" w:type="dxa"/>
          </w:tcPr>
          <w:p w14:paraId="673DD83F" w14:textId="77777777" w:rsidR="006B4A66" w:rsidRPr="006B4A66" w:rsidRDefault="006B4A66" w:rsidP="0073496A">
            <w:pPr>
              <w:spacing w:line="480" w:lineRule="auto"/>
              <w:jc w:val="center"/>
              <w:rPr>
                <w:rFonts w:eastAsia="Calibri"/>
                <w:color w:val="000000"/>
              </w:rPr>
            </w:pPr>
            <w:r w:rsidRPr="006B4A66">
              <w:rPr>
                <w:rFonts w:eastAsia="Calibri"/>
                <w:color w:val="000000"/>
              </w:rPr>
              <w:t>SWH</w:t>
            </w:r>
          </w:p>
        </w:tc>
        <w:tc>
          <w:tcPr>
            <w:tcW w:w="783" w:type="dxa"/>
          </w:tcPr>
          <w:p w14:paraId="4A9DE6EA" w14:textId="77777777" w:rsidR="006B4A66" w:rsidRPr="006B4A66" w:rsidRDefault="006B4A66" w:rsidP="0073496A">
            <w:pPr>
              <w:spacing w:line="480" w:lineRule="auto"/>
              <w:jc w:val="center"/>
              <w:rPr>
                <w:rFonts w:eastAsia="Calibri"/>
                <w:color w:val="000000"/>
              </w:rPr>
            </w:pPr>
            <w:r w:rsidRPr="006B4A66">
              <w:rPr>
                <w:rFonts w:eastAsia="Calibri"/>
                <w:color w:val="000000"/>
              </w:rPr>
              <w:t>3</w:t>
            </w:r>
          </w:p>
        </w:tc>
        <w:tc>
          <w:tcPr>
            <w:tcW w:w="783" w:type="dxa"/>
          </w:tcPr>
          <w:p w14:paraId="26B08CC8" w14:textId="77777777" w:rsidR="006B4A66" w:rsidRPr="006B4A66" w:rsidRDefault="006B4A66" w:rsidP="0073496A">
            <w:pPr>
              <w:spacing w:line="480" w:lineRule="auto"/>
              <w:jc w:val="center"/>
              <w:rPr>
                <w:rFonts w:eastAsia="Calibri"/>
                <w:color w:val="000000"/>
              </w:rPr>
            </w:pPr>
            <w:r w:rsidRPr="006B4A66">
              <w:rPr>
                <w:rFonts w:eastAsia="Calibri"/>
                <w:color w:val="000000"/>
              </w:rPr>
              <w:t>3</w:t>
            </w:r>
          </w:p>
        </w:tc>
        <w:tc>
          <w:tcPr>
            <w:tcW w:w="783" w:type="dxa"/>
          </w:tcPr>
          <w:p w14:paraId="5E158C1A"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c>
          <w:tcPr>
            <w:tcW w:w="783" w:type="dxa"/>
          </w:tcPr>
          <w:p w14:paraId="7BACAB2A"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c>
          <w:tcPr>
            <w:tcW w:w="1005" w:type="dxa"/>
          </w:tcPr>
          <w:p w14:paraId="2A2F75C7"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c>
          <w:tcPr>
            <w:tcW w:w="978" w:type="dxa"/>
          </w:tcPr>
          <w:p w14:paraId="79C60F28"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r>
      <w:tr w:rsidR="006B4A66" w:rsidRPr="006B4A66" w14:paraId="06CF4950" w14:textId="77777777">
        <w:tc>
          <w:tcPr>
            <w:tcW w:w="2277" w:type="dxa"/>
          </w:tcPr>
          <w:p w14:paraId="4A18A274" w14:textId="77777777" w:rsidR="006B4A66" w:rsidRPr="006B4A66" w:rsidRDefault="006B4A66" w:rsidP="0073496A">
            <w:pPr>
              <w:numPr>
                <w:ilvl w:val="0"/>
                <w:numId w:val="7"/>
              </w:numPr>
              <w:spacing w:line="480" w:lineRule="auto"/>
              <w:ind w:left="360"/>
              <w:rPr>
                <w:rFonts w:eastAsia="Calibri"/>
                <w:color w:val="000000"/>
              </w:rPr>
            </w:pPr>
            <w:r w:rsidRPr="006B4A66">
              <w:rPr>
                <w:rFonts w:eastAsia="Calibri"/>
                <w:color w:val="000000"/>
              </w:rPr>
              <w:t>Enhanced envelope performance</w:t>
            </w:r>
            <w:r w:rsidRPr="006B4A66">
              <w:rPr>
                <w:rFonts w:eastAsia="Calibri"/>
                <w:color w:val="000000"/>
                <w:vertAlign w:val="superscript"/>
              </w:rPr>
              <w:t>g</w:t>
            </w:r>
          </w:p>
        </w:tc>
        <w:tc>
          <w:tcPr>
            <w:tcW w:w="1200" w:type="dxa"/>
          </w:tcPr>
          <w:p w14:paraId="2E1D1BE7" w14:textId="77777777" w:rsidR="006B4A66" w:rsidRPr="006B4A66" w:rsidRDefault="006B4A66" w:rsidP="0073496A">
            <w:pPr>
              <w:spacing w:line="480" w:lineRule="auto"/>
              <w:rPr>
                <w:rFonts w:eastAsia="Calibri"/>
                <w:color w:val="000000"/>
              </w:rPr>
            </w:pPr>
            <w:r w:rsidRPr="006B4A66">
              <w:rPr>
                <w:rFonts w:eastAsia="Calibri"/>
                <w:color w:val="000000"/>
              </w:rPr>
              <w:t>C406.2.12</w:t>
            </w:r>
          </w:p>
        </w:tc>
        <w:tc>
          <w:tcPr>
            <w:tcW w:w="1050" w:type="dxa"/>
          </w:tcPr>
          <w:p w14:paraId="2DC425A4" w14:textId="77777777" w:rsidR="006B4A66" w:rsidRPr="006B4A66" w:rsidRDefault="006B4A66" w:rsidP="0073496A">
            <w:pPr>
              <w:spacing w:line="480" w:lineRule="auto"/>
              <w:jc w:val="center"/>
              <w:rPr>
                <w:rFonts w:eastAsia="Calibri"/>
                <w:color w:val="000000"/>
              </w:rPr>
            </w:pPr>
            <w:r w:rsidRPr="006B4A66">
              <w:rPr>
                <w:rFonts w:eastAsia="Calibri"/>
                <w:color w:val="000000"/>
              </w:rPr>
              <w:t>Heat</w:t>
            </w:r>
          </w:p>
        </w:tc>
        <w:tc>
          <w:tcPr>
            <w:tcW w:w="783" w:type="dxa"/>
          </w:tcPr>
          <w:p w14:paraId="58E4CB4F" w14:textId="77777777" w:rsidR="006B4A66" w:rsidRPr="006B4A66" w:rsidRDefault="006B4A66" w:rsidP="0073496A">
            <w:pPr>
              <w:spacing w:line="480" w:lineRule="auto"/>
              <w:jc w:val="center"/>
              <w:rPr>
                <w:rFonts w:eastAsia="Calibri"/>
                <w:color w:val="000000"/>
              </w:rPr>
            </w:pPr>
            <w:r w:rsidRPr="006B4A66">
              <w:rPr>
                <w:rFonts w:eastAsia="Calibri"/>
                <w:color w:val="000000"/>
              </w:rPr>
              <w:t>24</w:t>
            </w:r>
          </w:p>
        </w:tc>
        <w:tc>
          <w:tcPr>
            <w:tcW w:w="783" w:type="dxa"/>
          </w:tcPr>
          <w:p w14:paraId="5C588185" w14:textId="77777777" w:rsidR="006B4A66" w:rsidRPr="006B4A66" w:rsidRDefault="006B4A66" w:rsidP="0073496A">
            <w:pPr>
              <w:spacing w:line="480" w:lineRule="auto"/>
              <w:jc w:val="center"/>
              <w:rPr>
                <w:rFonts w:eastAsia="Calibri"/>
                <w:color w:val="000000"/>
              </w:rPr>
            </w:pPr>
            <w:r w:rsidRPr="006B4A66">
              <w:rPr>
                <w:rFonts w:eastAsia="Calibri"/>
                <w:color w:val="000000"/>
              </w:rPr>
              <w:t>20</w:t>
            </w:r>
          </w:p>
        </w:tc>
        <w:tc>
          <w:tcPr>
            <w:tcW w:w="783" w:type="dxa"/>
          </w:tcPr>
          <w:p w14:paraId="4A6DB3C4" w14:textId="77777777" w:rsidR="006B4A66" w:rsidRPr="006B4A66" w:rsidRDefault="006B4A66" w:rsidP="0073496A">
            <w:pPr>
              <w:spacing w:line="480" w:lineRule="auto"/>
              <w:jc w:val="center"/>
              <w:rPr>
                <w:rFonts w:eastAsia="Calibri"/>
                <w:color w:val="000000"/>
              </w:rPr>
            </w:pPr>
            <w:r w:rsidRPr="006B4A66">
              <w:rPr>
                <w:rFonts w:eastAsia="Calibri"/>
                <w:color w:val="000000"/>
              </w:rPr>
              <w:t>13</w:t>
            </w:r>
          </w:p>
        </w:tc>
        <w:tc>
          <w:tcPr>
            <w:tcW w:w="783" w:type="dxa"/>
          </w:tcPr>
          <w:p w14:paraId="6D9647FB" w14:textId="77777777" w:rsidR="006B4A66" w:rsidRPr="006B4A66" w:rsidRDefault="006B4A66" w:rsidP="0073496A">
            <w:pPr>
              <w:spacing w:line="480" w:lineRule="auto"/>
              <w:jc w:val="center"/>
              <w:rPr>
                <w:rFonts w:eastAsia="Calibri"/>
                <w:color w:val="000000"/>
              </w:rPr>
            </w:pPr>
            <w:r w:rsidRPr="006B4A66">
              <w:rPr>
                <w:rFonts w:eastAsia="Calibri"/>
                <w:color w:val="000000"/>
              </w:rPr>
              <w:t>5</w:t>
            </w:r>
          </w:p>
        </w:tc>
        <w:tc>
          <w:tcPr>
            <w:tcW w:w="1005" w:type="dxa"/>
          </w:tcPr>
          <w:p w14:paraId="395469F6" w14:textId="77777777" w:rsidR="006B4A66" w:rsidRPr="006B4A66" w:rsidRDefault="006B4A66" w:rsidP="0073496A">
            <w:pPr>
              <w:spacing w:line="480" w:lineRule="auto"/>
              <w:jc w:val="center"/>
              <w:rPr>
                <w:rFonts w:eastAsia="Calibri"/>
                <w:color w:val="000000"/>
              </w:rPr>
            </w:pPr>
            <w:r w:rsidRPr="006B4A66">
              <w:rPr>
                <w:rFonts w:eastAsia="Calibri"/>
                <w:color w:val="000000"/>
              </w:rPr>
              <w:t>19</w:t>
            </w:r>
          </w:p>
        </w:tc>
        <w:tc>
          <w:tcPr>
            <w:tcW w:w="978" w:type="dxa"/>
          </w:tcPr>
          <w:p w14:paraId="7671CCEB" w14:textId="77777777" w:rsidR="006B4A66" w:rsidRPr="006B4A66" w:rsidRDefault="006B4A66" w:rsidP="0073496A">
            <w:pPr>
              <w:spacing w:line="480" w:lineRule="auto"/>
              <w:jc w:val="center"/>
              <w:rPr>
                <w:rFonts w:eastAsia="Calibri"/>
                <w:color w:val="000000"/>
              </w:rPr>
            </w:pPr>
            <w:r w:rsidRPr="006B4A66">
              <w:rPr>
                <w:rFonts w:eastAsia="Calibri"/>
                <w:color w:val="000000"/>
              </w:rPr>
              <w:t>14</w:t>
            </w:r>
          </w:p>
        </w:tc>
      </w:tr>
      <w:tr w:rsidR="006B4A66" w:rsidRPr="006B4A66" w14:paraId="4D27A62D" w14:textId="77777777">
        <w:tc>
          <w:tcPr>
            <w:tcW w:w="2277" w:type="dxa"/>
          </w:tcPr>
          <w:p w14:paraId="593C31F1" w14:textId="77777777" w:rsidR="006B4A66" w:rsidRPr="006B4A66" w:rsidRDefault="006B4A66" w:rsidP="0073496A">
            <w:pPr>
              <w:numPr>
                <w:ilvl w:val="0"/>
                <w:numId w:val="7"/>
              </w:numPr>
              <w:spacing w:line="480" w:lineRule="auto"/>
              <w:ind w:left="360"/>
              <w:rPr>
                <w:rFonts w:eastAsia="Calibri"/>
                <w:color w:val="000000"/>
              </w:rPr>
            </w:pPr>
            <w:r w:rsidRPr="006B4A66">
              <w:rPr>
                <w:rFonts w:eastAsia="Calibri"/>
                <w:color w:val="000000"/>
              </w:rPr>
              <w:t>Base reduced air leakage</w:t>
            </w:r>
            <w:r w:rsidRPr="006B4A66">
              <w:rPr>
                <w:rFonts w:eastAsia="Calibri"/>
                <w:color w:val="000000"/>
                <w:vertAlign w:val="superscript"/>
              </w:rPr>
              <w:t>g</w:t>
            </w:r>
          </w:p>
        </w:tc>
        <w:tc>
          <w:tcPr>
            <w:tcW w:w="1200" w:type="dxa"/>
          </w:tcPr>
          <w:p w14:paraId="7554C702" w14:textId="77777777" w:rsidR="006B4A66" w:rsidRPr="006B4A66" w:rsidRDefault="006B4A66" w:rsidP="0073496A">
            <w:pPr>
              <w:spacing w:line="480" w:lineRule="auto"/>
              <w:rPr>
                <w:rFonts w:eastAsia="Calibri"/>
                <w:color w:val="000000"/>
              </w:rPr>
            </w:pPr>
            <w:r w:rsidRPr="006B4A66">
              <w:rPr>
                <w:rFonts w:eastAsia="Calibri"/>
                <w:color w:val="000000"/>
              </w:rPr>
              <w:t>C406.2.13.1</w:t>
            </w:r>
          </w:p>
        </w:tc>
        <w:tc>
          <w:tcPr>
            <w:tcW w:w="1050" w:type="dxa"/>
          </w:tcPr>
          <w:p w14:paraId="50639D79" w14:textId="77777777" w:rsidR="006B4A66" w:rsidRPr="006B4A66" w:rsidRDefault="006B4A66" w:rsidP="0073496A">
            <w:pPr>
              <w:spacing w:line="480" w:lineRule="auto"/>
              <w:jc w:val="center"/>
              <w:rPr>
                <w:rFonts w:eastAsia="Calibri"/>
                <w:color w:val="000000"/>
              </w:rPr>
            </w:pPr>
          </w:p>
        </w:tc>
        <w:tc>
          <w:tcPr>
            <w:tcW w:w="783" w:type="dxa"/>
          </w:tcPr>
          <w:p w14:paraId="189D0DA4" w14:textId="77777777" w:rsidR="006B4A66" w:rsidRPr="006B4A66" w:rsidRDefault="006B4A66" w:rsidP="0073496A">
            <w:pPr>
              <w:spacing w:line="480" w:lineRule="auto"/>
              <w:jc w:val="center"/>
              <w:rPr>
                <w:rFonts w:eastAsia="Calibri"/>
                <w:color w:val="000000"/>
              </w:rPr>
            </w:pPr>
            <w:r w:rsidRPr="006B4A66">
              <w:rPr>
                <w:rFonts w:eastAsia="Calibri"/>
                <w:color w:val="000000"/>
              </w:rPr>
              <w:t>29</w:t>
            </w:r>
          </w:p>
        </w:tc>
        <w:tc>
          <w:tcPr>
            <w:tcW w:w="783" w:type="dxa"/>
          </w:tcPr>
          <w:p w14:paraId="5C210885" w14:textId="77777777" w:rsidR="006B4A66" w:rsidRPr="006B4A66" w:rsidRDefault="006B4A66" w:rsidP="0073496A">
            <w:pPr>
              <w:spacing w:line="480" w:lineRule="auto"/>
              <w:jc w:val="center"/>
              <w:rPr>
                <w:rFonts w:eastAsia="Calibri"/>
                <w:color w:val="000000"/>
              </w:rPr>
            </w:pPr>
            <w:r w:rsidRPr="006B4A66">
              <w:rPr>
                <w:rFonts w:eastAsia="Calibri"/>
                <w:color w:val="000000"/>
              </w:rPr>
              <w:t>24</w:t>
            </w:r>
          </w:p>
        </w:tc>
        <w:tc>
          <w:tcPr>
            <w:tcW w:w="783" w:type="dxa"/>
          </w:tcPr>
          <w:p w14:paraId="7A50BC24" w14:textId="77777777" w:rsidR="006B4A66" w:rsidRPr="006B4A66" w:rsidRDefault="006B4A66" w:rsidP="0073496A">
            <w:pPr>
              <w:spacing w:line="480" w:lineRule="auto"/>
              <w:jc w:val="center"/>
              <w:rPr>
                <w:rFonts w:eastAsia="Calibri"/>
                <w:color w:val="000000"/>
              </w:rPr>
            </w:pPr>
            <w:r w:rsidRPr="006B4A66">
              <w:rPr>
                <w:rFonts w:eastAsia="Calibri"/>
                <w:color w:val="000000"/>
              </w:rPr>
              <w:t>6</w:t>
            </w:r>
          </w:p>
        </w:tc>
        <w:tc>
          <w:tcPr>
            <w:tcW w:w="783" w:type="dxa"/>
          </w:tcPr>
          <w:p w14:paraId="064EAB84" w14:textId="77777777" w:rsidR="006B4A66" w:rsidRPr="006B4A66" w:rsidRDefault="006B4A66" w:rsidP="0073496A">
            <w:pPr>
              <w:spacing w:line="480" w:lineRule="auto"/>
              <w:jc w:val="center"/>
              <w:rPr>
                <w:rFonts w:eastAsia="Calibri"/>
                <w:color w:val="000000"/>
              </w:rPr>
            </w:pPr>
            <w:r w:rsidRPr="006B4A66">
              <w:rPr>
                <w:rFonts w:eastAsia="Calibri"/>
                <w:color w:val="000000"/>
              </w:rPr>
              <w:t>3</w:t>
            </w:r>
          </w:p>
        </w:tc>
        <w:tc>
          <w:tcPr>
            <w:tcW w:w="1005" w:type="dxa"/>
          </w:tcPr>
          <w:p w14:paraId="131692F0" w14:textId="77777777" w:rsidR="006B4A66" w:rsidRPr="006B4A66" w:rsidRDefault="006B4A66" w:rsidP="0073496A">
            <w:pPr>
              <w:spacing w:line="480" w:lineRule="auto"/>
              <w:jc w:val="center"/>
              <w:rPr>
                <w:rFonts w:eastAsia="Calibri"/>
                <w:color w:val="000000"/>
              </w:rPr>
            </w:pPr>
            <w:r w:rsidRPr="006B4A66">
              <w:rPr>
                <w:rFonts w:eastAsia="Calibri"/>
                <w:color w:val="000000"/>
              </w:rPr>
              <w:t>9</w:t>
            </w:r>
          </w:p>
        </w:tc>
        <w:tc>
          <w:tcPr>
            <w:tcW w:w="978" w:type="dxa"/>
          </w:tcPr>
          <w:p w14:paraId="640FCC90" w14:textId="77777777" w:rsidR="006B4A66" w:rsidRPr="006B4A66" w:rsidRDefault="006B4A66" w:rsidP="0073496A">
            <w:pPr>
              <w:spacing w:line="480" w:lineRule="auto"/>
              <w:jc w:val="center"/>
              <w:rPr>
                <w:rFonts w:eastAsia="Calibri"/>
                <w:color w:val="000000"/>
              </w:rPr>
            </w:pPr>
            <w:r w:rsidRPr="006B4A66">
              <w:rPr>
                <w:rFonts w:eastAsia="Calibri"/>
                <w:color w:val="000000"/>
              </w:rPr>
              <w:t>11</w:t>
            </w:r>
          </w:p>
        </w:tc>
      </w:tr>
      <w:tr w:rsidR="006B4A66" w:rsidRPr="006B4A66" w14:paraId="13B6D5EA" w14:textId="77777777">
        <w:tc>
          <w:tcPr>
            <w:tcW w:w="2277" w:type="dxa"/>
          </w:tcPr>
          <w:p w14:paraId="051EDB7A" w14:textId="77777777" w:rsidR="006B4A66" w:rsidRPr="006B4A66" w:rsidRDefault="006B4A66" w:rsidP="0073496A">
            <w:pPr>
              <w:numPr>
                <w:ilvl w:val="0"/>
                <w:numId w:val="7"/>
              </w:numPr>
              <w:spacing w:line="480" w:lineRule="auto"/>
              <w:ind w:left="360"/>
              <w:rPr>
                <w:rFonts w:eastAsia="Calibri"/>
                <w:color w:val="000000"/>
              </w:rPr>
            </w:pPr>
            <w:r w:rsidRPr="006B4A66">
              <w:rPr>
                <w:rFonts w:eastAsia="Calibri"/>
                <w:color w:val="000000"/>
              </w:rPr>
              <w:t>Enhanced reduced air leakage</w:t>
            </w:r>
            <w:r w:rsidRPr="006B4A66">
              <w:rPr>
                <w:rFonts w:eastAsia="Calibri"/>
                <w:color w:val="000000"/>
                <w:vertAlign w:val="superscript"/>
              </w:rPr>
              <w:t>g</w:t>
            </w:r>
          </w:p>
        </w:tc>
        <w:tc>
          <w:tcPr>
            <w:tcW w:w="1200" w:type="dxa"/>
          </w:tcPr>
          <w:p w14:paraId="0BD6839B" w14:textId="77777777" w:rsidR="006B4A66" w:rsidRPr="006B4A66" w:rsidRDefault="006B4A66" w:rsidP="0073496A">
            <w:pPr>
              <w:spacing w:line="480" w:lineRule="auto"/>
              <w:rPr>
                <w:rFonts w:eastAsia="Calibri"/>
                <w:color w:val="000000"/>
              </w:rPr>
            </w:pPr>
            <w:r w:rsidRPr="006B4A66">
              <w:rPr>
                <w:rFonts w:eastAsia="Calibri"/>
                <w:color w:val="000000"/>
              </w:rPr>
              <w:t>C406.2.13.2</w:t>
            </w:r>
          </w:p>
        </w:tc>
        <w:tc>
          <w:tcPr>
            <w:tcW w:w="1050" w:type="dxa"/>
          </w:tcPr>
          <w:p w14:paraId="3F839232" w14:textId="77777777" w:rsidR="006B4A66" w:rsidRPr="006B4A66" w:rsidRDefault="006B4A66" w:rsidP="0073496A">
            <w:pPr>
              <w:spacing w:line="480" w:lineRule="auto"/>
              <w:jc w:val="center"/>
              <w:rPr>
                <w:rFonts w:eastAsia="Calibri"/>
                <w:color w:val="000000"/>
              </w:rPr>
            </w:pPr>
            <w:r w:rsidRPr="006B4A66">
              <w:rPr>
                <w:rFonts w:eastAsia="Calibri"/>
                <w:color w:val="000000"/>
              </w:rPr>
              <w:t>Heat</w:t>
            </w:r>
          </w:p>
        </w:tc>
        <w:tc>
          <w:tcPr>
            <w:tcW w:w="783" w:type="dxa"/>
          </w:tcPr>
          <w:p w14:paraId="358C6D8B" w14:textId="77777777" w:rsidR="006B4A66" w:rsidRPr="006B4A66" w:rsidRDefault="006B4A66" w:rsidP="0073496A">
            <w:pPr>
              <w:spacing w:line="480" w:lineRule="auto"/>
              <w:jc w:val="center"/>
              <w:rPr>
                <w:rFonts w:eastAsia="Calibri"/>
                <w:color w:val="000000"/>
              </w:rPr>
            </w:pPr>
            <w:r w:rsidRPr="006B4A66">
              <w:rPr>
                <w:rFonts w:eastAsia="Calibri"/>
                <w:color w:val="000000"/>
              </w:rPr>
              <w:t>53</w:t>
            </w:r>
          </w:p>
        </w:tc>
        <w:tc>
          <w:tcPr>
            <w:tcW w:w="783" w:type="dxa"/>
          </w:tcPr>
          <w:p w14:paraId="67533E1E" w14:textId="77777777" w:rsidR="006B4A66" w:rsidRPr="006B4A66" w:rsidRDefault="006B4A66" w:rsidP="0073496A">
            <w:pPr>
              <w:spacing w:line="480" w:lineRule="auto"/>
              <w:jc w:val="center"/>
              <w:rPr>
                <w:rFonts w:eastAsia="Calibri"/>
                <w:color w:val="000000"/>
              </w:rPr>
            </w:pPr>
            <w:r w:rsidRPr="006B4A66">
              <w:rPr>
                <w:rFonts w:eastAsia="Calibri"/>
                <w:color w:val="000000"/>
              </w:rPr>
              <w:t>44</w:t>
            </w:r>
          </w:p>
        </w:tc>
        <w:tc>
          <w:tcPr>
            <w:tcW w:w="783" w:type="dxa"/>
          </w:tcPr>
          <w:p w14:paraId="7F82EFD1" w14:textId="77777777" w:rsidR="006B4A66" w:rsidRPr="006B4A66" w:rsidRDefault="006B4A66" w:rsidP="0073496A">
            <w:pPr>
              <w:spacing w:line="480" w:lineRule="auto"/>
              <w:jc w:val="center"/>
              <w:rPr>
                <w:rFonts w:eastAsia="Calibri"/>
                <w:color w:val="000000"/>
              </w:rPr>
            </w:pPr>
            <w:r w:rsidRPr="006B4A66">
              <w:rPr>
                <w:rFonts w:eastAsia="Calibri"/>
                <w:color w:val="000000"/>
              </w:rPr>
              <w:t>11</w:t>
            </w:r>
          </w:p>
        </w:tc>
        <w:tc>
          <w:tcPr>
            <w:tcW w:w="783" w:type="dxa"/>
          </w:tcPr>
          <w:p w14:paraId="5D372CD8" w14:textId="77777777" w:rsidR="006B4A66" w:rsidRPr="006B4A66" w:rsidRDefault="006B4A66" w:rsidP="0073496A">
            <w:pPr>
              <w:spacing w:line="480" w:lineRule="auto"/>
              <w:jc w:val="center"/>
              <w:rPr>
                <w:rFonts w:eastAsia="Calibri"/>
                <w:color w:val="000000"/>
              </w:rPr>
            </w:pPr>
            <w:r w:rsidRPr="006B4A66">
              <w:rPr>
                <w:rFonts w:eastAsia="Calibri"/>
                <w:color w:val="000000"/>
              </w:rPr>
              <w:t>5</w:t>
            </w:r>
          </w:p>
        </w:tc>
        <w:tc>
          <w:tcPr>
            <w:tcW w:w="1005" w:type="dxa"/>
          </w:tcPr>
          <w:p w14:paraId="28C0477E" w14:textId="77777777" w:rsidR="006B4A66" w:rsidRPr="006B4A66" w:rsidRDefault="006B4A66" w:rsidP="0073496A">
            <w:pPr>
              <w:spacing w:line="480" w:lineRule="auto"/>
              <w:jc w:val="center"/>
              <w:rPr>
                <w:rFonts w:eastAsia="Calibri"/>
                <w:color w:val="000000"/>
              </w:rPr>
            </w:pPr>
            <w:r w:rsidRPr="006B4A66">
              <w:rPr>
                <w:rFonts w:eastAsia="Calibri"/>
                <w:color w:val="000000"/>
              </w:rPr>
              <w:t>16</w:t>
            </w:r>
          </w:p>
        </w:tc>
        <w:tc>
          <w:tcPr>
            <w:tcW w:w="978" w:type="dxa"/>
          </w:tcPr>
          <w:p w14:paraId="73836B43" w14:textId="77777777" w:rsidR="006B4A66" w:rsidRPr="006B4A66" w:rsidRDefault="006B4A66" w:rsidP="0073496A">
            <w:pPr>
              <w:spacing w:line="480" w:lineRule="auto"/>
              <w:jc w:val="center"/>
              <w:rPr>
                <w:rFonts w:eastAsia="Calibri"/>
                <w:color w:val="000000"/>
              </w:rPr>
            </w:pPr>
            <w:r w:rsidRPr="006B4A66">
              <w:rPr>
                <w:rFonts w:eastAsia="Calibri"/>
                <w:color w:val="000000"/>
              </w:rPr>
              <w:t>20</w:t>
            </w:r>
          </w:p>
        </w:tc>
      </w:tr>
      <w:tr w:rsidR="006B4A66" w:rsidRPr="006B4A66" w14:paraId="1A437ADF" w14:textId="77777777">
        <w:tc>
          <w:tcPr>
            <w:tcW w:w="2277" w:type="dxa"/>
          </w:tcPr>
          <w:p w14:paraId="68392D20" w14:textId="77777777" w:rsidR="006B4A66" w:rsidRPr="006B4A66" w:rsidRDefault="006B4A66" w:rsidP="0073496A">
            <w:pPr>
              <w:numPr>
                <w:ilvl w:val="0"/>
                <w:numId w:val="7"/>
              </w:numPr>
              <w:spacing w:line="480" w:lineRule="auto"/>
              <w:ind w:left="360"/>
              <w:rPr>
                <w:rFonts w:eastAsia="Calibri"/>
                <w:color w:val="000000"/>
              </w:rPr>
            </w:pPr>
            <w:r w:rsidRPr="006B4A66">
              <w:rPr>
                <w:rFonts w:eastAsia="Calibri"/>
                <w:color w:val="000000"/>
              </w:rPr>
              <w:t>Reserved</w:t>
            </w:r>
          </w:p>
        </w:tc>
        <w:tc>
          <w:tcPr>
            <w:tcW w:w="1200" w:type="dxa"/>
          </w:tcPr>
          <w:p w14:paraId="74850A86" w14:textId="77777777" w:rsidR="006B4A66" w:rsidRPr="006B4A66" w:rsidRDefault="006B4A66" w:rsidP="0073496A">
            <w:pPr>
              <w:spacing w:line="480" w:lineRule="auto"/>
              <w:rPr>
                <w:rFonts w:eastAsia="Calibri"/>
                <w:color w:val="000000"/>
              </w:rPr>
            </w:pPr>
          </w:p>
        </w:tc>
        <w:tc>
          <w:tcPr>
            <w:tcW w:w="1050" w:type="dxa"/>
          </w:tcPr>
          <w:p w14:paraId="2EF1B815" w14:textId="77777777" w:rsidR="006B4A66" w:rsidRPr="006B4A66" w:rsidRDefault="006B4A66" w:rsidP="0073496A">
            <w:pPr>
              <w:spacing w:line="480" w:lineRule="auto"/>
              <w:jc w:val="center"/>
              <w:rPr>
                <w:rFonts w:eastAsia="Calibri"/>
                <w:color w:val="000000"/>
              </w:rPr>
            </w:pPr>
          </w:p>
        </w:tc>
        <w:tc>
          <w:tcPr>
            <w:tcW w:w="783" w:type="dxa"/>
          </w:tcPr>
          <w:p w14:paraId="0A2FCBC8" w14:textId="77777777" w:rsidR="006B4A66" w:rsidRPr="006B4A66" w:rsidRDefault="006B4A66" w:rsidP="0073496A">
            <w:pPr>
              <w:spacing w:line="480" w:lineRule="auto"/>
              <w:jc w:val="center"/>
              <w:rPr>
                <w:rFonts w:eastAsia="Calibri"/>
                <w:color w:val="000000"/>
              </w:rPr>
            </w:pPr>
          </w:p>
        </w:tc>
        <w:tc>
          <w:tcPr>
            <w:tcW w:w="783" w:type="dxa"/>
          </w:tcPr>
          <w:p w14:paraId="66A97C70" w14:textId="77777777" w:rsidR="006B4A66" w:rsidRPr="006B4A66" w:rsidRDefault="006B4A66" w:rsidP="0073496A">
            <w:pPr>
              <w:spacing w:line="480" w:lineRule="auto"/>
              <w:jc w:val="center"/>
              <w:rPr>
                <w:rFonts w:eastAsia="Calibri"/>
                <w:color w:val="000000"/>
              </w:rPr>
            </w:pPr>
          </w:p>
        </w:tc>
        <w:tc>
          <w:tcPr>
            <w:tcW w:w="783" w:type="dxa"/>
          </w:tcPr>
          <w:p w14:paraId="0F17CB27" w14:textId="77777777" w:rsidR="006B4A66" w:rsidRPr="006B4A66" w:rsidRDefault="006B4A66" w:rsidP="0073496A">
            <w:pPr>
              <w:spacing w:line="480" w:lineRule="auto"/>
              <w:jc w:val="center"/>
              <w:rPr>
                <w:rFonts w:eastAsia="Calibri"/>
                <w:color w:val="000000"/>
              </w:rPr>
            </w:pPr>
          </w:p>
        </w:tc>
        <w:tc>
          <w:tcPr>
            <w:tcW w:w="783" w:type="dxa"/>
          </w:tcPr>
          <w:p w14:paraId="1ED95151" w14:textId="77777777" w:rsidR="006B4A66" w:rsidRPr="006B4A66" w:rsidRDefault="006B4A66" w:rsidP="0073496A">
            <w:pPr>
              <w:spacing w:line="480" w:lineRule="auto"/>
              <w:jc w:val="center"/>
              <w:rPr>
                <w:rFonts w:eastAsia="Calibri"/>
                <w:color w:val="000000"/>
              </w:rPr>
            </w:pPr>
          </w:p>
        </w:tc>
        <w:tc>
          <w:tcPr>
            <w:tcW w:w="1005" w:type="dxa"/>
          </w:tcPr>
          <w:p w14:paraId="1211421B" w14:textId="77777777" w:rsidR="006B4A66" w:rsidRPr="006B4A66" w:rsidRDefault="006B4A66" w:rsidP="0073496A">
            <w:pPr>
              <w:spacing w:line="480" w:lineRule="auto"/>
              <w:jc w:val="center"/>
              <w:rPr>
                <w:rFonts w:eastAsia="Calibri"/>
                <w:color w:val="000000"/>
              </w:rPr>
            </w:pPr>
          </w:p>
        </w:tc>
        <w:tc>
          <w:tcPr>
            <w:tcW w:w="978" w:type="dxa"/>
          </w:tcPr>
          <w:p w14:paraId="3B21C9B2" w14:textId="77777777" w:rsidR="006B4A66" w:rsidRPr="006B4A66" w:rsidRDefault="006B4A66" w:rsidP="0073496A">
            <w:pPr>
              <w:spacing w:line="480" w:lineRule="auto"/>
              <w:jc w:val="center"/>
              <w:rPr>
                <w:rFonts w:eastAsia="Calibri"/>
                <w:color w:val="000000"/>
              </w:rPr>
            </w:pPr>
          </w:p>
        </w:tc>
      </w:tr>
      <w:tr w:rsidR="006B4A66" w:rsidRPr="006B4A66" w14:paraId="4CD3C662" w14:textId="77777777">
        <w:tc>
          <w:tcPr>
            <w:tcW w:w="2277" w:type="dxa"/>
          </w:tcPr>
          <w:p w14:paraId="29CD823F" w14:textId="77777777" w:rsidR="006B4A66" w:rsidRPr="006B4A66" w:rsidRDefault="006B4A66" w:rsidP="0073496A">
            <w:pPr>
              <w:numPr>
                <w:ilvl w:val="0"/>
                <w:numId w:val="7"/>
              </w:numPr>
              <w:spacing w:line="480" w:lineRule="auto"/>
              <w:ind w:left="360"/>
              <w:rPr>
                <w:rFonts w:eastAsia="Calibri"/>
                <w:color w:val="000000"/>
              </w:rPr>
            </w:pPr>
            <w:r w:rsidRPr="006B4A66">
              <w:rPr>
                <w:rFonts w:eastAsia="Calibri"/>
                <w:color w:val="000000"/>
              </w:rPr>
              <w:t>Enhanced residential kitchen equipment</w:t>
            </w:r>
          </w:p>
        </w:tc>
        <w:tc>
          <w:tcPr>
            <w:tcW w:w="1200" w:type="dxa"/>
          </w:tcPr>
          <w:p w14:paraId="4C0A7E6E" w14:textId="77777777" w:rsidR="006B4A66" w:rsidRPr="006B4A66" w:rsidRDefault="006B4A66" w:rsidP="0073496A">
            <w:pPr>
              <w:spacing w:line="480" w:lineRule="auto"/>
              <w:rPr>
                <w:rFonts w:eastAsia="Calibri"/>
                <w:color w:val="000000"/>
              </w:rPr>
            </w:pPr>
            <w:r w:rsidRPr="006B4A66">
              <w:rPr>
                <w:rFonts w:eastAsia="Calibri"/>
                <w:color w:val="000000"/>
              </w:rPr>
              <w:t>C406.2.15</w:t>
            </w:r>
          </w:p>
        </w:tc>
        <w:tc>
          <w:tcPr>
            <w:tcW w:w="1050" w:type="dxa"/>
          </w:tcPr>
          <w:p w14:paraId="49A1301B" w14:textId="77777777" w:rsidR="006B4A66" w:rsidRPr="006B4A66" w:rsidRDefault="006B4A66" w:rsidP="0073496A">
            <w:pPr>
              <w:spacing w:line="480" w:lineRule="auto"/>
              <w:jc w:val="center"/>
              <w:rPr>
                <w:rFonts w:eastAsia="Calibri"/>
                <w:color w:val="000000"/>
              </w:rPr>
            </w:pPr>
            <w:r w:rsidRPr="006B4A66">
              <w:rPr>
                <w:rFonts w:eastAsia="Calibri"/>
                <w:color w:val="000000"/>
              </w:rPr>
              <w:t>Heat</w:t>
            </w:r>
          </w:p>
        </w:tc>
        <w:tc>
          <w:tcPr>
            <w:tcW w:w="783" w:type="dxa"/>
          </w:tcPr>
          <w:p w14:paraId="47BF5619" w14:textId="77777777" w:rsidR="006B4A66" w:rsidRPr="006B4A66" w:rsidRDefault="006B4A66" w:rsidP="0073496A">
            <w:pPr>
              <w:spacing w:line="480" w:lineRule="auto"/>
              <w:jc w:val="center"/>
              <w:rPr>
                <w:rFonts w:eastAsia="Calibri"/>
                <w:color w:val="000000"/>
              </w:rPr>
            </w:pPr>
            <w:r w:rsidRPr="006B4A66">
              <w:rPr>
                <w:rFonts w:eastAsia="Calibri"/>
                <w:color w:val="000000"/>
              </w:rPr>
              <w:t>12</w:t>
            </w:r>
          </w:p>
        </w:tc>
        <w:tc>
          <w:tcPr>
            <w:tcW w:w="783" w:type="dxa"/>
          </w:tcPr>
          <w:p w14:paraId="1256D234" w14:textId="77777777" w:rsidR="006B4A66" w:rsidRPr="006B4A66" w:rsidRDefault="006B4A66" w:rsidP="0073496A">
            <w:pPr>
              <w:spacing w:line="480" w:lineRule="auto"/>
              <w:jc w:val="center"/>
              <w:rPr>
                <w:rFonts w:eastAsia="Calibri"/>
                <w:color w:val="000000"/>
              </w:rPr>
            </w:pPr>
            <w:r w:rsidRPr="006B4A66">
              <w:rPr>
                <w:rFonts w:eastAsia="Calibri"/>
                <w:color w:val="000000"/>
              </w:rPr>
              <w:t>19</w:t>
            </w:r>
          </w:p>
        </w:tc>
        <w:tc>
          <w:tcPr>
            <w:tcW w:w="783" w:type="dxa"/>
          </w:tcPr>
          <w:p w14:paraId="27CAD58E"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c>
          <w:tcPr>
            <w:tcW w:w="783" w:type="dxa"/>
          </w:tcPr>
          <w:p w14:paraId="2B6F790F"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c>
          <w:tcPr>
            <w:tcW w:w="1005" w:type="dxa"/>
          </w:tcPr>
          <w:p w14:paraId="6E84116F"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c>
          <w:tcPr>
            <w:tcW w:w="978" w:type="dxa"/>
          </w:tcPr>
          <w:p w14:paraId="5B9DB91F"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r>
      <w:tr w:rsidR="006B4A66" w:rsidRPr="006B4A66" w14:paraId="7BF21A13" w14:textId="77777777">
        <w:tc>
          <w:tcPr>
            <w:tcW w:w="2277" w:type="dxa"/>
          </w:tcPr>
          <w:p w14:paraId="736E7B8F" w14:textId="77777777" w:rsidR="006B4A66" w:rsidRPr="006B4A66" w:rsidRDefault="006B4A66" w:rsidP="0073496A">
            <w:pPr>
              <w:numPr>
                <w:ilvl w:val="0"/>
                <w:numId w:val="7"/>
              </w:numPr>
              <w:spacing w:line="480" w:lineRule="auto"/>
              <w:ind w:left="360"/>
              <w:rPr>
                <w:rFonts w:eastAsia="Calibri"/>
                <w:color w:val="000000"/>
              </w:rPr>
            </w:pPr>
            <w:r w:rsidRPr="006B4A66">
              <w:rPr>
                <w:rFonts w:eastAsia="Calibri"/>
                <w:color w:val="000000"/>
              </w:rPr>
              <w:t>Enhanced residential laundry equipment</w:t>
            </w:r>
          </w:p>
        </w:tc>
        <w:tc>
          <w:tcPr>
            <w:tcW w:w="1200" w:type="dxa"/>
          </w:tcPr>
          <w:p w14:paraId="7087149B" w14:textId="77777777" w:rsidR="006B4A66" w:rsidRPr="006B4A66" w:rsidRDefault="006B4A66" w:rsidP="0073496A">
            <w:pPr>
              <w:spacing w:line="480" w:lineRule="auto"/>
              <w:rPr>
                <w:rFonts w:eastAsia="Calibri"/>
                <w:color w:val="000000"/>
              </w:rPr>
            </w:pPr>
            <w:r w:rsidRPr="006B4A66">
              <w:rPr>
                <w:rFonts w:eastAsia="Calibri"/>
                <w:color w:val="000000"/>
              </w:rPr>
              <w:t>C406.2.16</w:t>
            </w:r>
          </w:p>
        </w:tc>
        <w:tc>
          <w:tcPr>
            <w:tcW w:w="1050" w:type="dxa"/>
          </w:tcPr>
          <w:p w14:paraId="092E81A9" w14:textId="77777777" w:rsidR="006B4A66" w:rsidRPr="006B4A66" w:rsidRDefault="006B4A66" w:rsidP="0073496A">
            <w:pPr>
              <w:spacing w:line="480" w:lineRule="auto"/>
              <w:jc w:val="center"/>
              <w:rPr>
                <w:rFonts w:eastAsia="Calibri"/>
                <w:color w:val="000000"/>
              </w:rPr>
            </w:pPr>
            <w:r w:rsidRPr="006B4A66">
              <w:rPr>
                <w:rFonts w:eastAsia="Calibri"/>
                <w:color w:val="000000"/>
              </w:rPr>
              <w:t>Heat</w:t>
            </w:r>
          </w:p>
        </w:tc>
        <w:tc>
          <w:tcPr>
            <w:tcW w:w="783" w:type="dxa"/>
          </w:tcPr>
          <w:p w14:paraId="5830F3E7"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c>
          <w:tcPr>
            <w:tcW w:w="783" w:type="dxa"/>
          </w:tcPr>
          <w:p w14:paraId="6909D801" w14:textId="77777777" w:rsidR="006B4A66" w:rsidRPr="006B4A66" w:rsidRDefault="006B4A66" w:rsidP="0073496A">
            <w:pPr>
              <w:spacing w:line="480" w:lineRule="auto"/>
              <w:jc w:val="center"/>
              <w:rPr>
                <w:rFonts w:eastAsia="Calibri"/>
                <w:color w:val="000000"/>
              </w:rPr>
            </w:pPr>
            <w:r w:rsidRPr="006B4A66">
              <w:rPr>
                <w:rFonts w:eastAsia="Calibri"/>
                <w:color w:val="000000"/>
              </w:rPr>
              <w:t>6</w:t>
            </w:r>
          </w:p>
        </w:tc>
        <w:tc>
          <w:tcPr>
            <w:tcW w:w="783" w:type="dxa"/>
          </w:tcPr>
          <w:p w14:paraId="39B09E91"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c>
          <w:tcPr>
            <w:tcW w:w="783" w:type="dxa"/>
          </w:tcPr>
          <w:p w14:paraId="47BFF259"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c>
          <w:tcPr>
            <w:tcW w:w="1005" w:type="dxa"/>
          </w:tcPr>
          <w:p w14:paraId="29C119B9"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c>
          <w:tcPr>
            <w:tcW w:w="978" w:type="dxa"/>
          </w:tcPr>
          <w:p w14:paraId="70049C6E"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r>
      <w:tr w:rsidR="006B4A66" w:rsidRPr="006B4A66" w14:paraId="6088F72E" w14:textId="77777777">
        <w:tc>
          <w:tcPr>
            <w:tcW w:w="2277" w:type="dxa"/>
          </w:tcPr>
          <w:p w14:paraId="11DF3D52" w14:textId="77777777" w:rsidR="006B4A66" w:rsidRPr="006B4A66" w:rsidRDefault="006B4A66" w:rsidP="0073496A">
            <w:pPr>
              <w:numPr>
                <w:ilvl w:val="0"/>
                <w:numId w:val="7"/>
              </w:numPr>
              <w:spacing w:line="480" w:lineRule="auto"/>
              <w:ind w:left="360"/>
              <w:rPr>
                <w:rFonts w:eastAsia="Calibri"/>
                <w:color w:val="000000"/>
              </w:rPr>
            </w:pPr>
            <w:r w:rsidRPr="006B4A66">
              <w:rPr>
                <w:rFonts w:eastAsia="Calibri"/>
                <w:color w:val="000000"/>
              </w:rPr>
              <w:t>Heat pump clothes dryers</w:t>
            </w:r>
          </w:p>
        </w:tc>
        <w:tc>
          <w:tcPr>
            <w:tcW w:w="1200" w:type="dxa"/>
          </w:tcPr>
          <w:p w14:paraId="3C40345A" w14:textId="77777777" w:rsidR="006B4A66" w:rsidRPr="006B4A66" w:rsidRDefault="006B4A66" w:rsidP="0073496A">
            <w:pPr>
              <w:spacing w:line="480" w:lineRule="auto"/>
              <w:rPr>
                <w:rFonts w:eastAsia="Calibri"/>
                <w:color w:val="000000"/>
              </w:rPr>
            </w:pPr>
            <w:r w:rsidRPr="006B4A66">
              <w:rPr>
                <w:rFonts w:eastAsia="Calibri"/>
                <w:color w:val="000000"/>
              </w:rPr>
              <w:t>C406.2.17</w:t>
            </w:r>
          </w:p>
        </w:tc>
        <w:tc>
          <w:tcPr>
            <w:tcW w:w="1050" w:type="dxa"/>
          </w:tcPr>
          <w:p w14:paraId="06253811" w14:textId="77777777" w:rsidR="006B4A66" w:rsidRPr="006B4A66" w:rsidRDefault="006B4A66" w:rsidP="0073496A">
            <w:pPr>
              <w:spacing w:line="480" w:lineRule="auto"/>
              <w:jc w:val="center"/>
              <w:rPr>
                <w:rFonts w:eastAsia="Calibri"/>
                <w:color w:val="000000"/>
              </w:rPr>
            </w:pPr>
            <w:r w:rsidRPr="006B4A66">
              <w:rPr>
                <w:rFonts w:eastAsia="Calibri"/>
                <w:color w:val="000000"/>
              </w:rPr>
              <w:t>Heat</w:t>
            </w:r>
          </w:p>
        </w:tc>
        <w:tc>
          <w:tcPr>
            <w:tcW w:w="783" w:type="dxa"/>
          </w:tcPr>
          <w:p w14:paraId="5CE48FB5" w14:textId="77777777" w:rsidR="006B4A66" w:rsidRPr="006B4A66" w:rsidRDefault="006B4A66" w:rsidP="0073496A">
            <w:pPr>
              <w:spacing w:line="480" w:lineRule="auto"/>
              <w:jc w:val="center"/>
              <w:rPr>
                <w:rFonts w:eastAsia="Calibri"/>
                <w:color w:val="000000"/>
              </w:rPr>
            </w:pPr>
            <w:r w:rsidRPr="006B4A66">
              <w:rPr>
                <w:rFonts w:eastAsia="Calibri"/>
                <w:color w:val="000000"/>
              </w:rPr>
              <w:t>6</w:t>
            </w:r>
          </w:p>
        </w:tc>
        <w:tc>
          <w:tcPr>
            <w:tcW w:w="783" w:type="dxa"/>
          </w:tcPr>
          <w:p w14:paraId="476A010C" w14:textId="77777777" w:rsidR="006B4A66" w:rsidRPr="006B4A66" w:rsidRDefault="006B4A66" w:rsidP="0073496A">
            <w:pPr>
              <w:spacing w:line="480" w:lineRule="auto"/>
              <w:jc w:val="center"/>
              <w:rPr>
                <w:rFonts w:eastAsia="Calibri"/>
                <w:color w:val="000000"/>
              </w:rPr>
            </w:pPr>
            <w:r w:rsidRPr="006B4A66">
              <w:rPr>
                <w:rFonts w:eastAsia="Calibri"/>
                <w:color w:val="000000"/>
              </w:rPr>
              <w:t>6</w:t>
            </w:r>
          </w:p>
        </w:tc>
        <w:tc>
          <w:tcPr>
            <w:tcW w:w="783" w:type="dxa"/>
          </w:tcPr>
          <w:p w14:paraId="48B71196"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c>
          <w:tcPr>
            <w:tcW w:w="783" w:type="dxa"/>
          </w:tcPr>
          <w:p w14:paraId="322A745F"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c>
          <w:tcPr>
            <w:tcW w:w="1005" w:type="dxa"/>
          </w:tcPr>
          <w:p w14:paraId="21BF21ED"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c>
          <w:tcPr>
            <w:tcW w:w="978" w:type="dxa"/>
          </w:tcPr>
          <w:p w14:paraId="3C854A87" w14:textId="77777777" w:rsidR="006B4A66" w:rsidRPr="006B4A66" w:rsidRDefault="006B4A66" w:rsidP="0073496A">
            <w:pPr>
              <w:spacing w:line="480" w:lineRule="auto"/>
              <w:jc w:val="center"/>
              <w:rPr>
                <w:rFonts w:eastAsia="Calibri"/>
                <w:color w:val="000000"/>
              </w:rPr>
            </w:pPr>
            <w:r w:rsidRPr="006B4A66">
              <w:rPr>
                <w:rFonts w:eastAsia="Calibri"/>
                <w:color w:val="000000"/>
              </w:rPr>
              <w:t>NA</w:t>
            </w:r>
          </w:p>
        </w:tc>
      </w:tr>
      <w:tr w:rsidR="006B4A66" w:rsidRPr="006B4A66" w14:paraId="294AD0B8" w14:textId="77777777">
        <w:tc>
          <w:tcPr>
            <w:tcW w:w="2277" w:type="dxa"/>
          </w:tcPr>
          <w:p w14:paraId="017F8D43" w14:textId="77777777" w:rsidR="006B4A66" w:rsidRPr="006B4A66" w:rsidRDefault="006B4A66" w:rsidP="0073496A">
            <w:pPr>
              <w:numPr>
                <w:ilvl w:val="0"/>
                <w:numId w:val="7"/>
              </w:numPr>
              <w:spacing w:line="480" w:lineRule="auto"/>
              <w:ind w:left="360"/>
              <w:rPr>
                <w:rFonts w:eastAsia="Calibri"/>
                <w:color w:val="000000"/>
              </w:rPr>
            </w:pPr>
            <w:r w:rsidRPr="006B4A66">
              <w:rPr>
                <w:rFonts w:eastAsia="Calibri"/>
                <w:color w:val="000000"/>
              </w:rPr>
              <w:lastRenderedPageBreak/>
              <w:t>Efficient elevator equipment</w:t>
            </w:r>
          </w:p>
        </w:tc>
        <w:tc>
          <w:tcPr>
            <w:tcW w:w="1200" w:type="dxa"/>
          </w:tcPr>
          <w:p w14:paraId="155AE5E2" w14:textId="77777777" w:rsidR="006B4A66" w:rsidRPr="006B4A66" w:rsidRDefault="006B4A66" w:rsidP="0073496A">
            <w:pPr>
              <w:spacing w:line="480" w:lineRule="auto"/>
              <w:rPr>
                <w:rFonts w:eastAsia="Calibri"/>
                <w:color w:val="000000"/>
              </w:rPr>
            </w:pPr>
            <w:r w:rsidRPr="006B4A66">
              <w:rPr>
                <w:rFonts w:eastAsia="Calibri"/>
                <w:color w:val="000000"/>
              </w:rPr>
              <w:t>C406.2.18</w:t>
            </w:r>
          </w:p>
        </w:tc>
        <w:tc>
          <w:tcPr>
            <w:tcW w:w="1050" w:type="dxa"/>
          </w:tcPr>
          <w:p w14:paraId="5B31DED3" w14:textId="77777777" w:rsidR="006B4A66" w:rsidRPr="006B4A66" w:rsidRDefault="006B4A66" w:rsidP="0073496A">
            <w:pPr>
              <w:spacing w:line="480" w:lineRule="auto"/>
              <w:jc w:val="center"/>
              <w:rPr>
                <w:rFonts w:eastAsia="Calibri"/>
                <w:color w:val="000000"/>
              </w:rPr>
            </w:pPr>
            <w:r w:rsidRPr="006B4A66">
              <w:rPr>
                <w:rFonts w:eastAsia="Calibri"/>
                <w:color w:val="000000"/>
              </w:rPr>
              <w:t>Heat</w:t>
            </w:r>
          </w:p>
        </w:tc>
        <w:tc>
          <w:tcPr>
            <w:tcW w:w="783" w:type="dxa"/>
          </w:tcPr>
          <w:p w14:paraId="233E342F" w14:textId="77777777" w:rsidR="006B4A66" w:rsidRPr="006B4A66" w:rsidRDefault="006B4A66" w:rsidP="0073496A">
            <w:pPr>
              <w:spacing w:line="480" w:lineRule="auto"/>
              <w:jc w:val="center"/>
              <w:rPr>
                <w:rFonts w:eastAsia="Calibri"/>
                <w:color w:val="000000"/>
              </w:rPr>
            </w:pPr>
            <w:r w:rsidRPr="006B4A66">
              <w:rPr>
                <w:rFonts w:eastAsia="Calibri"/>
                <w:color w:val="000000"/>
              </w:rPr>
              <w:t>3</w:t>
            </w:r>
          </w:p>
        </w:tc>
        <w:tc>
          <w:tcPr>
            <w:tcW w:w="783" w:type="dxa"/>
          </w:tcPr>
          <w:p w14:paraId="2464C40B" w14:textId="77777777" w:rsidR="006B4A66" w:rsidRPr="006B4A66" w:rsidRDefault="006B4A66" w:rsidP="0073496A">
            <w:pPr>
              <w:spacing w:line="480" w:lineRule="auto"/>
              <w:jc w:val="center"/>
              <w:rPr>
                <w:rFonts w:eastAsia="Calibri"/>
                <w:color w:val="000000"/>
              </w:rPr>
            </w:pPr>
            <w:r w:rsidRPr="006B4A66">
              <w:rPr>
                <w:rFonts w:eastAsia="Calibri"/>
                <w:color w:val="000000"/>
              </w:rPr>
              <w:t>5</w:t>
            </w:r>
          </w:p>
        </w:tc>
        <w:tc>
          <w:tcPr>
            <w:tcW w:w="783" w:type="dxa"/>
          </w:tcPr>
          <w:p w14:paraId="48C1B316" w14:textId="77777777" w:rsidR="006B4A66" w:rsidRPr="006B4A66" w:rsidRDefault="006B4A66" w:rsidP="0073496A">
            <w:pPr>
              <w:spacing w:line="480" w:lineRule="auto"/>
              <w:jc w:val="center"/>
              <w:rPr>
                <w:rFonts w:eastAsia="Calibri"/>
                <w:color w:val="000000"/>
              </w:rPr>
            </w:pPr>
            <w:r w:rsidRPr="006B4A66">
              <w:rPr>
                <w:rFonts w:eastAsia="Calibri"/>
                <w:color w:val="000000"/>
              </w:rPr>
              <w:t>5</w:t>
            </w:r>
          </w:p>
        </w:tc>
        <w:tc>
          <w:tcPr>
            <w:tcW w:w="783" w:type="dxa"/>
          </w:tcPr>
          <w:p w14:paraId="4A002BB5" w14:textId="77777777" w:rsidR="006B4A66" w:rsidRPr="006B4A66" w:rsidRDefault="006B4A66" w:rsidP="0073496A">
            <w:pPr>
              <w:spacing w:line="480" w:lineRule="auto"/>
              <w:jc w:val="center"/>
              <w:rPr>
                <w:rFonts w:eastAsia="Calibri"/>
                <w:color w:val="000000"/>
              </w:rPr>
            </w:pPr>
            <w:r w:rsidRPr="006B4A66">
              <w:rPr>
                <w:rFonts w:eastAsia="Calibri"/>
                <w:color w:val="000000"/>
              </w:rPr>
              <w:t>5</w:t>
            </w:r>
          </w:p>
        </w:tc>
        <w:tc>
          <w:tcPr>
            <w:tcW w:w="1005" w:type="dxa"/>
          </w:tcPr>
          <w:p w14:paraId="03999AFF" w14:textId="77777777" w:rsidR="006B4A66" w:rsidRPr="006B4A66" w:rsidRDefault="006B4A66" w:rsidP="0073496A">
            <w:pPr>
              <w:spacing w:line="480" w:lineRule="auto"/>
              <w:jc w:val="center"/>
              <w:rPr>
                <w:rFonts w:eastAsia="Calibri"/>
                <w:color w:val="000000"/>
              </w:rPr>
            </w:pPr>
            <w:r w:rsidRPr="006B4A66">
              <w:rPr>
                <w:rFonts w:eastAsia="Calibri"/>
                <w:color w:val="000000"/>
              </w:rPr>
              <w:t>4</w:t>
            </w:r>
          </w:p>
        </w:tc>
        <w:tc>
          <w:tcPr>
            <w:tcW w:w="978" w:type="dxa"/>
          </w:tcPr>
          <w:p w14:paraId="36DBCCC1" w14:textId="77777777" w:rsidR="006B4A66" w:rsidRPr="006B4A66" w:rsidRDefault="006B4A66" w:rsidP="0073496A">
            <w:pPr>
              <w:spacing w:line="480" w:lineRule="auto"/>
              <w:jc w:val="center"/>
              <w:rPr>
                <w:rFonts w:eastAsia="Calibri"/>
                <w:color w:val="000000"/>
              </w:rPr>
            </w:pPr>
            <w:r w:rsidRPr="006B4A66">
              <w:rPr>
                <w:rFonts w:eastAsia="Calibri"/>
                <w:color w:val="000000"/>
              </w:rPr>
              <w:t>4</w:t>
            </w:r>
          </w:p>
        </w:tc>
      </w:tr>
    </w:tbl>
    <w:p w14:paraId="3635FD0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Footnotes:</w:t>
      </w:r>
    </w:p>
    <w:p w14:paraId="5039F69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a.  Projects using Item 2 shall not use Items 3, 4, or 7.</w:t>
      </w:r>
    </w:p>
    <w:p w14:paraId="5AB636B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b.  Projects using WSEC C406.2.2.5 shall not use WSEC C406.2.2.4.</w:t>
      </w:r>
    </w:p>
    <w:p w14:paraId="1B5E740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c.  For WSEC C406.2.2.6, Group A occupancies achieve 40 credits.  Other occupancy groups within the "all other" category achieve 21 credits.</w:t>
      </w:r>
    </w:p>
    <w:p w14:paraId="1196376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d.  Projects using WSEC C406.2.3.2 shall not use WSEC C406.2.3.1.</w:t>
      </w:r>
    </w:p>
    <w:p w14:paraId="4AD8B58C" w14:textId="05E1AD3A"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e.  Service water heat recovery and heat pump water heating are available in Group M occupancies only for grocery stores larger than 10,000 square feet.  Large mixed retail uses with full grocery and butcher sections shall achieve half the credits.  This credit is not available where refrigeration recovery to heat service hot water is used to meet the requirements of WSEC C403.9.2.3.</w:t>
      </w:r>
    </w:p>
    <w:p w14:paraId="76B9A61B" w14:textId="3DBF47D0"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f.  </w:t>
      </w:r>
      <w:r w:rsidR="00293DA0" w:rsidRPr="00293DA0">
        <w:rPr>
          <w:rFonts w:ascii="Times New Roman" w:eastAsia="Calibri" w:hAnsi="Times New Roman" w:cs="Times New Roman"/>
          <w:color w:val="000000"/>
          <w:kern w:val="0"/>
          <w:sz w:val="24"/>
          <w14:ligatures w14:val="none"/>
        </w:rPr>
        <w:t xml:space="preserve">Heat pump water heating efficiency credits are available in the </w:t>
      </w:r>
      <w:r w:rsidR="00905308">
        <w:rPr>
          <w:rFonts w:ascii="Times New Roman" w:eastAsia="Calibri" w:hAnsi="Times New Roman" w:cs="Times New Roman"/>
          <w:color w:val="000000"/>
          <w:kern w:val="0"/>
          <w:sz w:val="24"/>
          <w14:ligatures w14:val="none"/>
        </w:rPr>
        <w:t>"</w:t>
      </w:r>
      <w:r w:rsidR="00293DA0" w:rsidRPr="00293DA0">
        <w:rPr>
          <w:rFonts w:ascii="Times New Roman" w:eastAsia="Calibri" w:hAnsi="Times New Roman" w:cs="Times New Roman"/>
          <w:color w:val="000000"/>
          <w:kern w:val="0"/>
          <w:sz w:val="24"/>
          <w14:ligatures w14:val="none"/>
        </w:rPr>
        <w:t>all other</w:t>
      </w:r>
      <w:r w:rsidR="00905308">
        <w:rPr>
          <w:rFonts w:ascii="Times New Roman" w:eastAsia="Calibri" w:hAnsi="Times New Roman" w:cs="Times New Roman"/>
          <w:color w:val="000000"/>
          <w:kern w:val="0"/>
          <w:sz w:val="24"/>
          <w14:ligatures w14:val="none"/>
        </w:rPr>
        <w:t>"</w:t>
      </w:r>
      <w:r w:rsidR="00293DA0" w:rsidRPr="00293DA0">
        <w:rPr>
          <w:rFonts w:ascii="Times New Roman" w:eastAsia="Calibri" w:hAnsi="Times New Roman" w:cs="Times New Roman"/>
          <w:color w:val="000000"/>
          <w:kern w:val="0"/>
          <w:sz w:val="24"/>
          <w14:ligatures w14:val="none"/>
        </w:rPr>
        <w:t xml:space="preserve"> category only for Group A-2</w:t>
      </w:r>
      <w:r w:rsidRPr="006B4A66">
        <w:rPr>
          <w:rFonts w:ascii="Times New Roman" w:eastAsia="Calibri" w:hAnsi="Times New Roman" w:cs="Times New Roman"/>
          <w:color w:val="000000"/>
          <w:kern w:val="0"/>
          <w:sz w:val="24"/>
          <w14:ligatures w14:val="none"/>
        </w:rPr>
        <w:t>.</w:t>
      </w:r>
    </w:p>
    <w:p w14:paraId="4B26496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g.  Buildings or building areas that are exempt from the thermal envelope requirements in accordance with WSEC C402.1.1 and C402.1.2, do not qualify for this package.</w:t>
      </w:r>
    </w:p>
    <w:p w14:paraId="16D9D38D" w14:textId="26E240B1"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105.</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3D957C60"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Section C406.2.1 of the Washington State Energy Code is not adopted and the following is substituted:</w:t>
      </w:r>
    </w:p>
    <w:p w14:paraId="2AD13289" w14:textId="2C8EE6D1"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Dwelling unit and Group R-1 sleeping unit HVAC controls (</w:t>
      </w:r>
      <w:r w:rsidRPr="006B4A66">
        <w:rPr>
          <w:rFonts w:ascii="Times New Roman" w:eastAsia="Calibri" w:hAnsi="Times New Roman" w:cs="Times New Roman"/>
          <w:b/>
          <w:color w:val="000000"/>
          <w:kern w:val="0"/>
          <w:sz w:val="24"/>
          <w14:ligatures w14:val="none"/>
        </w:rPr>
        <w:t>WSEC</w:t>
      </w:r>
      <w:r w:rsidRPr="006B4A66">
        <w:rPr>
          <w:rFonts w:ascii="Times New Roman" w:eastAsia="Calibri" w:hAnsi="Times New Roman" w:cs="Times New Roman"/>
          <w:b/>
          <w:bCs/>
          <w:color w:val="000000"/>
          <w:kern w:val="0"/>
          <w:sz w:val="24"/>
          <w14:ligatures w14:val="none"/>
        </w:rPr>
        <w:t xml:space="preserve"> C406.2.1).</w:t>
      </w:r>
      <w:r w:rsidRPr="006B4A66">
        <w:rPr>
          <w:rFonts w:ascii="Times New Roman" w:eastAsia="Calibri" w:hAnsi="Times New Roman" w:cs="Times New Roman"/>
          <w:color w:val="000000"/>
          <w:kern w:val="0"/>
          <w:sz w:val="24"/>
          <w14:ligatures w14:val="none"/>
        </w:rPr>
        <w:t xml:space="preserve">  HVAC systems serving dwelling units or Group R-1 sleeping units shall be </w:t>
      </w:r>
      <w:r w:rsidRPr="006B4A66">
        <w:rPr>
          <w:rFonts w:ascii="Times New Roman" w:eastAsia="Calibri" w:hAnsi="Times New Roman" w:cs="Times New Roman"/>
          <w:color w:val="000000"/>
          <w:kern w:val="0"/>
          <w:sz w:val="24"/>
          <w14:ligatures w14:val="none"/>
        </w:rPr>
        <w:lastRenderedPageBreak/>
        <w:t>controlled with a programmable thermostat that is configured to automatically activate a setback condition of at least 5° Fahrenheit  for both heating and cooling.  The programmable thermostat shall be configured to provide setback during occupied sleep periods.  The unoccupied setback mode shall be configured to operate in conjunction with one of the following:</w:t>
      </w:r>
    </w:p>
    <w:p w14:paraId="368C8C6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A manual main control device by each dwelling unit or Group R-1 sleeping unit main entrance that initiates setback for all HVAC units in the dwelling unit and is clearly identified as "Heating/Cooling Master Setback."</w:t>
      </w:r>
    </w:p>
    <w:p w14:paraId="48F44FE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Occupancy sensors in each room of the dwelling unit or Group R-1 sleeping unit combined with a door switch to initiate setback for all HVAC units in the dwelling within 20 minutes of all spaces being vacant immediately following a door switch operation.  Where separate room HVAC units are used, an individual occupancy sensor on each unit that is configured to provide setback shall meet this requirement.</w:t>
      </w:r>
    </w:p>
    <w:p w14:paraId="5FAAE32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3.  An advanced learning thermostat that senses occupant presence and automatically creates a schedule for occupancy and provides a dynamic setback schedule based on when the spaces are generally unoccupied.</w:t>
      </w:r>
    </w:p>
    <w:p w14:paraId="39D947E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4.  An automated control and sensing system that uses geographic sensing connected to the dwelling unit occupants' cell phones and initiates the setback condition when all occupants are away from the building.</w:t>
      </w:r>
    </w:p>
    <w:p w14:paraId="5FA74E1D" w14:textId="50D87B0D"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106.</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306CA466"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Section C406.2.2 of the Washington State Energy Code is not adopted and the following is substituted:</w:t>
      </w:r>
    </w:p>
    <w:p w14:paraId="52EBAC2E" w14:textId="77777777" w:rsidR="006B4A66" w:rsidRPr="006B4A66" w:rsidRDefault="006B4A66" w:rsidP="0073496A">
      <w:pPr>
        <w:tabs>
          <w:tab w:val="left" w:pos="720"/>
        </w:tabs>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b/>
          <w:bCs/>
          <w:color w:val="000000"/>
          <w:kern w:val="0"/>
          <w:sz w:val="24"/>
          <w14:ligatures w14:val="none"/>
        </w:rPr>
        <w:t>More efficient HVAC system performance (WSEC C406.2.2).</w:t>
      </w:r>
      <w:r w:rsidRPr="006B4A66">
        <w:rPr>
          <w:rFonts w:ascii="Times New Roman" w:eastAsia="Calibri" w:hAnsi="Times New Roman" w:cs="Times New Roman"/>
          <w:color w:val="000000"/>
          <w:kern w:val="0"/>
          <w:sz w:val="24"/>
          <w14:ligatures w14:val="none"/>
        </w:rPr>
        <w:t xml:space="preserve">  All heating and cooling systems shall meet the minimum requirements of WSEC C403 and efficiency improvements shall be referenced to the minimum efficiency requirements listed in the tables in WSEC C403.3.2.  Where multiple efficiency requirements are listed, equipment shall meet the seasonal efficiencies including SEER, EER/IEER, IPLV, or AFUE.  Equipment that is larger than the maximum capacity range indicated in the tables in WSEC C403.3.2 shall utilize the values listed for the largest capacity equipment for the associated equipment type shown in the table.  Where multiple individual heating or cooling systems serve the project, the improvement shall be the weighted average improvement based on individual system capacity.  This credit shall not be utilized for low energy or semi-heated space conditioning categories.  No HVAC systems incorporating fossil fuel-fired equipment, or heat from district energy systems that are primarily heated by fossil fuel combustion, are permitted to utilize this credit.</w:t>
      </w:r>
    </w:p>
    <w:p w14:paraId="3639335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For occupancies and systems required to comply with WSEC C403.1.1, credits are permitted to be achieved by meeting the requirements of WSEC C406.2.2.1.  Other systems are permitted to achieve credits by meeting the requirements of either:</w:t>
      </w:r>
    </w:p>
    <w:p w14:paraId="4B74114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WSEC C406.2.2.2, More efficient HVAC equipment cooling and fan performance;</w:t>
      </w:r>
    </w:p>
    <w:p w14:paraId="3EC8E91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WSEC C406.2.2.3, More efficient HVAC equipment heating performance;</w:t>
      </w:r>
    </w:p>
    <w:p w14:paraId="3CA274E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3.  WSEC C406.2.2.4, High performance dedicated outdoor air system (DOAS); or</w:t>
      </w:r>
    </w:p>
    <w:p w14:paraId="3F6B136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4.  Any combination of WSEC C406.2.2.2, C406.2.2.3, and C406.2.2.4.</w:t>
      </w:r>
    </w:p>
    <w:p w14:paraId="09D39E8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In addition, energy credits are permitted to be achieved for WSEC C406.2.2.7, Fault detection and diagnostics, where not otherwise required by WSEC C403.2.3 or C403.6.10(15).</w:t>
      </w:r>
    </w:p>
    <w:p w14:paraId="16754131" w14:textId="1BF576C5"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107.</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2B52A55B"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Section C406.2.2.3 of the Washington State Energy Code is not adopted and the following is substituted:</w:t>
      </w:r>
    </w:p>
    <w:p w14:paraId="1C9E628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More efficient HVAC equipment heating performance (</w:t>
      </w:r>
      <w:r w:rsidRPr="006B4A66">
        <w:rPr>
          <w:rFonts w:ascii="Times New Roman" w:eastAsia="Calibri" w:hAnsi="Times New Roman" w:cs="Times New Roman"/>
          <w:b/>
          <w:color w:val="000000"/>
          <w:kern w:val="0"/>
          <w:sz w:val="24"/>
          <w14:ligatures w14:val="none"/>
        </w:rPr>
        <w:t>WSEC</w:t>
      </w:r>
      <w:r w:rsidRPr="006B4A66">
        <w:rPr>
          <w:rFonts w:ascii="Times New Roman" w:eastAsia="Calibri" w:hAnsi="Times New Roman" w:cs="Times New Roman"/>
          <w:b/>
          <w:bCs/>
          <w:color w:val="000000"/>
          <w:kern w:val="0"/>
          <w:sz w:val="24"/>
          <w14:ligatures w14:val="none"/>
        </w:rPr>
        <w:t xml:space="preserve"> C406.2.2.3).</w:t>
      </w:r>
      <w:r w:rsidRPr="006B4A66">
        <w:rPr>
          <w:rFonts w:ascii="Times New Roman" w:eastAsia="Calibri" w:hAnsi="Times New Roman" w:cs="Times New Roman"/>
          <w:color w:val="000000"/>
          <w:kern w:val="0"/>
          <w:sz w:val="24"/>
          <w14:ligatures w14:val="none"/>
        </w:rPr>
        <w:t xml:space="preserve">  No less than 90 percent of the total HVAC capacity serving the total conditioned floor area of the entire building, building addition, or tenant space in accordance with WSEC C406.1.1 shall comply with the following:</w:t>
      </w:r>
    </w:p>
    <w:p w14:paraId="0335F5E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C.406.2.2.3.1.  HVAC system selection.  Equipment installed shall be types that are listed in the tables in WSEC C403.3.2.  Electrical resistance heating shall be limited to 20 percent of system capacity with the exception of heat pump supplemental heating.  No HVAC systems incorporating fossil fuel-fired equipment, or heat from district energy systems that are primarily heated by fossil fuel combustion, are permitted to utilize this credit.</w:t>
      </w:r>
    </w:p>
    <w:p w14:paraId="4826C51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C.406.2.2.3.2.  Heating equipment efficiency.  Equipment shall exceed the minimum heating efficiency requirements of the tables in WSEC C403.3.2 by at least 5 percent.  Where equipment exceeds the minimum annual heating efficiency requirements by more than 5 percent, energy efficiency credits for heating shall be determined using Equation 4-16, rounded to the nearest whole number.</w:t>
      </w:r>
    </w:p>
    <w:p w14:paraId="12637247" w14:textId="77777777" w:rsidR="006B4A66" w:rsidRDefault="006B4A66" w:rsidP="0073496A">
      <w:pPr>
        <w:tabs>
          <w:tab w:val="left" w:pos="720"/>
        </w:tabs>
        <w:spacing w:after="0" w:line="480" w:lineRule="auto"/>
        <w:rPr>
          <w:rFonts w:ascii="Times New Roman" w:eastAsia="Calibri" w:hAnsi="Times New Roman" w:cs="Times New Roman"/>
          <w:b/>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Equation 4-16:</w:t>
      </w:r>
    </w:p>
    <w:p w14:paraId="43C892A9" w14:textId="57AA3E8F" w:rsidR="000803CD" w:rsidRPr="0012038B" w:rsidRDefault="000803CD" w:rsidP="0073496A">
      <w:pPr>
        <w:tabs>
          <w:tab w:val="left" w:pos="720"/>
        </w:tabs>
        <w:spacing w:after="0" w:line="480" w:lineRule="auto"/>
        <w:rPr>
          <w:rFonts w:asciiTheme="majorHAnsi" w:eastAsia="Calibri" w:hAnsiTheme="majorHAnsi" w:cstheme="majorHAnsi"/>
          <w:b/>
          <w:bCs/>
          <w:kern w:val="0"/>
          <w:sz w:val="24"/>
          <w14:ligatures w14:val="none"/>
        </w:rPr>
      </w:pPr>
      <w:r w:rsidRPr="0012038B">
        <w:rPr>
          <w:rFonts w:asciiTheme="majorHAnsi" w:eastAsia="Calibri" w:hAnsiTheme="majorHAnsi" w:cstheme="majorHAnsi"/>
          <w:color w:val="000000"/>
          <w:sz w:val="24"/>
        </w:rPr>
        <w:lastRenderedPageBreak/>
        <w:t>EEC</w:t>
      </w:r>
      <w:r w:rsidRPr="0012038B">
        <w:rPr>
          <w:rFonts w:asciiTheme="majorHAnsi" w:eastAsia="Calibri" w:hAnsiTheme="majorHAnsi" w:cstheme="majorHAnsi"/>
          <w:color w:val="000000"/>
          <w:sz w:val="24"/>
          <w:vertAlign w:val="subscript"/>
        </w:rPr>
        <w:t>HEH</w:t>
      </w:r>
      <w:r w:rsidRPr="0012038B">
        <w:rPr>
          <w:rFonts w:asciiTheme="majorHAnsi" w:eastAsia="Calibri" w:hAnsiTheme="majorHAnsi" w:cstheme="majorHAnsi"/>
          <w:color w:val="000000"/>
          <w:sz w:val="24"/>
        </w:rPr>
        <w:t xml:space="preserve"> = EEC</w:t>
      </w:r>
      <w:r w:rsidRPr="0012038B">
        <w:rPr>
          <w:rFonts w:asciiTheme="majorHAnsi" w:eastAsia="Calibri" w:hAnsiTheme="majorHAnsi" w:cstheme="majorHAnsi"/>
          <w:color w:val="000000"/>
          <w:sz w:val="24"/>
          <w:vertAlign w:val="subscript"/>
        </w:rPr>
        <w:t>5</w:t>
      </w:r>
      <w:r w:rsidRPr="0012038B">
        <w:rPr>
          <w:rFonts w:asciiTheme="majorHAnsi" w:eastAsia="Calibri" w:hAnsiTheme="majorHAnsi" w:cstheme="majorHAnsi"/>
          <w:color w:val="000000"/>
          <w:sz w:val="24"/>
        </w:rPr>
        <w:t xml:space="preserve"> x [1 + (HEI</w:t>
      </w:r>
      <w:r w:rsidR="0012038B" w:rsidRPr="0012038B">
        <w:rPr>
          <w:rFonts w:asciiTheme="majorHAnsi" w:eastAsia="Calibri" w:hAnsiTheme="majorHAnsi" w:cstheme="majorHAnsi"/>
          <w:color w:val="000000"/>
          <w:sz w:val="24"/>
        </w:rPr>
        <w:t xml:space="preserve"> </w:t>
      </w:r>
      <w:r w:rsidRPr="0012038B">
        <w:rPr>
          <w:rFonts w:asciiTheme="majorHAnsi" w:eastAsia="Calibri" w:hAnsiTheme="majorHAnsi" w:cstheme="majorHAnsi"/>
          <w:color w:val="000000"/>
          <w:sz w:val="24"/>
        </w:rPr>
        <w:t>- 0.05</w:t>
      </w:r>
      <w:r w:rsidR="00A67F04">
        <w:rPr>
          <w:rFonts w:asciiTheme="majorHAnsi" w:eastAsia="Calibri" w:hAnsiTheme="majorHAnsi" w:cstheme="majorHAnsi"/>
          <w:color w:val="000000"/>
          <w:sz w:val="24"/>
        </w:rPr>
        <w:t>)</w:t>
      </w:r>
      <w:r w:rsidR="002A578A" w:rsidRPr="0012038B">
        <w:rPr>
          <w:rFonts w:asciiTheme="majorHAnsi" w:eastAsia="Calibri" w:hAnsiTheme="majorHAnsi" w:cstheme="majorHAnsi"/>
          <w:color w:val="000000"/>
          <w:sz w:val="24"/>
        </w:rPr>
        <w:t xml:space="preserve"> / 0.05]</w:t>
      </w:r>
    </w:p>
    <w:p w14:paraId="520FCFB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Where:</w:t>
      </w:r>
    </w:p>
    <w:p w14:paraId="439F6C7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EEC</w:t>
      </w:r>
      <w:r w:rsidRPr="006B4A66">
        <w:rPr>
          <w:rFonts w:ascii="Times New Roman" w:eastAsia="Calibri" w:hAnsi="Times New Roman" w:cs="Times New Roman"/>
          <w:color w:val="000000"/>
          <w:kern w:val="0"/>
          <w:sz w:val="24"/>
          <w:vertAlign w:val="subscript"/>
          <w14:ligatures w14:val="none"/>
        </w:rPr>
        <w:t>HEH</w:t>
      </w:r>
      <w:r w:rsidRPr="006B4A66">
        <w:rPr>
          <w:rFonts w:ascii="Times New Roman" w:eastAsia="Calibri" w:hAnsi="Times New Roman" w:cs="Times New Roman"/>
          <w:color w:val="000000"/>
          <w:kern w:val="0"/>
          <w:sz w:val="24"/>
          <w14:ligatures w14:val="none"/>
        </w:rPr>
        <w:t xml:space="preserve"> = Energy efficiency credits for heating efficiency improvement.</w:t>
      </w:r>
    </w:p>
    <w:p w14:paraId="5611607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EEC</w:t>
      </w:r>
      <w:r w:rsidRPr="006B4A66">
        <w:rPr>
          <w:rFonts w:ascii="Times New Roman" w:eastAsia="Calibri" w:hAnsi="Times New Roman" w:cs="Times New Roman"/>
          <w:color w:val="000000"/>
          <w:kern w:val="0"/>
          <w:sz w:val="24"/>
          <w:vertAlign w:val="subscript"/>
          <w14:ligatures w14:val="none"/>
        </w:rPr>
        <w:t>5</w:t>
      </w:r>
      <w:r w:rsidRPr="006B4A66">
        <w:rPr>
          <w:rFonts w:ascii="Times New Roman" w:eastAsia="Calibri" w:hAnsi="Times New Roman" w:cs="Times New Roman"/>
          <w:color w:val="000000"/>
          <w:kern w:val="0"/>
          <w:sz w:val="24"/>
          <w14:ligatures w14:val="none"/>
        </w:rPr>
        <w:t xml:space="preserve"> = WSEC C406.2.2.2 credits from WSEC Table C406.2(1).</w:t>
      </w:r>
    </w:p>
    <w:p w14:paraId="73AF388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HEI = The lesser of the improvement above minimum heating efficiency requirements or 20 percent or 0.2.  Where heating efficiency varies by system, use the capacity weighted average percentage for all heating equipment combined.  For metrics that increase as efficiency increases, HEI shall be calculated as follows:</w:t>
      </w:r>
    </w:p>
    <w:p w14:paraId="4B0D7F99" w14:textId="54378C28" w:rsidR="00A67F04" w:rsidRPr="00652AD4" w:rsidRDefault="00A67F04" w:rsidP="0073496A">
      <w:pPr>
        <w:tabs>
          <w:tab w:val="left" w:pos="720"/>
        </w:tabs>
        <w:spacing w:after="0" w:line="480" w:lineRule="auto"/>
        <w:rPr>
          <w:rFonts w:asciiTheme="majorHAnsi" w:eastAsia="Calibri" w:hAnsiTheme="majorHAnsi" w:cstheme="majorHAnsi"/>
          <w:color w:val="000000"/>
          <w:kern w:val="0"/>
          <w:sz w:val="24"/>
          <w14:ligatures w14:val="none"/>
        </w:rPr>
      </w:pPr>
      <w:r w:rsidRPr="00652AD4">
        <w:rPr>
          <w:rFonts w:asciiTheme="majorHAnsi" w:eastAsia="Calibri" w:hAnsiTheme="majorHAnsi" w:cstheme="majorHAnsi"/>
          <w:color w:val="000000"/>
          <w:kern w:val="0"/>
          <w:sz w:val="24"/>
          <w14:ligatures w14:val="none"/>
        </w:rPr>
        <w:t xml:space="preserve">HEI = </w:t>
      </w:r>
      <w:r w:rsidR="00652AD4" w:rsidRPr="00652AD4">
        <w:rPr>
          <w:rFonts w:asciiTheme="majorHAnsi" w:eastAsia="Calibri" w:hAnsiTheme="majorHAnsi" w:cstheme="majorHAnsi"/>
          <w:color w:val="000000"/>
          <w:kern w:val="0"/>
          <w:sz w:val="24"/>
          <w14:ligatures w14:val="none"/>
        </w:rPr>
        <w:t>(</w:t>
      </w:r>
      <w:r w:rsidR="00652AD4" w:rsidRPr="00652AD4">
        <w:rPr>
          <w:rFonts w:asciiTheme="majorHAnsi" w:eastAsia="Calibri" w:hAnsiTheme="majorHAnsi" w:cstheme="majorHAnsi"/>
          <w:color w:val="000000"/>
          <w:sz w:val="24"/>
        </w:rPr>
        <w:t>HM</w:t>
      </w:r>
      <w:r w:rsidR="00652AD4" w:rsidRPr="00652AD4">
        <w:rPr>
          <w:rFonts w:asciiTheme="majorHAnsi" w:eastAsia="Calibri" w:hAnsiTheme="majorHAnsi" w:cstheme="majorHAnsi"/>
          <w:color w:val="000000"/>
          <w:sz w:val="24"/>
          <w:vertAlign w:val="subscript"/>
        </w:rPr>
        <w:t>DES</w:t>
      </w:r>
      <w:r w:rsidR="00D1462B">
        <w:rPr>
          <w:rFonts w:asciiTheme="majorHAnsi" w:eastAsia="Calibri" w:hAnsiTheme="majorHAnsi" w:cstheme="majorHAnsi"/>
          <w:color w:val="000000"/>
          <w:sz w:val="24"/>
          <w:vertAlign w:val="subscript"/>
        </w:rPr>
        <w:t xml:space="preserve"> </w:t>
      </w:r>
      <w:r w:rsidR="00652AD4" w:rsidRPr="00D1462B">
        <w:rPr>
          <w:rFonts w:asciiTheme="majorHAnsi" w:eastAsia="Calibri" w:hAnsiTheme="majorHAnsi" w:cstheme="majorHAnsi"/>
          <w:color w:val="000000"/>
          <w:sz w:val="24"/>
        </w:rPr>
        <w:t>/</w:t>
      </w:r>
      <w:r w:rsidR="00D1462B">
        <w:rPr>
          <w:rFonts w:asciiTheme="majorHAnsi" w:eastAsia="Calibri" w:hAnsiTheme="majorHAnsi" w:cstheme="majorHAnsi"/>
          <w:color w:val="000000"/>
          <w:sz w:val="24"/>
        </w:rPr>
        <w:t xml:space="preserve"> </w:t>
      </w:r>
      <w:r w:rsidR="00652AD4" w:rsidRPr="00652AD4">
        <w:rPr>
          <w:rFonts w:asciiTheme="majorHAnsi" w:eastAsia="Calibri" w:hAnsiTheme="majorHAnsi" w:cstheme="majorHAnsi"/>
          <w:color w:val="000000"/>
          <w:sz w:val="24"/>
        </w:rPr>
        <w:t>HM</w:t>
      </w:r>
      <w:r w:rsidR="00652AD4" w:rsidRPr="00652AD4">
        <w:rPr>
          <w:rFonts w:asciiTheme="majorHAnsi" w:eastAsia="Calibri" w:hAnsiTheme="majorHAnsi" w:cstheme="majorHAnsi"/>
          <w:color w:val="000000"/>
          <w:sz w:val="24"/>
          <w:vertAlign w:val="subscript"/>
        </w:rPr>
        <w:t>MIN</w:t>
      </w:r>
      <w:r w:rsidR="00652AD4">
        <w:rPr>
          <w:rFonts w:asciiTheme="majorHAnsi" w:eastAsia="Calibri" w:hAnsiTheme="majorHAnsi" w:cstheme="majorHAnsi"/>
          <w:color w:val="000000"/>
          <w:sz w:val="24"/>
        </w:rPr>
        <w:t>) - 1</w:t>
      </w:r>
    </w:p>
    <w:p w14:paraId="1CB3B2D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Where:</w:t>
      </w:r>
    </w:p>
    <w:p w14:paraId="34E0FB6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HM</w:t>
      </w:r>
      <w:r w:rsidRPr="006B4A66">
        <w:rPr>
          <w:rFonts w:ascii="Times New Roman" w:eastAsia="Calibri" w:hAnsi="Times New Roman" w:cs="Times New Roman"/>
          <w:color w:val="000000"/>
          <w:kern w:val="0"/>
          <w:sz w:val="24"/>
          <w:vertAlign w:val="subscript"/>
          <w14:ligatures w14:val="none"/>
        </w:rPr>
        <w:t>DES</w:t>
      </w:r>
      <w:r w:rsidRPr="006B4A66">
        <w:rPr>
          <w:rFonts w:ascii="Times New Roman" w:eastAsia="Calibri" w:hAnsi="Times New Roman" w:cs="Times New Roman"/>
          <w:color w:val="000000"/>
          <w:kern w:val="0"/>
          <w:sz w:val="24"/>
          <w14:ligatures w14:val="none"/>
        </w:rPr>
        <w:t xml:space="preserve"> = Design heating efficiency metric, part-load, or annualized where available.</w:t>
      </w:r>
    </w:p>
    <w:p w14:paraId="3619B70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HM</w:t>
      </w:r>
      <w:r w:rsidRPr="006B4A66">
        <w:rPr>
          <w:rFonts w:ascii="Times New Roman" w:eastAsia="Calibri" w:hAnsi="Times New Roman" w:cs="Times New Roman"/>
          <w:color w:val="000000"/>
          <w:kern w:val="0"/>
          <w:sz w:val="24"/>
          <w:vertAlign w:val="subscript"/>
          <w14:ligatures w14:val="none"/>
        </w:rPr>
        <w:t>MIN</w:t>
      </w:r>
      <w:r w:rsidRPr="006B4A66">
        <w:rPr>
          <w:rFonts w:ascii="Times New Roman" w:eastAsia="Calibri" w:hAnsi="Times New Roman" w:cs="Times New Roman"/>
          <w:color w:val="000000"/>
          <w:kern w:val="0"/>
          <w:sz w:val="24"/>
          <w14:ligatures w14:val="none"/>
        </w:rPr>
        <w:t xml:space="preserve"> = Minimum required heating efficiency metric, part-load, or annualized where available from WSEC C403.3.2.</w:t>
      </w:r>
    </w:p>
    <w:p w14:paraId="1390214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w:t>
      </w:r>
      <w:r w:rsidRPr="006B4A66">
        <w:rPr>
          <w:rFonts w:ascii="Times New Roman" w:eastAsia="Calibri" w:hAnsi="Times New Roman" w:cs="Times New Roman"/>
          <w:color w:val="000000"/>
          <w:kern w:val="0"/>
          <w:sz w:val="24"/>
          <w14:ligatures w14:val="none"/>
        </w:rPr>
        <w:t xml:space="preserve">  In low energy spaces complying with WSEC C402.1.1 and semi-heated spaces complying with WSEC C402.1.1.2, no less than 90 percent of the installed heating capacity is provided by electric infrared or gas-fired radiant heating equipment for localized heating applications.  Such spaces shall achieve credits for EEC</w:t>
      </w:r>
      <w:r w:rsidRPr="006B4A66">
        <w:rPr>
          <w:rFonts w:ascii="Times New Roman" w:eastAsia="Calibri" w:hAnsi="Times New Roman" w:cs="Times New Roman"/>
          <w:color w:val="000000"/>
          <w:kern w:val="0"/>
          <w:sz w:val="24"/>
          <w:vertAlign w:val="subscript"/>
          <w14:ligatures w14:val="none"/>
        </w:rPr>
        <w:t>5</w:t>
      </w:r>
      <w:r w:rsidRPr="006B4A66">
        <w:rPr>
          <w:rFonts w:ascii="Times New Roman" w:eastAsia="Calibri" w:hAnsi="Times New Roman" w:cs="Times New Roman"/>
          <w:color w:val="000000"/>
          <w:kern w:val="0"/>
          <w:sz w:val="24"/>
          <w14:ligatures w14:val="none"/>
        </w:rPr>
        <w:t>.</w:t>
      </w:r>
    </w:p>
    <w:p w14:paraId="1B595313" w14:textId="32DA1D43"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108.</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4CD4AECF"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Section C406.2.2.6 of the Washington State Energy Code is not adopted and the following is substituted:</w:t>
      </w:r>
    </w:p>
    <w:p w14:paraId="164309CD" w14:textId="77777777" w:rsidR="006B4A66" w:rsidRPr="006B4A66" w:rsidRDefault="006B4A66" w:rsidP="0073496A">
      <w:pPr>
        <w:tabs>
          <w:tab w:val="left" w:pos="720"/>
        </w:tabs>
        <w:spacing w:after="0" w:line="480" w:lineRule="auto"/>
        <w:rPr>
          <w:rFonts w:ascii="Times New Roman" w:eastAsia="Times New Roman" w:hAnsi="Times New Roman" w:cs="Times New Roman"/>
          <w:b/>
          <w:bCs/>
          <w:color w:val="000000"/>
          <w:kern w:val="0"/>
          <w:sz w:val="24"/>
          <w:szCs w:val="20"/>
          <w14:ligatures w14:val="none"/>
        </w:rPr>
      </w:pPr>
      <w:r w:rsidRPr="006B4A66">
        <w:rPr>
          <w:rFonts w:ascii="Times New Roman" w:eastAsia="Times New Roman" w:hAnsi="Times New Roman" w:cs="Times New Roman"/>
          <w:b/>
          <w:bCs/>
          <w:color w:val="000000"/>
          <w:kern w:val="0"/>
          <w:sz w:val="24"/>
          <w:szCs w:val="20"/>
          <w14:ligatures w14:val="none"/>
        </w:rPr>
        <w:tab/>
        <w:t>High performance dedicated outdoor air system (DOAS) (</w:t>
      </w:r>
      <w:r w:rsidRPr="006B4A66">
        <w:rPr>
          <w:rFonts w:ascii="Times New Roman" w:eastAsia="Times New Roman" w:hAnsi="Times New Roman" w:cs="Times New Roman"/>
          <w:b/>
          <w:color w:val="000000"/>
          <w:kern w:val="0"/>
          <w:sz w:val="24"/>
          <w:szCs w:val="20"/>
          <w14:ligatures w14:val="none"/>
        </w:rPr>
        <w:t>WSEC</w:t>
      </w:r>
      <w:r w:rsidRPr="006B4A66">
        <w:rPr>
          <w:rFonts w:ascii="Times New Roman" w:eastAsia="Times New Roman" w:hAnsi="Times New Roman" w:cs="Times New Roman"/>
          <w:b/>
          <w:bCs/>
          <w:color w:val="000000"/>
          <w:kern w:val="0"/>
          <w:sz w:val="24"/>
          <w:szCs w:val="20"/>
          <w14:ligatures w14:val="none"/>
        </w:rPr>
        <w:t xml:space="preserve"> C406.2.2.6).</w:t>
      </w:r>
    </w:p>
    <w:p w14:paraId="24DBC5B5"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0"/>
          <w14:ligatures w14:val="none"/>
        </w:rPr>
      </w:pPr>
      <w:r w:rsidRPr="006B4A66">
        <w:rPr>
          <w:rFonts w:ascii="Times New Roman" w:eastAsia="Times New Roman" w:hAnsi="Times New Roman" w:cs="Times New Roman"/>
          <w:b/>
          <w:bCs/>
          <w:color w:val="000000"/>
          <w:kern w:val="0"/>
          <w:sz w:val="24"/>
          <w:szCs w:val="20"/>
          <w14:ligatures w14:val="none"/>
        </w:rPr>
        <w:lastRenderedPageBreak/>
        <w:tab/>
      </w:r>
      <w:r w:rsidRPr="006B4A66">
        <w:rPr>
          <w:rFonts w:ascii="Times New Roman" w:eastAsia="Times New Roman" w:hAnsi="Times New Roman" w:cs="Times New Roman"/>
          <w:color w:val="000000"/>
          <w:kern w:val="0"/>
          <w:sz w:val="24"/>
          <w:szCs w:val="20"/>
          <w14:ligatures w14:val="none"/>
        </w:rPr>
        <w:t>No less than 90 percent of the total conditioned floor area of the whole project, excluding floor area of unoccupied spaces that do not require ventilation as specified by the IMC, shall be served by DOAS installed in accordance with WSEC C403.3.5 with the following adjustments:</w:t>
      </w:r>
    </w:p>
    <w:p w14:paraId="1E3C682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Minimum heat recovery sensible effectiveness of 80 percent, calculated in accordance with WSEC C403.3.5.1, or C403.7.6.1 for R-2 occupancies.</w:t>
      </w:r>
    </w:p>
    <w:p w14:paraId="0E737662" w14:textId="7C8FE9DF"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Where design outdoor airflow is greater than 500 cubic feet per minute (</w:t>
      </w:r>
      <w:r w:rsidR="00EC7E1A">
        <w:rPr>
          <w:rFonts w:ascii="Times New Roman" w:eastAsia="Calibri" w:hAnsi="Times New Roman" w:cs="Times New Roman"/>
          <w:color w:val="000000"/>
          <w:kern w:val="0"/>
          <w:sz w:val="24"/>
          <w14:ligatures w14:val="none"/>
        </w:rPr>
        <w:t>236</w:t>
      </w:r>
      <w:r w:rsidRPr="006B4A66">
        <w:rPr>
          <w:rFonts w:ascii="Times New Roman" w:eastAsia="Calibri" w:hAnsi="Times New Roman" w:cs="Times New Roman"/>
          <w:color w:val="000000"/>
          <w:kern w:val="0"/>
          <w:sz w:val="24"/>
          <w14:ligatures w14:val="none"/>
        </w:rPr>
        <w:t xml:space="preserve"> liters per second), the DOAS shall be equipped with an economizer bypass, damper control, or wheel speed control that is active between 50° Fahrenheit (10° Celsius) and 75° Fahrenheit (24° Celsius) outdoor air temperature and minimizes energy recovery or maintains an appropriate DOAS leaving air temperature when the building is generally in cooling, based either on outdoor air temperature or a DDC zone-based cooling system reset.</w:t>
      </w:r>
    </w:p>
    <w:p w14:paraId="7E91508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3.  DOAS total combined fan power shall comply with the fan power limits in WSEC Table C403.8.4 where applicable and shall be less than either:</w:t>
      </w:r>
    </w:p>
    <w:p w14:paraId="27CA934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3.1.  0.769 watts per cubic feet per minute (1.55 watts per liter per second) when calculated in accordance with WSEC C403.3.5.2; or</w:t>
      </w:r>
    </w:p>
    <w:p w14:paraId="21819F0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3.2.  80 percent of fan power allowance for a constant volume system when calculated in accordance with WSEC C403.8.1.</w:t>
      </w:r>
    </w:p>
    <w:p w14:paraId="04BFAAC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This option (High performance DOAS per C406.2.2.6) is not available to areas served by systems utilizing WSEC C403.2.2.1, exception 5.  No HVAC systems incorporating fossil fuel-fired equipment, or heat from district energy systems that are primarily heated by fossil fuel combustion, are permitted to utilize this credit.</w:t>
      </w:r>
    </w:p>
    <w:p w14:paraId="4806CA0A" w14:textId="6F1D186F"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color w:val="000000"/>
          <w:kern w:val="0"/>
          <w:sz w:val="24"/>
          <w:u w:val="single"/>
          <w14:ligatures w14:val="none"/>
        </w:rPr>
        <w:t>NEW SECTION.  SECTION 109.</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4781BB3F"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Section C406.2.4.2 of the Washington State Energy Code is not adopted and the following is substituted:</w:t>
      </w:r>
    </w:p>
    <w:p w14:paraId="56F9430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Enhanced digital lighting controls (</w:t>
      </w:r>
      <w:r w:rsidRPr="006B4A66">
        <w:rPr>
          <w:rFonts w:ascii="Times New Roman" w:eastAsia="Calibri" w:hAnsi="Times New Roman" w:cs="Times New Roman"/>
          <w:b/>
          <w:color w:val="000000"/>
          <w:kern w:val="0"/>
          <w:sz w:val="24"/>
          <w14:ligatures w14:val="none"/>
        </w:rPr>
        <w:t>WSEC</w:t>
      </w:r>
      <w:r w:rsidRPr="006B4A66">
        <w:rPr>
          <w:rFonts w:ascii="Times New Roman" w:eastAsia="Calibri" w:hAnsi="Times New Roman" w:cs="Times New Roman"/>
          <w:b/>
          <w:bCs/>
          <w:color w:val="000000"/>
          <w:kern w:val="0"/>
          <w:sz w:val="24"/>
          <w14:ligatures w14:val="none"/>
        </w:rPr>
        <w:t xml:space="preserve"> C406.2.4.2).  </w:t>
      </w:r>
      <w:r w:rsidRPr="006B4A66">
        <w:rPr>
          <w:rFonts w:ascii="Times New Roman" w:eastAsia="Calibri" w:hAnsi="Times New Roman" w:cs="Times New Roman"/>
          <w:color w:val="000000"/>
          <w:kern w:val="0"/>
          <w:sz w:val="24"/>
          <w14:ligatures w14:val="none"/>
        </w:rPr>
        <w:t>Measure credits shall be achieved where no less than 50 percent of the gross floor area within the project has luminaires and lighting controls that include high end trim in compliance with WSEC C405.2.8.3 and either luminaire-level lighting controls in compliance with WSEC C405.2.8.1 or networked lighting controls in accordance with WSEC C405.2.8.2.  Open office areas subject to the requirements of WSEC C405.2.8 are not permitted to take credit for this option.  Where general lighting in more than 50 percent of the gross floor area complies, the base credits from WSEC Table C406.2(1) shall be prorated as follows:</w:t>
      </w:r>
    </w:p>
    <w:p w14:paraId="338CD63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[Floor area with high end trim, %] × [Base energy credits for WSEC C406.2.4.2] / 50%</w:t>
      </w:r>
    </w:p>
    <w:p w14:paraId="3D027C5B" w14:textId="78AC5F60"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110.</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23698561"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Section C406.2.6 of the Washington State Energy Code is not adopted and the following is substituted:</w:t>
      </w:r>
    </w:p>
    <w:p w14:paraId="222E974F" w14:textId="77777777" w:rsidR="006B4A66" w:rsidRPr="006B4A66" w:rsidRDefault="006B4A66" w:rsidP="0073496A">
      <w:pPr>
        <w:widowControl w:val="0"/>
        <w:tabs>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spacing w:val="-2"/>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b/>
          <w:color w:val="000000"/>
          <w:spacing w:val="-2"/>
          <w:kern w:val="0"/>
          <w:sz w:val="24"/>
          <w:szCs w:val="24"/>
          <w14:ligatures w14:val="none"/>
        </w:rPr>
        <w:t>Reduced energy use in service water heating (WSEC C406.2.6)</w:t>
      </w:r>
      <w:r w:rsidRPr="006B4A66">
        <w:rPr>
          <w:rFonts w:ascii="Times New Roman" w:eastAsia="Times New Roman" w:hAnsi="Times New Roman" w:cs="Times New Roman"/>
          <w:color w:val="000000"/>
          <w:spacing w:val="-2"/>
          <w:kern w:val="0"/>
          <w:sz w:val="24"/>
          <w:szCs w:val="24"/>
          <w14:ligatures w14:val="none"/>
        </w:rPr>
        <w:t>.  Buildings with service hot water heating equipment that serves the whole building, building addition, or tenant space shall achieve credits through compliance with:</w:t>
      </w:r>
    </w:p>
    <w:p w14:paraId="706F6699" w14:textId="77777777" w:rsidR="006B4A66" w:rsidRPr="006B4A66" w:rsidRDefault="006B4A66" w:rsidP="0073496A">
      <w:pPr>
        <w:widowControl w:val="0"/>
        <w:tabs>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spacing w:val="-2"/>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t xml:space="preserve">1.  </w:t>
      </w:r>
      <w:r w:rsidRPr="006B4A66">
        <w:rPr>
          <w:rFonts w:ascii="Times New Roman" w:eastAsia="Times New Roman" w:hAnsi="Times New Roman" w:cs="Times New Roman"/>
          <w:color w:val="000000"/>
          <w:kern w:val="0"/>
          <w:sz w:val="24"/>
          <w:szCs w:val="20"/>
          <w14:ligatures w14:val="none"/>
        </w:rPr>
        <w:t>WSEC</w:t>
      </w:r>
      <w:r w:rsidRPr="006B4A66">
        <w:rPr>
          <w:rFonts w:ascii="Times New Roman" w:eastAsia="Times New Roman" w:hAnsi="Times New Roman" w:cs="Times New Roman"/>
          <w:color w:val="000000"/>
          <w:spacing w:val="-2"/>
          <w:kern w:val="0"/>
          <w:sz w:val="24"/>
          <w:szCs w:val="24"/>
          <w14:ligatures w14:val="none"/>
        </w:rPr>
        <w:t xml:space="preserve"> C406.2.6.1, C406.2.6.2, or C406.2.6.3.</w:t>
      </w:r>
    </w:p>
    <w:p w14:paraId="7CBFDE8F" w14:textId="77777777" w:rsidR="006B4A66" w:rsidRPr="006B4A66" w:rsidRDefault="006B4A66" w:rsidP="0073496A">
      <w:pPr>
        <w:widowControl w:val="0"/>
        <w:tabs>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spacing w:val="-2"/>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t xml:space="preserve">2.  </w:t>
      </w:r>
      <w:r w:rsidRPr="006B4A66">
        <w:rPr>
          <w:rFonts w:ascii="Times New Roman" w:eastAsia="Times New Roman" w:hAnsi="Times New Roman" w:cs="Times New Roman"/>
          <w:color w:val="000000"/>
          <w:kern w:val="0"/>
          <w:sz w:val="24"/>
          <w:szCs w:val="20"/>
          <w14:ligatures w14:val="none"/>
        </w:rPr>
        <w:t>WSEC</w:t>
      </w:r>
      <w:r w:rsidRPr="006B4A66">
        <w:rPr>
          <w:rFonts w:ascii="Times New Roman" w:eastAsia="Times New Roman" w:hAnsi="Times New Roman" w:cs="Times New Roman"/>
          <w:color w:val="000000"/>
          <w:spacing w:val="-2"/>
          <w:kern w:val="0"/>
          <w:sz w:val="24"/>
          <w:szCs w:val="24"/>
          <w14:ligatures w14:val="none"/>
        </w:rPr>
        <w:t xml:space="preserve"> C406.2.6.1 and C406.2.6.2.</w:t>
      </w:r>
    </w:p>
    <w:p w14:paraId="67CA1234"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spacing w:val="-2"/>
          <w:kern w:val="0"/>
          <w:sz w:val="24"/>
          <w:szCs w:val="20"/>
          <w14:ligatures w14:val="none"/>
        </w:rPr>
      </w:pPr>
      <w:r w:rsidRPr="006B4A66">
        <w:rPr>
          <w:rFonts w:ascii="Times New Roman" w:eastAsia="Times New Roman" w:hAnsi="Times New Roman" w:cs="Times New Roman"/>
          <w:color w:val="000000"/>
          <w:spacing w:val="-2"/>
          <w:kern w:val="0"/>
          <w:sz w:val="24"/>
          <w:szCs w:val="24"/>
          <w14:ligatures w14:val="none"/>
        </w:rPr>
        <w:lastRenderedPageBreak/>
        <w:tab/>
      </w:r>
      <w:r w:rsidRPr="006B4A66">
        <w:rPr>
          <w:rFonts w:ascii="Times New Roman" w:eastAsia="Times New Roman" w:hAnsi="Times New Roman" w:cs="Times New Roman"/>
          <w:color w:val="000000"/>
          <w:spacing w:val="-2"/>
          <w:kern w:val="0"/>
          <w:sz w:val="24"/>
          <w:szCs w:val="20"/>
          <w14:ligatures w14:val="none"/>
        </w:rPr>
        <w:t xml:space="preserve">3.  </w:t>
      </w:r>
      <w:r w:rsidRPr="006B4A66">
        <w:rPr>
          <w:rFonts w:ascii="Times New Roman" w:eastAsia="Times New Roman" w:hAnsi="Times New Roman" w:cs="Times New Roman"/>
          <w:color w:val="000000"/>
          <w:kern w:val="0"/>
          <w:sz w:val="24"/>
          <w:szCs w:val="20"/>
          <w14:ligatures w14:val="none"/>
        </w:rPr>
        <w:t>WSEC</w:t>
      </w:r>
      <w:r w:rsidRPr="006B4A66">
        <w:rPr>
          <w:rFonts w:ascii="Times New Roman" w:eastAsia="Times New Roman" w:hAnsi="Times New Roman" w:cs="Times New Roman"/>
          <w:color w:val="000000"/>
          <w:spacing w:val="-2"/>
          <w:kern w:val="0"/>
          <w:sz w:val="24"/>
          <w:szCs w:val="20"/>
          <w14:ligatures w14:val="none"/>
        </w:rPr>
        <w:t xml:space="preserve"> C406.2.6.1 and C406.2.6.3.</w:t>
      </w:r>
    </w:p>
    <w:p w14:paraId="4E29314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color w:val="000000"/>
          <w:kern w:val="0"/>
          <w:sz w:val="24"/>
          <w14:ligatures w14:val="none"/>
        </w:rPr>
        <w:t>No service water heating systems incorporating fossil fuel-fired equipment, or heat from district energy systems that are primarily heated by fossil fuel combustion, are permitted to utilize this credit.</w:t>
      </w:r>
    </w:p>
    <w:p w14:paraId="1D544936" w14:textId="688FEF2E"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111.</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45895CFB"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Section C406.2.6.3.1 of the Washington State Energy Code is not adopted and the following is substituted:</w:t>
      </w:r>
    </w:p>
    <w:p w14:paraId="41C0E426" w14:textId="77777777" w:rsidR="006B4A66" w:rsidRPr="006B4A66" w:rsidRDefault="006B4A66" w:rsidP="0073496A">
      <w:pPr>
        <w:widowControl w:val="0"/>
        <w:tabs>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b/>
          <w:bCs/>
          <w:color w:val="000000"/>
          <w:kern w:val="0"/>
          <w:sz w:val="24"/>
          <w:szCs w:val="24"/>
          <w14:ligatures w14:val="none"/>
        </w:rPr>
        <w:t>Heat pump water heater (WSEC C406.2.6.3.1).</w:t>
      </w:r>
      <w:r w:rsidRPr="006B4A66">
        <w:rPr>
          <w:rFonts w:ascii="Times New Roman" w:eastAsia="Times New Roman" w:hAnsi="Times New Roman" w:cs="Times New Roman"/>
          <w:color w:val="000000"/>
          <w:kern w:val="0"/>
          <w:sz w:val="24"/>
          <w:szCs w:val="24"/>
          <w14:ligatures w14:val="none"/>
        </w:rPr>
        <w:t xml:space="preserve">  Credit shall be achieved where the primary heat pump service water heating system is sized to deliver no less than 100 percent of the net calculated demand for the service water production during the peak demand period with entering dry bulb or wet bulb outdoor air temperature at 40° Fahrenheit (4°Celsius) for air-source heat pumps, or 44° Fahrenheit (7° Celsius) ground temperature for ground-source heat pumps, as calculated using the equipment manufacturer’s selection criteria or another approved methodology.  For this credit, the net calculated demand shall be the gross building demand less any portion of the demand complying with the exceptions to Section C404.2.1.  Supplemental heating is permitted in accordance with Section C404.2.1, but cannot use fossil fuels.  The refrigerant used in the heat pump system must have a global warming potential (GWP) no greater than 680.  Heat pump water heaters shall comply with one of the following:</w:t>
      </w:r>
    </w:p>
    <w:p w14:paraId="1FFD4CEA" w14:textId="77777777" w:rsidR="006B4A66" w:rsidRPr="006B4A66" w:rsidRDefault="006B4A66" w:rsidP="0073496A">
      <w:pPr>
        <w:widowControl w:val="0"/>
        <w:tabs>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t>1.</w:t>
      </w:r>
      <w:r w:rsidRPr="006B4A66">
        <w:rPr>
          <w:rFonts w:ascii="Times New Roman" w:eastAsia="Times New Roman" w:hAnsi="Times New Roman" w:cs="Times New Roman"/>
          <w:color w:val="000000"/>
          <w:kern w:val="0"/>
          <w:sz w:val="24"/>
          <w:szCs w:val="24"/>
          <w14:ligatures w14:val="none"/>
        </w:rPr>
        <w:t xml:space="preserve">  The COP rating shall be a minimum COP of three reported at the design leaving heat pump water temperature with an entering air temperature of 60</w:t>
      </w:r>
      <w:r w:rsidRPr="006B4A66">
        <w:rPr>
          <w:rFonts w:ascii="Courier" w:eastAsia="Times New Roman" w:hAnsi="Courier" w:cs="Times New Roman"/>
          <w:color w:val="000000"/>
          <w:kern w:val="0"/>
          <w:sz w:val="24"/>
          <w:szCs w:val="20"/>
          <w14:ligatures w14:val="none"/>
        </w:rPr>
        <w:t>°</w:t>
      </w:r>
      <w:r w:rsidRPr="006B4A66">
        <w:rPr>
          <w:rFonts w:ascii="Times New Roman" w:eastAsia="Times New Roman" w:hAnsi="Times New Roman" w:cs="Times New Roman"/>
          <w:color w:val="000000"/>
          <w:kern w:val="0"/>
          <w:sz w:val="24"/>
          <w:szCs w:val="24"/>
          <w14:ligatures w14:val="none"/>
        </w:rPr>
        <w:t>Fahrenheit (16</w:t>
      </w:r>
      <w:r w:rsidRPr="006B4A66">
        <w:rPr>
          <w:rFonts w:ascii="Courier" w:eastAsia="Times New Roman" w:hAnsi="Courier" w:cs="Times New Roman"/>
          <w:color w:val="000000"/>
          <w:kern w:val="0"/>
          <w:sz w:val="24"/>
          <w:szCs w:val="20"/>
          <w14:ligatures w14:val="none"/>
        </w:rPr>
        <w:t>°</w:t>
      </w:r>
      <w:r w:rsidRPr="006B4A66">
        <w:rPr>
          <w:rFonts w:ascii="Times New Roman" w:eastAsia="Times New Roman" w:hAnsi="Times New Roman" w:cs="Times New Roman"/>
          <w:color w:val="000000"/>
          <w:kern w:val="0"/>
          <w:sz w:val="24"/>
          <w:szCs w:val="24"/>
          <w14:ligatures w14:val="none"/>
        </w:rPr>
        <w:t xml:space="preserve"> Celsius) or lower.  For water-source equipment, the COP rating will be reported at </w:t>
      </w:r>
      <w:r w:rsidRPr="006B4A66">
        <w:rPr>
          <w:rFonts w:ascii="Times New Roman" w:eastAsia="Times New Roman" w:hAnsi="Times New Roman" w:cs="Times New Roman"/>
          <w:color w:val="000000"/>
          <w:kern w:val="0"/>
          <w:sz w:val="24"/>
          <w:szCs w:val="24"/>
          <w14:ligatures w14:val="none"/>
        </w:rPr>
        <w:lastRenderedPageBreak/>
        <w:t>the design leaving load water temperature with an entering load water temperature of 74</w:t>
      </w:r>
      <w:r w:rsidRPr="006B4A66">
        <w:rPr>
          <w:rFonts w:ascii="Courier" w:eastAsia="Times New Roman" w:hAnsi="Courier" w:cs="Times New Roman"/>
          <w:color w:val="000000"/>
          <w:kern w:val="0"/>
          <w:sz w:val="24"/>
          <w:szCs w:val="20"/>
          <w14:ligatures w14:val="none"/>
        </w:rPr>
        <w:t>°</w:t>
      </w:r>
      <w:r w:rsidRPr="006B4A66">
        <w:rPr>
          <w:rFonts w:ascii="Times New Roman" w:eastAsia="Times New Roman" w:hAnsi="Times New Roman" w:cs="Times New Roman"/>
          <w:color w:val="000000"/>
          <w:kern w:val="0"/>
          <w:sz w:val="24"/>
          <w:szCs w:val="24"/>
          <w14:ligatures w14:val="none"/>
        </w:rPr>
        <w:t xml:space="preserve"> Fahrenheit (23</w:t>
      </w:r>
      <w:r w:rsidRPr="006B4A66">
        <w:rPr>
          <w:rFonts w:ascii="Courier" w:eastAsia="Times New Roman" w:hAnsi="Courier" w:cs="Times New Roman"/>
          <w:color w:val="000000"/>
          <w:kern w:val="0"/>
          <w:sz w:val="24"/>
          <w:szCs w:val="20"/>
          <w14:ligatures w14:val="none"/>
        </w:rPr>
        <w:t>°</w:t>
      </w:r>
      <w:r w:rsidRPr="006B4A66">
        <w:rPr>
          <w:rFonts w:ascii="Times New Roman" w:eastAsia="Times New Roman" w:hAnsi="Times New Roman" w:cs="Times New Roman"/>
          <w:color w:val="000000"/>
          <w:kern w:val="0"/>
          <w:sz w:val="24"/>
          <w:szCs w:val="24"/>
          <w14:ligatures w14:val="none"/>
        </w:rPr>
        <w:t xml:space="preserve"> Celsius) or lower.</w:t>
      </w:r>
    </w:p>
    <w:p w14:paraId="537C6EF2"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t>2</w:t>
      </w:r>
      <w:r w:rsidRPr="006B4A66">
        <w:rPr>
          <w:rFonts w:ascii="Times New Roman" w:eastAsia="Times New Roman" w:hAnsi="Times New Roman" w:cs="Times New Roman"/>
          <w:color w:val="000000"/>
          <w:kern w:val="0"/>
          <w:sz w:val="24"/>
          <w:szCs w:val="24"/>
          <w14:ligatures w14:val="none"/>
        </w:rPr>
        <w:t>.  The uniform energy factor (UEF) shall be a minimum of 3.4 rated based on U.S. Department of Energy requirements.</w:t>
      </w:r>
    </w:p>
    <w:p w14:paraId="67B90DC2" w14:textId="0DC3B6B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112.</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4151AF22"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Section C406.2.10 of the Washington State Energy Code is not adopted.</w:t>
      </w:r>
    </w:p>
    <w:p w14:paraId="75B87527" w14:textId="057D59A0"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113.</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40735626"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Section C406.2.14 of the Washington State Energy Code is not adopted.</w:t>
      </w:r>
    </w:p>
    <w:p w14:paraId="23BCC8BF" w14:textId="2A501F1A"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114.</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1C6E122B"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Section C407.2 of the Washington State Energy Code is not adopted and the following is substituted:</w:t>
      </w:r>
    </w:p>
    <w:p w14:paraId="45BBB9B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b/>
          <w:color w:val="000000"/>
          <w:kern w:val="0"/>
          <w:sz w:val="24"/>
          <w14:ligatures w14:val="none"/>
        </w:rPr>
        <w:t>Mandatory requirements (WSEC C407.2).</w:t>
      </w:r>
      <w:r w:rsidRPr="006B4A66">
        <w:rPr>
          <w:rFonts w:ascii="Times New Roman" w:eastAsia="Calibri" w:hAnsi="Times New Roman" w:cs="Times New Roman"/>
          <w:color w:val="000000"/>
          <w:kern w:val="0"/>
          <w:sz w:val="24"/>
          <w14:ligatures w14:val="none"/>
        </w:rPr>
        <w:t xml:space="preserve">  Compliance with WSEC C407 also requires compliance with those sections shown in WSEC Table C407.2.  The building permit application for projects utilizing this method shall include in one submittal all building and mechanical drawings and all information necessary to verify that the building envelope and mechanical design for the project corresponds with the annual energy analysis.  If credit is proposed to be taken for lighting energy savings, then an electrical permit application shall also be submitted and approved prior to the start of building construction.  If credit is proposed to be taken for energy savings from other components, then the corresponding permit application (e.g., plumbing, boiler, etc.) shall </w:t>
      </w:r>
      <w:r w:rsidRPr="006B4A66">
        <w:rPr>
          <w:rFonts w:ascii="Times New Roman" w:eastAsia="Calibri" w:hAnsi="Times New Roman" w:cs="Times New Roman"/>
          <w:color w:val="000000"/>
          <w:kern w:val="0"/>
          <w:sz w:val="24"/>
          <w14:ligatures w14:val="none"/>
        </w:rPr>
        <w:lastRenderedPageBreak/>
        <w:t>also be submitted and approved prior to the building permit issuance.  Otherwise, components of the project that would not be approved as part of a building permit application shall be modeled in the baseline in accordance with ANSI/ASHRAE/IESNA 90.1 Appendix G and in the proposed model in accordance with the requirements of the Washington State Energy Code.</w:t>
      </w:r>
    </w:p>
    <w:p w14:paraId="4DD15164"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Table C407.2</w:t>
      </w:r>
    </w:p>
    <w:p w14:paraId="722C38F9"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Mandatory Compliance Measures for Total Building Performance Method</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5220"/>
        <w:gridCol w:w="2520"/>
      </w:tblGrid>
      <w:tr w:rsidR="006B4A66" w:rsidRPr="006B4A66" w14:paraId="7F77DB66" w14:textId="77777777">
        <w:trPr>
          <w:trHeight w:val="89"/>
        </w:trPr>
        <w:tc>
          <w:tcPr>
            <w:tcW w:w="1368" w:type="dxa"/>
          </w:tcPr>
          <w:p w14:paraId="2592ABE2"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Section</w:t>
            </w:r>
            <w:r w:rsidRPr="006B4A66">
              <w:rPr>
                <w:rFonts w:ascii="Times New Roman" w:eastAsia="Calibri" w:hAnsi="Times New Roman" w:cs="Times New Roman"/>
                <w:b/>
                <w:bCs/>
                <w:color w:val="000000"/>
                <w:kern w:val="0"/>
                <w:sz w:val="24"/>
                <w:vertAlign w:val="superscript"/>
                <w14:ligatures w14:val="none"/>
              </w:rPr>
              <w:t>a</w:t>
            </w:r>
          </w:p>
        </w:tc>
        <w:tc>
          <w:tcPr>
            <w:tcW w:w="5220" w:type="dxa"/>
          </w:tcPr>
          <w:p w14:paraId="06D8C7A9"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Title</w:t>
            </w:r>
          </w:p>
        </w:tc>
        <w:tc>
          <w:tcPr>
            <w:tcW w:w="2520" w:type="dxa"/>
          </w:tcPr>
          <w:p w14:paraId="4570479B"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Comments</w:t>
            </w:r>
          </w:p>
        </w:tc>
      </w:tr>
      <w:tr w:rsidR="006B4A66" w:rsidRPr="006B4A66" w14:paraId="1C4B212E" w14:textId="77777777">
        <w:trPr>
          <w:trHeight w:val="65"/>
        </w:trPr>
        <w:tc>
          <w:tcPr>
            <w:tcW w:w="9108" w:type="dxa"/>
            <w:gridSpan w:val="3"/>
          </w:tcPr>
          <w:p w14:paraId="3428CCF2" w14:textId="77777777" w:rsidR="006B4A66" w:rsidRPr="006B4A66" w:rsidRDefault="006B4A66" w:rsidP="0073496A">
            <w:pPr>
              <w:tabs>
                <w:tab w:val="left" w:pos="3664"/>
                <w:tab w:val="center" w:pos="4446"/>
              </w:tabs>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ab/>
            </w:r>
            <w:r w:rsidRPr="006B4A66">
              <w:rPr>
                <w:rFonts w:ascii="Times New Roman" w:eastAsia="Calibri" w:hAnsi="Times New Roman" w:cs="Times New Roman"/>
                <w:b/>
                <w:bCs/>
                <w:color w:val="000000"/>
                <w:kern w:val="0"/>
                <w:sz w:val="24"/>
                <w14:ligatures w14:val="none"/>
              </w:rPr>
              <w:tab/>
              <w:t>Envelope</w:t>
            </w:r>
          </w:p>
        </w:tc>
      </w:tr>
      <w:tr w:rsidR="006B4A66" w:rsidRPr="006B4A66" w14:paraId="30872B3C" w14:textId="77777777">
        <w:trPr>
          <w:trHeight w:val="81"/>
        </w:trPr>
        <w:tc>
          <w:tcPr>
            <w:tcW w:w="1368" w:type="dxa"/>
          </w:tcPr>
          <w:p w14:paraId="09449D35" w14:textId="16D927EC"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C401</w:t>
            </w:r>
            <w:r w:rsidR="00B43874">
              <w:rPr>
                <w:rFonts w:ascii="Times New Roman" w:eastAsia="Calibri" w:hAnsi="Times New Roman" w:cs="Times New Roman"/>
                <w:color w:val="000000"/>
                <w:kern w:val="0"/>
                <w:sz w:val="24"/>
                <w14:ligatures w14:val="none"/>
              </w:rPr>
              <w:t>.4</w:t>
            </w:r>
          </w:p>
        </w:tc>
        <w:tc>
          <w:tcPr>
            <w:tcW w:w="5220" w:type="dxa"/>
          </w:tcPr>
          <w:p w14:paraId="284FB646"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Thermal envelope certificate</w:t>
            </w:r>
          </w:p>
        </w:tc>
        <w:tc>
          <w:tcPr>
            <w:tcW w:w="2520" w:type="dxa"/>
          </w:tcPr>
          <w:p w14:paraId="151061D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r>
      <w:tr w:rsidR="006B4A66" w:rsidRPr="006B4A66" w14:paraId="6E27811D" w14:textId="77777777">
        <w:trPr>
          <w:trHeight w:val="81"/>
        </w:trPr>
        <w:tc>
          <w:tcPr>
            <w:tcW w:w="1368" w:type="dxa"/>
          </w:tcPr>
          <w:p w14:paraId="4C926F5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C402.2.7</w:t>
            </w:r>
          </w:p>
        </w:tc>
        <w:tc>
          <w:tcPr>
            <w:tcW w:w="5220" w:type="dxa"/>
          </w:tcPr>
          <w:p w14:paraId="28C7496F"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Airspaces</w:t>
            </w:r>
          </w:p>
        </w:tc>
        <w:tc>
          <w:tcPr>
            <w:tcW w:w="2520" w:type="dxa"/>
          </w:tcPr>
          <w:p w14:paraId="0058EA7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r>
      <w:tr w:rsidR="006B4A66" w:rsidRPr="006B4A66" w14:paraId="0C7F266E" w14:textId="77777777">
        <w:trPr>
          <w:trHeight w:val="81"/>
        </w:trPr>
        <w:tc>
          <w:tcPr>
            <w:tcW w:w="1368" w:type="dxa"/>
          </w:tcPr>
          <w:p w14:paraId="7C9123F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C402.5</w:t>
            </w:r>
          </w:p>
        </w:tc>
        <w:tc>
          <w:tcPr>
            <w:tcW w:w="7740" w:type="dxa"/>
            <w:gridSpan w:val="2"/>
          </w:tcPr>
          <w:p w14:paraId="671E325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Air leakage</w:t>
            </w:r>
          </w:p>
        </w:tc>
      </w:tr>
      <w:tr w:rsidR="006B4A66" w:rsidRPr="006B4A66" w14:paraId="523B675E" w14:textId="77777777">
        <w:trPr>
          <w:trHeight w:val="65"/>
        </w:trPr>
        <w:tc>
          <w:tcPr>
            <w:tcW w:w="9108" w:type="dxa"/>
            <w:gridSpan w:val="3"/>
          </w:tcPr>
          <w:p w14:paraId="04F1FB1E"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Mechanical</w:t>
            </w:r>
          </w:p>
        </w:tc>
      </w:tr>
      <w:tr w:rsidR="006B4A66" w:rsidRPr="006B4A66" w14:paraId="153FBB98" w14:textId="77777777">
        <w:trPr>
          <w:trHeight w:val="81"/>
        </w:trPr>
        <w:tc>
          <w:tcPr>
            <w:tcW w:w="1368" w:type="dxa"/>
          </w:tcPr>
          <w:p w14:paraId="4BF9673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C403.1.2</w:t>
            </w:r>
          </w:p>
        </w:tc>
        <w:tc>
          <w:tcPr>
            <w:tcW w:w="5220" w:type="dxa"/>
          </w:tcPr>
          <w:p w14:paraId="39F8F881"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Calculation of heating and cooling loads</w:t>
            </w:r>
          </w:p>
        </w:tc>
        <w:tc>
          <w:tcPr>
            <w:tcW w:w="2520" w:type="dxa"/>
          </w:tcPr>
          <w:p w14:paraId="1F6232B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r>
      <w:tr w:rsidR="006B4A66" w:rsidRPr="006B4A66" w14:paraId="56F3D1A0" w14:textId="77777777">
        <w:trPr>
          <w:trHeight w:val="83"/>
        </w:trPr>
        <w:tc>
          <w:tcPr>
            <w:tcW w:w="1368" w:type="dxa"/>
          </w:tcPr>
          <w:p w14:paraId="490C8365"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C403.1.3</w:t>
            </w:r>
          </w:p>
        </w:tc>
        <w:tc>
          <w:tcPr>
            <w:tcW w:w="5220" w:type="dxa"/>
          </w:tcPr>
          <w:p w14:paraId="001996F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Data centers</w:t>
            </w:r>
          </w:p>
        </w:tc>
        <w:tc>
          <w:tcPr>
            <w:tcW w:w="2520" w:type="dxa"/>
          </w:tcPr>
          <w:p w14:paraId="70C1D420"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r>
      <w:tr w:rsidR="006B4A66" w:rsidRPr="006B4A66" w14:paraId="7520CCBC" w14:textId="77777777">
        <w:trPr>
          <w:trHeight w:val="81"/>
        </w:trPr>
        <w:tc>
          <w:tcPr>
            <w:tcW w:w="1368" w:type="dxa"/>
          </w:tcPr>
          <w:p w14:paraId="62BDD44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C403.2</w:t>
            </w:r>
          </w:p>
        </w:tc>
        <w:tc>
          <w:tcPr>
            <w:tcW w:w="5220" w:type="dxa"/>
          </w:tcPr>
          <w:p w14:paraId="2786340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System design</w:t>
            </w:r>
          </w:p>
        </w:tc>
        <w:tc>
          <w:tcPr>
            <w:tcW w:w="2520" w:type="dxa"/>
          </w:tcPr>
          <w:p w14:paraId="62872199"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r>
      <w:tr w:rsidR="006B4A66" w:rsidRPr="006B4A66" w14:paraId="209FEAB9" w14:textId="77777777">
        <w:trPr>
          <w:trHeight w:val="81"/>
        </w:trPr>
        <w:tc>
          <w:tcPr>
            <w:tcW w:w="1368" w:type="dxa"/>
          </w:tcPr>
          <w:p w14:paraId="065B468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C403.3.1</w:t>
            </w:r>
          </w:p>
        </w:tc>
        <w:tc>
          <w:tcPr>
            <w:tcW w:w="5220" w:type="dxa"/>
          </w:tcPr>
          <w:p w14:paraId="76AE6B9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Equipment and system sizing</w:t>
            </w:r>
          </w:p>
        </w:tc>
        <w:tc>
          <w:tcPr>
            <w:tcW w:w="2520" w:type="dxa"/>
          </w:tcPr>
          <w:p w14:paraId="1C63181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r>
      <w:tr w:rsidR="006B4A66" w:rsidRPr="006B4A66" w14:paraId="2649D010" w14:textId="77777777">
        <w:trPr>
          <w:trHeight w:val="81"/>
        </w:trPr>
        <w:tc>
          <w:tcPr>
            <w:tcW w:w="1368" w:type="dxa"/>
          </w:tcPr>
          <w:p w14:paraId="31FC6FCF"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C403.3.2</w:t>
            </w:r>
          </w:p>
        </w:tc>
        <w:tc>
          <w:tcPr>
            <w:tcW w:w="5220" w:type="dxa"/>
          </w:tcPr>
          <w:p w14:paraId="3C5A1F4F"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HVAC equipment performance requirements</w:t>
            </w:r>
          </w:p>
        </w:tc>
        <w:tc>
          <w:tcPr>
            <w:tcW w:w="2520" w:type="dxa"/>
          </w:tcPr>
          <w:p w14:paraId="686FDBA2"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r>
      <w:tr w:rsidR="006B4A66" w:rsidRPr="006B4A66" w14:paraId="1E3B448E" w14:textId="77777777">
        <w:trPr>
          <w:trHeight w:val="81"/>
        </w:trPr>
        <w:tc>
          <w:tcPr>
            <w:tcW w:w="1368" w:type="dxa"/>
          </w:tcPr>
          <w:p w14:paraId="78BFB31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C403.3.3</w:t>
            </w:r>
          </w:p>
        </w:tc>
        <w:tc>
          <w:tcPr>
            <w:tcW w:w="5220" w:type="dxa"/>
          </w:tcPr>
          <w:p w14:paraId="6D46DC9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Hot gas bypass limitation</w:t>
            </w:r>
          </w:p>
        </w:tc>
        <w:tc>
          <w:tcPr>
            <w:tcW w:w="2520" w:type="dxa"/>
          </w:tcPr>
          <w:p w14:paraId="528A49B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r>
      <w:tr w:rsidR="006B4A66" w:rsidRPr="006B4A66" w14:paraId="1DF37DAE" w14:textId="77777777">
        <w:trPr>
          <w:trHeight w:val="81"/>
        </w:trPr>
        <w:tc>
          <w:tcPr>
            <w:tcW w:w="1368" w:type="dxa"/>
          </w:tcPr>
          <w:p w14:paraId="62C1C936"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C403.3.4.4</w:t>
            </w:r>
          </w:p>
        </w:tc>
        <w:tc>
          <w:tcPr>
            <w:tcW w:w="5220" w:type="dxa"/>
          </w:tcPr>
          <w:p w14:paraId="3F50FD5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Boiler turndown</w:t>
            </w:r>
          </w:p>
        </w:tc>
        <w:tc>
          <w:tcPr>
            <w:tcW w:w="2520" w:type="dxa"/>
          </w:tcPr>
          <w:p w14:paraId="21142C4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r>
      <w:tr w:rsidR="006B4A66" w:rsidRPr="006B4A66" w14:paraId="253837E2" w14:textId="77777777">
        <w:trPr>
          <w:trHeight w:val="81"/>
        </w:trPr>
        <w:tc>
          <w:tcPr>
            <w:tcW w:w="1368" w:type="dxa"/>
          </w:tcPr>
          <w:p w14:paraId="2129468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C403.4.1</w:t>
            </w:r>
          </w:p>
        </w:tc>
        <w:tc>
          <w:tcPr>
            <w:tcW w:w="5220" w:type="dxa"/>
          </w:tcPr>
          <w:p w14:paraId="4783FD2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Thermostatic controls </w:t>
            </w:r>
          </w:p>
        </w:tc>
        <w:tc>
          <w:tcPr>
            <w:tcW w:w="2520" w:type="dxa"/>
          </w:tcPr>
          <w:p w14:paraId="2D9416B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r>
      <w:tr w:rsidR="006B4A66" w:rsidRPr="006B4A66" w14:paraId="3DB84C43" w14:textId="77777777">
        <w:trPr>
          <w:trHeight w:val="81"/>
        </w:trPr>
        <w:tc>
          <w:tcPr>
            <w:tcW w:w="1368" w:type="dxa"/>
          </w:tcPr>
          <w:p w14:paraId="78C4A4E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C403.4.2</w:t>
            </w:r>
          </w:p>
        </w:tc>
        <w:tc>
          <w:tcPr>
            <w:tcW w:w="5220" w:type="dxa"/>
          </w:tcPr>
          <w:p w14:paraId="2AF8116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Off-hour controls</w:t>
            </w:r>
          </w:p>
        </w:tc>
        <w:tc>
          <w:tcPr>
            <w:tcW w:w="2520" w:type="dxa"/>
          </w:tcPr>
          <w:p w14:paraId="09C09F9F"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r>
      <w:tr w:rsidR="006B4A66" w:rsidRPr="006B4A66" w14:paraId="7ABE2C75" w14:textId="77777777">
        <w:trPr>
          <w:trHeight w:val="81"/>
        </w:trPr>
        <w:tc>
          <w:tcPr>
            <w:tcW w:w="1368" w:type="dxa"/>
          </w:tcPr>
          <w:p w14:paraId="6252745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C403.4.7</w:t>
            </w:r>
          </w:p>
        </w:tc>
        <w:tc>
          <w:tcPr>
            <w:tcW w:w="5220" w:type="dxa"/>
          </w:tcPr>
          <w:p w14:paraId="10460AD2"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Combustion heating equipment controls</w:t>
            </w:r>
          </w:p>
        </w:tc>
        <w:tc>
          <w:tcPr>
            <w:tcW w:w="2520" w:type="dxa"/>
          </w:tcPr>
          <w:p w14:paraId="6A19CC4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r>
      <w:tr w:rsidR="006B4A66" w:rsidRPr="006B4A66" w14:paraId="6FDF7316" w14:textId="77777777">
        <w:trPr>
          <w:trHeight w:val="81"/>
        </w:trPr>
        <w:tc>
          <w:tcPr>
            <w:tcW w:w="1368" w:type="dxa"/>
          </w:tcPr>
          <w:p w14:paraId="6CBC89F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C403.4.8</w:t>
            </w:r>
          </w:p>
        </w:tc>
        <w:tc>
          <w:tcPr>
            <w:tcW w:w="5220" w:type="dxa"/>
          </w:tcPr>
          <w:p w14:paraId="18051C7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Group R-1 hotel/motel guestrooms</w:t>
            </w:r>
          </w:p>
        </w:tc>
        <w:tc>
          <w:tcPr>
            <w:tcW w:w="2520" w:type="dxa"/>
          </w:tcPr>
          <w:p w14:paraId="1721344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See Section C403.7.4 </w:t>
            </w:r>
          </w:p>
        </w:tc>
      </w:tr>
      <w:tr w:rsidR="006B4A66" w:rsidRPr="006B4A66" w14:paraId="01E5A0FA" w14:textId="77777777">
        <w:trPr>
          <w:trHeight w:val="81"/>
        </w:trPr>
        <w:tc>
          <w:tcPr>
            <w:tcW w:w="1368" w:type="dxa"/>
          </w:tcPr>
          <w:p w14:paraId="6A4F176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C403.4.9</w:t>
            </w:r>
          </w:p>
        </w:tc>
        <w:tc>
          <w:tcPr>
            <w:tcW w:w="5220" w:type="dxa"/>
          </w:tcPr>
          <w:p w14:paraId="77412FA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Group R-2 and R-3 dwelling units</w:t>
            </w:r>
          </w:p>
        </w:tc>
        <w:tc>
          <w:tcPr>
            <w:tcW w:w="2520" w:type="dxa"/>
          </w:tcPr>
          <w:p w14:paraId="1ACE92E2"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r>
      <w:tr w:rsidR="006B4A66" w:rsidRPr="006B4A66" w14:paraId="0B8FE965" w14:textId="77777777">
        <w:trPr>
          <w:trHeight w:val="81"/>
        </w:trPr>
        <w:tc>
          <w:tcPr>
            <w:tcW w:w="1368" w:type="dxa"/>
          </w:tcPr>
          <w:p w14:paraId="615D4520"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C403.4.10</w:t>
            </w:r>
          </w:p>
        </w:tc>
        <w:tc>
          <w:tcPr>
            <w:tcW w:w="5220" w:type="dxa"/>
          </w:tcPr>
          <w:p w14:paraId="5231C035"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Group R-2 sleeping units</w:t>
            </w:r>
          </w:p>
        </w:tc>
        <w:tc>
          <w:tcPr>
            <w:tcW w:w="2520" w:type="dxa"/>
          </w:tcPr>
          <w:p w14:paraId="59A78B1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r>
      <w:tr w:rsidR="006B4A66" w:rsidRPr="006B4A66" w14:paraId="09ED5A3A" w14:textId="77777777">
        <w:trPr>
          <w:trHeight w:val="81"/>
        </w:trPr>
        <w:tc>
          <w:tcPr>
            <w:tcW w:w="1368" w:type="dxa"/>
          </w:tcPr>
          <w:p w14:paraId="2AF97AB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C403.4.11</w:t>
            </w:r>
          </w:p>
        </w:tc>
        <w:tc>
          <w:tcPr>
            <w:tcW w:w="5220" w:type="dxa"/>
          </w:tcPr>
          <w:p w14:paraId="3FE5B312"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Direct digital control systems</w:t>
            </w:r>
          </w:p>
        </w:tc>
        <w:tc>
          <w:tcPr>
            <w:tcW w:w="2520" w:type="dxa"/>
          </w:tcPr>
          <w:p w14:paraId="6A13854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r>
      <w:tr w:rsidR="006B4A66" w:rsidRPr="006B4A66" w14:paraId="138B7F66" w14:textId="77777777">
        <w:trPr>
          <w:trHeight w:val="81"/>
        </w:trPr>
        <w:tc>
          <w:tcPr>
            <w:tcW w:w="1368" w:type="dxa"/>
          </w:tcPr>
          <w:p w14:paraId="71AB1D96"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C403.5.5</w:t>
            </w:r>
          </w:p>
        </w:tc>
        <w:tc>
          <w:tcPr>
            <w:tcW w:w="5220" w:type="dxa"/>
          </w:tcPr>
          <w:p w14:paraId="4C9AFE60"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Economizer fault detection and diagnostics (FDD)</w:t>
            </w:r>
          </w:p>
        </w:tc>
        <w:tc>
          <w:tcPr>
            <w:tcW w:w="2520" w:type="dxa"/>
          </w:tcPr>
          <w:p w14:paraId="711D7E8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r>
      <w:tr w:rsidR="006B4A66" w:rsidRPr="006B4A66" w14:paraId="41485A11" w14:textId="77777777">
        <w:trPr>
          <w:trHeight w:val="81"/>
        </w:trPr>
        <w:tc>
          <w:tcPr>
            <w:tcW w:w="1368" w:type="dxa"/>
          </w:tcPr>
          <w:p w14:paraId="69A31FD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C403.7</w:t>
            </w:r>
          </w:p>
        </w:tc>
        <w:tc>
          <w:tcPr>
            <w:tcW w:w="5220" w:type="dxa"/>
          </w:tcPr>
          <w:p w14:paraId="3208F590"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Ventilation and exhaust systems</w:t>
            </w:r>
          </w:p>
        </w:tc>
        <w:tc>
          <w:tcPr>
            <w:tcW w:w="2520" w:type="dxa"/>
          </w:tcPr>
          <w:p w14:paraId="1CC15E3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Except for C403.7.6.2 </w:t>
            </w:r>
          </w:p>
        </w:tc>
      </w:tr>
      <w:tr w:rsidR="006B4A66" w:rsidRPr="006B4A66" w14:paraId="134B6F42" w14:textId="77777777">
        <w:trPr>
          <w:trHeight w:val="81"/>
        </w:trPr>
        <w:tc>
          <w:tcPr>
            <w:tcW w:w="1368" w:type="dxa"/>
          </w:tcPr>
          <w:p w14:paraId="0FB42235"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C403.8</w:t>
            </w:r>
          </w:p>
        </w:tc>
        <w:tc>
          <w:tcPr>
            <w:tcW w:w="5220" w:type="dxa"/>
          </w:tcPr>
          <w:p w14:paraId="0C91118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Fan and fan controls</w:t>
            </w:r>
          </w:p>
        </w:tc>
        <w:tc>
          <w:tcPr>
            <w:tcW w:w="2520" w:type="dxa"/>
          </w:tcPr>
          <w:p w14:paraId="345A9D25"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r>
      <w:tr w:rsidR="006B4A66" w:rsidRPr="006B4A66" w14:paraId="3D733F5A" w14:textId="77777777">
        <w:trPr>
          <w:trHeight w:val="81"/>
        </w:trPr>
        <w:tc>
          <w:tcPr>
            <w:tcW w:w="1368" w:type="dxa"/>
          </w:tcPr>
          <w:p w14:paraId="4FF7F025"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C403.9.1.1</w:t>
            </w:r>
          </w:p>
        </w:tc>
        <w:tc>
          <w:tcPr>
            <w:tcW w:w="5220" w:type="dxa"/>
          </w:tcPr>
          <w:p w14:paraId="75C4ABF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Variable flow controls</w:t>
            </w:r>
          </w:p>
        </w:tc>
        <w:tc>
          <w:tcPr>
            <w:tcW w:w="2520" w:type="dxa"/>
          </w:tcPr>
          <w:p w14:paraId="1506B5A5"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For cooling tower fans ≥ 7.5 hp</w:t>
            </w:r>
          </w:p>
        </w:tc>
      </w:tr>
      <w:tr w:rsidR="006B4A66" w:rsidRPr="006B4A66" w14:paraId="07E86273" w14:textId="77777777">
        <w:trPr>
          <w:trHeight w:val="185"/>
        </w:trPr>
        <w:tc>
          <w:tcPr>
            <w:tcW w:w="1368" w:type="dxa"/>
          </w:tcPr>
          <w:p w14:paraId="09523352"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C403.9.1.3</w:t>
            </w:r>
          </w:p>
        </w:tc>
        <w:tc>
          <w:tcPr>
            <w:tcW w:w="5220" w:type="dxa"/>
          </w:tcPr>
          <w:p w14:paraId="3187792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Limitation on centrifugal fan cooling towers</w:t>
            </w:r>
          </w:p>
        </w:tc>
        <w:tc>
          <w:tcPr>
            <w:tcW w:w="2520" w:type="dxa"/>
          </w:tcPr>
          <w:p w14:paraId="3540898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For open cooling towers</w:t>
            </w:r>
          </w:p>
        </w:tc>
      </w:tr>
      <w:tr w:rsidR="006B4A66" w:rsidRPr="006B4A66" w14:paraId="5CDDFBE5" w14:textId="77777777">
        <w:trPr>
          <w:trHeight w:val="81"/>
        </w:trPr>
        <w:tc>
          <w:tcPr>
            <w:tcW w:w="1368" w:type="dxa"/>
          </w:tcPr>
          <w:p w14:paraId="791592E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C403.10</w:t>
            </w:r>
          </w:p>
        </w:tc>
        <w:tc>
          <w:tcPr>
            <w:tcW w:w="5220" w:type="dxa"/>
          </w:tcPr>
          <w:p w14:paraId="4BB2239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Construction of HVAC elements</w:t>
            </w:r>
          </w:p>
        </w:tc>
        <w:tc>
          <w:tcPr>
            <w:tcW w:w="2520" w:type="dxa"/>
          </w:tcPr>
          <w:p w14:paraId="0C0CA9E2"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r>
      <w:tr w:rsidR="006B4A66" w:rsidRPr="006B4A66" w14:paraId="12DBE4BA" w14:textId="77777777">
        <w:trPr>
          <w:trHeight w:val="81"/>
        </w:trPr>
        <w:tc>
          <w:tcPr>
            <w:tcW w:w="1368" w:type="dxa"/>
          </w:tcPr>
          <w:p w14:paraId="4B157441"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C403.11</w:t>
            </w:r>
          </w:p>
        </w:tc>
        <w:tc>
          <w:tcPr>
            <w:tcW w:w="5220" w:type="dxa"/>
          </w:tcPr>
          <w:p w14:paraId="1119C951"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Mechanical systems located outside of the building thermal envelope</w:t>
            </w:r>
          </w:p>
        </w:tc>
        <w:tc>
          <w:tcPr>
            <w:tcW w:w="2520" w:type="dxa"/>
          </w:tcPr>
          <w:p w14:paraId="254CEAE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r>
      <w:tr w:rsidR="006B4A66" w:rsidRPr="006B4A66" w14:paraId="04E77327" w14:textId="77777777">
        <w:trPr>
          <w:trHeight w:val="81"/>
        </w:trPr>
        <w:tc>
          <w:tcPr>
            <w:tcW w:w="1368" w:type="dxa"/>
          </w:tcPr>
          <w:p w14:paraId="18E27A61"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C403.14</w:t>
            </w:r>
          </w:p>
        </w:tc>
        <w:tc>
          <w:tcPr>
            <w:tcW w:w="5220" w:type="dxa"/>
          </w:tcPr>
          <w:p w14:paraId="437DA7A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Commissioning</w:t>
            </w:r>
          </w:p>
        </w:tc>
        <w:tc>
          <w:tcPr>
            <w:tcW w:w="2520" w:type="dxa"/>
          </w:tcPr>
          <w:p w14:paraId="46960916"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r>
      <w:tr w:rsidR="006B4A66" w:rsidRPr="006B4A66" w14:paraId="37D998FA" w14:textId="77777777">
        <w:trPr>
          <w:trHeight w:val="65"/>
        </w:trPr>
        <w:tc>
          <w:tcPr>
            <w:tcW w:w="9108" w:type="dxa"/>
            <w:gridSpan w:val="3"/>
          </w:tcPr>
          <w:p w14:paraId="3E3950B2"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Service Water Heating</w:t>
            </w:r>
          </w:p>
        </w:tc>
      </w:tr>
      <w:tr w:rsidR="006B4A66" w:rsidRPr="006B4A66" w14:paraId="47E1D831" w14:textId="77777777">
        <w:trPr>
          <w:trHeight w:val="81"/>
        </w:trPr>
        <w:tc>
          <w:tcPr>
            <w:tcW w:w="1368" w:type="dxa"/>
          </w:tcPr>
          <w:p w14:paraId="31CE8045"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C404</w:t>
            </w:r>
          </w:p>
        </w:tc>
        <w:tc>
          <w:tcPr>
            <w:tcW w:w="5220" w:type="dxa"/>
          </w:tcPr>
          <w:p w14:paraId="5A1B9B8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Service water heating</w:t>
            </w:r>
          </w:p>
        </w:tc>
        <w:tc>
          <w:tcPr>
            <w:tcW w:w="2520" w:type="dxa"/>
          </w:tcPr>
          <w:p w14:paraId="702B4ACF"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Except for C404.2.1</w:t>
            </w:r>
          </w:p>
        </w:tc>
      </w:tr>
      <w:tr w:rsidR="006B4A66" w:rsidRPr="006B4A66" w14:paraId="450D4FF1" w14:textId="77777777">
        <w:trPr>
          <w:trHeight w:val="65"/>
        </w:trPr>
        <w:tc>
          <w:tcPr>
            <w:tcW w:w="9108" w:type="dxa"/>
            <w:gridSpan w:val="3"/>
          </w:tcPr>
          <w:p w14:paraId="3E2FA658"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Lighting and Electrical</w:t>
            </w:r>
          </w:p>
        </w:tc>
      </w:tr>
      <w:tr w:rsidR="006B4A66" w:rsidRPr="006B4A66" w14:paraId="6FF4F1F2" w14:textId="77777777">
        <w:trPr>
          <w:trHeight w:val="81"/>
        </w:trPr>
        <w:tc>
          <w:tcPr>
            <w:tcW w:w="1368" w:type="dxa"/>
          </w:tcPr>
          <w:p w14:paraId="2AC09F7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C405</w:t>
            </w:r>
          </w:p>
        </w:tc>
        <w:tc>
          <w:tcPr>
            <w:tcW w:w="5220" w:type="dxa"/>
          </w:tcPr>
          <w:p w14:paraId="3AB1E2E2"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Electrical power and lighting systems</w:t>
            </w:r>
          </w:p>
        </w:tc>
        <w:tc>
          <w:tcPr>
            <w:tcW w:w="2520" w:type="dxa"/>
          </w:tcPr>
          <w:p w14:paraId="5559C55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r>
      <w:tr w:rsidR="006B4A66" w:rsidRPr="006B4A66" w14:paraId="5880FB51" w14:textId="77777777">
        <w:trPr>
          <w:trHeight w:val="65"/>
        </w:trPr>
        <w:tc>
          <w:tcPr>
            <w:tcW w:w="9108" w:type="dxa"/>
            <w:gridSpan w:val="3"/>
          </w:tcPr>
          <w:p w14:paraId="22F2D278"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Other Requirements</w:t>
            </w:r>
          </w:p>
        </w:tc>
      </w:tr>
      <w:tr w:rsidR="006B4A66" w:rsidRPr="006B4A66" w14:paraId="67EF2176" w14:textId="77777777">
        <w:trPr>
          <w:trHeight w:val="81"/>
        </w:trPr>
        <w:tc>
          <w:tcPr>
            <w:tcW w:w="1368" w:type="dxa"/>
          </w:tcPr>
          <w:p w14:paraId="6736355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C407</w:t>
            </w:r>
          </w:p>
        </w:tc>
        <w:tc>
          <w:tcPr>
            <w:tcW w:w="5220" w:type="dxa"/>
          </w:tcPr>
          <w:p w14:paraId="25A8CEB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Total building performance</w:t>
            </w:r>
          </w:p>
        </w:tc>
        <w:tc>
          <w:tcPr>
            <w:tcW w:w="2520" w:type="dxa"/>
          </w:tcPr>
          <w:p w14:paraId="580F8F09"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r>
      <w:tr w:rsidR="006B4A66" w:rsidRPr="006B4A66" w14:paraId="097386AF" w14:textId="77777777">
        <w:trPr>
          <w:trHeight w:val="81"/>
        </w:trPr>
        <w:tc>
          <w:tcPr>
            <w:tcW w:w="1368" w:type="dxa"/>
          </w:tcPr>
          <w:p w14:paraId="5BE399D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C408</w:t>
            </w:r>
          </w:p>
        </w:tc>
        <w:tc>
          <w:tcPr>
            <w:tcW w:w="5220" w:type="dxa"/>
          </w:tcPr>
          <w:p w14:paraId="45927FA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System commissioning</w:t>
            </w:r>
          </w:p>
        </w:tc>
        <w:tc>
          <w:tcPr>
            <w:tcW w:w="2520" w:type="dxa"/>
          </w:tcPr>
          <w:p w14:paraId="20376D9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r>
      <w:tr w:rsidR="006B4A66" w:rsidRPr="006B4A66" w14:paraId="50D5B4B8" w14:textId="77777777">
        <w:trPr>
          <w:trHeight w:val="81"/>
        </w:trPr>
        <w:tc>
          <w:tcPr>
            <w:tcW w:w="1368" w:type="dxa"/>
          </w:tcPr>
          <w:p w14:paraId="300298B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C409</w:t>
            </w:r>
          </w:p>
        </w:tc>
        <w:tc>
          <w:tcPr>
            <w:tcW w:w="5220" w:type="dxa"/>
          </w:tcPr>
          <w:p w14:paraId="6EA9F76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Energy metering</w:t>
            </w:r>
          </w:p>
        </w:tc>
        <w:tc>
          <w:tcPr>
            <w:tcW w:w="2520" w:type="dxa"/>
          </w:tcPr>
          <w:p w14:paraId="09851079"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r>
      <w:tr w:rsidR="006B4A66" w:rsidRPr="006B4A66" w14:paraId="29DBA699" w14:textId="77777777">
        <w:trPr>
          <w:trHeight w:val="81"/>
        </w:trPr>
        <w:tc>
          <w:tcPr>
            <w:tcW w:w="1368" w:type="dxa"/>
          </w:tcPr>
          <w:p w14:paraId="3182CA9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C410</w:t>
            </w:r>
          </w:p>
        </w:tc>
        <w:tc>
          <w:tcPr>
            <w:tcW w:w="5220" w:type="dxa"/>
          </w:tcPr>
          <w:p w14:paraId="01A3C5B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Refrigeration requirements</w:t>
            </w:r>
          </w:p>
        </w:tc>
        <w:tc>
          <w:tcPr>
            <w:tcW w:w="2520" w:type="dxa"/>
          </w:tcPr>
          <w:p w14:paraId="02E5182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r>
      <w:tr w:rsidR="006B4A66" w:rsidRPr="006B4A66" w14:paraId="626B40BE" w14:textId="77777777">
        <w:trPr>
          <w:trHeight w:val="81"/>
        </w:trPr>
        <w:tc>
          <w:tcPr>
            <w:tcW w:w="1368" w:type="dxa"/>
          </w:tcPr>
          <w:p w14:paraId="6A92FD2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C411</w:t>
            </w:r>
            <w:r w:rsidRPr="006B4A66">
              <w:rPr>
                <w:rFonts w:ascii="Times New Roman" w:eastAsia="Calibri" w:hAnsi="Times New Roman" w:cs="Times New Roman"/>
                <w:color w:val="000000"/>
                <w:kern w:val="0"/>
                <w:sz w:val="24"/>
                <w:vertAlign w:val="superscript"/>
                <w14:ligatures w14:val="none"/>
              </w:rPr>
              <w:t>b</w:t>
            </w:r>
          </w:p>
        </w:tc>
        <w:tc>
          <w:tcPr>
            <w:tcW w:w="5220" w:type="dxa"/>
          </w:tcPr>
          <w:p w14:paraId="2407A4B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Renewable energy</w:t>
            </w:r>
          </w:p>
        </w:tc>
        <w:tc>
          <w:tcPr>
            <w:tcW w:w="2520" w:type="dxa"/>
          </w:tcPr>
          <w:p w14:paraId="5447D2B5"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r>
      <w:tr w:rsidR="006B4A66" w:rsidRPr="006B4A66" w14:paraId="2538ADC6" w14:textId="77777777">
        <w:trPr>
          <w:trHeight w:val="81"/>
        </w:trPr>
        <w:tc>
          <w:tcPr>
            <w:tcW w:w="1368" w:type="dxa"/>
          </w:tcPr>
          <w:p w14:paraId="479FB4C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C412</w:t>
            </w:r>
          </w:p>
        </w:tc>
        <w:tc>
          <w:tcPr>
            <w:tcW w:w="5220" w:type="dxa"/>
          </w:tcPr>
          <w:p w14:paraId="54E81F5F"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Compressed air systems</w:t>
            </w:r>
          </w:p>
        </w:tc>
        <w:tc>
          <w:tcPr>
            <w:tcW w:w="2520" w:type="dxa"/>
          </w:tcPr>
          <w:p w14:paraId="680865D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r>
    </w:tbl>
    <w:p w14:paraId="0A6F3A48"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Footnotes:</w:t>
      </w:r>
    </w:p>
    <w:p w14:paraId="681B9C3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a.  Reference to a code section includes all the relative subsections except as indicated in the table.</w:t>
      </w:r>
    </w:p>
    <w:p w14:paraId="0644F5C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b.  Compliance with any of these sections includes compliance with any exception to that section.</w:t>
      </w:r>
    </w:p>
    <w:p w14:paraId="1E966AB4" w14:textId="6AC8D96B"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115.</w:t>
      </w:r>
      <w:r w:rsidRPr="006B4A66">
        <w:rPr>
          <w:rFonts w:ascii="Times New Roman" w:eastAsia="Times New Roman" w:hAnsi="Times New Roman" w:cs="Times New Roman"/>
          <w:color w:val="000000"/>
          <w:kern w:val="0"/>
          <w:sz w:val="24"/>
          <w:szCs w:val="24"/>
          <w14:ligatures w14:val="none"/>
        </w:rPr>
        <w:t xml:space="preserve">  Ordinance 19485, Section 117, and K.C.C. 16.07.490 are hereby amended to read as follows:</w:t>
      </w:r>
    </w:p>
    <w:p w14:paraId="0B883BD5"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Table C407.3(2) of the ((</w:t>
      </w:r>
      <w:r w:rsidRPr="006B4A66">
        <w:rPr>
          <w:rFonts w:ascii="Times New Roman" w:eastAsia="Times New Roman" w:hAnsi="Times New Roman" w:cs="Times New Roman"/>
          <w:strike/>
          <w:color w:val="000000"/>
          <w:kern w:val="0"/>
          <w:sz w:val="24"/>
          <w:szCs w:val="24"/>
          <w14:ligatures w14:val="none"/>
        </w:rPr>
        <w:t>International Energy Conservation</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Washington State Energy</w:t>
      </w:r>
      <w:r w:rsidRPr="006B4A66">
        <w:rPr>
          <w:rFonts w:ascii="Times New Roman" w:eastAsia="Times New Roman" w:hAnsi="Times New Roman" w:cs="Times New Roman"/>
          <w:color w:val="000000"/>
          <w:kern w:val="0"/>
          <w:sz w:val="24"/>
          <w:szCs w:val="24"/>
          <w14:ligatures w14:val="none"/>
        </w:rPr>
        <w:t xml:space="preserve"> Code is not adopted and the following is substituted:</w:t>
      </w:r>
    </w:p>
    <w:p w14:paraId="046C15F3" w14:textId="77777777" w:rsidR="006B4A66" w:rsidRPr="006B4A66" w:rsidRDefault="006B4A66" w:rsidP="0073496A">
      <w:pPr>
        <w:spacing w:after="0" w:line="480" w:lineRule="auto"/>
        <w:ind w:right="90"/>
        <w:jc w:val="center"/>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Table C407.3(2)</w:t>
      </w:r>
    </w:p>
    <w:p w14:paraId="4192CE43" w14:textId="0A27BD95" w:rsidR="006B4A66" w:rsidRPr="006B4A66" w:rsidRDefault="00234879" w:rsidP="0073496A">
      <w:pPr>
        <w:spacing w:after="0" w:line="480" w:lineRule="auto"/>
        <w:jc w:val="center"/>
        <w:rPr>
          <w:rFonts w:ascii="Times New Roman" w:eastAsia="Calibri" w:hAnsi="Times New Roman" w:cs="Times New Roman"/>
          <w:color w:val="000000"/>
          <w:kern w:val="0"/>
          <w:sz w:val="24"/>
          <w14:ligatures w14:val="none"/>
        </w:rPr>
      </w:pPr>
      <w:r>
        <w:rPr>
          <w:rFonts w:ascii="Times New Roman" w:eastAsia="Calibri" w:hAnsi="Times New Roman" w:cs="Times New Roman"/>
          <w:b/>
          <w:color w:val="000000"/>
          <w:kern w:val="0"/>
          <w:sz w:val="24"/>
          <w:u w:val="single"/>
          <w14:ligatures w14:val="none"/>
        </w:rPr>
        <w:t>Building</w:t>
      </w:r>
      <w:r>
        <w:rPr>
          <w:rFonts w:ascii="Times New Roman" w:eastAsia="Calibri" w:hAnsi="Times New Roman" w:cs="Times New Roman"/>
          <w:b/>
          <w:color w:val="000000"/>
          <w:kern w:val="0"/>
          <w:sz w:val="24"/>
          <w14:ligatures w14:val="none"/>
        </w:rPr>
        <w:t xml:space="preserve"> </w:t>
      </w:r>
      <w:r w:rsidR="006B4A66" w:rsidRPr="006B4A66">
        <w:rPr>
          <w:rFonts w:ascii="Times New Roman" w:eastAsia="Calibri" w:hAnsi="Times New Roman" w:cs="Times New Roman"/>
          <w:b/>
          <w:color w:val="000000"/>
          <w:kern w:val="0"/>
          <w:sz w:val="24"/>
          <w14:ligatures w14:val="none"/>
        </w:rPr>
        <w:t>Performance Factors (BPF) to be used for Compliance with Section C407.3</w:t>
      </w:r>
    </w:p>
    <w:tbl>
      <w:tblPr>
        <w:tblW w:w="0" w:type="auto"/>
        <w:jc w:val="center"/>
        <w:tblCellMar>
          <w:left w:w="70" w:type="dxa"/>
          <w:right w:w="70" w:type="dxa"/>
        </w:tblCellMar>
        <w:tblLook w:val="04A0" w:firstRow="1" w:lastRow="0" w:firstColumn="1" w:lastColumn="0" w:noHBand="0" w:noVBand="1"/>
      </w:tblPr>
      <w:tblGrid>
        <w:gridCol w:w="2430"/>
        <w:gridCol w:w="2430"/>
      </w:tblGrid>
      <w:tr w:rsidR="006B4A66" w:rsidRPr="006B4A66" w14:paraId="32D99758" w14:textId="77777777">
        <w:trPr>
          <w:cantSplit/>
          <w:tblHeader/>
          <w:jc w:val="center"/>
        </w:trPr>
        <w:tc>
          <w:tcPr>
            <w:tcW w:w="2430" w:type="dxa"/>
            <w:tcBorders>
              <w:top w:val="single" w:sz="2" w:space="0" w:color="auto"/>
              <w:left w:val="single" w:sz="2" w:space="0" w:color="auto"/>
              <w:bottom w:val="single" w:sz="2" w:space="0" w:color="auto"/>
              <w:right w:val="single" w:sz="2" w:space="0" w:color="auto"/>
            </w:tcBorders>
            <w:tcMar>
              <w:top w:w="40" w:type="dxa"/>
              <w:left w:w="120" w:type="dxa"/>
              <w:bottom w:w="40" w:type="dxa"/>
              <w:right w:w="120" w:type="dxa"/>
            </w:tcMar>
            <w:vAlign w:val="bottom"/>
            <w:hideMark/>
          </w:tcPr>
          <w:p w14:paraId="37FFC90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Building Area Type</w:t>
            </w:r>
          </w:p>
        </w:tc>
        <w:tc>
          <w:tcPr>
            <w:tcW w:w="2430" w:type="dxa"/>
            <w:tcBorders>
              <w:top w:val="single" w:sz="2" w:space="0" w:color="auto"/>
              <w:left w:val="nil"/>
              <w:bottom w:val="single" w:sz="2" w:space="0" w:color="auto"/>
              <w:right w:val="single" w:sz="2" w:space="0" w:color="auto"/>
            </w:tcBorders>
            <w:tcMar>
              <w:top w:w="40" w:type="dxa"/>
              <w:left w:w="120" w:type="dxa"/>
              <w:bottom w:w="40" w:type="dxa"/>
              <w:right w:w="120" w:type="dxa"/>
            </w:tcMar>
            <w:vAlign w:val="bottom"/>
            <w:hideMark/>
          </w:tcPr>
          <w:p w14:paraId="6ACF6EC6"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Building Performance Factor</w:t>
            </w:r>
          </w:p>
        </w:tc>
      </w:tr>
      <w:tr w:rsidR="006B4A66" w:rsidRPr="006B4A66" w14:paraId="287742F5" w14:textId="77777777">
        <w:trPr>
          <w:jc w:val="center"/>
        </w:trPr>
        <w:tc>
          <w:tcPr>
            <w:tcW w:w="2430" w:type="dxa"/>
            <w:tcBorders>
              <w:top w:val="nil"/>
              <w:left w:val="single" w:sz="2" w:space="0" w:color="auto"/>
              <w:bottom w:val="single" w:sz="2" w:space="0" w:color="auto"/>
              <w:right w:val="single" w:sz="2" w:space="0" w:color="auto"/>
            </w:tcBorders>
            <w:tcMar>
              <w:top w:w="40" w:type="dxa"/>
              <w:left w:w="120" w:type="dxa"/>
              <w:bottom w:w="40" w:type="dxa"/>
              <w:right w:w="120" w:type="dxa"/>
            </w:tcMar>
            <w:hideMark/>
          </w:tcPr>
          <w:p w14:paraId="608FD6B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Multifamily</w:t>
            </w:r>
          </w:p>
        </w:tc>
        <w:tc>
          <w:tcPr>
            <w:tcW w:w="2430" w:type="dxa"/>
            <w:tcBorders>
              <w:top w:val="nil"/>
              <w:left w:val="nil"/>
              <w:bottom w:val="single" w:sz="2" w:space="0" w:color="auto"/>
              <w:right w:val="single" w:sz="2" w:space="0" w:color="auto"/>
            </w:tcBorders>
            <w:tcMar>
              <w:top w:w="40" w:type="dxa"/>
              <w:left w:w="120" w:type="dxa"/>
              <w:bottom w:w="40" w:type="dxa"/>
              <w:right w:w="120" w:type="dxa"/>
            </w:tcMar>
            <w:hideMark/>
          </w:tcPr>
          <w:p w14:paraId="092D4330" w14:textId="0380DEF8"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0.52</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0.5</w:t>
            </w:r>
            <w:r w:rsidR="005A290A">
              <w:rPr>
                <w:rFonts w:ascii="Times New Roman" w:eastAsia="Calibri" w:hAnsi="Times New Roman" w:cs="Times New Roman"/>
                <w:color w:val="000000"/>
                <w:kern w:val="0"/>
                <w:sz w:val="24"/>
                <w:u w:val="single"/>
                <w14:ligatures w14:val="none"/>
              </w:rPr>
              <w:t>1</w:t>
            </w:r>
          </w:p>
        </w:tc>
      </w:tr>
      <w:tr w:rsidR="006B4A66" w:rsidRPr="006B4A66" w14:paraId="5733AA3B" w14:textId="77777777">
        <w:trPr>
          <w:jc w:val="center"/>
        </w:trPr>
        <w:tc>
          <w:tcPr>
            <w:tcW w:w="2430" w:type="dxa"/>
            <w:tcBorders>
              <w:top w:val="nil"/>
              <w:left w:val="single" w:sz="2" w:space="0" w:color="auto"/>
              <w:bottom w:val="single" w:sz="2" w:space="0" w:color="auto"/>
              <w:right w:val="single" w:sz="2" w:space="0" w:color="auto"/>
            </w:tcBorders>
            <w:tcMar>
              <w:top w:w="40" w:type="dxa"/>
              <w:left w:w="120" w:type="dxa"/>
              <w:bottom w:w="40" w:type="dxa"/>
              <w:right w:w="120" w:type="dxa"/>
            </w:tcMar>
            <w:hideMark/>
          </w:tcPr>
          <w:p w14:paraId="0250858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Healthcare/hospital</w:t>
            </w:r>
          </w:p>
        </w:tc>
        <w:tc>
          <w:tcPr>
            <w:tcW w:w="2430" w:type="dxa"/>
            <w:tcBorders>
              <w:top w:val="nil"/>
              <w:left w:val="nil"/>
              <w:bottom w:val="single" w:sz="2" w:space="0" w:color="auto"/>
              <w:right w:val="single" w:sz="2" w:space="0" w:color="auto"/>
            </w:tcBorders>
            <w:tcMar>
              <w:top w:w="40" w:type="dxa"/>
              <w:left w:w="120" w:type="dxa"/>
              <w:bottom w:w="40" w:type="dxa"/>
              <w:right w:w="120" w:type="dxa"/>
            </w:tcMar>
            <w:hideMark/>
          </w:tcPr>
          <w:p w14:paraId="661F3B52"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0.49</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0.64</w:t>
            </w:r>
          </w:p>
        </w:tc>
      </w:tr>
      <w:tr w:rsidR="006B4A66" w:rsidRPr="006B4A66" w14:paraId="08C78D21" w14:textId="77777777">
        <w:trPr>
          <w:jc w:val="center"/>
        </w:trPr>
        <w:tc>
          <w:tcPr>
            <w:tcW w:w="2430" w:type="dxa"/>
            <w:tcBorders>
              <w:top w:val="nil"/>
              <w:left w:val="single" w:sz="2" w:space="0" w:color="auto"/>
              <w:bottom w:val="single" w:sz="2" w:space="0" w:color="auto"/>
              <w:right w:val="single" w:sz="2" w:space="0" w:color="auto"/>
            </w:tcBorders>
            <w:tcMar>
              <w:top w:w="40" w:type="dxa"/>
              <w:left w:w="120" w:type="dxa"/>
              <w:bottom w:w="40" w:type="dxa"/>
              <w:right w:w="120" w:type="dxa"/>
            </w:tcMar>
            <w:hideMark/>
          </w:tcPr>
          <w:p w14:paraId="74168A6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Hotel/motel</w:t>
            </w:r>
          </w:p>
        </w:tc>
        <w:tc>
          <w:tcPr>
            <w:tcW w:w="2430" w:type="dxa"/>
            <w:tcBorders>
              <w:top w:val="nil"/>
              <w:left w:val="nil"/>
              <w:bottom w:val="single" w:sz="2" w:space="0" w:color="auto"/>
              <w:right w:val="single" w:sz="2" w:space="0" w:color="auto"/>
            </w:tcBorders>
            <w:tcMar>
              <w:top w:w="40" w:type="dxa"/>
              <w:left w:w="120" w:type="dxa"/>
              <w:bottom w:w="40" w:type="dxa"/>
              <w:right w:w="120" w:type="dxa"/>
            </w:tcMar>
            <w:hideMark/>
          </w:tcPr>
          <w:p w14:paraId="1FC94E2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0.58</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0.48</w:t>
            </w:r>
          </w:p>
        </w:tc>
      </w:tr>
      <w:tr w:rsidR="006B4A66" w:rsidRPr="006B4A66" w14:paraId="591B271A" w14:textId="77777777">
        <w:trPr>
          <w:jc w:val="center"/>
        </w:trPr>
        <w:tc>
          <w:tcPr>
            <w:tcW w:w="2430" w:type="dxa"/>
            <w:tcBorders>
              <w:top w:val="nil"/>
              <w:left w:val="single" w:sz="2" w:space="0" w:color="auto"/>
              <w:bottom w:val="single" w:sz="2" w:space="0" w:color="auto"/>
              <w:right w:val="single" w:sz="2" w:space="0" w:color="auto"/>
            </w:tcBorders>
            <w:tcMar>
              <w:top w:w="40" w:type="dxa"/>
              <w:left w:w="120" w:type="dxa"/>
              <w:bottom w:w="40" w:type="dxa"/>
              <w:right w:w="120" w:type="dxa"/>
            </w:tcMar>
            <w:hideMark/>
          </w:tcPr>
          <w:p w14:paraId="6A7DDA7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Office</w:t>
            </w:r>
          </w:p>
        </w:tc>
        <w:tc>
          <w:tcPr>
            <w:tcW w:w="2430" w:type="dxa"/>
            <w:tcBorders>
              <w:top w:val="nil"/>
              <w:left w:val="nil"/>
              <w:bottom w:val="single" w:sz="2" w:space="0" w:color="auto"/>
              <w:right w:val="single" w:sz="2" w:space="0" w:color="auto"/>
            </w:tcBorders>
            <w:tcMar>
              <w:top w:w="40" w:type="dxa"/>
              <w:left w:w="120" w:type="dxa"/>
              <w:bottom w:w="40" w:type="dxa"/>
              <w:right w:w="120" w:type="dxa"/>
            </w:tcMar>
            <w:hideMark/>
          </w:tcPr>
          <w:p w14:paraId="7933F3C1"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0.51</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0.41</w:t>
            </w:r>
          </w:p>
        </w:tc>
      </w:tr>
      <w:tr w:rsidR="006B4A66" w:rsidRPr="006B4A66" w14:paraId="51F87322" w14:textId="77777777">
        <w:trPr>
          <w:jc w:val="center"/>
        </w:trPr>
        <w:tc>
          <w:tcPr>
            <w:tcW w:w="2430" w:type="dxa"/>
            <w:tcBorders>
              <w:top w:val="nil"/>
              <w:left w:val="single" w:sz="2" w:space="0" w:color="auto"/>
              <w:bottom w:val="single" w:sz="2" w:space="0" w:color="auto"/>
              <w:right w:val="single" w:sz="2" w:space="0" w:color="auto"/>
            </w:tcBorders>
            <w:tcMar>
              <w:top w:w="40" w:type="dxa"/>
              <w:left w:w="120" w:type="dxa"/>
              <w:bottom w:w="40" w:type="dxa"/>
              <w:right w:w="120" w:type="dxa"/>
            </w:tcMar>
            <w:hideMark/>
          </w:tcPr>
          <w:p w14:paraId="01B7F12F"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Restaurant</w:t>
            </w:r>
          </w:p>
        </w:tc>
        <w:tc>
          <w:tcPr>
            <w:tcW w:w="2430" w:type="dxa"/>
            <w:tcBorders>
              <w:top w:val="nil"/>
              <w:left w:val="nil"/>
              <w:bottom w:val="single" w:sz="2" w:space="0" w:color="auto"/>
              <w:right w:val="single" w:sz="2" w:space="0" w:color="auto"/>
            </w:tcBorders>
            <w:tcMar>
              <w:top w:w="40" w:type="dxa"/>
              <w:left w:w="120" w:type="dxa"/>
              <w:bottom w:w="40" w:type="dxa"/>
              <w:right w:w="120" w:type="dxa"/>
            </w:tcMar>
            <w:hideMark/>
          </w:tcPr>
          <w:p w14:paraId="08AC384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0.63</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0.32</w:t>
            </w:r>
          </w:p>
        </w:tc>
      </w:tr>
      <w:tr w:rsidR="006B4A66" w:rsidRPr="006B4A66" w14:paraId="00B29D3B" w14:textId="77777777">
        <w:trPr>
          <w:jc w:val="center"/>
        </w:trPr>
        <w:tc>
          <w:tcPr>
            <w:tcW w:w="2430" w:type="dxa"/>
            <w:tcBorders>
              <w:top w:val="nil"/>
              <w:left w:val="single" w:sz="2" w:space="0" w:color="auto"/>
              <w:bottom w:val="single" w:sz="2" w:space="0" w:color="auto"/>
              <w:right w:val="single" w:sz="2" w:space="0" w:color="auto"/>
            </w:tcBorders>
            <w:tcMar>
              <w:top w:w="40" w:type="dxa"/>
              <w:left w:w="120" w:type="dxa"/>
              <w:bottom w:w="40" w:type="dxa"/>
              <w:right w:w="120" w:type="dxa"/>
            </w:tcMar>
            <w:hideMark/>
          </w:tcPr>
          <w:p w14:paraId="4365C0A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Retail</w:t>
            </w:r>
          </w:p>
        </w:tc>
        <w:tc>
          <w:tcPr>
            <w:tcW w:w="2430" w:type="dxa"/>
            <w:tcBorders>
              <w:top w:val="nil"/>
              <w:left w:val="nil"/>
              <w:bottom w:val="single" w:sz="2" w:space="0" w:color="auto"/>
              <w:right w:val="single" w:sz="2" w:space="0" w:color="auto"/>
            </w:tcBorders>
            <w:tcMar>
              <w:top w:w="40" w:type="dxa"/>
              <w:left w:w="120" w:type="dxa"/>
              <w:bottom w:w="40" w:type="dxa"/>
              <w:right w:w="120" w:type="dxa"/>
            </w:tcMar>
            <w:hideMark/>
          </w:tcPr>
          <w:p w14:paraId="319D758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0.43</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0.37</w:t>
            </w:r>
          </w:p>
        </w:tc>
      </w:tr>
      <w:tr w:rsidR="006B4A66" w:rsidRPr="006B4A66" w14:paraId="433F7859" w14:textId="77777777">
        <w:trPr>
          <w:jc w:val="center"/>
        </w:trPr>
        <w:tc>
          <w:tcPr>
            <w:tcW w:w="2430" w:type="dxa"/>
            <w:tcBorders>
              <w:top w:val="nil"/>
              <w:left w:val="single" w:sz="2" w:space="0" w:color="auto"/>
              <w:bottom w:val="single" w:sz="2" w:space="0" w:color="auto"/>
              <w:right w:val="single" w:sz="2" w:space="0" w:color="auto"/>
            </w:tcBorders>
            <w:tcMar>
              <w:top w:w="40" w:type="dxa"/>
              <w:left w:w="120" w:type="dxa"/>
              <w:bottom w:w="40" w:type="dxa"/>
              <w:right w:w="120" w:type="dxa"/>
            </w:tcMar>
            <w:hideMark/>
          </w:tcPr>
          <w:p w14:paraId="5F468419"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School</w:t>
            </w:r>
          </w:p>
        </w:tc>
        <w:tc>
          <w:tcPr>
            <w:tcW w:w="2430" w:type="dxa"/>
            <w:tcBorders>
              <w:top w:val="nil"/>
              <w:left w:val="nil"/>
              <w:bottom w:val="single" w:sz="2" w:space="0" w:color="auto"/>
              <w:right w:val="single" w:sz="2" w:space="0" w:color="auto"/>
            </w:tcBorders>
            <w:tcMar>
              <w:top w:w="40" w:type="dxa"/>
              <w:left w:w="120" w:type="dxa"/>
              <w:bottom w:w="40" w:type="dxa"/>
              <w:right w:w="120" w:type="dxa"/>
            </w:tcMar>
            <w:hideMark/>
          </w:tcPr>
          <w:p w14:paraId="2F469E9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0.32</w:t>
            </w:r>
          </w:p>
        </w:tc>
      </w:tr>
      <w:tr w:rsidR="006B4A66" w:rsidRPr="006B4A66" w14:paraId="6402C98D" w14:textId="77777777">
        <w:trPr>
          <w:jc w:val="center"/>
        </w:trPr>
        <w:tc>
          <w:tcPr>
            <w:tcW w:w="2430" w:type="dxa"/>
            <w:tcBorders>
              <w:top w:val="nil"/>
              <w:left w:val="single" w:sz="2" w:space="0" w:color="auto"/>
              <w:bottom w:val="single" w:sz="2" w:space="0" w:color="auto"/>
              <w:right w:val="single" w:sz="2" w:space="0" w:color="auto"/>
            </w:tcBorders>
            <w:tcMar>
              <w:top w:w="40" w:type="dxa"/>
              <w:left w:w="120" w:type="dxa"/>
              <w:bottom w:w="40" w:type="dxa"/>
              <w:right w:w="120" w:type="dxa"/>
            </w:tcMar>
            <w:hideMark/>
          </w:tcPr>
          <w:p w14:paraId="74F8D89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Warehouse</w:t>
            </w:r>
          </w:p>
        </w:tc>
        <w:tc>
          <w:tcPr>
            <w:tcW w:w="2430" w:type="dxa"/>
            <w:tcBorders>
              <w:top w:val="nil"/>
              <w:left w:val="nil"/>
              <w:bottom w:val="single" w:sz="2" w:space="0" w:color="auto"/>
              <w:right w:val="single" w:sz="2" w:space="0" w:color="auto"/>
            </w:tcBorders>
            <w:tcMar>
              <w:top w:w="40" w:type="dxa"/>
              <w:left w:w="120" w:type="dxa"/>
              <w:bottom w:w="40" w:type="dxa"/>
              <w:right w:w="120" w:type="dxa"/>
            </w:tcMar>
            <w:hideMark/>
          </w:tcPr>
          <w:p w14:paraId="09999556"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0.43</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0.17</w:t>
            </w:r>
          </w:p>
        </w:tc>
      </w:tr>
      <w:tr w:rsidR="006B4A66" w:rsidRPr="006B4A66" w14:paraId="075D2275" w14:textId="77777777">
        <w:trPr>
          <w:jc w:val="center"/>
        </w:trPr>
        <w:tc>
          <w:tcPr>
            <w:tcW w:w="2430" w:type="dxa"/>
            <w:tcBorders>
              <w:top w:val="nil"/>
              <w:left w:val="single" w:sz="2" w:space="0" w:color="auto"/>
              <w:bottom w:val="single" w:sz="2" w:space="0" w:color="auto"/>
              <w:right w:val="single" w:sz="2" w:space="0" w:color="auto"/>
            </w:tcBorders>
            <w:tcMar>
              <w:top w:w="40" w:type="dxa"/>
              <w:left w:w="120" w:type="dxa"/>
              <w:bottom w:w="40" w:type="dxa"/>
              <w:right w:w="120" w:type="dxa"/>
            </w:tcMar>
            <w:hideMark/>
          </w:tcPr>
          <w:p w14:paraId="59FB00B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All others</w:t>
            </w:r>
          </w:p>
        </w:tc>
        <w:tc>
          <w:tcPr>
            <w:tcW w:w="2430" w:type="dxa"/>
            <w:tcBorders>
              <w:top w:val="nil"/>
              <w:left w:val="nil"/>
              <w:bottom w:val="single" w:sz="2" w:space="0" w:color="auto"/>
              <w:right w:val="single" w:sz="2" w:space="0" w:color="auto"/>
            </w:tcBorders>
            <w:tcMar>
              <w:top w:w="40" w:type="dxa"/>
              <w:left w:w="120" w:type="dxa"/>
              <w:bottom w:w="40" w:type="dxa"/>
              <w:right w:w="120" w:type="dxa"/>
            </w:tcMar>
            <w:hideMark/>
          </w:tcPr>
          <w:p w14:paraId="0D58165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0.49</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0.40</w:t>
            </w:r>
          </w:p>
        </w:tc>
      </w:tr>
    </w:tbl>
    <w:p w14:paraId="1AFF8DBD" w14:textId="05EC3EAC"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116.</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58ED5E15"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Table C407.3(3) of the Washington State Energy Code is not adopted and the following is substituted:</w:t>
      </w:r>
    </w:p>
    <w:p w14:paraId="253F1DFA" w14:textId="77777777" w:rsidR="006B4A66" w:rsidRPr="006B4A66" w:rsidRDefault="006B4A66" w:rsidP="0073496A">
      <w:pPr>
        <w:tabs>
          <w:tab w:val="left" w:pos="720"/>
        </w:tabs>
        <w:spacing w:after="0" w:line="480" w:lineRule="auto"/>
        <w:ind w:right="90"/>
        <w:jc w:val="center"/>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Table C407.3(3)</w:t>
      </w:r>
    </w:p>
    <w:p w14:paraId="016DCB34" w14:textId="77777777" w:rsidR="006B4A66" w:rsidRPr="006B4A66" w:rsidRDefault="006B4A66" w:rsidP="0073496A">
      <w:pPr>
        <w:spacing w:after="0" w:line="480" w:lineRule="auto"/>
        <w:jc w:val="center"/>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Site Energy Performance Targets to be used for Compliance with Section C407.3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10"/>
        <w:gridCol w:w="2250"/>
      </w:tblGrid>
      <w:tr w:rsidR="006B4A66" w:rsidRPr="006B4A66" w14:paraId="0521184F" w14:textId="77777777">
        <w:trPr>
          <w:cantSplit/>
          <w:tblHeader/>
          <w:jc w:val="center"/>
        </w:trPr>
        <w:tc>
          <w:tcPr>
            <w:tcW w:w="2610" w:type="dxa"/>
            <w:tcMar>
              <w:top w:w="40" w:type="dxa"/>
              <w:left w:w="120" w:type="dxa"/>
              <w:bottom w:w="40" w:type="dxa"/>
              <w:right w:w="120" w:type="dxa"/>
            </w:tcMar>
            <w:vAlign w:val="bottom"/>
          </w:tcPr>
          <w:p w14:paraId="6C193306"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Building Area Type</w:t>
            </w:r>
          </w:p>
        </w:tc>
        <w:tc>
          <w:tcPr>
            <w:tcW w:w="2250" w:type="dxa"/>
            <w:tcMar>
              <w:top w:w="40" w:type="dxa"/>
              <w:left w:w="120" w:type="dxa"/>
              <w:bottom w:w="40" w:type="dxa"/>
              <w:right w:w="120" w:type="dxa"/>
            </w:tcMar>
            <w:vAlign w:val="bottom"/>
          </w:tcPr>
          <w:p w14:paraId="1DC762A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Site Energy Performance Targets</w:t>
            </w:r>
          </w:p>
        </w:tc>
      </w:tr>
      <w:tr w:rsidR="006B4A66" w:rsidRPr="006B4A66" w14:paraId="0276FB2B" w14:textId="77777777">
        <w:trPr>
          <w:jc w:val="center"/>
        </w:trPr>
        <w:tc>
          <w:tcPr>
            <w:tcW w:w="2610" w:type="dxa"/>
            <w:tcMar>
              <w:top w:w="40" w:type="dxa"/>
              <w:left w:w="120" w:type="dxa"/>
              <w:bottom w:w="40" w:type="dxa"/>
              <w:right w:w="120" w:type="dxa"/>
            </w:tcMar>
          </w:tcPr>
          <w:p w14:paraId="61AE4E89"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Multifamily</w:t>
            </w:r>
          </w:p>
        </w:tc>
        <w:tc>
          <w:tcPr>
            <w:tcW w:w="2250" w:type="dxa"/>
            <w:tcMar>
              <w:top w:w="40" w:type="dxa"/>
              <w:left w:w="120" w:type="dxa"/>
              <w:bottom w:w="40" w:type="dxa"/>
              <w:right w:w="120" w:type="dxa"/>
            </w:tcMar>
          </w:tcPr>
          <w:p w14:paraId="7707D4AD" w14:textId="6681A7F9"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0.5</w:t>
            </w:r>
            <w:r w:rsidR="00EC13FF">
              <w:rPr>
                <w:rFonts w:ascii="Times New Roman" w:eastAsia="Calibri" w:hAnsi="Times New Roman" w:cs="Times New Roman"/>
                <w:color w:val="000000"/>
                <w:kern w:val="0"/>
                <w:sz w:val="24"/>
                <w14:ligatures w14:val="none"/>
              </w:rPr>
              <w:t>9</w:t>
            </w:r>
          </w:p>
        </w:tc>
      </w:tr>
      <w:tr w:rsidR="006B4A66" w:rsidRPr="006B4A66" w14:paraId="32544F03" w14:textId="77777777">
        <w:trPr>
          <w:jc w:val="center"/>
        </w:trPr>
        <w:tc>
          <w:tcPr>
            <w:tcW w:w="2610" w:type="dxa"/>
            <w:tcMar>
              <w:top w:w="40" w:type="dxa"/>
              <w:left w:w="120" w:type="dxa"/>
              <w:bottom w:w="40" w:type="dxa"/>
              <w:right w:w="120" w:type="dxa"/>
            </w:tcMar>
          </w:tcPr>
          <w:p w14:paraId="298E6016"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Health care/hospital</w:t>
            </w:r>
          </w:p>
        </w:tc>
        <w:tc>
          <w:tcPr>
            <w:tcW w:w="2250" w:type="dxa"/>
            <w:tcMar>
              <w:top w:w="40" w:type="dxa"/>
              <w:left w:w="120" w:type="dxa"/>
              <w:bottom w:w="40" w:type="dxa"/>
              <w:right w:w="120" w:type="dxa"/>
            </w:tcMar>
          </w:tcPr>
          <w:p w14:paraId="56090010"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0.65</w:t>
            </w:r>
          </w:p>
        </w:tc>
      </w:tr>
      <w:tr w:rsidR="006B4A66" w:rsidRPr="006B4A66" w14:paraId="124E2B6F" w14:textId="77777777">
        <w:trPr>
          <w:jc w:val="center"/>
        </w:trPr>
        <w:tc>
          <w:tcPr>
            <w:tcW w:w="2610" w:type="dxa"/>
            <w:tcMar>
              <w:top w:w="40" w:type="dxa"/>
              <w:left w:w="120" w:type="dxa"/>
              <w:bottom w:w="40" w:type="dxa"/>
              <w:right w:w="120" w:type="dxa"/>
            </w:tcMar>
          </w:tcPr>
          <w:p w14:paraId="676800D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Hotel/motel</w:t>
            </w:r>
          </w:p>
        </w:tc>
        <w:tc>
          <w:tcPr>
            <w:tcW w:w="2250" w:type="dxa"/>
            <w:tcMar>
              <w:top w:w="40" w:type="dxa"/>
              <w:left w:w="120" w:type="dxa"/>
              <w:bottom w:w="40" w:type="dxa"/>
              <w:right w:w="120" w:type="dxa"/>
            </w:tcMar>
          </w:tcPr>
          <w:p w14:paraId="1BF49D95"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0.56</w:t>
            </w:r>
          </w:p>
        </w:tc>
      </w:tr>
      <w:tr w:rsidR="006B4A66" w:rsidRPr="006B4A66" w14:paraId="3F25CF38" w14:textId="77777777">
        <w:trPr>
          <w:jc w:val="center"/>
        </w:trPr>
        <w:tc>
          <w:tcPr>
            <w:tcW w:w="2610" w:type="dxa"/>
            <w:tcMar>
              <w:top w:w="40" w:type="dxa"/>
              <w:left w:w="120" w:type="dxa"/>
              <w:bottom w:w="40" w:type="dxa"/>
              <w:right w:w="120" w:type="dxa"/>
            </w:tcMar>
          </w:tcPr>
          <w:p w14:paraId="5BE4EDA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Office</w:t>
            </w:r>
          </w:p>
        </w:tc>
        <w:tc>
          <w:tcPr>
            <w:tcW w:w="2250" w:type="dxa"/>
            <w:tcMar>
              <w:top w:w="40" w:type="dxa"/>
              <w:left w:w="120" w:type="dxa"/>
              <w:bottom w:w="40" w:type="dxa"/>
              <w:right w:w="120" w:type="dxa"/>
            </w:tcMar>
          </w:tcPr>
          <w:p w14:paraId="787F1A6D" w14:textId="77777777"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0.52</w:t>
            </w:r>
          </w:p>
        </w:tc>
      </w:tr>
      <w:tr w:rsidR="006B4A66" w:rsidRPr="006B4A66" w14:paraId="03092277" w14:textId="77777777">
        <w:trPr>
          <w:jc w:val="center"/>
        </w:trPr>
        <w:tc>
          <w:tcPr>
            <w:tcW w:w="2610" w:type="dxa"/>
            <w:tcMar>
              <w:top w:w="40" w:type="dxa"/>
              <w:left w:w="120" w:type="dxa"/>
              <w:bottom w:w="40" w:type="dxa"/>
              <w:right w:w="120" w:type="dxa"/>
            </w:tcMar>
          </w:tcPr>
          <w:p w14:paraId="288B687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Restaurant</w:t>
            </w:r>
          </w:p>
        </w:tc>
        <w:tc>
          <w:tcPr>
            <w:tcW w:w="2250" w:type="dxa"/>
            <w:tcMar>
              <w:top w:w="40" w:type="dxa"/>
              <w:left w:w="120" w:type="dxa"/>
              <w:bottom w:w="40" w:type="dxa"/>
              <w:right w:w="120" w:type="dxa"/>
            </w:tcMar>
          </w:tcPr>
          <w:p w14:paraId="073478C0"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0.53</w:t>
            </w:r>
          </w:p>
        </w:tc>
      </w:tr>
      <w:tr w:rsidR="006B4A66" w:rsidRPr="006B4A66" w14:paraId="5C2E075F" w14:textId="77777777">
        <w:trPr>
          <w:jc w:val="center"/>
        </w:trPr>
        <w:tc>
          <w:tcPr>
            <w:tcW w:w="2610" w:type="dxa"/>
            <w:tcMar>
              <w:top w:w="40" w:type="dxa"/>
              <w:left w:w="120" w:type="dxa"/>
              <w:bottom w:w="40" w:type="dxa"/>
              <w:right w:w="120" w:type="dxa"/>
            </w:tcMar>
          </w:tcPr>
          <w:p w14:paraId="107BD200"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Retail</w:t>
            </w:r>
          </w:p>
        </w:tc>
        <w:tc>
          <w:tcPr>
            <w:tcW w:w="2250" w:type="dxa"/>
            <w:tcMar>
              <w:top w:w="40" w:type="dxa"/>
              <w:left w:w="120" w:type="dxa"/>
              <w:bottom w:w="40" w:type="dxa"/>
              <w:right w:w="120" w:type="dxa"/>
            </w:tcMar>
          </w:tcPr>
          <w:p w14:paraId="7934084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0.42</w:t>
            </w:r>
          </w:p>
        </w:tc>
      </w:tr>
      <w:tr w:rsidR="006B4A66" w:rsidRPr="006B4A66" w14:paraId="78461292" w14:textId="77777777">
        <w:trPr>
          <w:jc w:val="center"/>
        </w:trPr>
        <w:tc>
          <w:tcPr>
            <w:tcW w:w="2610" w:type="dxa"/>
            <w:tcMar>
              <w:top w:w="40" w:type="dxa"/>
              <w:left w:w="120" w:type="dxa"/>
              <w:bottom w:w="40" w:type="dxa"/>
              <w:right w:w="120" w:type="dxa"/>
            </w:tcMar>
          </w:tcPr>
          <w:p w14:paraId="6CDDAC4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School</w:t>
            </w:r>
          </w:p>
        </w:tc>
        <w:tc>
          <w:tcPr>
            <w:tcW w:w="2250" w:type="dxa"/>
            <w:tcMar>
              <w:top w:w="40" w:type="dxa"/>
              <w:left w:w="120" w:type="dxa"/>
              <w:bottom w:w="40" w:type="dxa"/>
              <w:right w:w="120" w:type="dxa"/>
            </w:tcMar>
          </w:tcPr>
          <w:p w14:paraId="0F27787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0.47</w:t>
            </w:r>
          </w:p>
        </w:tc>
      </w:tr>
      <w:tr w:rsidR="006B4A66" w:rsidRPr="006B4A66" w14:paraId="388C5568" w14:textId="77777777">
        <w:trPr>
          <w:jc w:val="center"/>
        </w:trPr>
        <w:tc>
          <w:tcPr>
            <w:tcW w:w="2610" w:type="dxa"/>
            <w:tcMar>
              <w:top w:w="40" w:type="dxa"/>
              <w:left w:w="120" w:type="dxa"/>
              <w:bottom w:w="40" w:type="dxa"/>
              <w:right w:w="120" w:type="dxa"/>
            </w:tcMar>
          </w:tcPr>
          <w:p w14:paraId="33436FF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Warehouse</w:t>
            </w:r>
          </w:p>
        </w:tc>
        <w:tc>
          <w:tcPr>
            <w:tcW w:w="2250" w:type="dxa"/>
            <w:tcMar>
              <w:top w:w="40" w:type="dxa"/>
              <w:left w:w="120" w:type="dxa"/>
              <w:bottom w:w="40" w:type="dxa"/>
              <w:right w:w="120" w:type="dxa"/>
            </w:tcMar>
          </w:tcPr>
          <w:p w14:paraId="3D2B133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0.26</w:t>
            </w:r>
          </w:p>
        </w:tc>
      </w:tr>
      <w:tr w:rsidR="006B4A66" w:rsidRPr="006B4A66" w14:paraId="5617EB3F" w14:textId="77777777">
        <w:trPr>
          <w:jc w:val="center"/>
        </w:trPr>
        <w:tc>
          <w:tcPr>
            <w:tcW w:w="2610" w:type="dxa"/>
            <w:tcMar>
              <w:top w:w="40" w:type="dxa"/>
              <w:left w:w="120" w:type="dxa"/>
              <w:bottom w:w="40" w:type="dxa"/>
              <w:right w:w="120" w:type="dxa"/>
            </w:tcMar>
          </w:tcPr>
          <w:p w14:paraId="7AB5545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All others</w:t>
            </w:r>
          </w:p>
        </w:tc>
        <w:tc>
          <w:tcPr>
            <w:tcW w:w="2250" w:type="dxa"/>
            <w:tcMar>
              <w:top w:w="40" w:type="dxa"/>
              <w:left w:w="120" w:type="dxa"/>
              <w:bottom w:w="40" w:type="dxa"/>
              <w:right w:w="120" w:type="dxa"/>
            </w:tcMar>
          </w:tcPr>
          <w:p w14:paraId="19726EF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0.50</w:t>
            </w:r>
          </w:p>
        </w:tc>
      </w:tr>
    </w:tbl>
    <w:p w14:paraId="6EA8B0D7" w14:textId="1715DA19"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117.</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589529F4"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Section C407.3.1 of Washington State Energy Code is not adopted and the following is substituted:</w:t>
      </w:r>
    </w:p>
    <w:p w14:paraId="6D776D99" w14:textId="3C5CA502"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b/>
          <w:bCs/>
          <w:color w:val="000000"/>
          <w:kern w:val="0"/>
          <w:sz w:val="24"/>
          <w:szCs w:val="24"/>
          <w14:ligatures w14:val="none"/>
        </w:rPr>
        <w:t>Limits on substandard building envelopes (</w:t>
      </w:r>
      <w:r w:rsidRPr="006B4A66">
        <w:rPr>
          <w:rFonts w:ascii="Times New Roman" w:eastAsia="Times New Roman" w:hAnsi="Times New Roman" w:cs="Times New Roman"/>
          <w:b/>
          <w:color w:val="000000"/>
          <w:kern w:val="0"/>
          <w:sz w:val="24"/>
          <w:szCs w:val="24"/>
          <w14:ligatures w14:val="none"/>
        </w:rPr>
        <w:t>WSEC</w:t>
      </w:r>
      <w:r w:rsidRPr="006B4A66">
        <w:rPr>
          <w:rFonts w:ascii="Times New Roman" w:eastAsia="Times New Roman" w:hAnsi="Times New Roman" w:cs="Times New Roman"/>
          <w:b/>
          <w:bCs/>
          <w:color w:val="000000"/>
          <w:kern w:val="0"/>
          <w:sz w:val="24"/>
          <w:szCs w:val="24"/>
          <w14:ligatures w14:val="none"/>
        </w:rPr>
        <w:t xml:space="preserve"> C407.3.1).</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0"/>
          <w14:ligatures w14:val="none"/>
        </w:rPr>
        <w:t xml:space="preserve"> The Proposed Total UA of the proposed building shall be no more than 10 percent higher than the Allowed Total UA as defined in WSEC C402.1.5.</w:t>
      </w:r>
    </w:p>
    <w:p w14:paraId="19B47F5E" w14:textId="034430F0"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118.</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3C870B7F"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Section C407.3.4 of the Washington State Energy Code is supplemented with the following:</w:t>
      </w:r>
    </w:p>
    <w:p w14:paraId="23D0D28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Approved unregulated load types (</w:t>
      </w:r>
      <w:r w:rsidRPr="006B4A66">
        <w:rPr>
          <w:rFonts w:ascii="Times New Roman" w:eastAsia="Calibri" w:hAnsi="Times New Roman" w:cs="Times New Roman"/>
          <w:b/>
          <w:color w:val="000000"/>
          <w:kern w:val="0"/>
          <w:sz w:val="24"/>
          <w14:ligatures w14:val="none"/>
        </w:rPr>
        <w:t>WSEC</w:t>
      </w:r>
      <w:r w:rsidRPr="006B4A66">
        <w:rPr>
          <w:rFonts w:ascii="Times New Roman" w:eastAsia="Calibri" w:hAnsi="Times New Roman" w:cs="Times New Roman"/>
          <w:b/>
          <w:bCs/>
          <w:color w:val="000000"/>
          <w:kern w:val="0"/>
          <w:sz w:val="24"/>
          <w14:ligatures w14:val="none"/>
        </w:rPr>
        <w:t xml:space="preserve"> C407.3.4.1).</w:t>
      </w:r>
      <w:r w:rsidRPr="006B4A66">
        <w:rPr>
          <w:rFonts w:ascii="Times New Roman" w:eastAsia="Calibri" w:hAnsi="Times New Roman" w:cs="Times New Roman"/>
          <w:color w:val="000000"/>
          <w:kern w:val="0"/>
          <w:sz w:val="24"/>
          <w14:ligatures w14:val="none"/>
        </w:rPr>
        <w:t xml:space="preserve">  Unregulated load types for which reductions of energy use or carbon emissions are claimed shall be one of those listed in WSEC Table C407.3.4.1 or shall be approved and publicly listed by the code official.  Requests for approval of such load types shall identify predicted energy use and carbon emissions of the baseline case in addition to identifying predicted energy use and carbon emissions of the proposed alternate.  Listings for specific load types may be withdrawn and made unavailable for subsequent permit applications in cases by the code </w:t>
      </w:r>
      <w:r w:rsidRPr="006B4A66">
        <w:rPr>
          <w:rFonts w:ascii="Times New Roman" w:eastAsia="Calibri" w:hAnsi="Times New Roman" w:cs="Times New Roman"/>
          <w:color w:val="000000"/>
          <w:kern w:val="0"/>
          <w:sz w:val="24"/>
          <w14:ligatures w14:val="none"/>
        </w:rPr>
        <w:lastRenderedPageBreak/>
        <w:t>official where it is considered that the unregulated load type listed has become accepted conventional practice.  Unregulated load savings shall follow the methodology outlined in this section, and not use the language from ASHRAE Appendix G Table G3.1 - No. 12 Receptacle and Other Load Baseline Building Performance Exception.</w:t>
      </w:r>
    </w:p>
    <w:p w14:paraId="1D28E174"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Table C407.3.4.1</w:t>
      </w:r>
    </w:p>
    <w:p w14:paraId="445DEE44"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Approved Unregulated Load Types</w:t>
      </w:r>
    </w:p>
    <w:tbl>
      <w:tblPr>
        <w:tblW w:w="909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7"/>
        <w:gridCol w:w="2214"/>
        <w:gridCol w:w="2659"/>
      </w:tblGrid>
      <w:tr w:rsidR="006B4A66" w:rsidRPr="006B4A66" w14:paraId="39C76382" w14:textId="77777777" w:rsidTr="00A76114">
        <w:trPr>
          <w:trHeight w:val="123"/>
        </w:trPr>
        <w:tc>
          <w:tcPr>
            <w:tcW w:w="4217" w:type="dxa"/>
            <w:vMerge w:val="restart"/>
          </w:tcPr>
          <w:p w14:paraId="628A7959"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In compliance with the requirements of section </w:t>
            </w:r>
          </w:p>
        </w:tc>
        <w:tc>
          <w:tcPr>
            <w:tcW w:w="4873" w:type="dxa"/>
            <w:gridSpan w:val="2"/>
          </w:tcPr>
          <w:p w14:paraId="755E3295"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Predicted energy and carbon emission reductions (%)</w:t>
            </w:r>
          </w:p>
        </w:tc>
      </w:tr>
      <w:tr w:rsidR="006B4A66" w:rsidRPr="006B4A66" w14:paraId="3B85C732" w14:textId="77777777" w:rsidTr="00A76114">
        <w:trPr>
          <w:trHeight w:val="67"/>
        </w:trPr>
        <w:tc>
          <w:tcPr>
            <w:tcW w:w="4217" w:type="dxa"/>
            <w:vMerge/>
          </w:tcPr>
          <w:p w14:paraId="314142E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c>
          <w:tcPr>
            <w:tcW w:w="2214" w:type="dxa"/>
          </w:tcPr>
          <w:p w14:paraId="2FB149A0"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Group R-1 </w:t>
            </w:r>
          </w:p>
        </w:tc>
        <w:tc>
          <w:tcPr>
            <w:tcW w:w="2659" w:type="dxa"/>
          </w:tcPr>
          <w:p w14:paraId="3F625C90"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Group R-2 </w:t>
            </w:r>
          </w:p>
        </w:tc>
      </w:tr>
      <w:tr w:rsidR="006B4A66" w:rsidRPr="006B4A66" w14:paraId="06CC4143" w14:textId="77777777" w:rsidTr="00A76114">
        <w:trPr>
          <w:trHeight w:val="81"/>
        </w:trPr>
        <w:tc>
          <w:tcPr>
            <w:tcW w:w="4217" w:type="dxa"/>
          </w:tcPr>
          <w:p w14:paraId="16379C90"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WSEC C406.2.15, Enhanced residential kitchen equipment </w:t>
            </w:r>
          </w:p>
        </w:tc>
        <w:tc>
          <w:tcPr>
            <w:tcW w:w="2214" w:type="dxa"/>
          </w:tcPr>
          <w:p w14:paraId="6E7DFA2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1.2 </w:t>
            </w:r>
          </w:p>
        </w:tc>
        <w:tc>
          <w:tcPr>
            <w:tcW w:w="2659" w:type="dxa"/>
          </w:tcPr>
          <w:p w14:paraId="71F2B30F"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1.9 </w:t>
            </w:r>
          </w:p>
        </w:tc>
      </w:tr>
      <w:tr w:rsidR="006B4A66" w:rsidRPr="006B4A66" w14:paraId="53F6EBBF" w14:textId="77777777" w:rsidTr="00A76114">
        <w:trPr>
          <w:trHeight w:val="81"/>
        </w:trPr>
        <w:tc>
          <w:tcPr>
            <w:tcW w:w="4217" w:type="dxa"/>
          </w:tcPr>
          <w:p w14:paraId="64F04FB9"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WSEC C406.2.16, Enhanced residential laundry equipment </w:t>
            </w:r>
          </w:p>
        </w:tc>
        <w:tc>
          <w:tcPr>
            <w:tcW w:w="2214" w:type="dxa"/>
          </w:tcPr>
          <w:p w14:paraId="722F68BC"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N/A </w:t>
            </w:r>
          </w:p>
        </w:tc>
        <w:tc>
          <w:tcPr>
            <w:tcW w:w="2659" w:type="dxa"/>
          </w:tcPr>
          <w:p w14:paraId="1FD1F02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0.6 </w:t>
            </w:r>
          </w:p>
        </w:tc>
      </w:tr>
      <w:tr w:rsidR="006B4A66" w:rsidRPr="006B4A66" w14:paraId="50BEFE4D" w14:textId="77777777" w:rsidTr="00A76114">
        <w:trPr>
          <w:trHeight w:val="81"/>
        </w:trPr>
        <w:tc>
          <w:tcPr>
            <w:tcW w:w="4217" w:type="dxa"/>
          </w:tcPr>
          <w:p w14:paraId="42BEE796"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WSEC C406.2.17, Heat pump clothes dryers </w:t>
            </w:r>
          </w:p>
        </w:tc>
        <w:tc>
          <w:tcPr>
            <w:tcW w:w="2214" w:type="dxa"/>
          </w:tcPr>
          <w:p w14:paraId="30C7403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0.6 </w:t>
            </w:r>
          </w:p>
        </w:tc>
        <w:tc>
          <w:tcPr>
            <w:tcW w:w="2659" w:type="dxa"/>
          </w:tcPr>
          <w:p w14:paraId="66F7EFFF"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0.6 </w:t>
            </w:r>
          </w:p>
        </w:tc>
      </w:tr>
    </w:tbl>
    <w:p w14:paraId="4A2EA2B1" w14:textId="6A189F50"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119.</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7A244E84" w14:textId="4E330B9C" w:rsidR="006B4A66" w:rsidRPr="006B4A66" w:rsidRDefault="006B4A66" w:rsidP="0073496A">
      <w:pPr>
        <w:tabs>
          <w:tab w:val="left" w:pos="720"/>
        </w:tabs>
        <w:spacing w:after="0" w:line="480" w:lineRule="auto"/>
        <w:rPr>
          <w:rFonts w:ascii="Times New Roman" w:eastAsia="Times New Roman" w:hAnsi="Times New Roman" w:cs="Times New Roman"/>
          <w:color w:val="000000"/>
          <w:spacing w:val="-2"/>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t xml:space="preserve">Section </w:t>
      </w:r>
      <w:r w:rsidRPr="006B4A66">
        <w:rPr>
          <w:rFonts w:ascii="Times New Roman" w:eastAsia="Times New Roman" w:hAnsi="Times New Roman" w:cs="Times New Roman"/>
          <w:color w:val="000000"/>
          <w:spacing w:val="-2"/>
          <w:kern w:val="0"/>
          <w:sz w:val="24"/>
          <w:szCs w:val="20"/>
          <w14:ligatures w14:val="none"/>
        </w:rPr>
        <w:t>C408.1.1</w:t>
      </w:r>
      <w:r w:rsidRPr="006B4A66">
        <w:rPr>
          <w:rFonts w:ascii="Times New Roman" w:eastAsia="Times New Roman" w:hAnsi="Times New Roman" w:cs="Times New Roman"/>
          <w:color w:val="000000"/>
          <w:spacing w:val="-2"/>
          <w:kern w:val="0"/>
          <w:sz w:val="24"/>
          <w:szCs w:val="24"/>
          <w14:ligatures w14:val="none"/>
        </w:rPr>
        <w:t xml:space="preserve"> of Washington State Energy Code is not adopted and </w:t>
      </w:r>
      <w:r w:rsidR="007345BA">
        <w:rPr>
          <w:rFonts w:ascii="Times New Roman" w:eastAsia="Times New Roman" w:hAnsi="Times New Roman" w:cs="Times New Roman"/>
          <w:color w:val="000000"/>
          <w:spacing w:val="-2"/>
          <w:kern w:val="0"/>
          <w:sz w:val="24"/>
          <w:szCs w:val="24"/>
          <w14:ligatures w14:val="none"/>
        </w:rPr>
        <w:t xml:space="preserve">the following is </w:t>
      </w:r>
      <w:r w:rsidRPr="006B4A66">
        <w:rPr>
          <w:rFonts w:ascii="Times New Roman" w:eastAsia="Times New Roman" w:hAnsi="Times New Roman" w:cs="Times New Roman"/>
          <w:color w:val="000000"/>
          <w:spacing w:val="-2"/>
          <w:kern w:val="0"/>
          <w:sz w:val="24"/>
          <w:szCs w:val="24"/>
          <w14:ligatures w14:val="none"/>
        </w:rPr>
        <w:t>substituted:</w:t>
      </w:r>
    </w:p>
    <w:p w14:paraId="5DE5259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C408.1.1 Commissioning in construction documents.</w:t>
      </w:r>
      <w:r w:rsidRPr="006B4A66">
        <w:rPr>
          <w:rFonts w:ascii="Times New Roman" w:eastAsia="Calibri" w:hAnsi="Times New Roman" w:cs="Times New Roman"/>
          <w:color w:val="000000"/>
          <w:kern w:val="0"/>
          <w:sz w:val="24"/>
          <w14:ligatures w14:val="none"/>
        </w:rPr>
        <w:t xml:space="preserve">  Construction documents shall clearly indicate provisions for commissioning process.  Electrical permit documents shall indicate required commissioning work for lighting and metering systems, and mechanical permit documents shall indicate required commissioning work for </w:t>
      </w:r>
      <w:r w:rsidRPr="006B4A66">
        <w:rPr>
          <w:rFonts w:ascii="Times New Roman" w:eastAsia="Calibri" w:hAnsi="Times New Roman" w:cs="Times New Roman"/>
          <w:color w:val="000000"/>
          <w:kern w:val="0"/>
          <w:sz w:val="24"/>
          <w14:ligatures w14:val="none"/>
        </w:rPr>
        <w:lastRenderedPageBreak/>
        <w:t>mechanical and water heating systems.  The construction documents shall minimally include the following:</w:t>
      </w:r>
    </w:p>
    <w:p w14:paraId="3ADF498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A narrative description of the activities that will be accomplished during the commissioning process.  At a minimum, the commissioning process is required to include:</w:t>
      </w:r>
    </w:p>
    <w:p w14:paraId="2315753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1.1  Development and execution of the commissioning plan, including all subsections of Section C408.1.2;</w:t>
      </w:r>
    </w:p>
    <w:p w14:paraId="093DEA3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1.2  The certified commissioning professional's review of the building documentation and close out submittals in accordance with Section C103.6; and</w:t>
      </w:r>
    </w:p>
    <w:p w14:paraId="274FEF4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1.3  The commissioning report in accordance with Section C408.13.</w:t>
      </w:r>
    </w:p>
    <w:p w14:paraId="409BCE8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Roles, responsibilities, and required qualifications of the certified commissioning professional.</w:t>
      </w:r>
    </w:p>
    <w:p w14:paraId="344E4F4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3.  A listing of the specific equipment, appliances, or systems to be tested.</w:t>
      </w:r>
    </w:p>
    <w:p w14:paraId="3B435E62" w14:textId="42E6F418"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120.</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2288B36A"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Section C408.1.2 of Washington State Energy Code is supplemented with the following:</w:t>
      </w:r>
    </w:p>
    <w:p w14:paraId="7157ACD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b/>
          <w:color w:val="000000"/>
          <w:kern w:val="0"/>
          <w:sz w:val="24"/>
          <w14:ligatures w14:val="none"/>
        </w:rPr>
        <w:t>Commissioning plan (WSEC</w:t>
      </w:r>
      <w:r w:rsidRPr="006B4A66">
        <w:rPr>
          <w:rFonts w:ascii="Times New Roman" w:eastAsia="Calibri" w:hAnsi="Times New Roman" w:cs="Times New Roman"/>
          <w:b/>
          <w:bCs/>
          <w:color w:val="000000"/>
          <w:kern w:val="0"/>
          <w:sz w:val="24"/>
          <w14:ligatures w14:val="none"/>
        </w:rPr>
        <w:t xml:space="preserve"> </w:t>
      </w:r>
      <w:r w:rsidRPr="006B4A66">
        <w:rPr>
          <w:rFonts w:ascii="Times New Roman" w:eastAsia="Calibri" w:hAnsi="Times New Roman" w:cs="Times New Roman"/>
          <w:b/>
          <w:color w:val="000000"/>
          <w:kern w:val="0"/>
          <w:sz w:val="24"/>
          <w14:ligatures w14:val="none"/>
        </w:rPr>
        <w:t>C408.1.2.5)</w:t>
      </w:r>
      <w:r w:rsidRPr="006B4A66">
        <w:rPr>
          <w:rFonts w:ascii="Times New Roman" w:eastAsia="Calibri" w:hAnsi="Times New Roman" w:cs="Times New Roman"/>
          <w:color w:val="000000"/>
          <w:kern w:val="0"/>
          <w:sz w:val="24"/>
          <w14:ligatures w14:val="none"/>
        </w:rPr>
        <w:t xml:space="preserve">  When a commissioning plan is required, it shall be submitted to the department before the first mechanical inspection.</w:t>
      </w:r>
    </w:p>
    <w:p w14:paraId="4B8FA5CD" w14:textId="74CF3125"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121.</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60D88BB4"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Section C408.1.3 of Washington State Energy Code is supplemented with the following:</w:t>
      </w:r>
    </w:p>
    <w:p w14:paraId="6E74573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lastRenderedPageBreak/>
        <w:tab/>
      </w:r>
      <w:r w:rsidRPr="006B4A66">
        <w:rPr>
          <w:rFonts w:ascii="Times New Roman" w:eastAsia="Calibri" w:hAnsi="Times New Roman" w:cs="Times New Roman"/>
          <w:b/>
          <w:color w:val="000000"/>
          <w:kern w:val="0"/>
          <w:sz w:val="24"/>
          <w14:ligatures w14:val="none"/>
        </w:rPr>
        <w:t>Commissioning plan (</w:t>
      </w:r>
      <w:r w:rsidRPr="006B4A66">
        <w:rPr>
          <w:rFonts w:ascii="Times New Roman" w:eastAsia="Calibri" w:hAnsi="Times New Roman" w:cs="Times New Roman"/>
          <w:b/>
          <w:bCs/>
          <w:color w:val="000000"/>
          <w:kern w:val="0"/>
          <w:sz w:val="24"/>
          <w14:ligatures w14:val="none"/>
        </w:rPr>
        <w:t xml:space="preserve">WSEC </w:t>
      </w:r>
      <w:r w:rsidRPr="006B4A66">
        <w:rPr>
          <w:rFonts w:ascii="Times New Roman" w:eastAsia="Calibri" w:hAnsi="Times New Roman" w:cs="Times New Roman"/>
          <w:b/>
          <w:color w:val="000000"/>
          <w:kern w:val="0"/>
          <w:sz w:val="24"/>
          <w14:ligatures w14:val="none"/>
        </w:rPr>
        <w:t>C408.1.3.1)</w:t>
      </w:r>
      <w:r w:rsidRPr="006B4A66">
        <w:rPr>
          <w:rFonts w:ascii="Times New Roman" w:eastAsia="Calibri" w:hAnsi="Times New Roman" w:cs="Times New Roman"/>
          <w:color w:val="000000"/>
          <w:kern w:val="0"/>
          <w:sz w:val="24"/>
          <w14:ligatures w14:val="none"/>
        </w:rPr>
        <w:t xml:space="preserve">  When a commissioning report is required, it shall be submitted to the department before the final inspection.</w:t>
      </w:r>
    </w:p>
    <w:p w14:paraId="00440A72" w14:textId="6F9215EC"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122.</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4D5162F2"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Section C408.1.4.1 of the Washington State Energy Code is not adopted and the following is substituted:</w:t>
      </w:r>
    </w:p>
    <w:p w14:paraId="464DCC3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tab/>
        <w:t>C408.1.4.1 Commissioning compliance.</w:t>
      </w:r>
      <w:r w:rsidRPr="006B4A66">
        <w:rPr>
          <w:rFonts w:ascii="Times New Roman" w:eastAsia="Calibri" w:hAnsi="Times New Roman" w:cs="Times New Roman"/>
          <w:color w:val="000000"/>
          <w:kern w:val="0"/>
          <w:sz w:val="24"/>
          <w14:ligatures w14:val="none"/>
        </w:rPr>
        <w:t xml:space="preserve">  The mechanical and water heating portions of the commissioning report, in compliance with Sections C408.2, C408.3, and C408.7, shall be submitted to the department before mechanical permit final inspection is complete and approved. The controlled receptacle, lighting, and metering portions of the commissioning report, in compliance with Sections C408.4 and C408.6, shall be submitted to the department before building permit final inspection is completed and approved.  To demonstrate compliance, the following items shall be submitted to the department before building permit final inspection is completed and approved:</w:t>
      </w:r>
    </w:p>
    <w:p w14:paraId="31A003D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Full commissioning report, in compliance with Section C408.1.3 that includes:</w:t>
      </w:r>
    </w:p>
    <w:p w14:paraId="62C123B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a.  A list of all unresolved deficiencies and any incomplete commissioning work required by Section C408, with description and anticipated date of completion for each, or a statement signed by the certified commissioning professional attesting to successful commissioning of the entire project with no unresolved deficiencies or incomplete tests.</w:t>
      </w:r>
    </w:p>
    <w:p w14:paraId="26848CB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b.  Where tenant spaces will be built out under separate permits, a description of the certified commissioning professional's scope of work required to complete commissioning of the central building HVAC systems and lighting control systems as the tenant spaces are completed.</w:t>
      </w:r>
    </w:p>
    <w:p w14:paraId="4617CCE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2.  Commissioning checklist, from Figure C408.1.4.1, signed by the certified commissioning professional.</w:t>
      </w:r>
    </w:p>
    <w:p w14:paraId="1A1DAEF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3.  Statement that the owner has received a copy of the commissioning report, signed by the owner or owner's authorized agent.</w:t>
      </w:r>
    </w:p>
    <w:p w14:paraId="7FCEE24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tab/>
        <w:t>C408.1.4.1.1 Post-occupancy commissioning completion</w:t>
      </w:r>
      <w:r w:rsidRPr="006B4A66">
        <w:rPr>
          <w:rFonts w:ascii="Times New Roman" w:eastAsia="Calibri" w:hAnsi="Times New Roman" w:cs="Times New Roman"/>
          <w:color w:val="000000"/>
          <w:kern w:val="0"/>
          <w:sz w:val="24"/>
          <w14:ligatures w14:val="none"/>
        </w:rPr>
        <w:t>. Where there are unresolved deficiencies or other incomplete commissioning tasks that conflict with requirements of this code, the applicant shall comply with one of the following:</w:t>
      </w:r>
    </w:p>
    <w:p w14:paraId="3ECC54E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In addition to the Temporary Certificate of Occupancy requirements of IBC 111.3, the department may issue a temporary certificate of occupancy (TCO) to remain in effect pending resolution of commissioning issues.  Applicant must complete all outstanding commissioning work and complete a revised commissioning report before the department will issue a final Certificate of Occupancy.</w:t>
      </w:r>
    </w:p>
    <w:p w14:paraId="3FE1ECE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Applicant must obtain separate mechanical permit(s) as required to incorporate all remaining mechanical work, including required commissioning of those systems.  Applicant must complete all outstanding mechanical commissioning work and complete a revised commissioning report prior to completion and approval of final inspection for those permits.</w:t>
      </w:r>
    </w:p>
    <w:p w14:paraId="594AECC1" w14:textId="46F23873"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123.</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2A698BD8"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Section C408.4 of the Washington State Energy Code is supplemented with the following:</w:t>
      </w:r>
    </w:p>
    <w:p w14:paraId="2E26AE3E" w14:textId="77777777" w:rsidR="006B4A66" w:rsidRPr="006B4A66" w:rsidRDefault="006B4A66" w:rsidP="0073496A">
      <w:pPr>
        <w:shd w:val="clear" w:color="auto" w:fill="FFFFFF"/>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ab/>
        <w:t>High-end trim (WSEC C408.4.2).</w:t>
      </w:r>
      <w:r w:rsidRPr="006B4A66">
        <w:rPr>
          <w:rFonts w:ascii="Times New Roman" w:eastAsia="Calibri" w:hAnsi="Times New Roman" w:cs="Times New Roman"/>
          <w:color w:val="000000"/>
          <w:kern w:val="0"/>
          <w:sz w:val="24"/>
          <w14:ligatures w14:val="none"/>
        </w:rPr>
        <w:t xml:space="preserve">  Where lighting controls are configured for high-end trims, verify the following:</w:t>
      </w:r>
    </w:p>
    <w:p w14:paraId="1CF75306" w14:textId="77777777" w:rsidR="006B4A66" w:rsidRPr="006B4A66" w:rsidRDefault="006B4A66" w:rsidP="0073496A">
      <w:pPr>
        <w:shd w:val="clear" w:color="auto" w:fill="FFFFFF"/>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lastRenderedPageBreak/>
        <w:tab/>
        <w:t>1.  H</w:t>
      </w:r>
      <w:r w:rsidRPr="006B4A66">
        <w:rPr>
          <w:rFonts w:ascii="Times New Roman" w:eastAsia="Calibri" w:hAnsi="Times New Roman" w:cs="Times New Roman"/>
          <w:color w:val="000000"/>
          <w:kern w:val="0"/>
          <w:sz w:val="24"/>
          <w14:ligatures w14:val="none"/>
        </w:rPr>
        <w:t>igh-end trim has been set.</w:t>
      </w:r>
    </w:p>
    <w:p w14:paraId="5738C021" w14:textId="77777777" w:rsidR="006B4A66" w:rsidRPr="006B4A66" w:rsidRDefault="006B4A66" w:rsidP="0073496A">
      <w:pPr>
        <w:shd w:val="clear" w:color="auto" w:fill="FFFFFF"/>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tab/>
        <w:t>2.  L</w:t>
      </w:r>
      <w:r w:rsidRPr="006B4A66">
        <w:rPr>
          <w:rFonts w:ascii="Times New Roman" w:eastAsia="Calibri" w:hAnsi="Times New Roman" w:cs="Times New Roman"/>
          <w:color w:val="000000"/>
          <w:kern w:val="0"/>
          <w:sz w:val="24"/>
          <w14:ligatures w14:val="none"/>
        </w:rPr>
        <w:t>ighting controls with ready access for users cannot increase the lighting power above the maximum level established by the high-end trim controls.</w:t>
      </w:r>
    </w:p>
    <w:p w14:paraId="372F9F9C" w14:textId="3CD2AB44" w:rsidR="006B4A66" w:rsidRPr="006B4A66" w:rsidRDefault="006B4A66" w:rsidP="0073496A">
      <w:pPr>
        <w:shd w:val="clear" w:color="auto" w:fill="FFFFFF"/>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124.</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390AF38C"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Section C409.1 of the Washington State Energy Code is not adopted and the following is substituted:</w:t>
      </w:r>
    </w:p>
    <w:p w14:paraId="742E0D76" w14:textId="67F29C86" w:rsidR="006B4A66" w:rsidRPr="006B4A66" w:rsidRDefault="006B4A66" w:rsidP="0073496A">
      <w:pPr>
        <w:shd w:val="clear" w:color="auto" w:fill="FFFFFF"/>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General (</w:t>
      </w:r>
      <w:r w:rsidRPr="006B4A66">
        <w:rPr>
          <w:rFonts w:ascii="Times New Roman" w:eastAsia="Calibri" w:hAnsi="Times New Roman" w:cs="Times New Roman"/>
          <w:b/>
          <w:color w:val="000000"/>
          <w:kern w:val="0"/>
          <w:sz w:val="24"/>
          <w14:ligatures w14:val="none"/>
        </w:rPr>
        <w:t>WSEC</w:t>
      </w:r>
      <w:r w:rsidRPr="006B4A66">
        <w:rPr>
          <w:rFonts w:ascii="Times New Roman" w:eastAsia="Calibri" w:hAnsi="Times New Roman" w:cs="Times New Roman"/>
          <w:b/>
          <w:bCs/>
          <w:color w:val="000000"/>
          <w:kern w:val="0"/>
          <w:sz w:val="24"/>
          <w14:ligatures w14:val="none"/>
        </w:rPr>
        <w:t xml:space="preserve"> C409.1).</w:t>
      </w:r>
      <w:r w:rsidRPr="006B4A66">
        <w:rPr>
          <w:rFonts w:ascii="Times New Roman" w:eastAsia="Calibri" w:hAnsi="Times New Roman" w:cs="Times New Roman"/>
          <w:color w:val="000000"/>
          <w:kern w:val="0"/>
          <w:sz w:val="24"/>
          <w14:ligatures w14:val="none"/>
        </w:rPr>
        <w:t xml:space="preserve">  All new buildings and additions shall have the capability of metering all source energy usage in accordance with WSEC C409.2 in addition to the source energy for on-site renewable energy production in accordance with WSEC C409.2.4 and the end-use energy usage for electric vehicle charging in accordance with WSEC C409.3.4.  New buildings and additions with a gross conditioned floor area over 20,000 square feet (1,858 square meters) shall comply with WSEC C409.2, C409.3, and C409.4.  New buildings and additions shall be equipped to measure, monitor, record and display energy consumption data for each energy source and end use category per the provisions of this section, to enable effective energy management.  Existing buildings shall comply with the energy metering provisions of WSEC C506.1.  For Group R-2 occupancy buildings, the floor area of dwelling units and sleeping units shall be excluded from the total conditioned floor area for the purposes of determining the 20,000 square foot (1,858 square meter) threshold.  Alterations and additions to existing buildings shall conform to WSEC C506.</w:t>
      </w:r>
    </w:p>
    <w:p w14:paraId="25C74C46" w14:textId="77777777" w:rsidR="006B4A66" w:rsidRPr="006B4A66" w:rsidRDefault="006B4A66" w:rsidP="0073496A">
      <w:pPr>
        <w:tabs>
          <w:tab w:val="left" w:pos="720"/>
        </w:tabs>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ab/>
        <w:t>EXCEPTIONS:</w:t>
      </w:r>
    </w:p>
    <w:p w14:paraId="69C5DC30" w14:textId="616BB0EC"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1.  Tenant spaces smaller than 20,000 square feet (1,858 square meters) within buildings served by its own utility services and utility meters complying with WSEC C409.2, and are exempt from the end-use metering, measurement devices, data acquisition system, and energy display requirements of WSEC C409.3 and C409.4.</w:t>
      </w:r>
    </w:p>
    <w:p w14:paraId="669D179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Buildings without gross conditioned floor area over 10,000 square feet (929.0 square meters), including building common areas, served by its own utility services and utility meters complying with WSEC C409.2, and are exempt from the end-use metering, measurement devices, data acquisition system and energy display requirements of WSEC C409.3 and C409.4.</w:t>
      </w:r>
    </w:p>
    <w:p w14:paraId="339E18BA" w14:textId="3EABD3C3"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125.</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5327657F"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Section C409.2.1 of the Washington State Energy Code is not adopted and the following is substituted:</w:t>
      </w:r>
    </w:p>
    <w:p w14:paraId="296D8F6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Electrical energy (</w:t>
      </w:r>
      <w:r w:rsidRPr="006B4A66">
        <w:rPr>
          <w:rFonts w:ascii="Times New Roman" w:eastAsia="Calibri" w:hAnsi="Times New Roman" w:cs="Times New Roman"/>
          <w:b/>
          <w:color w:val="000000"/>
          <w:kern w:val="0"/>
          <w:sz w:val="24"/>
          <w14:ligatures w14:val="none"/>
        </w:rPr>
        <w:t>WSEC</w:t>
      </w:r>
      <w:r w:rsidRPr="006B4A66">
        <w:rPr>
          <w:rFonts w:ascii="Times New Roman" w:eastAsia="Calibri" w:hAnsi="Times New Roman" w:cs="Times New Roman"/>
          <w:b/>
          <w:bCs/>
          <w:color w:val="000000"/>
          <w:kern w:val="0"/>
          <w:sz w:val="24"/>
          <w14:ligatures w14:val="none"/>
        </w:rPr>
        <w:t xml:space="preserve"> C409.2.1).</w:t>
      </w:r>
      <w:r w:rsidRPr="006B4A66">
        <w:rPr>
          <w:rFonts w:ascii="Times New Roman" w:eastAsia="Calibri" w:hAnsi="Times New Roman" w:cs="Times New Roman"/>
          <w:color w:val="000000"/>
          <w:kern w:val="0"/>
          <w:sz w:val="24"/>
          <w14:ligatures w14:val="none"/>
        </w:rPr>
        <w:t xml:space="preserve">  This category shall include all electrical energy supplied to the building and its associated site, including site lighting, parking, recreational facilities, and other areas that serve the building and its occupants.</w:t>
      </w:r>
    </w:p>
    <w:p w14:paraId="6B2258B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w:t>
      </w:r>
      <w:r w:rsidRPr="006B4A66">
        <w:rPr>
          <w:rFonts w:ascii="Times New Roman" w:eastAsia="Calibri" w:hAnsi="Times New Roman" w:cs="Times New Roman"/>
          <w:color w:val="000000"/>
          <w:kern w:val="0"/>
          <w:sz w:val="24"/>
          <w14:ligatures w14:val="none"/>
        </w:rPr>
        <w:t xml:space="preserve">  Where site lighting and other exterior non-building electrical loads are served by an electrical service and meter that are separate from the building service and meter, the metering data from those loads is permitted to be either combined with the building's electrical service load data or delivered to a separate data acquisition system.</w:t>
      </w:r>
    </w:p>
    <w:p w14:paraId="1FB1AA6A" w14:textId="5434BA25"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126.</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7DE360D2"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lastRenderedPageBreak/>
        <w:tab/>
      </w:r>
      <w:r w:rsidRPr="006B4A66">
        <w:rPr>
          <w:rFonts w:ascii="Times New Roman" w:eastAsia="Times New Roman" w:hAnsi="Times New Roman" w:cs="Times New Roman"/>
          <w:color w:val="000000"/>
          <w:kern w:val="0"/>
          <w:sz w:val="24"/>
          <w:szCs w:val="24"/>
          <w14:ligatures w14:val="none"/>
        </w:rPr>
        <w:t>Section C409.2.4 of the Washington State Energy Code is not adopted and the following is substituted:</w:t>
      </w:r>
    </w:p>
    <w:p w14:paraId="170660F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Site-generated renewable energy (</w:t>
      </w:r>
      <w:r w:rsidRPr="006B4A66">
        <w:rPr>
          <w:rFonts w:ascii="Times New Roman" w:eastAsia="Calibri" w:hAnsi="Times New Roman" w:cs="Times New Roman"/>
          <w:b/>
          <w:color w:val="000000"/>
          <w:kern w:val="0"/>
          <w:sz w:val="24"/>
          <w14:ligatures w14:val="none"/>
        </w:rPr>
        <w:t>WSEC</w:t>
      </w:r>
      <w:r w:rsidRPr="006B4A66">
        <w:rPr>
          <w:rFonts w:ascii="Times New Roman" w:eastAsia="Calibri" w:hAnsi="Times New Roman" w:cs="Times New Roman"/>
          <w:b/>
          <w:bCs/>
          <w:color w:val="000000"/>
          <w:kern w:val="0"/>
          <w:sz w:val="24"/>
          <w14:ligatures w14:val="none"/>
        </w:rPr>
        <w:t xml:space="preserve"> C409.2.4).</w:t>
      </w:r>
      <w:r w:rsidRPr="006B4A66">
        <w:rPr>
          <w:rFonts w:ascii="Times New Roman" w:eastAsia="Calibri" w:hAnsi="Times New Roman" w:cs="Times New Roman"/>
          <w:color w:val="000000"/>
          <w:kern w:val="0"/>
          <w:sz w:val="24"/>
          <w14:ligatures w14:val="none"/>
        </w:rPr>
        <w:t xml:space="preserve">  This category shall include all net energy generated from on-site solar, wind, geothermal, tidal, or other natural sources, and waste heat reclaimed from sewers or other off-site sources.  For buildings exempt from data collection systems, the data from these meters is permitted to either be stored locally using a manual totalizing meter or other means at the meter or fed into a central data collection system.</w:t>
      </w:r>
    </w:p>
    <w:p w14:paraId="6AC27CD4" w14:textId="3FBFD4D3"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127.</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423BCB73"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Section C409.3 of the Washington State Energy Code is supplemented with the following:</w:t>
      </w:r>
    </w:p>
    <w:p w14:paraId="0AF8CCFA"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color w:val="000000"/>
          <w:kern w:val="0"/>
          <w:sz w:val="24"/>
          <w14:ligatures w14:val="none"/>
        </w:rPr>
        <w:t>Parking garage fan energy (</w:t>
      </w:r>
      <w:r w:rsidRPr="006B4A66">
        <w:rPr>
          <w:rFonts w:ascii="Times New Roman" w:eastAsia="Calibri" w:hAnsi="Times New Roman" w:cs="Times New Roman"/>
          <w:b/>
          <w:bCs/>
          <w:color w:val="000000"/>
          <w:kern w:val="0"/>
          <w:sz w:val="24"/>
          <w14:ligatures w14:val="none"/>
        </w:rPr>
        <w:t>WSEC</w:t>
      </w:r>
      <w:r w:rsidRPr="006B4A66">
        <w:rPr>
          <w:rFonts w:ascii="Times New Roman" w:eastAsia="Calibri" w:hAnsi="Times New Roman" w:cs="Times New Roman"/>
          <w:b/>
          <w:color w:val="000000"/>
          <w:kern w:val="0"/>
          <w:sz w:val="24"/>
          <w14:ligatures w14:val="none"/>
        </w:rPr>
        <w:t xml:space="preserve"> C409.3.1.1).</w:t>
      </w:r>
      <w:r w:rsidRPr="006B4A66">
        <w:rPr>
          <w:rFonts w:ascii="Times New Roman" w:eastAsia="Calibri" w:hAnsi="Times New Roman" w:cs="Times New Roman"/>
          <w:color w:val="000000"/>
          <w:kern w:val="0"/>
          <w:sz w:val="24"/>
          <w14:ligatures w14:val="none"/>
        </w:rPr>
        <w:t xml:space="preserve">  Ventilation fan energy and any other HVAC energy use within enclosed parking garages larger than 3,000 square feet (278.7 square meters) shall be submetered separately.</w:t>
      </w:r>
    </w:p>
    <w:p w14:paraId="05DC5044"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color w:val="000000"/>
          <w:kern w:val="0"/>
          <w:sz w:val="24"/>
          <w14:ligatures w14:val="none"/>
        </w:rPr>
        <w:t xml:space="preserve">EXCEPTION: </w:t>
      </w:r>
      <w:r w:rsidRPr="006B4A66">
        <w:rPr>
          <w:rFonts w:ascii="Times New Roman" w:eastAsia="Calibri" w:hAnsi="Times New Roman" w:cs="Times New Roman"/>
          <w:color w:val="000000"/>
          <w:kern w:val="0"/>
          <w:sz w:val="24"/>
          <w14:ligatures w14:val="none"/>
        </w:rPr>
        <w:t xml:space="preserve"> Where the total maximum circuit amps (MCA) of equipment served equates to less than ten kilovolt-amperes (kVA).</w:t>
      </w:r>
    </w:p>
    <w:p w14:paraId="6FFFF214" w14:textId="3D5483AF"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128.</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48F6DE01"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Section C409.3.3 of the Washington State Energy Code is not adopted and the following is substituted:</w:t>
      </w:r>
    </w:p>
    <w:p w14:paraId="41AFA634"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color w:val="000000"/>
          <w:kern w:val="0"/>
          <w:sz w:val="24"/>
          <w14:ligatures w14:val="none"/>
        </w:rPr>
        <w:t xml:space="preserve">Parking garage </w:t>
      </w:r>
      <w:r w:rsidRPr="006B4A66">
        <w:rPr>
          <w:rFonts w:ascii="Times New Roman" w:eastAsia="Calibri" w:hAnsi="Times New Roman" w:cs="Times New Roman"/>
          <w:b/>
          <w:bCs/>
          <w:color w:val="000000"/>
          <w:kern w:val="0"/>
          <w:sz w:val="24"/>
          <w14:ligatures w14:val="none"/>
        </w:rPr>
        <w:t xml:space="preserve">lighting energy. </w:t>
      </w:r>
      <w:r w:rsidRPr="006B4A66">
        <w:rPr>
          <w:rFonts w:ascii="Times New Roman" w:eastAsia="Calibri" w:hAnsi="Times New Roman" w:cs="Times New Roman"/>
          <w:b/>
          <w:color w:val="000000"/>
          <w:kern w:val="0"/>
          <w:sz w:val="24"/>
          <w14:ligatures w14:val="none"/>
        </w:rPr>
        <w:t>(WSEC C409.3.3.1).</w:t>
      </w:r>
      <w:r w:rsidRPr="006B4A66">
        <w:rPr>
          <w:rFonts w:ascii="Times New Roman" w:eastAsia="Calibri" w:hAnsi="Times New Roman" w:cs="Times New Roman"/>
          <w:color w:val="000000"/>
          <w:kern w:val="0"/>
          <w:sz w:val="24"/>
          <w14:ligatures w14:val="none"/>
        </w:rPr>
        <w:t xml:space="preserve">  Lighting energy use within parking facilities larger than 3,000 square feet (278.7 square meters) shall be </w:t>
      </w:r>
      <w:r w:rsidRPr="006B4A66">
        <w:rPr>
          <w:rFonts w:ascii="Times New Roman" w:eastAsia="Calibri" w:hAnsi="Times New Roman" w:cs="Times New Roman"/>
          <w:color w:val="000000"/>
          <w:kern w:val="0"/>
          <w:sz w:val="24"/>
          <w14:ligatures w14:val="none"/>
        </w:rPr>
        <w:lastRenderedPageBreak/>
        <w:t>submetered separately.</w:t>
      </w:r>
    </w:p>
    <w:p w14:paraId="0A87EA91" w14:textId="7DEC4645"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129.</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1B3E6FB4"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Section C409.3.5 of the Washington State Energy Code is not adopted and the following is substituted:</w:t>
      </w:r>
    </w:p>
    <w:p w14:paraId="45501A9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color w:val="000000"/>
          <w:kern w:val="0"/>
          <w:sz w:val="24"/>
          <w14:ligatures w14:val="none"/>
        </w:rPr>
        <w:t>Plug load system energy use (WSEC C409.3.5).</w:t>
      </w:r>
      <w:r w:rsidRPr="006B4A66">
        <w:rPr>
          <w:rFonts w:ascii="Times New Roman" w:eastAsia="Calibri" w:hAnsi="Times New Roman" w:cs="Times New Roman"/>
          <w:color w:val="000000"/>
          <w:kern w:val="0"/>
          <w:sz w:val="24"/>
          <w14:ligatures w14:val="none"/>
        </w:rPr>
        <w:t xml:space="preserve">  This category shall include all energy used by appliances, computers, plug-in task lighting, and other equipment or equipment covered by other end-use metering categories listed in WSEC C409.3.  In a building where the main service is 480/277 volt, each 208/120 volt panel is permitted to be assumed to serve only plug load for the purpose of WSEC C409, unless it serves nonresidential refrigeration or cooking equipment.</w:t>
      </w:r>
    </w:p>
    <w:p w14:paraId="2D19EB27" w14:textId="77777777" w:rsidR="006B4A66" w:rsidRPr="006B4A66" w:rsidRDefault="006B4A66" w:rsidP="00BD15DC">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color w:val="000000"/>
          <w:kern w:val="0"/>
          <w:sz w:val="24"/>
          <w14:ligatures w14:val="none"/>
        </w:rPr>
        <w:t>EXCEPTIONS:</w:t>
      </w:r>
    </w:p>
    <w:p w14:paraId="565F0325" w14:textId="77777777" w:rsidR="006B4A66" w:rsidRPr="006B4A66" w:rsidRDefault="006B4A66" w:rsidP="00BD15DC">
      <w:pPr>
        <w:widowControl w:val="0"/>
        <w:tabs>
          <w:tab w:val="left" w:pos="720"/>
        </w:tabs>
        <w:autoSpaceDE w:val="0"/>
        <w:autoSpaceDN w:val="0"/>
        <w:adjustRightInd w:val="0"/>
        <w:spacing w:after="0" w:line="480" w:lineRule="auto"/>
        <w:contextualSpacing/>
        <w:rPr>
          <w:rFonts w:ascii="Times New Roman" w:eastAsia="Yu Mincho" w:hAnsi="Times New Roman" w:cs="Times New Roman"/>
          <w:color w:val="000000"/>
          <w:kern w:val="0"/>
          <w:sz w:val="24"/>
          <w:szCs w:val="24"/>
          <w14:ligatures w14:val="none"/>
        </w:rPr>
      </w:pPr>
      <w:r w:rsidRPr="006B4A66">
        <w:rPr>
          <w:rFonts w:ascii="Times New Roman" w:eastAsia="Yu Mincho" w:hAnsi="Times New Roman" w:cs="Times New Roman"/>
          <w:color w:val="000000"/>
          <w:kern w:val="0"/>
          <w:sz w:val="24"/>
          <w:szCs w:val="24"/>
          <w14:ligatures w14:val="none"/>
        </w:rPr>
        <w:tab/>
        <w:t>1.  Where the total connected load of all plug load circuits is less than 50 kVA, end-use metering is not required.</w:t>
      </w:r>
    </w:p>
    <w:p w14:paraId="16088354" w14:textId="77777777" w:rsidR="006B4A66" w:rsidRPr="006B4A66" w:rsidRDefault="006B4A66" w:rsidP="00BD15DC">
      <w:pPr>
        <w:widowControl w:val="0"/>
        <w:tabs>
          <w:tab w:val="left" w:pos="720"/>
        </w:tabs>
        <w:autoSpaceDE w:val="0"/>
        <w:autoSpaceDN w:val="0"/>
        <w:adjustRightInd w:val="0"/>
        <w:spacing w:after="0" w:line="480" w:lineRule="auto"/>
        <w:contextualSpacing/>
        <w:rPr>
          <w:rFonts w:ascii="Times New Roman" w:eastAsia="Yu Mincho" w:hAnsi="Times New Roman" w:cs="Times New Roman"/>
          <w:color w:val="000000"/>
          <w:kern w:val="0"/>
          <w:sz w:val="24"/>
          <w:szCs w:val="24"/>
          <w14:ligatures w14:val="none"/>
        </w:rPr>
      </w:pPr>
      <w:r w:rsidRPr="006B4A66">
        <w:rPr>
          <w:rFonts w:ascii="Times New Roman" w:eastAsia="Yu Mincho" w:hAnsi="Times New Roman" w:cs="Times New Roman"/>
          <w:color w:val="000000"/>
          <w:kern w:val="0"/>
          <w:sz w:val="24"/>
          <w:szCs w:val="24"/>
          <w14:ligatures w14:val="none"/>
        </w:rPr>
        <w:tab/>
        <w:t>2.  Electric receptacles located in fire-rated or smoke-rated corridors, enclosed stairwells, or egress passageways are not required to be submetered.</w:t>
      </w:r>
    </w:p>
    <w:p w14:paraId="5FA2DBAB" w14:textId="730B6A08"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130.</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05D22B22"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Section C409.4.1 of the Washington State Energy Code is not adopted and the following is substituted:</w:t>
      </w:r>
    </w:p>
    <w:p w14:paraId="6ACD5C1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Meters (</w:t>
      </w:r>
      <w:r w:rsidRPr="006B4A66">
        <w:rPr>
          <w:rFonts w:ascii="Times New Roman" w:eastAsia="Calibri" w:hAnsi="Times New Roman" w:cs="Times New Roman"/>
          <w:b/>
          <w:color w:val="000000"/>
          <w:kern w:val="0"/>
          <w:sz w:val="24"/>
          <w14:ligatures w14:val="none"/>
        </w:rPr>
        <w:t>WSEC</w:t>
      </w:r>
      <w:r w:rsidRPr="006B4A66">
        <w:rPr>
          <w:rFonts w:ascii="Times New Roman" w:eastAsia="Calibri" w:hAnsi="Times New Roman" w:cs="Times New Roman"/>
          <w:b/>
          <w:bCs/>
          <w:color w:val="000000"/>
          <w:kern w:val="0"/>
          <w:sz w:val="24"/>
          <w14:ligatures w14:val="none"/>
        </w:rPr>
        <w:t xml:space="preserve"> C409.4.1).</w:t>
      </w:r>
      <w:r w:rsidRPr="006B4A66">
        <w:rPr>
          <w:rFonts w:ascii="Times New Roman" w:eastAsia="Calibri" w:hAnsi="Times New Roman" w:cs="Times New Roman"/>
          <w:color w:val="000000"/>
          <w:kern w:val="0"/>
          <w:sz w:val="24"/>
          <w14:ligatures w14:val="none"/>
        </w:rPr>
        <w:t xml:space="preserve">  Meters and other measurement devices required by this section shall be configured to automatically communicate energy data to a data acquisition system and energy display.  Source meters may be any digital-type meters.  </w:t>
      </w:r>
      <w:r w:rsidRPr="006B4A66">
        <w:rPr>
          <w:rFonts w:ascii="Times New Roman" w:eastAsia="Calibri" w:hAnsi="Times New Roman" w:cs="Times New Roman"/>
          <w:color w:val="000000"/>
          <w:kern w:val="0"/>
          <w:sz w:val="24"/>
          <w14:ligatures w14:val="none"/>
        </w:rPr>
        <w:lastRenderedPageBreak/>
        <w:t>Current sensors or flow meters are allowed for end use metering, provided that they have an accuracy of +/- 5 percent.  All required metering systems and equipment shall provide data that is fully integrated into the data acquisition and display system per the requirements of WSEC C409.  Electrical meters shall be configured to communicate data to the data acquisition system and energy display for both consumption (e.g., kilowatt hours) and consumption rate (e.g., kilowatts).  Other meters and measurement devices shall be configured to communicate data to the data acquisition system for consumption.</w:t>
      </w:r>
    </w:p>
    <w:p w14:paraId="6351D22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w:t>
      </w:r>
      <w:r w:rsidRPr="006B4A66">
        <w:rPr>
          <w:rFonts w:ascii="Times New Roman" w:eastAsia="Calibri" w:hAnsi="Times New Roman" w:cs="Times New Roman"/>
          <w:color w:val="000000"/>
          <w:kern w:val="0"/>
          <w:sz w:val="24"/>
          <w14:ligatures w14:val="none"/>
        </w:rPr>
        <w:t xml:space="preserve">  Where site lighting and other exterior non-building electrical loads are served by an electrical service and meter that are separate from the building service and meter, the metering data from those loads is permitted to be either combined with the building's electrical service load data or delivered to a separate data acquisition system.</w:t>
      </w:r>
    </w:p>
    <w:p w14:paraId="54F874F1" w14:textId="62658085"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131.</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5AAB19AA"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Section C410.1 of the Washington State Energy Code is not adopted and the following is substituted:</w:t>
      </w:r>
    </w:p>
    <w:p w14:paraId="71047FF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General (</w:t>
      </w:r>
      <w:r w:rsidRPr="006B4A66">
        <w:rPr>
          <w:rFonts w:ascii="Times New Roman" w:eastAsia="Calibri" w:hAnsi="Times New Roman" w:cs="Times New Roman"/>
          <w:b/>
          <w:color w:val="000000"/>
          <w:kern w:val="0"/>
          <w:sz w:val="24"/>
          <w14:ligatures w14:val="none"/>
        </w:rPr>
        <w:t>WSEC</w:t>
      </w:r>
      <w:r w:rsidRPr="006B4A66">
        <w:rPr>
          <w:rFonts w:ascii="Times New Roman" w:eastAsia="Calibri" w:hAnsi="Times New Roman" w:cs="Times New Roman"/>
          <w:b/>
          <w:bCs/>
          <w:color w:val="000000"/>
          <w:kern w:val="0"/>
          <w:sz w:val="24"/>
          <w14:ligatures w14:val="none"/>
        </w:rPr>
        <w:t xml:space="preserve"> C410.1).</w:t>
      </w:r>
      <w:r w:rsidRPr="006B4A66">
        <w:rPr>
          <w:rFonts w:ascii="Times New Roman" w:eastAsia="Calibri" w:hAnsi="Times New Roman" w:cs="Times New Roman"/>
          <w:color w:val="000000"/>
          <w:kern w:val="0"/>
          <w:sz w:val="24"/>
          <w14:ligatures w14:val="none"/>
        </w:rPr>
        <w:t xml:space="preserve">  Walk-in coolers, walk-in freezers, refrigerated warehouse coolers, refrigerated warehouse freezers, and refrigerated display cases shall comply with this Section.  Where they comprise any portion of the thermal envelope of the building, they shall also comply with the requirements of WSEC C402, using the R-values or U-values listed in WSEC C410.  WSEC C402.1.5 component performance alternative is permitted to be used for the thermal envelope of the refrigerated space where approved by the code official.</w:t>
      </w:r>
    </w:p>
    <w:p w14:paraId="54AE5EE7" w14:textId="07D6B5EF"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lastRenderedPageBreak/>
        <w:tab/>
      </w:r>
      <w:r w:rsidRPr="006B4A66">
        <w:rPr>
          <w:rFonts w:ascii="Times New Roman" w:eastAsia="Calibri" w:hAnsi="Times New Roman" w:cs="Times New Roman"/>
          <w:color w:val="000000"/>
          <w:kern w:val="0"/>
          <w:sz w:val="24"/>
          <w:u w:val="single"/>
          <w14:ligatures w14:val="none"/>
        </w:rPr>
        <w:t>NEW SECTION.  SECTION 132.</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407BB00A"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Section C410.3 of the Washington State Energy Code is not adopted and the following is substituted:</w:t>
      </w:r>
    </w:p>
    <w:p w14:paraId="641D4D9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Walk-in coolers, walk-in freezers, refrigerated warehouse coolers and refrigerated warehouse freezers (</w:t>
      </w:r>
      <w:r w:rsidRPr="006B4A66">
        <w:rPr>
          <w:rFonts w:ascii="Times New Roman" w:eastAsia="Calibri" w:hAnsi="Times New Roman" w:cs="Times New Roman"/>
          <w:b/>
          <w:color w:val="000000"/>
          <w:kern w:val="0"/>
          <w:sz w:val="24"/>
          <w14:ligatures w14:val="none"/>
        </w:rPr>
        <w:t>WSEC</w:t>
      </w:r>
      <w:r w:rsidRPr="006B4A66">
        <w:rPr>
          <w:rFonts w:ascii="Times New Roman" w:eastAsia="Calibri" w:hAnsi="Times New Roman" w:cs="Times New Roman"/>
          <w:b/>
          <w:bCs/>
          <w:color w:val="000000"/>
          <w:kern w:val="0"/>
          <w:sz w:val="24"/>
          <w14:ligatures w14:val="none"/>
        </w:rPr>
        <w:t xml:space="preserve"> C410.3)</w:t>
      </w:r>
      <w:r w:rsidRPr="006B4A66">
        <w:rPr>
          <w:rFonts w:ascii="Times New Roman" w:eastAsia="Calibri" w:hAnsi="Times New Roman" w:cs="Times New Roman"/>
          <w:color w:val="000000"/>
          <w:kern w:val="0"/>
          <w:sz w:val="24"/>
          <w14:ligatures w14:val="none"/>
        </w:rPr>
        <w:t>.  Site- assembled and site-constructed walk-in coolers and walk-in freezers and refrigerated warehouse coolers and refrigerated warehouse freezers shall comply with the following:</w:t>
      </w:r>
    </w:p>
    <w:p w14:paraId="5336918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Automatic door-closers shall be provided that fully close walk-in doors that have been closed to within 1 inch (25 millimeters) of full closure.</w:t>
      </w:r>
    </w:p>
    <w:p w14:paraId="6F7951D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w:t>
      </w:r>
      <w:r w:rsidRPr="006B4A66">
        <w:rPr>
          <w:rFonts w:ascii="Times New Roman" w:eastAsia="Calibri" w:hAnsi="Times New Roman" w:cs="Times New Roman"/>
          <w:color w:val="000000"/>
          <w:kern w:val="0"/>
          <w:sz w:val="24"/>
          <w14:ligatures w14:val="none"/>
        </w:rPr>
        <w:t xml:space="preserve">  Automatic closers are not required for doors more than 45 inches (1,143 millimeters) in width or more than 7 feet (2,134 millimeters) in height.</w:t>
      </w:r>
    </w:p>
    <w:p w14:paraId="1C466E1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Doorways shall be provided with strip doors, curtains, spring-hinged doors, or other method of minimizing infiltration when doors are open.</w:t>
      </w:r>
    </w:p>
    <w:p w14:paraId="54FB3ED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3.  Walk-in coolers and refrigerated warehouse coolers shall be provided with wall, ceiling, and door insulation of not less than R-25 or have wall, ceiling, and door assembly U-factors no greater than U-0.039.  Walk-in freezers and refrigerated warehouse freezers shall be provided with wall, ceiling and door insulation of not less than R-32 or have wall, ceiling, and door assembly U-factors no greater than U-0.030.</w:t>
      </w:r>
    </w:p>
    <w:p w14:paraId="45A715C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w:t>
      </w:r>
      <w:r w:rsidRPr="006B4A66">
        <w:rPr>
          <w:rFonts w:ascii="Times New Roman" w:eastAsia="Calibri" w:hAnsi="Times New Roman" w:cs="Times New Roman"/>
          <w:color w:val="000000"/>
          <w:kern w:val="0"/>
          <w:sz w:val="24"/>
          <w14:ligatures w14:val="none"/>
        </w:rPr>
        <w:t xml:space="preserve">  Insulation is not required for glazed portions of doors or at structural members associated with the walls, ceiling, or door frame.</w:t>
      </w:r>
    </w:p>
    <w:p w14:paraId="35FA377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4.  The floor of walk-in coolers shall be provided with floor insulation of not less than R-25 or have a floor assembly U- factor no greater than U-0.40.  The floor of walk-</w:t>
      </w:r>
      <w:r w:rsidRPr="006B4A66">
        <w:rPr>
          <w:rFonts w:ascii="Times New Roman" w:eastAsia="Calibri" w:hAnsi="Times New Roman" w:cs="Times New Roman"/>
          <w:color w:val="000000"/>
          <w:kern w:val="0"/>
          <w:sz w:val="24"/>
          <w14:ligatures w14:val="none"/>
        </w:rPr>
        <w:lastRenderedPageBreak/>
        <w:t>in freezers shall be provided with floor insulation of not less than R-28 or have a floor assembly U-factor no greater than U-0.035.</w:t>
      </w:r>
    </w:p>
    <w:p w14:paraId="5B2E024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w:t>
      </w:r>
      <w:r w:rsidRPr="006B4A66">
        <w:rPr>
          <w:rFonts w:ascii="Times New Roman" w:eastAsia="Calibri" w:hAnsi="Times New Roman" w:cs="Times New Roman"/>
          <w:color w:val="000000"/>
          <w:kern w:val="0"/>
          <w:sz w:val="24"/>
          <w14:ligatures w14:val="none"/>
        </w:rPr>
        <w:t xml:space="preserve">  Insulation is not required in the floor of a walk-in cooler that is mounted directly on a slab on grade.</w:t>
      </w:r>
    </w:p>
    <w:p w14:paraId="0F1B47C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5.  Transparent fixed window and reach-in doors for walk-in freezers and windows in walk-in freezer doors shall be provided with triple-pane glass, with the interstitial spaces filled with inert gas or be provided with heat-reflective treated glass.</w:t>
      </w:r>
    </w:p>
    <w:p w14:paraId="249D3DD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6.  Transparent fixed window and reach-in doors for walk-in coolers and windows for walk-in coolers doors shall be provided with double-pane or triple-pane glass, with interstitial space filled with inert gas, or be provided with heat- reflective treated glass.</w:t>
      </w:r>
    </w:p>
    <w:p w14:paraId="3F5927F5" w14:textId="60433E8F"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7.  Evaporator fan motors that are less than 1 horsepower (746 watts) and less than 460 volts shall be provided with electronically commutated motors, brushless direct-current motors, or three-phase motors.</w:t>
      </w:r>
    </w:p>
    <w:p w14:paraId="5A5EC236" w14:textId="0EC3EF96"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8.  Condenser fan motors that are less than 1 horsepower (746 watts) shall use electronically commutated motors, permanent split capacitor-type motors or 3-phase motors.</w:t>
      </w:r>
    </w:p>
    <w:p w14:paraId="004D742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9.  Antisweat heaters that are not provided with antisweat heater controls shall have a total door rail, glass, and frame heater power draw of not greater than 7.1 watts per square foot (76 watts per square meter) of door opening for walk-in freezers and not greater than 3 watts per square foot (32 watts per square meter) of door opening for walk-in coolers.</w:t>
      </w:r>
    </w:p>
    <w:p w14:paraId="366DAA2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10.  Where antisweat heater controls are provided, they shall be capable of reducing the energy use of the antisweat heater as a function of the relative humidity in the air outside the door or to the condensation on the inner glass pane.</w:t>
      </w:r>
    </w:p>
    <w:p w14:paraId="2826480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11.  Lights in walk-in coolers, walk-in freezers, refrigerated warehouse coolers, and refrigerated warehouse freezers shall either be provided with light sources with an efficacy of not less than 40 lumens per watt, including ballast losses, or shall be provided with a device that automatically turns off the lights within 15 minutes of when the walk-in cooler or walk-in freezer space is not occupied.</w:t>
      </w:r>
    </w:p>
    <w:p w14:paraId="5FA722C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12.  Evaporator fans in refrigerated warehouses shall be variable speed, and the speed shall be controlled in response to space conditions.</w:t>
      </w:r>
    </w:p>
    <w:p w14:paraId="29EE9A3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w:t>
      </w:r>
      <w:r w:rsidRPr="006B4A66">
        <w:rPr>
          <w:rFonts w:ascii="Times New Roman" w:eastAsia="Calibri" w:hAnsi="Times New Roman" w:cs="Times New Roman"/>
          <w:color w:val="000000"/>
          <w:kern w:val="0"/>
          <w:sz w:val="24"/>
          <w14:ligatures w14:val="none"/>
        </w:rPr>
        <w:t xml:space="preserve">  Evaporators served by a single compressor without unloading capability.</w:t>
      </w:r>
    </w:p>
    <w:p w14:paraId="419E187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13.  Where they comprise any portion of the thermal envelope of the building, the floor, wall, and ceiling components shall also comply with the requirements of WSEC C402, using the R-values or U-values listed in this WSEC C410.2.  WSEC C402.1.5 component performance alternative is permitted to be used where approved by the code official.</w:t>
      </w:r>
    </w:p>
    <w:p w14:paraId="691DCF84" w14:textId="3C5CAA0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133.</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37AEFAEE"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Section C410.5.2 of the Washington State Energy Code is not adopted and the following is substituted:</w:t>
      </w:r>
    </w:p>
    <w:p w14:paraId="4EDD5F9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Compressor systems (</w:t>
      </w:r>
      <w:r w:rsidRPr="006B4A66">
        <w:rPr>
          <w:rFonts w:ascii="Times New Roman" w:eastAsia="Calibri" w:hAnsi="Times New Roman" w:cs="Times New Roman"/>
          <w:b/>
          <w:color w:val="000000"/>
          <w:kern w:val="0"/>
          <w:sz w:val="24"/>
          <w14:ligatures w14:val="none"/>
        </w:rPr>
        <w:t>WSEC</w:t>
      </w:r>
      <w:r w:rsidRPr="006B4A66">
        <w:rPr>
          <w:rFonts w:ascii="Times New Roman" w:eastAsia="Calibri" w:hAnsi="Times New Roman" w:cs="Times New Roman"/>
          <w:b/>
          <w:bCs/>
          <w:color w:val="000000"/>
          <w:kern w:val="0"/>
          <w:sz w:val="24"/>
          <w14:ligatures w14:val="none"/>
        </w:rPr>
        <w:t xml:space="preserve"> C410.5.2).</w:t>
      </w:r>
      <w:r w:rsidRPr="006B4A66">
        <w:rPr>
          <w:rFonts w:ascii="Times New Roman" w:eastAsia="Calibri" w:hAnsi="Times New Roman" w:cs="Times New Roman"/>
          <w:color w:val="000000"/>
          <w:kern w:val="0"/>
          <w:sz w:val="24"/>
          <w14:ligatures w14:val="none"/>
        </w:rPr>
        <w:t xml:space="preserve">  Refrigeration compressor systems shall comply with the following:</w:t>
      </w:r>
    </w:p>
    <w:p w14:paraId="1DA9099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1.  Compressors and multiple-compressor system suction groups shall include control systems that use floating suction pressure control logic to reset the target suction pressure temperature based on the temperature requirements of the attached refrigeration display cases or walk-ins.</w:t>
      </w:r>
    </w:p>
    <w:p w14:paraId="78E272C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w:t>
      </w:r>
      <w:r w:rsidRPr="006B4A66">
        <w:rPr>
          <w:rFonts w:ascii="Times New Roman" w:eastAsia="Calibri" w:hAnsi="Times New Roman" w:cs="Times New Roman"/>
          <w:color w:val="000000"/>
          <w:kern w:val="0"/>
          <w:sz w:val="24"/>
          <w14:ligatures w14:val="none"/>
        </w:rPr>
        <w:t xml:space="preserve"> Controls are not required for the following:</w:t>
      </w:r>
    </w:p>
    <w:p w14:paraId="2259EC4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  Single-compressor systems that do not have variable capacity capability.</w:t>
      </w:r>
    </w:p>
    <w:p w14:paraId="6EC9105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2.  Suction groups that have a design saturated suction temperature of 30° Fahrenheit (-1° Celsius) or higher, suction groups that comprise the high stage of a two-stage or cascade system, or suction groups that primarily serve chillers for secondary cooling fluids.</w:t>
      </w:r>
    </w:p>
    <w:p w14:paraId="3283CEB1" w14:textId="7DB55BFD"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Liquid subcooling shall be provided for all low-temperature compressor systems with a design cooling capacity equal to or greater than 1</w:t>
      </w:r>
      <w:r w:rsidR="000026C7">
        <w:rPr>
          <w:rFonts w:ascii="Times New Roman" w:eastAsia="Calibri" w:hAnsi="Times New Roman" w:cs="Times New Roman"/>
          <w:color w:val="000000"/>
          <w:kern w:val="0"/>
          <w:sz w:val="24"/>
          <w14:ligatures w14:val="none"/>
        </w:rPr>
        <w:t>00</w:t>
      </w:r>
      <w:r w:rsidRPr="006B4A66">
        <w:rPr>
          <w:rFonts w:ascii="Times New Roman" w:eastAsia="Calibri" w:hAnsi="Times New Roman" w:cs="Times New Roman"/>
          <w:color w:val="000000"/>
          <w:kern w:val="0"/>
          <w:sz w:val="24"/>
          <w14:ligatures w14:val="none"/>
        </w:rPr>
        <w:t>,000 Btu/h (29.3 kilowatts) with a design-saturated suction temperature of -10° Fahrenheit (-23° Celsius) or lower.  The subcooled liquid temperature shall be controlled at a maximum temperature setpoint of 50° Fahrenheit (10° Celsius) at the exit of the subcooler using either compressor economizer (interstage) ports or a separate compressor suction group operating at a saturated suction temperature of 18° Fahrenheit (-8° Celsius) or higher.</w:t>
      </w:r>
    </w:p>
    <w:p w14:paraId="059D191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2.1.  Insulation for liquid lines with a fluid operating temperature less than 60° Fahrenheit (16° Celsius) shall comply with WSEC Table C403.2.10.</w:t>
      </w:r>
    </w:p>
    <w:p w14:paraId="76D786E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3.  Compressors that incorporate internal or external crankcase heaters shall provide a means to cycle the heaters off during compressor operation.</w:t>
      </w:r>
    </w:p>
    <w:p w14:paraId="4560259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4.  Compressor systems utilized in refrigerated warehouses shall conform to the following:</w:t>
      </w:r>
    </w:p>
    <w:p w14:paraId="148DDBB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 xml:space="preserve"> 4.1.  Compressors shall be designed to operate at a minimum condensing temperature of 70</w:t>
      </w:r>
      <w:bookmarkStart w:id="11" w:name="_Hlk175561215"/>
      <w:r w:rsidRPr="006B4A66">
        <w:rPr>
          <w:rFonts w:ascii="Times New Roman" w:eastAsia="Calibri" w:hAnsi="Times New Roman" w:cs="Times New Roman"/>
          <w:color w:val="000000"/>
          <w:kern w:val="0"/>
          <w:sz w:val="24"/>
          <w14:ligatures w14:val="none"/>
        </w:rPr>
        <w:t>°</w:t>
      </w:r>
      <w:bookmarkEnd w:id="11"/>
      <w:r w:rsidRPr="006B4A66">
        <w:rPr>
          <w:rFonts w:ascii="Times New Roman" w:eastAsia="Calibri" w:hAnsi="Times New Roman" w:cs="Times New Roman"/>
          <w:color w:val="000000"/>
          <w:kern w:val="0"/>
          <w:sz w:val="24"/>
          <w14:ligatures w14:val="none"/>
        </w:rPr>
        <w:t xml:space="preserve"> Fahrenheit (21° Celsius) or less.</w:t>
      </w:r>
    </w:p>
    <w:p w14:paraId="213272CA" w14:textId="31970208"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4.2.  The compressor speed of a screw compressor greater than 50 horsepower  shall be controllable in response to the refrigeration load, or the input power to the compressor shall be controlled to use no more than 60 percent of full load input power when operated at 50 percent of full refrigeration capacity.</w:t>
      </w:r>
    </w:p>
    <w:p w14:paraId="276A868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w:t>
      </w:r>
      <w:r w:rsidRPr="006B4A66">
        <w:rPr>
          <w:rFonts w:ascii="Times New Roman" w:eastAsia="Calibri" w:hAnsi="Times New Roman" w:cs="Times New Roman"/>
          <w:color w:val="000000"/>
          <w:kern w:val="0"/>
          <w:sz w:val="24"/>
          <w14:ligatures w14:val="none"/>
        </w:rPr>
        <w:t xml:space="preserve">  Refrigeration plants with more than one dedicated compressor per suction group.</w:t>
      </w:r>
    </w:p>
    <w:p w14:paraId="3CB7A609" w14:textId="255E5474"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134.</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6C697B90"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Section C411.1 of the Washington State Energy Code is not adopted and the following is substituted:</w:t>
      </w:r>
    </w:p>
    <w:p w14:paraId="25B62A6A" w14:textId="1371C226"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On-site renewable energy (</w:t>
      </w:r>
      <w:r w:rsidRPr="006B4A66">
        <w:rPr>
          <w:rFonts w:ascii="Times New Roman" w:eastAsia="Calibri" w:hAnsi="Times New Roman" w:cs="Times New Roman"/>
          <w:b/>
          <w:color w:val="000000"/>
          <w:kern w:val="0"/>
          <w:sz w:val="24"/>
          <w14:ligatures w14:val="none"/>
        </w:rPr>
        <w:t>WSEC</w:t>
      </w:r>
      <w:r w:rsidRPr="006B4A66">
        <w:rPr>
          <w:rFonts w:ascii="Times New Roman" w:eastAsia="Calibri" w:hAnsi="Times New Roman" w:cs="Times New Roman"/>
          <w:b/>
          <w:bCs/>
          <w:color w:val="000000"/>
          <w:kern w:val="0"/>
          <w:sz w:val="24"/>
          <w14:ligatures w14:val="none"/>
        </w:rPr>
        <w:t xml:space="preserve"> C411.1).</w:t>
      </w:r>
      <w:r w:rsidRPr="006B4A66">
        <w:rPr>
          <w:rFonts w:ascii="Times New Roman" w:eastAsia="Calibri" w:hAnsi="Times New Roman" w:cs="Times New Roman"/>
          <w:color w:val="000000"/>
          <w:kern w:val="0"/>
          <w:sz w:val="24"/>
          <w14:ligatures w14:val="none"/>
        </w:rPr>
        <w:t xml:space="preserve">  Each new building or addition larger than 5,000 square feet (464.5 square meters) of gross conditioned floor area shall include a renewable energy generation system consisting of not less than 0.5 watts per square foot (</w:t>
      </w:r>
      <w:r w:rsidR="00720922">
        <w:rPr>
          <w:rFonts w:ascii="Times New Roman" w:eastAsia="Calibri" w:hAnsi="Times New Roman" w:cs="Times New Roman"/>
          <w:color w:val="000000"/>
          <w:kern w:val="0"/>
          <w:sz w:val="24"/>
          <w14:ligatures w14:val="none"/>
        </w:rPr>
        <w:t>5</w:t>
      </w:r>
      <w:r w:rsidRPr="006B4A66">
        <w:rPr>
          <w:rFonts w:ascii="Times New Roman" w:eastAsia="Calibri" w:hAnsi="Times New Roman" w:cs="Times New Roman"/>
          <w:color w:val="000000"/>
          <w:kern w:val="0"/>
          <w:sz w:val="24"/>
          <w14:ligatures w14:val="none"/>
        </w:rPr>
        <w:t>.</w:t>
      </w:r>
      <w:r w:rsidR="00720922">
        <w:rPr>
          <w:rFonts w:ascii="Times New Roman" w:eastAsia="Calibri" w:hAnsi="Times New Roman" w:cs="Times New Roman"/>
          <w:color w:val="000000"/>
          <w:kern w:val="0"/>
          <w:sz w:val="24"/>
          <w14:ligatures w14:val="none"/>
        </w:rPr>
        <w:t>38</w:t>
      </w:r>
      <w:r w:rsidRPr="006B4A66">
        <w:rPr>
          <w:rFonts w:ascii="Times New Roman" w:eastAsia="Calibri" w:hAnsi="Times New Roman" w:cs="Times New Roman"/>
          <w:color w:val="000000"/>
          <w:kern w:val="0"/>
          <w:sz w:val="24"/>
          <w14:ligatures w14:val="none"/>
        </w:rPr>
        <w:t xml:space="preserve"> watts per square meter) or </w:t>
      </w:r>
      <w:r w:rsidR="006E68A0">
        <w:rPr>
          <w:rFonts w:ascii="Times New Roman" w:eastAsia="Calibri" w:hAnsi="Times New Roman" w:cs="Times New Roman"/>
          <w:color w:val="000000"/>
          <w:kern w:val="0"/>
          <w:sz w:val="24"/>
          <w14:ligatures w14:val="none"/>
        </w:rPr>
        <w:t>1</w:t>
      </w:r>
      <w:r w:rsidRPr="006B4A66">
        <w:rPr>
          <w:rFonts w:ascii="Times New Roman" w:eastAsia="Calibri" w:hAnsi="Times New Roman" w:cs="Times New Roman"/>
          <w:color w:val="000000"/>
          <w:kern w:val="0"/>
          <w:sz w:val="24"/>
          <w14:ligatures w14:val="none"/>
        </w:rPr>
        <w:t>.</w:t>
      </w:r>
      <w:r w:rsidR="006E68A0">
        <w:rPr>
          <w:rFonts w:ascii="Times New Roman" w:eastAsia="Calibri" w:hAnsi="Times New Roman" w:cs="Times New Roman"/>
          <w:color w:val="000000"/>
          <w:kern w:val="0"/>
          <w:sz w:val="24"/>
          <w14:ligatures w14:val="none"/>
        </w:rPr>
        <w:t>7</w:t>
      </w:r>
      <w:r w:rsidRPr="006B4A66">
        <w:rPr>
          <w:rFonts w:ascii="Times New Roman" w:eastAsia="Calibri" w:hAnsi="Times New Roman" w:cs="Times New Roman"/>
          <w:color w:val="000000"/>
          <w:kern w:val="0"/>
          <w:sz w:val="24"/>
          <w14:ligatures w14:val="none"/>
        </w:rPr>
        <w:t xml:space="preserve"> Btu/h per square foot (</w:t>
      </w:r>
      <w:r w:rsidR="00177572">
        <w:rPr>
          <w:rFonts w:ascii="Times New Roman" w:eastAsia="Calibri" w:hAnsi="Times New Roman" w:cs="Times New Roman"/>
          <w:color w:val="000000"/>
          <w:kern w:val="0"/>
          <w:sz w:val="24"/>
          <w14:ligatures w14:val="none"/>
        </w:rPr>
        <w:t>19.3</w:t>
      </w:r>
      <w:r w:rsidRPr="006B4A66">
        <w:rPr>
          <w:rFonts w:ascii="Times New Roman" w:eastAsia="Calibri" w:hAnsi="Times New Roman" w:cs="Times New Roman"/>
          <w:color w:val="000000"/>
          <w:kern w:val="0"/>
          <w:sz w:val="24"/>
          <w14:ligatures w14:val="none"/>
        </w:rPr>
        <w:t xml:space="preserve"> kilojoules/h per square meter) multiplied by the sum of the gross conditioned floor area.</w:t>
      </w:r>
    </w:p>
    <w:p w14:paraId="5885FBF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tab/>
        <w:t>EXCEPTIONS:</w:t>
      </w:r>
    </w:p>
    <w:p w14:paraId="271F722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Where a building's net roof area is not large enough to accommodate the entire on-site renewable energy generation system required by this section, the portion of the system that cannot be accommodated within the net roof area is permitted to be provided by:</w:t>
      </w:r>
    </w:p>
    <w:p w14:paraId="7C6AB94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1.1.  Additional efficiency credits in accordance with WSEC C411.1.1; or</w:t>
      </w:r>
    </w:p>
    <w:p w14:paraId="2551B4D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 xml:space="preserve">  1.2.  Off-site renewable energy in accordance with WSEC C411.2.1, including the requirements of WSEC C411.2 and C411.2.2.</w:t>
      </w:r>
    </w:p>
    <w:p w14:paraId="4A93D88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For the purposes of this exception, the net roof area excludes the following:</w:t>
      </w:r>
    </w:p>
    <w:p w14:paraId="24E76C6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a.  Areas shaded by existing natural or built objects in accordance with exception 1 of WSEC C C411.3.</w:t>
      </w:r>
    </w:p>
    <w:p w14:paraId="5D3629F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b.  Areas occupied by mechanical equipment, including adjacent equipment service areas required by the manufacturer or by applicable code.</w:t>
      </w:r>
    </w:p>
    <w:p w14:paraId="01F5E42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c.  Areas required by applicable codes to remain clear for egress, fire department access, or equipment access.</w:t>
      </w:r>
    </w:p>
    <w:p w14:paraId="513F18D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d.  Areas with slopes greater than 2 to 12.</w:t>
      </w:r>
    </w:p>
    <w:p w14:paraId="7CA9CEE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e.  Planted or vegetated areas.</w:t>
      </w:r>
    </w:p>
    <w:p w14:paraId="19740F2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f.  Skylights.</w:t>
      </w:r>
    </w:p>
    <w:p w14:paraId="1475EF5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g.  Occupied roof decks.</w:t>
      </w:r>
    </w:p>
    <w:p w14:paraId="0B6C6C0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Reduced Building Performance Factor.  For projects utilizing the WSEC C407 Total Building Performance compliance path, the on-site renewable energy generation system is not required where the building performance factor (BPF) is at least 3 percent below the maximum BPF permitted cumulatively by all other sections of this code.</w:t>
      </w:r>
    </w:p>
    <w:p w14:paraId="5977EBB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2.1.  Where the BPF is at least 1 percent below the BPF required cumulatively by other sections of this code, the on-site renewable energy generation system size is permitted to be reduced by 1/3.</w:t>
      </w:r>
    </w:p>
    <w:p w14:paraId="689B337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2.2.  Where the BPF is not less than 2 percent lower than the BPF required cumulatively by other sections of this code, the size of the on-site renewable energy generation system is permitted to be reduced by 2/3.</w:t>
      </w:r>
    </w:p>
    <w:p w14:paraId="2511F72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3.  Transfer to an affordable housing project.  Where approved by the code official, all or part of the required on-site renewable energy generation system is permitted to be replaced by a system that is at least 50 percent of the required system size when located on an existing affordable housing project within unincorporated King County, or at least 75 percent of the required system size when located on a new construction affordable housing project within unincorporated King County.  Documentation demonstrating that the renewable energy generation system has been installed on the affordable housing project site, the system is fully operational, and ownership has been transferred to the affordable housing project owner, must be submitted prior to issuance of the certificate of occupancy.</w:t>
      </w:r>
    </w:p>
    <w:p w14:paraId="3D428ED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4.  Transfer to a Washington State agency program.  Where approved by the code official, all or part of the required renewable energy generation system is permitted to be replaced by a contribution of two dollars and fifty cents for each required watt of installed capacity, to a solar energy fund managed by a Washington State agency that will provide solar energy installations for affordable housing projects.  Documentation demonstrating that the contribution has been received by the state agency must be submitted prior to issuance of the certificate of occupancy.</w:t>
      </w:r>
    </w:p>
    <w:p w14:paraId="3D6ED6D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5.  Affordable housing.  The on-site renewable energy generation system is not required for affordable housing projects.</w:t>
      </w:r>
    </w:p>
    <w:p w14:paraId="60352FA0" w14:textId="1740862A"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135.</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7371036F"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Section C411.1.1 of the Washington State Energy Code is not adopted and the following is substituted:</w:t>
      </w:r>
    </w:p>
    <w:p w14:paraId="519DB24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spacing w:val="-2"/>
          <w:kern w:val="0"/>
          <w:sz w:val="24"/>
          <w14:ligatures w14:val="none"/>
        </w:rPr>
      </w:pPr>
      <w:r w:rsidRPr="006B4A66">
        <w:rPr>
          <w:rFonts w:ascii="Times New Roman" w:eastAsia="Calibri" w:hAnsi="Times New Roman" w:cs="Times New Roman"/>
          <w:color w:val="000000"/>
          <w:spacing w:val="-2"/>
          <w:kern w:val="0"/>
          <w:sz w:val="24"/>
          <w14:ligatures w14:val="none"/>
        </w:rPr>
        <w:lastRenderedPageBreak/>
        <w:tab/>
      </w:r>
      <w:r w:rsidRPr="006B4A66">
        <w:rPr>
          <w:rFonts w:ascii="Times New Roman" w:eastAsia="Calibri" w:hAnsi="Times New Roman" w:cs="Times New Roman"/>
          <w:b/>
          <w:color w:val="000000"/>
          <w:spacing w:val="-2"/>
          <w:kern w:val="0"/>
          <w:sz w:val="24"/>
          <w14:ligatures w14:val="none"/>
        </w:rPr>
        <w:t>Additional efficiency credits (</w:t>
      </w:r>
      <w:r w:rsidRPr="006B4A66">
        <w:rPr>
          <w:rFonts w:ascii="Times New Roman" w:eastAsia="Calibri" w:hAnsi="Times New Roman" w:cs="Times New Roman"/>
          <w:b/>
          <w:color w:val="000000"/>
          <w:kern w:val="0"/>
          <w:sz w:val="24"/>
          <w14:ligatures w14:val="none"/>
        </w:rPr>
        <w:t>WSEC</w:t>
      </w:r>
      <w:r w:rsidRPr="006B4A66">
        <w:rPr>
          <w:rFonts w:ascii="Times New Roman" w:eastAsia="Calibri" w:hAnsi="Times New Roman" w:cs="Times New Roman"/>
          <w:b/>
          <w:color w:val="000000"/>
          <w:spacing w:val="-2"/>
          <w:kern w:val="0"/>
          <w:sz w:val="24"/>
          <w14:ligatures w14:val="none"/>
        </w:rPr>
        <w:t xml:space="preserve"> C411.1.1).</w:t>
      </w:r>
      <w:r w:rsidRPr="006B4A66">
        <w:rPr>
          <w:rFonts w:ascii="Times New Roman" w:eastAsia="Calibri" w:hAnsi="Times New Roman" w:cs="Times New Roman"/>
          <w:color w:val="000000"/>
          <w:spacing w:val="-2"/>
          <w:kern w:val="0"/>
          <w:sz w:val="24"/>
          <w14:ligatures w14:val="none"/>
        </w:rPr>
        <w:t xml:space="preserve">  Buildings that qualify for exception 1 in </w:t>
      </w:r>
      <w:r w:rsidRPr="006B4A66">
        <w:rPr>
          <w:rFonts w:ascii="Times New Roman" w:eastAsia="Calibri" w:hAnsi="Times New Roman" w:cs="Times New Roman"/>
          <w:color w:val="000000"/>
          <w:kern w:val="0"/>
          <w:sz w:val="24"/>
          <w14:ligatures w14:val="none"/>
        </w:rPr>
        <w:t>WSEC</w:t>
      </w:r>
      <w:r w:rsidRPr="006B4A66">
        <w:rPr>
          <w:rFonts w:ascii="Times New Roman" w:eastAsia="Calibri" w:hAnsi="Times New Roman" w:cs="Times New Roman"/>
          <w:color w:val="000000"/>
          <w:spacing w:val="-2"/>
          <w:kern w:val="0"/>
          <w:sz w:val="24"/>
          <w14:ligatures w14:val="none"/>
        </w:rPr>
        <w:t xml:space="preserve"> C411.1 to omit installation of on-site renewable energy are allowed to achieve an additional 27 efficiency package credits from </w:t>
      </w:r>
      <w:r w:rsidRPr="006B4A66">
        <w:rPr>
          <w:rFonts w:ascii="Times New Roman" w:eastAsia="Calibri" w:hAnsi="Times New Roman" w:cs="Times New Roman"/>
          <w:color w:val="000000"/>
          <w:kern w:val="0"/>
          <w:sz w:val="24"/>
          <w14:ligatures w14:val="none"/>
        </w:rPr>
        <w:t>WSEC</w:t>
      </w:r>
      <w:r w:rsidRPr="006B4A66">
        <w:rPr>
          <w:rFonts w:ascii="Times New Roman" w:eastAsia="Calibri" w:hAnsi="Times New Roman" w:cs="Times New Roman"/>
          <w:color w:val="000000"/>
          <w:spacing w:val="-2"/>
          <w:kern w:val="0"/>
          <w:sz w:val="24"/>
          <w14:ligatures w14:val="none"/>
        </w:rPr>
        <w:t xml:space="preserve"> Table C406.2 instead of installing the on-site renewable energy system.  The additional 27 credits can be reduced based on a prorated fraction of renewable capacity that is installed on-site.</w:t>
      </w:r>
    </w:p>
    <w:p w14:paraId="29CC6E6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spacing w:val="-2"/>
          <w:kern w:val="0"/>
          <w:sz w:val="24"/>
          <w14:ligatures w14:val="none"/>
        </w:rPr>
      </w:pPr>
      <w:r w:rsidRPr="006B4A66">
        <w:rPr>
          <w:rFonts w:ascii="Times New Roman" w:eastAsia="Calibri" w:hAnsi="Times New Roman" w:cs="Times New Roman"/>
          <w:color w:val="000000"/>
          <w:spacing w:val="-2"/>
          <w:kern w:val="0"/>
          <w:sz w:val="24"/>
          <w14:ligatures w14:val="none"/>
        </w:rPr>
        <w:tab/>
        <w:t xml:space="preserve">On-site renewable energy installations of lower than required capacity can be counted proportionally toward achievement of required or additional efficiency credits in </w:t>
      </w:r>
      <w:r w:rsidRPr="006B4A66">
        <w:rPr>
          <w:rFonts w:ascii="Times New Roman" w:eastAsia="Calibri" w:hAnsi="Times New Roman" w:cs="Times New Roman"/>
          <w:color w:val="000000"/>
          <w:kern w:val="0"/>
          <w:sz w:val="24"/>
          <w14:ligatures w14:val="none"/>
        </w:rPr>
        <w:t>WSEC</w:t>
      </w:r>
      <w:r w:rsidRPr="006B4A66">
        <w:rPr>
          <w:rFonts w:ascii="Times New Roman" w:eastAsia="Calibri" w:hAnsi="Times New Roman" w:cs="Times New Roman"/>
          <w:color w:val="000000"/>
          <w:spacing w:val="-2"/>
          <w:kern w:val="0"/>
          <w:sz w:val="24"/>
          <w14:ligatures w14:val="none"/>
        </w:rPr>
        <w:t xml:space="preserve"> C411.1.1 based on the capacity of renewable energy installed compared to the requirements of </w:t>
      </w:r>
      <w:r w:rsidRPr="006B4A66">
        <w:rPr>
          <w:rFonts w:ascii="Times New Roman" w:eastAsia="Calibri" w:hAnsi="Times New Roman" w:cs="Times New Roman"/>
          <w:color w:val="000000"/>
          <w:kern w:val="0"/>
          <w:sz w:val="24"/>
          <w14:ligatures w14:val="none"/>
        </w:rPr>
        <w:t>WSEC</w:t>
      </w:r>
      <w:r w:rsidRPr="006B4A66">
        <w:rPr>
          <w:rFonts w:ascii="Times New Roman" w:eastAsia="Calibri" w:hAnsi="Times New Roman" w:cs="Times New Roman"/>
          <w:color w:val="000000"/>
          <w:spacing w:val="-2"/>
          <w:kern w:val="0"/>
          <w:sz w:val="24"/>
          <w14:ligatures w14:val="none"/>
        </w:rPr>
        <w:t xml:space="preserve"> C411.1.</w:t>
      </w:r>
    </w:p>
    <w:p w14:paraId="22B48338" w14:textId="2082E3AC"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136.</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021AC35B"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Section C411.2 of the Washington State Energy Code is not adopted and the following is substituted:</w:t>
      </w:r>
    </w:p>
    <w:p w14:paraId="57C51C8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spacing w:val="-2"/>
          <w:kern w:val="0"/>
          <w:sz w:val="24"/>
          <w14:ligatures w14:val="none"/>
        </w:rPr>
        <w:tab/>
      </w:r>
      <w:r w:rsidRPr="006B4A66">
        <w:rPr>
          <w:rFonts w:ascii="Times New Roman" w:eastAsia="Calibri" w:hAnsi="Times New Roman" w:cs="Times New Roman"/>
          <w:b/>
          <w:bCs/>
          <w:color w:val="000000"/>
          <w:kern w:val="0"/>
          <w:sz w:val="24"/>
          <w14:ligatures w14:val="none"/>
        </w:rPr>
        <w:t>On-site and off-site renewable energy accounting (</w:t>
      </w:r>
      <w:r w:rsidRPr="006B4A66">
        <w:rPr>
          <w:rFonts w:ascii="Times New Roman" w:eastAsia="Calibri" w:hAnsi="Times New Roman" w:cs="Times New Roman"/>
          <w:b/>
          <w:color w:val="000000"/>
          <w:kern w:val="0"/>
          <w:sz w:val="24"/>
          <w14:ligatures w14:val="none"/>
        </w:rPr>
        <w:t>WSEC</w:t>
      </w:r>
      <w:r w:rsidRPr="006B4A66">
        <w:rPr>
          <w:rFonts w:ascii="Times New Roman" w:eastAsia="Calibri" w:hAnsi="Times New Roman" w:cs="Times New Roman"/>
          <w:b/>
          <w:bCs/>
          <w:color w:val="000000"/>
          <w:kern w:val="0"/>
          <w:sz w:val="24"/>
          <w14:ligatures w14:val="none"/>
        </w:rPr>
        <w:t xml:space="preserve"> C411.2).</w:t>
      </w:r>
      <w:r w:rsidRPr="006B4A66">
        <w:rPr>
          <w:rFonts w:ascii="Times New Roman" w:eastAsia="Calibri" w:hAnsi="Times New Roman" w:cs="Times New Roman"/>
          <w:color w:val="000000"/>
          <w:kern w:val="0"/>
          <w:sz w:val="24"/>
          <w14:ligatures w14:val="none"/>
        </w:rPr>
        <w:t xml:space="preserve">  Qualifying on-site and off-site renewable energy delivered or credited to the building project to comply with this code shall meet the requirements of this section.  Renewable energy certificates for an on-site or off-site renewable energy system shall be retired on behalf of the building owner for a period of not less than 15 years and tracked in accordance with WSEC C411.2.3 and submitted to the code official before the final inspection.  Renewable energy certificates (RECs) themselves are not a qualifying type of off-site renewable energy system.</w:t>
      </w:r>
    </w:p>
    <w:p w14:paraId="3FE42FC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b/>
          <w:color w:val="000000"/>
          <w:kern w:val="0"/>
          <w:sz w:val="24"/>
          <w14:ligatures w14:val="none"/>
        </w:rPr>
        <w:t>C411.2.1 Qualifying types of off-site renewable energy systems.</w:t>
      </w:r>
      <w:r w:rsidRPr="006B4A66">
        <w:rPr>
          <w:rFonts w:ascii="Times New Roman" w:eastAsia="Calibri" w:hAnsi="Times New Roman" w:cs="Times New Roman"/>
          <w:color w:val="000000"/>
          <w:kern w:val="0"/>
          <w:sz w:val="24"/>
          <w14:ligatures w14:val="none"/>
        </w:rPr>
        <w:t xml:space="preserve">  The following are considered qualifying off-site renewable energy systems:</w:t>
      </w:r>
    </w:p>
    <w:p w14:paraId="300AA444"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lastRenderedPageBreak/>
        <w:tab/>
        <w:t>1</w:t>
      </w:r>
      <w:r w:rsidRPr="006B4A66">
        <w:rPr>
          <w:rFonts w:ascii="Times New Roman" w:eastAsia="Calibri" w:hAnsi="Times New Roman" w:cs="Times New Roman"/>
          <w:color w:val="000000"/>
          <w:kern w:val="0"/>
          <w:sz w:val="24"/>
          <w14:ligatures w14:val="none"/>
        </w:rPr>
        <w:t>.  Self-generation (an off-site renewable energy system owned by the building project owner) systems complying with WSEC C411.2.2.</w:t>
      </w:r>
    </w:p>
    <w:p w14:paraId="234C818C"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tab/>
        <w:t>2</w:t>
      </w:r>
      <w:r w:rsidRPr="006B4A66">
        <w:rPr>
          <w:rFonts w:ascii="Times New Roman" w:eastAsia="Calibri" w:hAnsi="Times New Roman" w:cs="Times New Roman"/>
          <w:color w:val="000000"/>
          <w:kern w:val="0"/>
          <w:sz w:val="24"/>
          <w14:ligatures w14:val="none"/>
        </w:rPr>
        <w:t>.  Community renewable energy facility systems complying with Section C411.2.2.</w:t>
      </w:r>
    </w:p>
    <w:p w14:paraId="49129E38"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tab/>
        <w:t>3</w:t>
      </w:r>
      <w:r w:rsidRPr="006B4A66">
        <w:rPr>
          <w:rFonts w:ascii="Times New Roman" w:eastAsia="Calibri" w:hAnsi="Times New Roman" w:cs="Times New Roman"/>
          <w:color w:val="000000"/>
          <w:kern w:val="0"/>
          <w:sz w:val="24"/>
          <w14:ligatures w14:val="none"/>
        </w:rPr>
        <w:t>.  Renewable power purchase agreement (PPA) contracts complying with WSEC C411.2.2 and, where applicable, WSEC C411.2.3.</w:t>
      </w:r>
    </w:p>
    <w:p w14:paraId="6A4C9352"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tab/>
        <w:t>4</w:t>
      </w:r>
      <w:r w:rsidRPr="006B4A66">
        <w:rPr>
          <w:rFonts w:ascii="Times New Roman" w:eastAsia="Calibri" w:hAnsi="Times New Roman" w:cs="Times New Roman"/>
          <w:color w:val="000000"/>
          <w:kern w:val="0"/>
          <w:sz w:val="24"/>
          <w14:ligatures w14:val="none"/>
        </w:rPr>
        <w:t>.  Each source of renewable energy delivered to or credited to the building project shall be connected to the Western Interconnection and energy or capacity multiplied by the factors in WSEC Table C411.2.1.</w:t>
      </w:r>
    </w:p>
    <w:p w14:paraId="16BCADD9"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Table C411.2.1</w:t>
      </w:r>
    </w:p>
    <w:p w14:paraId="5F661760"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Multipliers for Renewable Energy Procurement Methods</w:t>
      </w:r>
    </w:p>
    <w:tbl>
      <w:tblPr>
        <w:tblStyle w:val="TableGrid"/>
        <w:tblW w:w="0" w:type="auto"/>
        <w:tblLook w:val="04A0" w:firstRow="1" w:lastRow="0" w:firstColumn="1" w:lastColumn="0" w:noHBand="0" w:noVBand="1"/>
      </w:tblPr>
      <w:tblGrid>
        <w:gridCol w:w="1704"/>
        <w:gridCol w:w="1728"/>
        <w:gridCol w:w="1738"/>
        <w:gridCol w:w="1770"/>
        <w:gridCol w:w="1690"/>
      </w:tblGrid>
      <w:tr w:rsidR="006B4A66" w:rsidRPr="006B4A66" w14:paraId="65E35E28" w14:textId="77777777">
        <w:tc>
          <w:tcPr>
            <w:tcW w:w="1771" w:type="dxa"/>
            <w:vMerge w:val="restart"/>
          </w:tcPr>
          <w:p w14:paraId="6A9BAAE5" w14:textId="77777777" w:rsidR="006B4A66" w:rsidRPr="006B4A66" w:rsidRDefault="006B4A66" w:rsidP="0073496A">
            <w:pPr>
              <w:spacing w:line="480" w:lineRule="auto"/>
              <w:rPr>
                <w:rFonts w:eastAsia="Calibri"/>
                <w:b/>
                <w:bCs/>
                <w:color w:val="000000"/>
                <w:sz w:val="24"/>
              </w:rPr>
            </w:pPr>
            <w:r w:rsidRPr="006B4A66">
              <w:rPr>
                <w:rFonts w:eastAsia="Calibri"/>
                <w:b/>
                <w:bCs/>
                <w:color w:val="000000"/>
                <w:sz w:val="24"/>
              </w:rPr>
              <w:t>Location</w:t>
            </w:r>
          </w:p>
        </w:tc>
        <w:tc>
          <w:tcPr>
            <w:tcW w:w="1771" w:type="dxa"/>
            <w:vMerge w:val="restart"/>
          </w:tcPr>
          <w:p w14:paraId="70F7F80B" w14:textId="77777777" w:rsidR="006B4A66" w:rsidRPr="006B4A66" w:rsidRDefault="006B4A66" w:rsidP="0073496A">
            <w:pPr>
              <w:spacing w:line="480" w:lineRule="auto"/>
              <w:rPr>
                <w:rFonts w:eastAsia="Calibri"/>
                <w:b/>
                <w:bCs/>
                <w:color w:val="000000"/>
                <w:sz w:val="24"/>
              </w:rPr>
            </w:pPr>
            <w:r w:rsidRPr="006B4A66">
              <w:rPr>
                <w:rFonts w:eastAsia="Calibri"/>
                <w:b/>
                <w:bCs/>
                <w:color w:val="000000"/>
                <w:sz w:val="24"/>
              </w:rPr>
              <w:t>Renewable Energy Source</w:t>
            </w:r>
          </w:p>
        </w:tc>
        <w:tc>
          <w:tcPr>
            <w:tcW w:w="5314" w:type="dxa"/>
            <w:gridSpan w:val="3"/>
          </w:tcPr>
          <w:p w14:paraId="73F3AA90" w14:textId="77777777" w:rsidR="006B4A66" w:rsidRPr="006B4A66" w:rsidRDefault="006B4A66" w:rsidP="0073496A">
            <w:pPr>
              <w:spacing w:line="480" w:lineRule="auto"/>
              <w:jc w:val="center"/>
              <w:rPr>
                <w:rFonts w:eastAsia="Calibri"/>
                <w:b/>
                <w:bCs/>
                <w:color w:val="000000"/>
                <w:sz w:val="24"/>
              </w:rPr>
            </w:pPr>
            <w:r w:rsidRPr="006B4A66">
              <w:rPr>
                <w:rFonts w:eastAsia="Calibri"/>
                <w:b/>
                <w:bCs/>
                <w:color w:val="000000"/>
                <w:sz w:val="24"/>
              </w:rPr>
              <w:t>Renewable Energy Factor</w:t>
            </w:r>
          </w:p>
        </w:tc>
      </w:tr>
      <w:tr w:rsidR="006B4A66" w:rsidRPr="006B4A66" w14:paraId="4A908DCC" w14:textId="77777777">
        <w:tc>
          <w:tcPr>
            <w:tcW w:w="1771" w:type="dxa"/>
            <w:vMerge/>
          </w:tcPr>
          <w:p w14:paraId="5EA00A82" w14:textId="77777777" w:rsidR="006B4A66" w:rsidRPr="006B4A66" w:rsidRDefault="006B4A66" w:rsidP="0073496A">
            <w:pPr>
              <w:spacing w:line="480" w:lineRule="auto"/>
              <w:rPr>
                <w:rFonts w:eastAsia="Calibri"/>
                <w:b/>
                <w:bCs/>
                <w:color w:val="000000"/>
                <w:sz w:val="24"/>
              </w:rPr>
            </w:pPr>
          </w:p>
        </w:tc>
        <w:tc>
          <w:tcPr>
            <w:tcW w:w="1771" w:type="dxa"/>
            <w:vMerge/>
          </w:tcPr>
          <w:p w14:paraId="3CBFFF3C" w14:textId="77777777" w:rsidR="006B4A66" w:rsidRPr="006B4A66" w:rsidRDefault="006B4A66" w:rsidP="0073496A">
            <w:pPr>
              <w:spacing w:line="480" w:lineRule="auto"/>
              <w:rPr>
                <w:rFonts w:eastAsia="Calibri"/>
                <w:b/>
                <w:bCs/>
                <w:color w:val="000000"/>
                <w:sz w:val="24"/>
              </w:rPr>
            </w:pPr>
          </w:p>
        </w:tc>
        <w:tc>
          <w:tcPr>
            <w:tcW w:w="1771" w:type="dxa"/>
          </w:tcPr>
          <w:p w14:paraId="2CAF6AC1" w14:textId="77777777" w:rsidR="006B4A66" w:rsidRPr="006B4A66" w:rsidRDefault="006B4A66" w:rsidP="0073496A">
            <w:pPr>
              <w:spacing w:line="480" w:lineRule="auto"/>
              <w:rPr>
                <w:rFonts w:eastAsia="Calibri"/>
                <w:b/>
                <w:bCs/>
                <w:color w:val="000000"/>
                <w:sz w:val="24"/>
              </w:rPr>
            </w:pPr>
            <w:r w:rsidRPr="006B4A66">
              <w:rPr>
                <w:rFonts w:eastAsia="Calibri"/>
                <w:b/>
                <w:bCs/>
                <w:color w:val="000000"/>
                <w:sz w:val="24"/>
              </w:rPr>
              <w:t>In the State of Washington</w:t>
            </w:r>
          </w:p>
        </w:tc>
        <w:tc>
          <w:tcPr>
            <w:tcW w:w="1771" w:type="dxa"/>
          </w:tcPr>
          <w:p w14:paraId="609F2C4D" w14:textId="77777777" w:rsidR="006B4A66" w:rsidRPr="006B4A66" w:rsidRDefault="006B4A66" w:rsidP="0073496A">
            <w:pPr>
              <w:spacing w:line="480" w:lineRule="auto"/>
              <w:rPr>
                <w:rFonts w:eastAsia="Calibri"/>
                <w:b/>
                <w:bCs/>
                <w:color w:val="000000"/>
                <w:sz w:val="24"/>
              </w:rPr>
            </w:pPr>
            <w:r w:rsidRPr="006B4A66">
              <w:rPr>
                <w:rFonts w:eastAsia="Calibri"/>
                <w:b/>
                <w:bCs/>
                <w:color w:val="000000"/>
                <w:sz w:val="24"/>
              </w:rPr>
              <w:t>Western Interconnected</w:t>
            </w:r>
          </w:p>
        </w:tc>
        <w:tc>
          <w:tcPr>
            <w:tcW w:w="1772" w:type="dxa"/>
          </w:tcPr>
          <w:p w14:paraId="55737D08" w14:textId="77777777" w:rsidR="006B4A66" w:rsidRPr="006B4A66" w:rsidRDefault="006B4A66" w:rsidP="0073496A">
            <w:pPr>
              <w:spacing w:line="480" w:lineRule="auto"/>
              <w:rPr>
                <w:rFonts w:eastAsia="Calibri"/>
                <w:b/>
                <w:bCs/>
                <w:color w:val="000000"/>
                <w:sz w:val="24"/>
              </w:rPr>
            </w:pPr>
            <w:r w:rsidRPr="006B4A66">
              <w:rPr>
                <w:rFonts w:eastAsia="Calibri"/>
                <w:b/>
                <w:bCs/>
                <w:color w:val="000000"/>
                <w:sz w:val="24"/>
              </w:rPr>
              <w:t>In the States of Oregon or Idaho</w:t>
            </w:r>
          </w:p>
        </w:tc>
      </w:tr>
      <w:tr w:rsidR="006B4A66" w:rsidRPr="006B4A66" w14:paraId="08D9A98F" w14:textId="77777777">
        <w:tc>
          <w:tcPr>
            <w:tcW w:w="1771" w:type="dxa"/>
          </w:tcPr>
          <w:p w14:paraId="269CA88C"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On-site</w:t>
            </w:r>
          </w:p>
        </w:tc>
        <w:tc>
          <w:tcPr>
            <w:tcW w:w="1771" w:type="dxa"/>
          </w:tcPr>
          <w:p w14:paraId="62FAC9BD"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On-site renewable energy system</w:t>
            </w:r>
          </w:p>
        </w:tc>
        <w:tc>
          <w:tcPr>
            <w:tcW w:w="1771" w:type="dxa"/>
          </w:tcPr>
          <w:p w14:paraId="4A1A516B"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1</w:t>
            </w:r>
          </w:p>
        </w:tc>
        <w:tc>
          <w:tcPr>
            <w:tcW w:w="1771" w:type="dxa"/>
          </w:tcPr>
          <w:p w14:paraId="6EB25614"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NA</w:t>
            </w:r>
          </w:p>
        </w:tc>
        <w:tc>
          <w:tcPr>
            <w:tcW w:w="1772" w:type="dxa"/>
          </w:tcPr>
          <w:p w14:paraId="4A9D1FCC"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NA</w:t>
            </w:r>
          </w:p>
        </w:tc>
      </w:tr>
      <w:tr w:rsidR="006B4A66" w:rsidRPr="006B4A66" w14:paraId="51A382DB" w14:textId="77777777">
        <w:tc>
          <w:tcPr>
            <w:tcW w:w="1771" w:type="dxa"/>
          </w:tcPr>
          <w:p w14:paraId="214A7B43"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Off-site</w:t>
            </w:r>
          </w:p>
        </w:tc>
        <w:tc>
          <w:tcPr>
            <w:tcW w:w="1771" w:type="dxa"/>
          </w:tcPr>
          <w:p w14:paraId="4167888A"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Directly owned off-site renewable energy system that begins </w:t>
            </w:r>
            <w:r w:rsidRPr="006B4A66">
              <w:rPr>
                <w:rFonts w:eastAsia="Calibri"/>
                <w:color w:val="000000"/>
                <w:sz w:val="24"/>
              </w:rPr>
              <w:lastRenderedPageBreak/>
              <w:t>operation after submission of the initial permit application</w:t>
            </w:r>
          </w:p>
        </w:tc>
        <w:tc>
          <w:tcPr>
            <w:tcW w:w="1771" w:type="dxa"/>
          </w:tcPr>
          <w:p w14:paraId="3BEDEFBF" w14:textId="77777777" w:rsidR="006B4A66" w:rsidRPr="006B4A66" w:rsidRDefault="006B4A66" w:rsidP="0073496A">
            <w:pPr>
              <w:spacing w:line="480" w:lineRule="auto"/>
              <w:rPr>
                <w:rFonts w:eastAsia="Calibri"/>
                <w:color w:val="000000"/>
                <w:sz w:val="24"/>
              </w:rPr>
            </w:pPr>
            <w:r w:rsidRPr="006B4A66">
              <w:rPr>
                <w:rFonts w:eastAsia="Calibri"/>
                <w:color w:val="000000"/>
                <w:sz w:val="24"/>
              </w:rPr>
              <w:lastRenderedPageBreak/>
              <w:t>0.95</w:t>
            </w:r>
          </w:p>
        </w:tc>
        <w:tc>
          <w:tcPr>
            <w:tcW w:w="1771" w:type="dxa"/>
          </w:tcPr>
          <w:p w14:paraId="32135585"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0.75</w:t>
            </w:r>
          </w:p>
        </w:tc>
        <w:tc>
          <w:tcPr>
            <w:tcW w:w="1772" w:type="dxa"/>
          </w:tcPr>
          <w:p w14:paraId="2AC48EB5"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0.85</w:t>
            </w:r>
          </w:p>
        </w:tc>
      </w:tr>
      <w:tr w:rsidR="006B4A66" w:rsidRPr="006B4A66" w14:paraId="07A80239" w14:textId="77777777">
        <w:tc>
          <w:tcPr>
            <w:tcW w:w="1771" w:type="dxa"/>
          </w:tcPr>
          <w:p w14:paraId="08DFE1E1"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Off-site</w:t>
            </w:r>
          </w:p>
        </w:tc>
        <w:tc>
          <w:tcPr>
            <w:tcW w:w="1771" w:type="dxa"/>
          </w:tcPr>
          <w:p w14:paraId="0FE931CF"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Community renewable energy facility that begins operation after submission of the initial permit application</w:t>
            </w:r>
          </w:p>
        </w:tc>
        <w:tc>
          <w:tcPr>
            <w:tcW w:w="1771" w:type="dxa"/>
          </w:tcPr>
          <w:p w14:paraId="0028871A"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0.95</w:t>
            </w:r>
          </w:p>
        </w:tc>
        <w:tc>
          <w:tcPr>
            <w:tcW w:w="1771" w:type="dxa"/>
          </w:tcPr>
          <w:p w14:paraId="2DD3AD10"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0.75</w:t>
            </w:r>
          </w:p>
        </w:tc>
        <w:tc>
          <w:tcPr>
            <w:tcW w:w="1772" w:type="dxa"/>
          </w:tcPr>
          <w:p w14:paraId="2CA316A2"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0.85</w:t>
            </w:r>
          </w:p>
        </w:tc>
      </w:tr>
      <w:tr w:rsidR="006B4A66" w:rsidRPr="006B4A66" w14:paraId="4F559CFC" w14:textId="77777777">
        <w:tc>
          <w:tcPr>
            <w:tcW w:w="1771" w:type="dxa"/>
          </w:tcPr>
          <w:p w14:paraId="5369EF1E"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Off-site</w:t>
            </w:r>
          </w:p>
        </w:tc>
        <w:tc>
          <w:tcPr>
            <w:tcW w:w="1771" w:type="dxa"/>
          </w:tcPr>
          <w:p w14:paraId="22072466"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 xml:space="preserve">Directly owned off-site renewable energy system that begins operation before submission of the initial </w:t>
            </w:r>
            <w:r w:rsidRPr="006B4A66">
              <w:rPr>
                <w:rFonts w:eastAsia="Calibri"/>
                <w:color w:val="000000"/>
                <w:sz w:val="24"/>
              </w:rPr>
              <w:lastRenderedPageBreak/>
              <w:t>permit application</w:t>
            </w:r>
          </w:p>
        </w:tc>
        <w:tc>
          <w:tcPr>
            <w:tcW w:w="1771" w:type="dxa"/>
          </w:tcPr>
          <w:p w14:paraId="070C1002" w14:textId="77777777" w:rsidR="006B4A66" w:rsidRPr="006B4A66" w:rsidRDefault="006B4A66" w:rsidP="0073496A">
            <w:pPr>
              <w:spacing w:line="480" w:lineRule="auto"/>
              <w:rPr>
                <w:rFonts w:eastAsia="Calibri"/>
                <w:color w:val="000000"/>
                <w:sz w:val="24"/>
              </w:rPr>
            </w:pPr>
            <w:r w:rsidRPr="006B4A66">
              <w:rPr>
                <w:rFonts w:eastAsia="Calibri"/>
                <w:color w:val="000000"/>
                <w:sz w:val="24"/>
              </w:rPr>
              <w:lastRenderedPageBreak/>
              <w:t>0.75</w:t>
            </w:r>
          </w:p>
        </w:tc>
        <w:tc>
          <w:tcPr>
            <w:tcW w:w="1771" w:type="dxa"/>
          </w:tcPr>
          <w:p w14:paraId="74CEE3FB"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0.55</w:t>
            </w:r>
          </w:p>
        </w:tc>
        <w:tc>
          <w:tcPr>
            <w:tcW w:w="1772" w:type="dxa"/>
          </w:tcPr>
          <w:p w14:paraId="400D0A6C"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0.65</w:t>
            </w:r>
          </w:p>
        </w:tc>
      </w:tr>
      <w:tr w:rsidR="006B4A66" w:rsidRPr="006B4A66" w14:paraId="27D21011" w14:textId="77777777">
        <w:tc>
          <w:tcPr>
            <w:tcW w:w="1771" w:type="dxa"/>
          </w:tcPr>
          <w:p w14:paraId="227461E4"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Off-site</w:t>
            </w:r>
          </w:p>
        </w:tc>
        <w:tc>
          <w:tcPr>
            <w:tcW w:w="1771" w:type="dxa"/>
          </w:tcPr>
          <w:p w14:paraId="65DC2258"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Community renewable energy facility that begins operation before submission of the initial permit application</w:t>
            </w:r>
          </w:p>
        </w:tc>
        <w:tc>
          <w:tcPr>
            <w:tcW w:w="1771" w:type="dxa"/>
          </w:tcPr>
          <w:p w14:paraId="491E84DA"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0.75</w:t>
            </w:r>
          </w:p>
        </w:tc>
        <w:tc>
          <w:tcPr>
            <w:tcW w:w="1771" w:type="dxa"/>
          </w:tcPr>
          <w:p w14:paraId="32DB74D7"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0.55</w:t>
            </w:r>
          </w:p>
        </w:tc>
        <w:tc>
          <w:tcPr>
            <w:tcW w:w="1772" w:type="dxa"/>
          </w:tcPr>
          <w:p w14:paraId="281E272F"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0.65</w:t>
            </w:r>
          </w:p>
        </w:tc>
      </w:tr>
      <w:tr w:rsidR="006B4A66" w:rsidRPr="006B4A66" w14:paraId="4B8D0A30" w14:textId="77777777">
        <w:tc>
          <w:tcPr>
            <w:tcW w:w="1771" w:type="dxa"/>
          </w:tcPr>
          <w:p w14:paraId="40BF156C"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Off-site</w:t>
            </w:r>
          </w:p>
        </w:tc>
        <w:tc>
          <w:tcPr>
            <w:tcW w:w="1771" w:type="dxa"/>
          </w:tcPr>
          <w:p w14:paraId="7DA5A161"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Renewable Power Purchase Agreement (PPA)</w:t>
            </w:r>
          </w:p>
        </w:tc>
        <w:tc>
          <w:tcPr>
            <w:tcW w:w="1771" w:type="dxa"/>
          </w:tcPr>
          <w:p w14:paraId="562CFB93"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0.75</w:t>
            </w:r>
          </w:p>
        </w:tc>
        <w:tc>
          <w:tcPr>
            <w:tcW w:w="1771" w:type="dxa"/>
          </w:tcPr>
          <w:p w14:paraId="16BC21A1"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0.55</w:t>
            </w:r>
          </w:p>
        </w:tc>
        <w:tc>
          <w:tcPr>
            <w:tcW w:w="1772" w:type="dxa"/>
          </w:tcPr>
          <w:p w14:paraId="4A62CE31" w14:textId="77777777" w:rsidR="006B4A66" w:rsidRPr="006B4A66" w:rsidRDefault="006B4A66" w:rsidP="0073496A">
            <w:pPr>
              <w:spacing w:line="480" w:lineRule="auto"/>
              <w:rPr>
                <w:rFonts w:eastAsia="Calibri"/>
                <w:color w:val="000000"/>
                <w:sz w:val="24"/>
              </w:rPr>
            </w:pPr>
            <w:r w:rsidRPr="006B4A66">
              <w:rPr>
                <w:rFonts w:eastAsia="Calibri"/>
                <w:color w:val="000000"/>
                <w:sz w:val="24"/>
              </w:rPr>
              <w:t>0.65</w:t>
            </w:r>
          </w:p>
        </w:tc>
      </w:tr>
    </w:tbl>
    <w:p w14:paraId="7CCCABD9" w14:textId="33BEFC11"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137.</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52E9B0EC"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Section C411.2.2 of the Washington State Energy Code is not adopted and the following is substituted:</w:t>
      </w:r>
    </w:p>
    <w:p w14:paraId="6A3528C5"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color w:val="000000"/>
          <w:kern w:val="0"/>
          <w:sz w:val="24"/>
          <w14:ligatures w14:val="none"/>
        </w:rPr>
        <w:t>Documentation requirements for off-site renewable energy systems (WSEC</w:t>
      </w:r>
      <w:r w:rsidRPr="006B4A66">
        <w:rPr>
          <w:rFonts w:ascii="Times New Roman" w:eastAsia="Calibri" w:hAnsi="Times New Roman" w:cs="Times New Roman"/>
          <w:b/>
          <w:bCs/>
          <w:color w:val="000000"/>
          <w:kern w:val="0"/>
          <w:sz w:val="24"/>
          <w14:ligatures w14:val="none"/>
        </w:rPr>
        <w:t xml:space="preserve"> </w:t>
      </w:r>
      <w:r w:rsidRPr="006B4A66">
        <w:rPr>
          <w:rFonts w:ascii="Times New Roman" w:eastAsia="Calibri" w:hAnsi="Times New Roman" w:cs="Times New Roman"/>
          <w:b/>
          <w:color w:val="000000"/>
          <w:kern w:val="0"/>
          <w:sz w:val="24"/>
          <w14:ligatures w14:val="none"/>
        </w:rPr>
        <w:t xml:space="preserve">C411.2.2).  </w:t>
      </w:r>
      <w:r w:rsidRPr="006B4A66">
        <w:rPr>
          <w:rFonts w:ascii="Times New Roman" w:eastAsia="Calibri" w:hAnsi="Times New Roman" w:cs="Times New Roman"/>
          <w:color w:val="000000"/>
          <w:kern w:val="0"/>
          <w:sz w:val="24"/>
          <w14:ligatures w14:val="none"/>
        </w:rPr>
        <w:t xml:space="preserve">Off-site renewable energy delivered or credited to the building project to </w:t>
      </w:r>
      <w:r w:rsidRPr="006B4A66">
        <w:rPr>
          <w:rFonts w:ascii="Times New Roman" w:eastAsia="Calibri" w:hAnsi="Times New Roman" w:cs="Times New Roman"/>
          <w:color w:val="000000"/>
          <w:kern w:val="0"/>
          <w:sz w:val="24"/>
          <w14:ligatures w14:val="none"/>
        </w:rPr>
        <w:lastRenderedPageBreak/>
        <w:t>comply with WSEC C407.3 item 2.2, or other requirements of this code, shall be subject to a legally binding contract to procure qualifying off-site renewable energy.  Qualifying off-site renewable energy shall meet the following requirements:</w:t>
      </w:r>
    </w:p>
    <w:p w14:paraId="146A0202"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Documentation of off-site renewable energy procurement shall be submitted to the code official before the final inspection;</w:t>
      </w:r>
    </w:p>
    <w:p w14:paraId="41DBC48B"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The purchase contract shall have a duration of not less than 15 years.  The contract shall be structured to survive a partial or full transfer of ownership of the building property;</w:t>
      </w:r>
    </w:p>
    <w:p w14:paraId="270FDCB8"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3.  Records on renewable power purchased by the building owner from the off-site renewable energy generator that specifically assign the RECs to the building owner shall be retained or retired by the building owner on behalf of the entity demonstrating financial or operational control over the building seeking compliance to this standard and made available for inspection by the code official upon request; and</w:t>
      </w:r>
    </w:p>
    <w:p w14:paraId="2693389E"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4.  Where multiple buildings in a building project are allocated energy procured by a contract subject to this section, the owner shall allocate for not less than 15 years the energy procured by the contract to the buildings in the building project.  A plan on operation shall be developed which shall indicate how renewable energy produced from on-site or off-site systems that is not allocated before issuance of the certificate of occupancy will be allocated to new or existing buildings included in the building project.</w:t>
      </w:r>
    </w:p>
    <w:p w14:paraId="78EFBA98" w14:textId="5B035511"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138.</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1FD65813"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Section C411.3.1 of the Washington State Energy Code is not adopted and the following is substituted:</w:t>
      </w:r>
    </w:p>
    <w:p w14:paraId="7CFD984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lastRenderedPageBreak/>
        <w:tab/>
      </w:r>
      <w:r w:rsidRPr="006B4A66">
        <w:rPr>
          <w:rFonts w:ascii="Times New Roman" w:eastAsia="Calibri" w:hAnsi="Times New Roman" w:cs="Times New Roman"/>
          <w:b/>
          <w:color w:val="000000"/>
          <w:kern w:val="0"/>
          <w:sz w:val="24"/>
          <w14:ligatures w14:val="none"/>
        </w:rPr>
        <w:t>Minimum area (WSEC C411.3.1).</w:t>
      </w:r>
      <w:r w:rsidRPr="006B4A66">
        <w:rPr>
          <w:rFonts w:ascii="Times New Roman" w:eastAsia="Calibri" w:hAnsi="Times New Roman" w:cs="Times New Roman"/>
          <w:color w:val="000000"/>
          <w:kern w:val="0"/>
          <w:sz w:val="24"/>
          <w14:ligatures w14:val="none"/>
        </w:rPr>
        <w:t xml:space="preserve">  The minimum area of the solar zone shall be determined by one of the following methods, whichever results in the smaller area:</w:t>
      </w:r>
    </w:p>
    <w:p w14:paraId="27C8EC8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40 percent of roof area.  The roof area shall be calculated as the horizontally projected gross roof area less the area covered by skylights, occupied roof decks, mechanical equipment, mechanical equipment service clearances required by equipment manufacturer or by code, and planted areas.</w:t>
      </w:r>
    </w:p>
    <w:p w14:paraId="622620F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20 percent of electrical service size.  The electrical service size is the rated capacity of the total of all electrical services to the building, and the required solar zone size shall be based upon 10 peak watts of photovoltaic per square foot (107.64 peak watts of photovoltaic per square meter).</w:t>
      </w:r>
    </w:p>
    <w:p w14:paraId="6BCAEF6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w:t>
      </w:r>
      <w:r w:rsidRPr="006B4A66">
        <w:rPr>
          <w:rFonts w:ascii="Times New Roman" w:eastAsia="Calibri" w:hAnsi="Times New Roman" w:cs="Times New Roman"/>
          <w:color w:val="000000"/>
          <w:kern w:val="0"/>
          <w:sz w:val="24"/>
          <w14:ligatures w14:val="none"/>
        </w:rPr>
        <w:t xml:space="preserve">  Subject to the code official's approval, buildings with extensive rooftop equipment that would make full compliance with this section impractical shall be permitted to reduce the size of the solar zone required by WSEC C411.3 to the maximum practicable area.</w:t>
      </w:r>
    </w:p>
    <w:p w14:paraId="6350310A" w14:textId="1227B399"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139.</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167643FF"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Section C411.3.3 of the Washington State Energy Code is not adopted and the following is substituted:</w:t>
      </w:r>
    </w:p>
    <w:p w14:paraId="521B4EA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Obstructions (</w:t>
      </w:r>
      <w:r w:rsidRPr="006B4A66">
        <w:rPr>
          <w:rFonts w:ascii="Times New Roman" w:eastAsia="Calibri" w:hAnsi="Times New Roman" w:cs="Times New Roman"/>
          <w:b/>
          <w:color w:val="000000"/>
          <w:kern w:val="0"/>
          <w:sz w:val="24"/>
          <w14:ligatures w14:val="none"/>
        </w:rPr>
        <w:t>WSEC</w:t>
      </w:r>
      <w:r w:rsidRPr="006B4A66">
        <w:rPr>
          <w:rFonts w:ascii="Times New Roman" w:eastAsia="Calibri" w:hAnsi="Times New Roman" w:cs="Times New Roman"/>
          <w:b/>
          <w:bCs/>
          <w:color w:val="000000"/>
          <w:kern w:val="0"/>
          <w:sz w:val="24"/>
          <w14:ligatures w14:val="none"/>
        </w:rPr>
        <w:t xml:space="preserve"> C411.3.3).</w:t>
      </w:r>
      <w:r w:rsidRPr="006B4A66">
        <w:rPr>
          <w:rFonts w:ascii="Times New Roman" w:eastAsia="Calibri" w:hAnsi="Times New Roman" w:cs="Times New Roman"/>
          <w:color w:val="000000"/>
          <w:kern w:val="0"/>
          <w:sz w:val="24"/>
          <w14:ligatures w14:val="none"/>
        </w:rPr>
        <w:t xml:space="preserve">  The solar zone shall be free of pipes, vents, ducts, HVAC equipment, skylights, and other obstructions, except those serving photovoltaic systems within the solar zone.  The solar zone is permitted to be located above any such obstructions, provided that the racking of the future system support is installed at the time of construction, the elevated solar zone does not shade other portions </w:t>
      </w:r>
      <w:r w:rsidRPr="006B4A66">
        <w:rPr>
          <w:rFonts w:ascii="Times New Roman" w:eastAsia="Calibri" w:hAnsi="Times New Roman" w:cs="Times New Roman"/>
          <w:color w:val="000000"/>
          <w:kern w:val="0"/>
          <w:sz w:val="24"/>
          <w14:ligatures w14:val="none"/>
        </w:rPr>
        <w:lastRenderedPageBreak/>
        <w:t>of the solar zone, and its height is permitted by the IBC and the K.C.C.  Photovoltaic or solar water heating systems are permitted to be installed within the solar zone.</w:t>
      </w:r>
    </w:p>
    <w:p w14:paraId="7CA60FCC" w14:textId="5FFC64D1"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140.</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09B8F3DB"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Section C411.3.7 of the Washington State Energy Code is not adopted and the following is substituted:</w:t>
      </w:r>
    </w:p>
    <w:p w14:paraId="176FDE0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Photovoltaic interconnection (</w:t>
      </w:r>
      <w:r w:rsidRPr="006B4A66">
        <w:rPr>
          <w:rFonts w:ascii="Times New Roman" w:eastAsia="Calibri" w:hAnsi="Times New Roman" w:cs="Times New Roman"/>
          <w:b/>
          <w:color w:val="000000"/>
          <w:kern w:val="0"/>
          <w:sz w:val="24"/>
          <w14:ligatures w14:val="none"/>
        </w:rPr>
        <w:t>WSEC</w:t>
      </w:r>
      <w:r w:rsidRPr="006B4A66">
        <w:rPr>
          <w:rFonts w:ascii="Times New Roman" w:eastAsia="Calibri" w:hAnsi="Times New Roman" w:cs="Times New Roman"/>
          <w:b/>
          <w:bCs/>
          <w:color w:val="000000"/>
          <w:kern w:val="0"/>
          <w:sz w:val="24"/>
          <w14:ligatures w14:val="none"/>
        </w:rPr>
        <w:t xml:space="preserve"> C411.3.7).</w:t>
      </w:r>
      <w:r w:rsidRPr="006B4A66">
        <w:rPr>
          <w:rFonts w:ascii="Times New Roman" w:eastAsia="Calibri" w:hAnsi="Times New Roman" w:cs="Times New Roman"/>
          <w:color w:val="000000"/>
          <w:kern w:val="0"/>
          <w:sz w:val="24"/>
          <w14:ligatures w14:val="none"/>
        </w:rPr>
        <w:t xml:space="preserve">  A minimum 2-inch (51 millimeters) diameter roof penetration conduit shall be provided, with threaded caps above and below the roof deck and minimum R-10 insulation wrapping the lower portion, within each 2,500 square foot (232.3 square meters) section of the required solar zone area.  Interconnection of the future photovoltaic system shall be provided for at the main service panel, either ahead of the service disconnecting means or at the end of the bus opposite the service disconnecting means, in one of the following forms:</w:t>
      </w:r>
    </w:p>
    <w:p w14:paraId="39A527E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A space for the mounting of a future overcurrent device, sized to accommodate the largest standard rated overcurrent device that is less than 20 percent of the bus rating.</w:t>
      </w:r>
    </w:p>
    <w:p w14:paraId="0FF8AAB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Lugs sized to accommodate conductors with an ampacity of at least 20 percent of the bus rating, to enable the mounting of an external overcurrent device for interconnection.</w:t>
      </w:r>
    </w:p>
    <w:p w14:paraId="51B9707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The electrical construction documents shall include the following:</w:t>
      </w:r>
    </w:p>
    <w:p w14:paraId="521B699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a.  Solar zone boundaries and access pathways;</w:t>
      </w:r>
    </w:p>
    <w:p w14:paraId="00AF2EE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b.  Location for future inverters and metering equipment; and</w:t>
      </w:r>
    </w:p>
    <w:p w14:paraId="5BA66A3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c.  Route for future wiring between the photovoltaic panels and the inverter, and between the inverter and the main service panel.</w:t>
      </w:r>
    </w:p>
    <w:p w14:paraId="1A44CEB1" w14:textId="584B6BBA"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color w:val="000000"/>
          <w:kern w:val="0"/>
          <w:sz w:val="24"/>
          <w:u w:val="single"/>
          <w14:ligatures w14:val="none"/>
        </w:rPr>
        <w:t>NEW SECTION.  SECTION 141.</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5CBA2907"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Section C502.3 of the Washington State Energy Code is not adopted and the following is substituted:</w:t>
      </w:r>
    </w:p>
    <w:p w14:paraId="6CC4CB61" w14:textId="77777777"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tab/>
        <w:t>Building envelope (</w:t>
      </w:r>
      <w:r w:rsidRPr="006B4A66">
        <w:rPr>
          <w:rFonts w:ascii="Times New Roman" w:eastAsia="Calibri" w:hAnsi="Times New Roman" w:cs="Times New Roman"/>
          <w:b/>
          <w:color w:val="000000"/>
          <w:kern w:val="0"/>
          <w:sz w:val="24"/>
          <w14:ligatures w14:val="none"/>
        </w:rPr>
        <w:t>WSEC</w:t>
      </w:r>
      <w:r w:rsidRPr="006B4A66">
        <w:rPr>
          <w:rFonts w:ascii="Times New Roman" w:eastAsia="Calibri" w:hAnsi="Times New Roman" w:cs="Times New Roman"/>
          <w:b/>
          <w:bCs/>
          <w:color w:val="000000"/>
          <w:kern w:val="0"/>
          <w:sz w:val="24"/>
          <w14:ligatures w14:val="none"/>
        </w:rPr>
        <w:t xml:space="preserve"> C502.3).  </w:t>
      </w:r>
      <w:r w:rsidRPr="006B4A66">
        <w:rPr>
          <w:rFonts w:ascii="Times New Roman" w:eastAsia="Calibri" w:hAnsi="Times New Roman" w:cs="Times New Roman"/>
          <w:color w:val="000000"/>
          <w:kern w:val="0"/>
          <w:sz w:val="24"/>
          <w14:ligatures w14:val="none"/>
        </w:rPr>
        <w:t>Additions shall comply with WSEC C402.1 through C402.5, C502.3.1, and C502.3.2.</w:t>
      </w:r>
    </w:p>
    <w:p w14:paraId="54BB4046" w14:textId="77777777"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tab/>
        <w:t>EXCEPTION:</w:t>
      </w:r>
      <w:r w:rsidRPr="006B4A66">
        <w:rPr>
          <w:rFonts w:ascii="Times New Roman" w:eastAsia="Calibri" w:hAnsi="Times New Roman" w:cs="Times New Roman"/>
          <w:color w:val="000000"/>
          <w:kern w:val="0"/>
          <w:sz w:val="24"/>
          <w14:ligatures w14:val="none"/>
        </w:rPr>
        <w:t xml:space="preserve">  Air leakage testing is not required for additions smaller than 500 square feet (46.5 square meters).</w:t>
      </w:r>
    </w:p>
    <w:p w14:paraId="2E9D96F8" w14:textId="5BDB7712"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142.</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6EB58441"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Section C503.3 of the Washington State Energy Code is not adopted and the following is substituted:</w:t>
      </w:r>
    </w:p>
    <w:p w14:paraId="449F9B7D" w14:textId="77777777"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tab/>
        <w:t>Building envelope (</w:t>
      </w:r>
      <w:r w:rsidRPr="006B4A66">
        <w:rPr>
          <w:rFonts w:ascii="Times New Roman" w:eastAsia="Calibri" w:hAnsi="Times New Roman" w:cs="Times New Roman"/>
          <w:b/>
          <w:color w:val="000000"/>
          <w:kern w:val="0"/>
          <w:sz w:val="24"/>
          <w14:ligatures w14:val="none"/>
        </w:rPr>
        <w:t>WSEC</w:t>
      </w:r>
      <w:r w:rsidRPr="006B4A66">
        <w:rPr>
          <w:rFonts w:ascii="Times New Roman" w:eastAsia="Calibri" w:hAnsi="Times New Roman" w:cs="Times New Roman"/>
          <w:b/>
          <w:bCs/>
          <w:color w:val="000000"/>
          <w:kern w:val="0"/>
          <w:sz w:val="24"/>
          <w14:ligatures w14:val="none"/>
        </w:rPr>
        <w:t xml:space="preserve"> C503.3).</w:t>
      </w:r>
      <w:r w:rsidRPr="006B4A66">
        <w:rPr>
          <w:rFonts w:ascii="Times New Roman" w:eastAsia="Calibri" w:hAnsi="Times New Roman" w:cs="Times New Roman"/>
          <w:color w:val="000000"/>
          <w:kern w:val="0"/>
          <w:sz w:val="24"/>
          <w14:ligatures w14:val="none"/>
        </w:rPr>
        <w:t xml:space="preserve">  New building envelope assemblies that are part of the alteration shall comply with WSEC C402.1 through C402.5 and WSEC C503.3.1 through C503.3.3.  Where an opaque envelope assembly is altered or replaced, the new assembly shall have an equal or lower overall U-value than the existing assembly.</w:t>
      </w:r>
    </w:p>
    <w:p w14:paraId="3A1CD736" w14:textId="77777777"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tab/>
        <w:t>EXCEPTION:</w:t>
      </w:r>
      <w:r w:rsidRPr="006B4A66">
        <w:rPr>
          <w:rFonts w:ascii="Times New Roman" w:eastAsia="Calibri" w:hAnsi="Times New Roman" w:cs="Times New Roman"/>
          <w:color w:val="000000"/>
          <w:kern w:val="0"/>
          <w:sz w:val="24"/>
          <w14:ligatures w14:val="none"/>
        </w:rPr>
        <w:t xml:space="preserve">  Air leakage testing is not required for alterations and repairs, unless the project includes a change in space conditioning according to WSEC C505.2 or a change of occupancy or use according to WSEC C505.3.</w:t>
      </w:r>
    </w:p>
    <w:p w14:paraId="7F79136C" w14:textId="31F8F4C4"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143.</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62EB0A26"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lastRenderedPageBreak/>
        <w:tab/>
      </w:r>
      <w:r w:rsidRPr="006B4A66">
        <w:rPr>
          <w:rFonts w:ascii="Times New Roman" w:eastAsia="Times New Roman" w:hAnsi="Times New Roman" w:cs="Times New Roman"/>
          <w:color w:val="000000"/>
          <w:kern w:val="0"/>
          <w:sz w:val="24"/>
          <w:szCs w:val="24"/>
          <w14:ligatures w14:val="none"/>
        </w:rPr>
        <w:t>Section C503.3.2 of the Washington State Energy Code is not adopted and the following is substituted:</w:t>
      </w:r>
    </w:p>
    <w:p w14:paraId="6DF12DA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Vertical fenestration (</w:t>
      </w:r>
      <w:r w:rsidRPr="006B4A66">
        <w:rPr>
          <w:rFonts w:ascii="Times New Roman" w:eastAsia="Calibri" w:hAnsi="Times New Roman" w:cs="Times New Roman"/>
          <w:b/>
          <w:color w:val="000000"/>
          <w:kern w:val="0"/>
          <w:sz w:val="24"/>
          <w14:ligatures w14:val="none"/>
        </w:rPr>
        <w:t>WSEC</w:t>
      </w:r>
      <w:r w:rsidRPr="006B4A66">
        <w:rPr>
          <w:rFonts w:ascii="Times New Roman" w:eastAsia="Calibri" w:hAnsi="Times New Roman" w:cs="Times New Roman"/>
          <w:b/>
          <w:bCs/>
          <w:color w:val="000000"/>
          <w:kern w:val="0"/>
          <w:sz w:val="24"/>
          <w14:ligatures w14:val="none"/>
        </w:rPr>
        <w:t xml:space="preserve"> 503.3.2).</w:t>
      </w:r>
      <w:r w:rsidRPr="006B4A66">
        <w:rPr>
          <w:rFonts w:ascii="Times New Roman" w:eastAsia="Calibri" w:hAnsi="Times New Roman" w:cs="Times New Roman"/>
          <w:color w:val="000000"/>
          <w:kern w:val="0"/>
          <w:sz w:val="24"/>
          <w14:ligatures w14:val="none"/>
        </w:rPr>
        <w:t xml:space="preserve">  Alterations that include the addition of new vertical fenestration area shall comply with the following:</w:t>
      </w:r>
    </w:p>
    <w:p w14:paraId="5870E49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Where the addition of new vertical fenestration area results in a total building vertical fenestration area less than or equal to the maximum allowed by WSEC C402.4.1, the alteration shall comply with WSEC C402.4.</w:t>
      </w:r>
    </w:p>
    <w:p w14:paraId="7DFF349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Where the addition of new vertical fenestration area results in a total building vertical fenestration area greater than the maximum allowed by WSEC C402.4.1 (regardless of the ratio prior to the addition), the alteration shall comply with one of the following:</w:t>
      </w:r>
    </w:p>
    <w:p w14:paraId="4290C79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2.1.  Vertical fenestration alternate in accordance with WSEC C402.4.1.1 for the new vertical fenestration added, where the calculation of vertical fenestration area and gross above-grade wall area shall include either the entire building or, where approved, only those areas of the building involved in the alteration.</w:t>
      </w:r>
    </w:p>
    <w:p w14:paraId="4744C95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2.2.  Reserved.</w:t>
      </w:r>
    </w:p>
    <w:p w14:paraId="34ECC2E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2.3.  Existing building and alteration areas are combined to demonstrate compliance with the component performance alternate in accordance with WSEC C402.1.5 for the whole building.  U-factors applied to existing envelope assemblies in the UA calculation shall comply with WSEC C501.2.1.  The Proposed Total UA is allowed to be up to 110 percent of the Allowed Total UA.</w:t>
      </w:r>
    </w:p>
    <w:p w14:paraId="79FE0FE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2.4.  Total building performance in accordance with WSEC C407 for the whole building.  The total annual carbon emissions from energy consumption of the proposed </w:t>
      </w:r>
      <w:r w:rsidRPr="006B4A66">
        <w:rPr>
          <w:rFonts w:ascii="Times New Roman" w:eastAsia="Calibri" w:hAnsi="Times New Roman" w:cs="Times New Roman"/>
          <w:color w:val="000000"/>
          <w:kern w:val="0"/>
          <w:sz w:val="24"/>
          <w14:ligatures w14:val="none"/>
        </w:rPr>
        <w:lastRenderedPageBreak/>
        <w:t>design is allowed to be up to 110 percent of the annual carbon emissions from energy consumption allowed in accordance with WSEC C407.3.</w:t>
      </w:r>
    </w:p>
    <w:p w14:paraId="22B3FD2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2.5.  The alteration does not increase the existing fenestration area.</w:t>
      </w:r>
    </w:p>
    <w:p w14:paraId="6E03E03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 xml:space="preserve">EXCEPTION: </w:t>
      </w:r>
      <w:r w:rsidRPr="006B4A66">
        <w:rPr>
          <w:rFonts w:ascii="Times New Roman" w:eastAsia="Calibri" w:hAnsi="Times New Roman" w:cs="Times New Roman"/>
          <w:color w:val="000000"/>
          <w:kern w:val="0"/>
          <w:sz w:val="24"/>
          <w14:ligatures w14:val="none"/>
        </w:rPr>
        <w:t>Where approved by the code official additional fenestration is permitted where sufficient envelope upgrades beyond those required by other sections of this code are included in the project so that the addition of the new vertical fenestration does not cause an increase in the overall energy use of the building.</w:t>
      </w:r>
    </w:p>
    <w:p w14:paraId="25BE75E7" w14:textId="3C71CC1C"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144.</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16BDEE92"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Section C503.3.2.1 of the Washington State Energy Code is not adopted and the following is substituted:</w:t>
      </w:r>
    </w:p>
    <w:p w14:paraId="0F760DBD" w14:textId="77777777" w:rsidR="006B4A66" w:rsidRPr="006B4A66" w:rsidRDefault="006B4A66"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tab/>
        <w:t>Replacement fenestration products (</w:t>
      </w:r>
      <w:r w:rsidRPr="006B4A66">
        <w:rPr>
          <w:rFonts w:ascii="Times New Roman" w:eastAsia="Calibri" w:hAnsi="Times New Roman" w:cs="Times New Roman"/>
          <w:b/>
          <w:color w:val="000000"/>
          <w:kern w:val="0"/>
          <w:sz w:val="24"/>
          <w14:ligatures w14:val="none"/>
        </w:rPr>
        <w:t>WSEC</w:t>
      </w:r>
      <w:r w:rsidRPr="006B4A66">
        <w:rPr>
          <w:rFonts w:ascii="Times New Roman" w:eastAsia="Calibri" w:hAnsi="Times New Roman" w:cs="Times New Roman"/>
          <w:b/>
          <w:bCs/>
          <w:color w:val="000000"/>
          <w:kern w:val="0"/>
          <w:sz w:val="24"/>
          <w14:ligatures w14:val="none"/>
        </w:rPr>
        <w:t xml:space="preserve"> C503.3.2.1).</w:t>
      </w:r>
      <w:r w:rsidRPr="006B4A66">
        <w:rPr>
          <w:rFonts w:ascii="Times New Roman" w:eastAsia="Calibri" w:hAnsi="Times New Roman" w:cs="Times New Roman"/>
          <w:color w:val="000000"/>
          <w:kern w:val="0"/>
          <w:sz w:val="24"/>
          <w14:ligatures w14:val="none"/>
        </w:rPr>
        <w:t xml:space="preserve">  Where some or all of an existing fenestration unit is replaced with a new fenestration product, including sash and glazing, the replacement fenestration unit shall meet the applicable requirements for U-factor and SHGC in WSEC Table C402.4.  In addition, the area-weighted U-value of the new fenestration shall be equal to or lower than the U-value of the existing fenestration.</w:t>
      </w:r>
    </w:p>
    <w:p w14:paraId="3EF9D61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32"/>
          <w:szCs w:val="32"/>
          <w14:ligatures w14:val="none"/>
        </w:rPr>
      </w:pPr>
      <w:r w:rsidRPr="006B4A66">
        <w:rPr>
          <w:rFonts w:ascii="Times New Roman" w:eastAsia="Calibri" w:hAnsi="Times New Roman" w:cs="Times New Roman"/>
          <w:b/>
          <w:bCs/>
          <w:color w:val="000000"/>
          <w:kern w:val="0"/>
          <w:sz w:val="24"/>
          <w14:ligatures w14:val="none"/>
        </w:rPr>
        <w:tab/>
        <w:t>EXCEPTION:</w:t>
      </w:r>
      <w:r w:rsidRPr="006B4A66">
        <w:rPr>
          <w:rFonts w:ascii="Times New Roman" w:eastAsia="Calibri" w:hAnsi="Times New Roman" w:cs="Times New Roman"/>
          <w:color w:val="000000"/>
          <w:kern w:val="0"/>
          <w:sz w:val="24"/>
          <w14:ligatures w14:val="none"/>
        </w:rPr>
        <w:t xml:space="preserve">  An area-weighted average of the U-factor of replacement fenestration products being installed in the building for each fenestration product category listed in WSEC Table C402.4 shall be permitted to satisfy the U-factor requirements for each fenestration product category listed in WSEC Table C402.4.  Individual fenestration products from different product categories listed in WSEC Table C402.4 shall not be combined in calculating the area-weighted average U-factor.</w:t>
      </w:r>
    </w:p>
    <w:p w14:paraId="11960BD1" w14:textId="22528B6A"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color w:val="000000"/>
          <w:kern w:val="0"/>
          <w:sz w:val="24"/>
          <w:u w:val="single"/>
          <w14:ligatures w14:val="none"/>
        </w:rPr>
        <w:t>NEW SECTION.  SECTION 145.</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445008E6" w14:textId="0ACF7EF8"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Section C503.4.2</w:t>
      </w:r>
      <w:r w:rsidR="008C7E41">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14:ligatures w14:val="none"/>
        </w:rPr>
        <w:t xml:space="preserve">of the Washington State Energy Code </w:t>
      </w:r>
      <w:r w:rsidR="00952927">
        <w:rPr>
          <w:rFonts w:ascii="Times New Roman" w:eastAsia="Times New Roman" w:hAnsi="Times New Roman" w:cs="Times New Roman"/>
          <w:color w:val="000000"/>
          <w:kern w:val="0"/>
          <w:sz w:val="24"/>
          <w:szCs w:val="24"/>
          <w14:ligatures w14:val="none"/>
        </w:rPr>
        <w:t>is</w:t>
      </w:r>
      <w:r w:rsidRPr="006B4A66">
        <w:rPr>
          <w:rFonts w:ascii="Times New Roman" w:eastAsia="Times New Roman" w:hAnsi="Times New Roman" w:cs="Times New Roman"/>
          <w:color w:val="000000"/>
          <w:kern w:val="0"/>
          <w:sz w:val="24"/>
          <w:szCs w:val="24"/>
          <w14:ligatures w14:val="none"/>
        </w:rPr>
        <w:t xml:space="preserve"> not adopted and the following is substituted:</w:t>
      </w:r>
    </w:p>
    <w:p w14:paraId="4D722D5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Addition of cooling capacity (WSEC C503.4.2).</w:t>
      </w:r>
      <w:r w:rsidRPr="006B4A66">
        <w:rPr>
          <w:rFonts w:ascii="Times New Roman" w:eastAsia="Calibri" w:hAnsi="Times New Roman" w:cs="Times New Roman"/>
          <w:color w:val="000000"/>
          <w:kern w:val="0"/>
          <w:sz w:val="24"/>
          <w14:ligatures w14:val="none"/>
        </w:rPr>
        <w:t xml:space="preserve">  Where mechanical cooling is added to a space that was not previously cooled, the mechanical system shall comply with either WSEC C403.3.5 or C403.5.</w:t>
      </w:r>
    </w:p>
    <w:p w14:paraId="3041DE30" w14:textId="77777777" w:rsidR="006B4A66" w:rsidRPr="006B4A66" w:rsidRDefault="006B4A66" w:rsidP="0073496A">
      <w:pPr>
        <w:tabs>
          <w:tab w:val="left" w:pos="720"/>
        </w:tabs>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EXCEPTIONS:</w:t>
      </w:r>
    </w:p>
    <w:p w14:paraId="69F595C7" w14:textId="1365398C"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Qualifying small equipment:  Economizers are not required for cooling units and split systems serving one zone with a total cooling capacity rated in accordance with WSEC C403.3.2 of less than 33,000 Btu/h (</w:t>
      </w:r>
      <w:r w:rsidR="003B7CA2">
        <w:rPr>
          <w:rFonts w:ascii="Times New Roman" w:eastAsia="Calibri" w:hAnsi="Times New Roman" w:cs="Times New Roman"/>
          <w:color w:val="000000"/>
          <w:kern w:val="0"/>
          <w:sz w:val="24"/>
          <w14:ligatures w14:val="none"/>
        </w:rPr>
        <w:t>9.7 kilowatts</w:t>
      </w:r>
      <w:r w:rsidRPr="006B4A66">
        <w:rPr>
          <w:rFonts w:ascii="Times New Roman" w:eastAsia="Calibri" w:hAnsi="Times New Roman" w:cs="Times New Roman"/>
          <w:color w:val="000000"/>
          <w:kern w:val="0"/>
          <w:sz w:val="24"/>
          <w14:ligatures w14:val="none"/>
        </w:rPr>
        <w:t>) (hereafter referred to as qualifying small systems) provided that these are high-efficiency cooling equipment with SEER and EER values more than 15 percent higher than minimum efficiencies listed in WSEC Tables C403.3.2(1), C403.3.2 (2), C403.3.2 (4), C403.3.2 (8), C403.3.2 (9), and C403.3.2 (14), in the appropriate size category, using the same test procedures.  Equipment shall be listed in the appropriate certification program to qualify for this exception.  The total capacity of all qualifying small equipment without economizers shall not exceed 72,000 Btu/h (</w:t>
      </w:r>
      <w:r w:rsidR="003F324D">
        <w:rPr>
          <w:rFonts w:ascii="Times New Roman" w:eastAsia="Calibri" w:hAnsi="Times New Roman" w:cs="Times New Roman"/>
          <w:color w:val="000000"/>
          <w:kern w:val="0"/>
          <w:sz w:val="24"/>
          <w14:ligatures w14:val="none"/>
        </w:rPr>
        <w:t>21 kilowatts</w:t>
      </w:r>
      <w:r w:rsidRPr="006B4A66">
        <w:rPr>
          <w:rFonts w:ascii="Times New Roman" w:eastAsia="Calibri" w:hAnsi="Times New Roman" w:cs="Times New Roman"/>
          <w:color w:val="000000"/>
          <w:kern w:val="0"/>
          <w:sz w:val="24"/>
          <w14:ligatures w14:val="none"/>
        </w:rPr>
        <w:t>) per building, or 5 percent of the building total air economizer capacity, whichever is greater.</w:t>
      </w:r>
    </w:p>
    <w:p w14:paraId="0D7FD1E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1.1.  The portion of the equipment serving Group R occupancies is not included in determining the total capacity of all units without economizers in a building.</w:t>
      </w:r>
    </w:p>
    <w:p w14:paraId="7BA55AB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1.2.  Redundant units are not counted in the capacity limitations.</w:t>
      </w:r>
    </w:p>
    <w:p w14:paraId="11972F9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 xml:space="preserve">  1.3.  This exception shall not be used for the initial tenant improvement of a shell-and-core building or space, or for Total Building Performance in accordance with WSEC C407.</w:t>
      </w:r>
    </w:p>
    <w:p w14:paraId="7008DA5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1.4.  This exception shall not be used for unitary cooling equipment installed outdoors or in a mechanical room adjacent to the outdoors.</w:t>
      </w:r>
    </w:p>
    <w:p w14:paraId="1EAC2CF2" w14:textId="75F1A6CB"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2.  Chilled water terminal units connected to systems with chilled water generation equipment with IPLV values more than 25 percent higher than minimum part load equipment efficiencies listed in WSEC Table C403.3.2 (3), in the appropriate size category, using the same test procedures.  Equipment shall be listed in the appropriate certification program to qualify for this exception.  The total capacity of all systems without economizers shall not exceed 72,000 Btu/h ( </w:t>
      </w:r>
      <w:r w:rsidR="00390DFD">
        <w:rPr>
          <w:rFonts w:ascii="Times New Roman" w:eastAsia="Calibri" w:hAnsi="Times New Roman" w:cs="Times New Roman"/>
          <w:color w:val="000000"/>
          <w:kern w:val="0"/>
          <w:sz w:val="24"/>
          <w14:ligatures w14:val="none"/>
        </w:rPr>
        <w:t>21</w:t>
      </w:r>
      <w:r w:rsidRPr="006B4A66">
        <w:rPr>
          <w:rFonts w:ascii="Times New Roman" w:eastAsia="Calibri" w:hAnsi="Times New Roman" w:cs="Times New Roman"/>
          <w:color w:val="000000"/>
          <w:kern w:val="0"/>
          <w:sz w:val="24"/>
          <w14:ligatures w14:val="none"/>
        </w:rPr>
        <w:t xml:space="preserve"> kilowatts) per building, or 20 percent of the building total air economizer capacity, whichever is greater.</w:t>
      </w:r>
    </w:p>
    <w:p w14:paraId="4E44F96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2.1.  The portion of the equipment serving Group R occupancy is not included in determining the total capacity of all units without economizers in a building.</w:t>
      </w:r>
    </w:p>
    <w:p w14:paraId="47200AA7" w14:textId="77777777" w:rsid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2.2.  This exception shall not be used for the initial tenant improvement of a shell-and-core building or space, or for total building performance in accordance with WSEC C407.</w:t>
      </w:r>
    </w:p>
    <w:p w14:paraId="636C8797" w14:textId="53BB2637" w:rsidR="00952927" w:rsidRDefault="00952927"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146.</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1A7C82D5" w14:textId="0C0474B7" w:rsidR="00952927" w:rsidRPr="001216D4" w:rsidRDefault="00952927"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Section C503.4.</w:t>
      </w:r>
      <w:r>
        <w:rPr>
          <w:rFonts w:ascii="Times New Roman" w:eastAsia="Times New Roman" w:hAnsi="Times New Roman" w:cs="Times New Roman"/>
          <w:color w:val="000000"/>
          <w:kern w:val="0"/>
          <w:sz w:val="24"/>
          <w:szCs w:val="24"/>
          <w14:ligatures w14:val="none"/>
        </w:rPr>
        <w:t xml:space="preserve">3 </w:t>
      </w:r>
      <w:r w:rsidRPr="006B4A66">
        <w:rPr>
          <w:rFonts w:ascii="Times New Roman" w:eastAsia="Times New Roman" w:hAnsi="Times New Roman" w:cs="Times New Roman"/>
          <w:color w:val="000000"/>
          <w:kern w:val="0"/>
          <w:sz w:val="24"/>
          <w:szCs w:val="24"/>
          <w14:ligatures w14:val="none"/>
        </w:rPr>
        <w:t xml:space="preserve">of the Washington State Energy Code </w:t>
      </w:r>
      <w:r>
        <w:rPr>
          <w:rFonts w:ascii="Times New Roman" w:eastAsia="Times New Roman" w:hAnsi="Times New Roman" w:cs="Times New Roman"/>
          <w:color w:val="000000"/>
          <w:kern w:val="0"/>
          <w:sz w:val="24"/>
          <w:szCs w:val="24"/>
          <w14:ligatures w14:val="none"/>
        </w:rPr>
        <w:t>is</w:t>
      </w:r>
      <w:r w:rsidRPr="006B4A66">
        <w:rPr>
          <w:rFonts w:ascii="Times New Roman" w:eastAsia="Times New Roman" w:hAnsi="Times New Roman" w:cs="Times New Roman"/>
          <w:color w:val="000000"/>
          <w:kern w:val="0"/>
          <w:sz w:val="24"/>
          <w:szCs w:val="24"/>
          <w14:ligatures w14:val="none"/>
        </w:rPr>
        <w:t xml:space="preserve"> not adopted and the following is substituted:</w:t>
      </w:r>
    </w:p>
    <w:p w14:paraId="334591A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Alterations or replacement of existing cooling systems (WSEC C503.4.3).</w:t>
      </w:r>
      <w:r w:rsidRPr="006B4A66">
        <w:rPr>
          <w:rFonts w:ascii="Times New Roman" w:eastAsia="Calibri" w:hAnsi="Times New Roman" w:cs="Times New Roman"/>
          <w:color w:val="000000"/>
          <w:kern w:val="0"/>
          <w:sz w:val="24"/>
          <w14:ligatures w14:val="none"/>
        </w:rPr>
        <w:t xml:space="preserve">  Alterations to, or replacement of, existing mechanical cooling systems shall not decrease </w:t>
      </w:r>
      <w:r w:rsidRPr="006B4A66">
        <w:rPr>
          <w:rFonts w:ascii="Times New Roman" w:eastAsia="Calibri" w:hAnsi="Times New Roman" w:cs="Times New Roman"/>
          <w:color w:val="000000"/>
          <w:kern w:val="0"/>
          <w:sz w:val="24"/>
          <w14:ligatures w14:val="none"/>
        </w:rPr>
        <w:lastRenderedPageBreak/>
        <w:t>the building total economizer capacity unless the system complies with either WSEC C403.3.5 or C403.5.  System alterations or replacement shall comply with WSEC Table C503.4.3 when either the individual cooling unit capacity or the building total capacity of all cooling equipment without economizer does not comply with the exceptions in WSEC C403.5.  Equipment replacements that include space heating shall also comply with WSEC C503.4.6.  Replacement of air-cooled chillers shall also comply with WSEC C503.4.3.1.</w:t>
      </w:r>
    </w:p>
    <w:p w14:paraId="0EF12CC7"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Table C503.4.3</w:t>
      </w:r>
    </w:p>
    <w:p w14:paraId="554F8CDB"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Economizer Compliance Options for Mechanical Alterations</w:t>
      </w:r>
    </w:p>
    <w:tbl>
      <w:tblPr>
        <w:tblStyle w:val="TableGrid"/>
        <w:tblW w:w="10710" w:type="dxa"/>
        <w:tblInd w:w="-792" w:type="dxa"/>
        <w:tblLook w:val="04A0" w:firstRow="1" w:lastRow="0" w:firstColumn="1" w:lastColumn="0" w:noHBand="0" w:noVBand="1"/>
      </w:tblPr>
      <w:tblGrid>
        <w:gridCol w:w="2142"/>
        <w:gridCol w:w="2142"/>
        <w:gridCol w:w="2142"/>
        <w:gridCol w:w="2142"/>
        <w:gridCol w:w="2142"/>
      </w:tblGrid>
      <w:tr w:rsidR="006B4A66" w:rsidRPr="006B4A66" w14:paraId="295EDB58" w14:textId="77777777" w:rsidTr="00A76114">
        <w:tc>
          <w:tcPr>
            <w:tcW w:w="2142" w:type="dxa"/>
            <w:vMerge w:val="restart"/>
          </w:tcPr>
          <w:p w14:paraId="67DBA119" w14:textId="77777777" w:rsidR="006B4A66" w:rsidRPr="006B4A66" w:rsidRDefault="006B4A66" w:rsidP="0073496A">
            <w:pPr>
              <w:autoSpaceDE w:val="0"/>
              <w:autoSpaceDN w:val="0"/>
              <w:adjustRightInd w:val="0"/>
              <w:spacing w:line="480" w:lineRule="auto"/>
              <w:jc w:val="center"/>
              <w:rPr>
                <w:rFonts w:eastAsia="Calibri"/>
                <w:b/>
                <w:bCs/>
                <w:color w:val="000000"/>
                <w:sz w:val="24"/>
              </w:rPr>
            </w:pPr>
            <w:r w:rsidRPr="006B4A66">
              <w:rPr>
                <w:rFonts w:eastAsia="Calibri"/>
                <w:b/>
                <w:bCs/>
                <w:color w:val="000000"/>
                <w:sz w:val="24"/>
              </w:rPr>
              <w:t>Unit Type</w:t>
            </w:r>
          </w:p>
        </w:tc>
        <w:tc>
          <w:tcPr>
            <w:tcW w:w="2142" w:type="dxa"/>
          </w:tcPr>
          <w:p w14:paraId="6FC0195D" w14:textId="77777777" w:rsidR="006B4A66" w:rsidRPr="006B4A66" w:rsidRDefault="006B4A66" w:rsidP="0073496A">
            <w:pPr>
              <w:autoSpaceDE w:val="0"/>
              <w:autoSpaceDN w:val="0"/>
              <w:adjustRightInd w:val="0"/>
              <w:spacing w:line="480" w:lineRule="auto"/>
              <w:jc w:val="center"/>
              <w:rPr>
                <w:rFonts w:eastAsia="Calibri"/>
                <w:b/>
                <w:bCs/>
                <w:color w:val="000000"/>
                <w:sz w:val="24"/>
              </w:rPr>
            </w:pPr>
            <w:r w:rsidRPr="006B4A66">
              <w:rPr>
                <w:rFonts w:eastAsia="Calibri"/>
                <w:b/>
                <w:bCs/>
                <w:color w:val="000000"/>
                <w:sz w:val="24"/>
              </w:rPr>
              <w:t>Option A</w:t>
            </w:r>
          </w:p>
        </w:tc>
        <w:tc>
          <w:tcPr>
            <w:tcW w:w="2142" w:type="dxa"/>
          </w:tcPr>
          <w:p w14:paraId="379A0A75" w14:textId="77777777" w:rsidR="006B4A66" w:rsidRPr="006B4A66" w:rsidRDefault="006B4A66" w:rsidP="0073496A">
            <w:pPr>
              <w:autoSpaceDE w:val="0"/>
              <w:autoSpaceDN w:val="0"/>
              <w:adjustRightInd w:val="0"/>
              <w:spacing w:line="480" w:lineRule="auto"/>
              <w:jc w:val="center"/>
              <w:rPr>
                <w:rFonts w:eastAsia="Calibri"/>
                <w:b/>
                <w:bCs/>
                <w:color w:val="000000"/>
                <w:sz w:val="24"/>
              </w:rPr>
            </w:pPr>
            <w:r w:rsidRPr="006B4A66">
              <w:rPr>
                <w:rFonts w:eastAsia="Calibri"/>
                <w:b/>
                <w:bCs/>
                <w:color w:val="000000"/>
                <w:sz w:val="24"/>
              </w:rPr>
              <w:t>Option B (alternate to A)</w:t>
            </w:r>
          </w:p>
        </w:tc>
        <w:tc>
          <w:tcPr>
            <w:tcW w:w="2142" w:type="dxa"/>
          </w:tcPr>
          <w:p w14:paraId="2B900625" w14:textId="77777777" w:rsidR="006B4A66" w:rsidRPr="006B4A66" w:rsidRDefault="006B4A66" w:rsidP="0073496A">
            <w:pPr>
              <w:autoSpaceDE w:val="0"/>
              <w:autoSpaceDN w:val="0"/>
              <w:adjustRightInd w:val="0"/>
              <w:spacing w:line="480" w:lineRule="auto"/>
              <w:jc w:val="center"/>
              <w:rPr>
                <w:rFonts w:eastAsia="Calibri"/>
                <w:b/>
                <w:bCs/>
                <w:color w:val="000000"/>
                <w:sz w:val="24"/>
              </w:rPr>
            </w:pPr>
            <w:r w:rsidRPr="006B4A66">
              <w:rPr>
                <w:rFonts w:eastAsia="Calibri"/>
                <w:b/>
                <w:bCs/>
                <w:color w:val="000000"/>
                <w:sz w:val="24"/>
              </w:rPr>
              <w:t>Option C (alternate to A)</w:t>
            </w:r>
          </w:p>
        </w:tc>
        <w:tc>
          <w:tcPr>
            <w:tcW w:w="2142" w:type="dxa"/>
          </w:tcPr>
          <w:p w14:paraId="4F487289" w14:textId="77777777" w:rsidR="006B4A66" w:rsidRPr="006B4A66" w:rsidRDefault="006B4A66" w:rsidP="0073496A">
            <w:pPr>
              <w:autoSpaceDE w:val="0"/>
              <w:autoSpaceDN w:val="0"/>
              <w:adjustRightInd w:val="0"/>
              <w:spacing w:line="480" w:lineRule="auto"/>
              <w:jc w:val="center"/>
              <w:rPr>
                <w:rFonts w:eastAsia="Calibri"/>
                <w:b/>
                <w:bCs/>
                <w:color w:val="000000"/>
                <w:sz w:val="24"/>
              </w:rPr>
            </w:pPr>
            <w:r w:rsidRPr="006B4A66">
              <w:rPr>
                <w:rFonts w:eastAsia="Calibri"/>
                <w:b/>
                <w:bCs/>
                <w:color w:val="000000"/>
                <w:sz w:val="24"/>
              </w:rPr>
              <w:t>Option D (alternate to A)</w:t>
            </w:r>
          </w:p>
        </w:tc>
      </w:tr>
      <w:tr w:rsidR="006B4A66" w:rsidRPr="006B4A66" w14:paraId="4A954AEA" w14:textId="77777777" w:rsidTr="00A76114">
        <w:tc>
          <w:tcPr>
            <w:tcW w:w="2142" w:type="dxa"/>
            <w:vMerge/>
          </w:tcPr>
          <w:p w14:paraId="37119630" w14:textId="77777777" w:rsidR="006B4A66" w:rsidRPr="006B4A66" w:rsidRDefault="006B4A66" w:rsidP="0073496A">
            <w:pPr>
              <w:autoSpaceDE w:val="0"/>
              <w:autoSpaceDN w:val="0"/>
              <w:adjustRightInd w:val="0"/>
              <w:spacing w:line="480" w:lineRule="auto"/>
              <w:jc w:val="center"/>
              <w:rPr>
                <w:rFonts w:eastAsia="Calibri"/>
                <w:b/>
                <w:bCs/>
                <w:color w:val="000000"/>
                <w:sz w:val="24"/>
              </w:rPr>
            </w:pPr>
          </w:p>
        </w:tc>
        <w:tc>
          <w:tcPr>
            <w:tcW w:w="2142" w:type="dxa"/>
          </w:tcPr>
          <w:p w14:paraId="38BB7366" w14:textId="77777777" w:rsidR="006B4A66" w:rsidRPr="006B4A66" w:rsidRDefault="006B4A66" w:rsidP="0073496A">
            <w:pPr>
              <w:autoSpaceDE w:val="0"/>
              <w:autoSpaceDN w:val="0"/>
              <w:adjustRightInd w:val="0"/>
              <w:spacing w:line="480" w:lineRule="auto"/>
              <w:jc w:val="center"/>
              <w:rPr>
                <w:rFonts w:eastAsia="Calibri"/>
                <w:b/>
                <w:bCs/>
                <w:color w:val="000000"/>
                <w:sz w:val="24"/>
              </w:rPr>
            </w:pPr>
            <w:r w:rsidRPr="006B4A66">
              <w:rPr>
                <w:rFonts w:eastAsia="Calibri"/>
                <w:b/>
                <w:bCs/>
                <w:color w:val="000000"/>
                <w:sz w:val="24"/>
              </w:rPr>
              <w:t>Any alteration with new or replacement equipment</w:t>
            </w:r>
          </w:p>
        </w:tc>
        <w:tc>
          <w:tcPr>
            <w:tcW w:w="2142" w:type="dxa"/>
          </w:tcPr>
          <w:p w14:paraId="0A46E03B" w14:textId="77777777" w:rsidR="006B4A66" w:rsidRPr="006B4A66" w:rsidRDefault="006B4A66" w:rsidP="0073496A">
            <w:pPr>
              <w:autoSpaceDE w:val="0"/>
              <w:autoSpaceDN w:val="0"/>
              <w:adjustRightInd w:val="0"/>
              <w:spacing w:line="480" w:lineRule="auto"/>
              <w:jc w:val="center"/>
              <w:rPr>
                <w:rFonts w:eastAsia="Calibri"/>
                <w:b/>
                <w:bCs/>
                <w:color w:val="000000"/>
                <w:sz w:val="24"/>
              </w:rPr>
            </w:pPr>
            <w:r w:rsidRPr="006B4A66">
              <w:rPr>
                <w:rFonts w:eastAsia="Calibri"/>
                <w:b/>
                <w:bCs/>
                <w:color w:val="000000"/>
                <w:sz w:val="24"/>
              </w:rPr>
              <w:t>Replacement unit of the same type with the same or smaller output capacity</w:t>
            </w:r>
          </w:p>
        </w:tc>
        <w:tc>
          <w:tcPr>
            <w:tcW w:w="2142" w:type="dxa"/>
          </w:tcPr>
          <w:p w14:paraId="5C14F88B" w14:textId="77777777" w:rsidR="006B4A66" w:rsidRPr="006B4A66" w:rsidRDefault="006B4A66" w:rsidP="0073496A">
            <w:pPr>
              <w:autoSpaceDE w:val="0"/>
              <w:autoSpaceDN w:val="0"/>
              <w:adjustRightInd w:val="0"/>
              <w:spacing w:line="480" w:lineRule="auto"/>
              <w:jc w:val="center"/>
              <w:rPr>
                <w:rFonts w:eastAsia="Calibri"/>
                <w:b/>
                <w:bCs/>
                <w:color w:val="000000"/>
                <w:sz w:val="24"/>
              </w:rPr>
            </w:pPr>
            <w:r w:rsidRPr="006B4A66">
              <w:rPr>
                <w:rFonts w:eastAsia="Calibri"/>
                <w:b/>
                <w:bCs/>
                <w:color w:val="000000"/>
                <w:sz w:val="24"/>
              </w:rPr>
              <w:t>Replacement unit of the same type with a larger output capacity</w:t>
            </w:r>
          </w:p>
        </w:tc>
        <w:tc>
          <w:tcPr>
            <w:tcW w:w="2142" w:type="dxa"/>
          </w:tcPr>
          <w:p w14:paraId="2B8FE6C8" w14:textId="77777777" w:rsidR="006B4A66" w:rsidRPr="006B4A66" w:rsidRDefault="006B4A66" w:rsidP="0073496A">
            <w:pPr>
              <w:autoSpaceDE w:val="0"/>
              <w:autoSpaceDN w:val="0"/>
              <w:adjustRightInd w:val="0"/>
              <w:spacing w:line="480" w:lineRule="auto"/>
              <w:jc w:val="center"/>
              <w:rPr>
                <w:rFonts w:eastAsia="Calibri"/>
                <w:b/>
                <w:bCs/>
                <w:color w:val="000000"/>
                <w:sz w:val="24"/>
              </w:rPr>
            </w:pPr>
            <w:r w:rsidRPr="006B4A66">
              <w:rPr>
                <w:rFonts w:eastAsia="Calibri"/>
                <w:b/>
                <w:bCs/>
                <w:color w:val="000000"/>
                <w:sz w:val="24"/>
              </w:rPr>
              <w:t>New equipment added to existing system or replacement unit of a different type</w:t>
            </w:r>
          </w:p>
        </w:tc>
      </w:tr>
      <w:tr w:rsidR="006B4A66" w:rsidRPr="006B4A66" w14:paraId="3C709A5C" w14:textId="77777777" w:rsidTr="00A76114">
        <w:tc>
          <w:tcPr>
            <w:tcW w:w="2142" w:type="dxa"/>
          </w:tcPr>
          <w:p w14:paraId="5C67DF0E" w14:textId="77777777" w:rsidR="006B4A66" w:rsidRPr="006B4A66" w:rsidRDefault="006B4A66" w:rsidP="0073496A">
            <w:pPr>
              <w:numPr>
                <w:ilvl w:val="0"/>
                <w:numId w:val="8"/>
              </w:numPr>
              <w:autoSpaceDE w:val="0"/>
              <w:autoSpaceDN w:val="0"/>
              <w:adjustRightInd w:val="0"/>
              <w:spacing w:line="480" w:lineRule="auto"/>
              <w:ind w:left="429"/>
              <w:rPr>
                <w:rFonts w:eastAsia="Calibri"/>
                <w:color w:val="000000"/>
              </w:rPr>
            </w:pPr>
            <w:r w:rsidRPr="006B4A66">
              <w:rPr>
                <w:rFonts w:eastAsia="Calibri"/>
                <w:color w:val="000000"/>
              </w:rPr>
              <w:t>Packaged units</w:t>
            </w:r>
          </w:p>
        </w:tc>
        <w:tc>
          <w:tcPr>
            <w:tcW w:w="2142" w:type="dxa"/>
          </w:tcPr>
          <w:p w14:paraId="17E4F315"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Efficiency:  min.</w:t>
            </w:r>
            <w:r w:rsidRPr="006B4A66">
              <w:rPr>
                <w:rFonts w:eastAsia="Calibri"/>
                <w:color w:val="000000"/>
                <w:vertAlign w:val="superscript"/>
              </w:rPr>
              <w:t>a</w:t>
            </w:r>
          </w:p>
          <w:p w14:paraId="454E1BAF"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C403.5</w:t>
            </w:r>
            <w:r w:rsidRPr="006B4A66">
              <w:rPr>
                <w:rFonts w:eastAsia="Calibri"/>
                <w:color w:val="000000"/>
                <w:vertAlign w:val="superscript"/>
              </w:rPr>
              <w:t>b</w:t>
            </w:r>
          </w:p>
        </w:tc>
        <w:tc>
          <w:tcPr>
            <w:tcW w:w="2142" w:type="dxa"/>
          </w:tcPr>
          <w:p w14:paraId="6088E51C"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Efficiency:  min.</w:t>
            </w:r>
            <w:r w:rsidRPr="006B4A66">
              <w:rPr>
                <w:rFonts w:eastAsia="Calibri"/>
                <w:color w:val="000000"/>
                <w:vertAlign w:val="superscript"/>
              </w:rPr>
              <w:t>a</w:t>
            </w:r>
          </w:p>
          <w:p w14:paraId="7ECA4985"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C403.5</w:t>
            </w:r>
            <w:r w:rsidRPr="006B4A66">
              <w:rPr>
                <w:rFonts w:eastAsia="Calibri"/>
                <w:color w:val="000000"/>
                <w:vertAlign w:val="superscript"/>
              </w:rPr>
              <w:t>b</w:t>
            </w:r>
          </w:p>
        </w:tc>
        <w:tc>
          <w:tcPr>
            <w:tcW w:w="2142" w:type="dxa"/>
          </w:tcPr>
          <w:p w14:paraId="3173782A"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Efficiency:  min.</w:t>
            </w:r>
            <w:r w:rsidRPr="006B4A66">
              <w:rPr>
                <w:rFonts w:eastAsia="Calibri"/>
                <w:color w:val="000000"/>
                <w:vertAlign w:val="superscript"/>
              </w:rPr>
              <w:t>a</w:t>
            </w:r>
          </w:p>
          <w:p w14:paraId="35D5BF0C"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C403.5</w:t>
            </w:r>
            <w:r w:rsidRPr="006B4A66">
              <w:rPr>
                <w:rFonts w:eastAsia="Calibri"/>
                <w:color w:val="000000"/>
                <w:vertAlign w:val="superscript"/>
              </w:rPr>
              <w:t>b</w:t>
            </w:r>
          </w:p>
        </w:tc>
        <w:tc>
          <w:tcPr>
            <w:tcW w:w="2142" w:type="dxa"/>
          </w:tcPr>
          <w:p w14:paraId="640EF664"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Efficiency:  min.</w:t>
            </w:r>
            <w:r w:rsidRPr="006B4A66">
              <w:rPr>
                <w:rFonts w:eastAsia="Calibri"/>
                <w:color w:val="000000"/>
                <w:vertAlign w:val="superscript"/>
              </w:rPr>
              <w:t>a</w:t>
            </w:r>
          </w:p>
          <w:p w14:paraId="2D0F3BA9"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C403.5</w:t>
            </w:r>
            <w:r w:rsidRPr="006B4A66">
              <w:rPr>
                <w:rFonts w:eastAsia="Calibri"/>
                <w:color w:val="000000"/>
                <w:vertAlign w:val="superscript"/>
              </w:rPr>
              <w:t>b</w:t>
            </w:r>
          </w:p>
        </w:tc>
      </w:tr>
      <w:tr w:rsidR="006B4A66" w:rsidRPr="006B4A66" w14:paraId="0FA2556B" w14:textId="77777777" w:rsidTr="00A76114">
        <w:tc>
          <w:tcPr>
            <w:tcW w:w="2142" w:type="dxa"/>
            <w:vMerge w:val="restart"/>
          </w:tcPr>
          <w:p w14:paraId="46DE9EB4" w14:textId="77777777" w:rsidR="006B4A66" w:rsidRPr="006B4A66" w:rsidRDefault="006B4A66" w:rsidP="0073496A">
            <w:pPr>
              <w:numPr>
                <w:ilvl w:val="0"/>
                <w:numId w:val="8"/>
              </w:numPr>
              <w:autoSpaceDE w:val="0"/>
              <w:autoSpaceDN w:val="0"/>
              <w:adjustRightInd w:val="0"/>
              <w:spacing w:line="480" w:lineRule="auto"/>
              <w:ind w:left="429"/>
              <w:rPr>
                <w:rFonts w:eastAsia="Calibri"/>
                <w:color w:val="000000"/>
              </w:rPr>
            </w:pPr>
            <w:r w:rsidRPr="006B4A66">
              <w:rPr>
                <w:rFonts w:eastAsia="Calibri"/>
                <w:color w:val="000000"/>
              </w:rPr>
              <w:t>Split systems</w:t>
            </w:r>
          </w:p>
        </w:tc>
        <w:tc>
          <w:tcPr>
            <w:tcW w:w="2142" w:type="dxa"/>
            <w:vMerge w:val="restart"/>
          </w:tcPr>
          <w:p w14:paraId="657B2CB7"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Efficiency:  min.</w:t>
            </w:r>
            <w:r w:rsidRPr="006B4A66">
              <w:rPr>
                <w:rFonts w:eastAsia="Calibri"/>
                <w:color w:val="000000"/>
                <w:vertAlign w:val="superscript"/>
              </w:rPr>
              <w:t>a</w:t>
            </w:r>
          </w:p>
          <w:p w14:paraId="416F53B4"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C403.5</w:t>
            </w:r>
            <w:r w:rsidRPr="006B4A66">
              <w:rPr>
                <w:rFonts w:eastAsia="Calibri"/>
                <w:color w:val="000000"/>
                <w:vertAlign w:val="superscript"/>
              </w:rPr>
              <w:t>b</w:t>
            </w:r>
          </w:p>
        </w:tc>
        <w:tc>
          <w:tcPr>
            <w:tcW w:w="2142" w:type="dxa"/>
          </w:tcPr>
          <w:p w14:paraId="66EAF775" w14:textId="77777777" w:rsidR="006B4A66" w:rsidRPr="006B4A66" w:rsidRDefault="006B4A66" w:rsidP="0073496A">
            <w:pPr>
              <w:autoSpaceDE w:val="0"/>
              <w:autoSpaceDN w:val="0"/>
              <w:adjustRightInd w:val="0"/>
              <w:spacing w:line="480" w:lineRule="auto"/>
              <w:rPr>
                <w:rFonts w:eastAsia="TimesNewRomanPSMT"/>
                <w:color w:val="000000"/>
              </w:rPr>
            </w:pPr>
            <w:r w:rsidRPr="006B4A66">
              <w:rPr>
                <w:rFonts w:eastAsia="Calibri"/>
                <w:color w:val="000000"/>
              </w:rPr>
              <w:t xml:space="preserve">For units </w:t>
            </w:r>
            <w:r w:rsidRPr="006B4A66">
              <w:rPr>
                <w:rFonts w:eastAsia="TimesNewRomanPSMT"/>
                <w:color w:val="000000"/>
              </w:rPr>
              <w:t>≤ 60,000 Btuh, comply with both of two measures:</w:t>
            </w:r>
          </w:p>
          <w:p w14:paraId="5F241FE4" w14:textId="77777777" w:rsidR="006B4A66" w:rsidRPr="006B4A66" w:rsidRDefault="006B4A66" w:rsidP="0073496A">
            <w:pPr>
              <w:autoSpaceDE w:val="0"/>
              <w:autoSpaceDN w:val="0"/>
              <w:adjustRightInd w:val="0"/>
              <w:spacing w:line="480" w:lineRule="auto"/>
              <w:rPr>
                <w:rFonts w:eastAsia="TimesNewRomanPSMT"/>
                <w:color w:val="000000"/>
              </w:rPr>
            </w:pPr>
            <w:r w:rsidRPr="006B4A66">
              <w:rPr>
                <w:rFonts w:eastAsia="TimesNewRomanPSMT"/>
                <w:color w:val="000000"/>
              </w:rPr>
              <w:t>1.  Efficiency:  +10%</w:t>
            </w:r>
            <w:r w:rsidRPr="006B4A66">
              <w:rPr>
                <w:rFonts w:eastAsia="TimesNewRomanPSMT"/>
                <w:color w:val="000000"/>
                <w:vertAlign w:val="superscript"/>
              </w:rPr>
              <w:t>e</w:t>
            </w:r>
          </w:p>
          <w:p w14:paraId="07E8463F"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lastRenderedPageBreak/>
              <w:t>2.  Economizer:  shall not decrease existing economizer capability</w:t>
            </w:r>
          </w:p>
        </w:tc>
        <w:tc>
          <w:tcPr>
            <w:tcW w:w="2142" w:type="dxa"/>
          </w:tcPr>
          <w:p w14:paraId="74DB9F3F" w14:textId="77777777" w:rsidR="006B4A66" w:rsidRPr="006B4A66" w:rsidRDefault="006B4A66" w:rsidP="0073496A">
            <w:pPr>
              <w:autoSpaceDE w:val="0"/>
              <w:autoSpaceDN w:val="0"/>
              <w:adjustRightInd w:val="0"/>
              <w:spacing w:line="480" w:lineRule="auto"/>
              <w:rPr>
                <w:rFonts w:eastAsia="TimesNewRomanPSMT"/>
                <w:color w:val="000000"/>
              </w:rPr>
            </w:pPr>
            <w:r w:rsidRPr="006B4A66">
              <w:rPr>
                <w:rFonts w:eastAsia="Calibri"/>
                <w:color w:val="000000"/>
              </w:rPr>
              <w:lastRenderedPageBreak/>
              <w:t xml:space="preserve">For units </w:t>
            </w:r>
            <w:r w:rsidRPr="006B4A66">
              <w:rPr>
                <w:rFonts w:eastAsia="TimesNewRomanPSMT"/>
                <w:color w:val="000000"/>
              </w:rPr>
              <w:t>≤ 60,000 Btuh replacing unit installed prior to 1991 comply with at least one of two measures:</w:t>
            </w:r>
          </w:p>
          <w:p w14:paraId="28793537" w14:textId="77777777" w:rsidR="006B4A66" w:rsidRPr="006B4A66" w:rsidRDefault="006B4A66" w:rsidP="0073496A">
            <w:pPr>
              <w:autoSpaceDE w:val="0"/>
              <w:autoSpaceDN w:val="0"/>
              <w:adjustRightInd w:val="0"/>
              <w:spacing w:line="480" w:lineRule="auto"/>
              <w:rPr>
                <w:rFonts w:eastAsia="TimesNewRomanPSMT"/>
                <w:color w:val="000000"/>
              </w:rPr>
            </w:pPr>
            <w:r w:rsidRPr="006B4A66">
              <w:rPr>
                <w:rFonts w:eastAsia="TimesNewRomanPSMT"/>
                <w:color w:val="000000"/>
              </w:rPr>
              <w:t>1.  Efficiency:  +10%</w:t>
            </w:r>
            <w:r w:rsidRPr="006B4A66">
              <w:rPr>
                <w:rFonts w:eastAsia="TimesNewRomanPSMT"/>
                <w:color w:val="000000"/>
                <w:vertAlign w:val="superscript"/>
              </w:rPr>
              <w:t>e</w:t>
            </w:r>
          </w:p>
          <w:p w14:paraId="4CFB463D"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lastRenderedPageBreak/>
              <w:t>2.  Economizer:  50%</w:t>
            </w:r>
            <w:r w:rsidRPr="006B4A66">
              <w:rPr>
                <w:rFonts w:eastAsia="Calibri"/>
                <w:color w:val="000000"/>
                <w:vertAlign w:val="superscript"/>
              </w:rPr>
              <w:t>f</w:t>
            </w:r>
          </w:p>
        </w:tc>
        <w:tc>
          <w:tcPr>
            <w:tcW w:w="2142" w:type="dxa"/>
            <w:vMerge w:val="restart"/>
          </w:tcPr>
          <w:p w14:paraId="5EC26208"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lastRenderedPageBreak/>
              <w:t>Efficiency: min.</w:t>
            </w:r>
            <w:r w:rsidRPr="006B4A66">
              <w:rPr>
                <w:rFonts w:eastAsia="Calibri"/>
                <w:color w:val="000000"/>
                <w:vertAlign w:val="superscript"/>
              </w:rPr>
              <w:t>a</w:t>
            </w:r>
          </w:p>
          <w:p w14:paraId="6237BEDF"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C403.5</w:t>
            </w:r>
            <w:r w:rsidRPr="006B4A66">
              <w:rPr>
                <w:rFonts w:eastAsia="Calibri"/>
                <w:color w:val="000000"/>
                <w:vertAlign w:val="superscript"/>
              </w:rPr>
              <w:t>b</w:t>
            </w:r>
          </w:p>
        </w:tc>
      </w:tr>
      <w:tr w:rsidR="006B4A66" w:rsidRPr="006B4A66" w14:paraId="203F5C02" w14:textId="77777777" w:rsidTr="00A76114">
        <w:tc>
          <w:tcPr>
            <w:tcW w:w="2142" w:type="dxa"/>
            <w:vMerge/>
          </w:tcPr>
          <w:p w14:paraId="61B3ACA1" w14:textId="77777777" w:rsidR="006B4A66" w:rsidRPr="006B4A66" w:rsidRDefault="006B4A66" w:rsidP="0073496A">
            <w:pPr>
              <w:autoSpaceDE w:val="0"/>
              <w:autoSpaceDN w:val="0"/>
              <w:adjustRightInd w:val="0"/>
              <w:spacing w:line="480" w:lineRule="auto"/>
              <w:rPr>
                <w:rFonts w:eastAsia="Calibri"/>
                <w:color w:val="000000"/>
              </w:rPr>
            </w:pPr>
          </w:p>
        </w:tc>
        <w:tc>
          <w:tcPr>
            <w:tcW w:w="2142" w:type="dxa"/>
            <w:vMerge/>
          </w:tcPr>
          <w:p w14:paraId="44F2969F" w14:textId="77777777" w:rsidR="006B4A66" w:rsidRPr="006B4A66" w:rsidRDefault="006B4A66" w:rsidP="0073496A">
            <w:pPr>
              <w:autoSpaceDE w:val="0"/>
              <w:autoSpaceDN w:val="0"/>
              <w:adjustRightInd w:val="0"/>
              <w:spacing w:line="480" w:lineRule="auto"/>
              <w:rPr>
                <w:rFonts w:eastAsia="Calibri"/>
                <w:color w:val="000000"/>
              </w:rPr>
            </w:pPr>
          </w:p>
        </w:tc>
        <w:tc>
          <w:tcPr>
            <w:tcW w:w="2142" w:type="dxa"/>
          </w:tcPr>
          <w:p w14:paraId="29892E73"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For all other capacities:</w:t>
            </w:r>
          </w:p>
          <w:p w14:paraId="0EC7BFB5"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Efficiency:  min.</w:t>
            </w:r>
            <w:r w:rsidRPr="006B4A66">
              <w:rPr>
                <w:rFonts w:eastAsia="Calibri"/>
                <w:color w:val="000000"/>
                <w:vertAlign w:val="superscript"/>
              </w:rPr>
              <w:t>a</w:t>
            </w:r>
          </w:p>
          <w:p w14:paraId="201232A3"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C403.5</w:t>
            </w:r>
            <w:r w:rsidRPr="006B4A66">
              <w:rPr>
                <w:rFonts w:eastAsia="Calibri"/>
                <w:color w:val="000000"/>
                <w:vertAlign w:val="superscript"/>
              </w:rPr>
              <w:t>b</w:t>
            </w:r>
          </w:p>
        </w:tc>
        <w:tc>
          <w:tcPr>
            <w:tcW w:w="2142" w:type="dxa"/>
          </w:tcPr>
          <w:p w14:paraId="752D4D4F"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For all other capacities:</w:t>
            </w:r>
          </w:p>
          <w:p w14:paraId="65FBD572"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Efficiency:  min.</w:t>
            </w:r>
            <w:r w:rsidRPr="006B4A66">
              <w:rPr>
                <w:rFonts w:eastAsia="Calibri"/>
                <w:color w:val="000000"/>
                <w:vertAlign w:val="superscript"/>
              </w:rPr>
              <w:t>a</w:t>
            </w:r>
          </w:p>
          <w:p w14:paraId="09385919"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C403.5</w:t>
            </w:r>
            <w:r w:rsidRPr="006B4A66">
              <w:rPr>
                <w:rFonts w:eastAsia="Calibri"/>
                <w:color w:val="000000"/>
                <w:vertAlign w:val="superscript"/>
              </w:rPr>
              <w:t>b</w:t>
            </w:r>
          </w:p>
        </w:tc>
        <w:tc>
          <w:tcPr>
            <w:tcW w:w="2142" w:type="dxa"/>
            <w:vMerge/>
          </w:tcPr>
          <w:p w14:paraId="51BED006" w14:textId="77777777" w:rsidR="006B4A66" w:rsidRPr="006B4A66" w:rsidRDefault="006B4A66" w:rsidP="0073496A">
            <w:pPr>
              <w:autoSpaceDE w:val="0"/>
              <w:autoSpaceDN w:val="0"/>
              <w:adjustRightInd w:val="0"/>
              <w:spacing w:line="480" w:lineRule="auto"/>
              <w:rPr>
                <w:rFonts w:eastAsia="Calibri"/>
                <w:color w:val="000000"/>
              </w:rPr>
            </w:pPr>
          </w:p>
        </w:tc>
      </w:tr>
      <w:tr w:rsidR="006B4A66" w:rsidRPr="006B4A66" w14:paraId="1C1F6242" w14:textId="77777777" w:rsidTr="00A76114">
        <w:tc>
          <w:tcPr>
            <w:tcW w:w="2142" w:type="dxa"/>
            <w:vMerge w:val="restart"/>
          </w:tcPr>
          <w:p w14:paraId="39B98CCC" w14:textId="77777777" w:rsidR="006B4A66" w:rsidRPr="006B4A66" w:rsidRDefault="006B4A66" w:rsidP="0073496A">
            <w:pPr>
              <w:numPr>
                <w:ilvl w:val="0"/>
                <w:numId w:val="8"/>
              </w:numPr>
              <w:autoSpaceDE w:val="0"/>
              <w:autoSpaceDN w:val="0"/>
              <w:adjustRightInd w:val="0"/>
              <w:spacing w:line="480" w:lineRule="auto"/>
              <w:ind w:left="430"/>
              <w:rPr>
                <w:rFonts w:eastAsia="Calibri"/>
                <w:color w:val="000000"/>
              </w:rPr>
            </w:pPr>
            <w:r w:rsidRPr="006B4A66">
              <w:rPr>
                <w:rFonts w:eastAsia="Calibri"/>
                <w:color w:val="000000"/>
              </w:rPr>
              <w:t>Water source heat pump</w:t>
            </w:r>
          </w:p>
        </w:tc>
        <w:tc>
          <w:tcPr>
            <w:tcW w:w="2142" w:type="dxa"/>
            <w:vMerge w:val="restart"/>
          </w:tcPr>
          <w:p w14:paraId="1E5B404F"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Efficiency: min.</w:t>
            </w:r>
            <w:r w:rsidRPr="006B4A66">
              <w:rPr>
                <w:rFonts w:eastAsia="Calibri"/>
                <w:color w:val="000000"/>
                <w:vertAlign w:val="superscript"/>
              </w:rPr>
              <w:t>a</w:t>
            </w:r>
          </w:p>
          <w:p w14:paraId="2DBED424"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C403.5</w:t>
            </w:r>
            <w:r w:rsidRPr="006B4A66">
              <w:rPr>
                <w:rFonts w:eastAsia="Calibri"/>
                <w:color w:val="000000"/>
                <w:vertAlign w:val="superscript"/>
              </w:rPr>
              <w:t>b</w:t>
            </w:r>
          </w:p>
        </w:tc>
        <w:tc>
          <w:tcPr>
            <w:tcW w:w="2142" w:type="dxa"/>
          </w:tcPr>
          <w:p w14:paraId="0CDD40D3" w14:textId="77777777" w:rsidR="006B4A66" w:rsidRPr="006B4A66" w:rsidRDefault="006B4A66" w:rsidP="0073496A">
            <w:pPr>
              <w:autoSpaceDE w:val="0"/>
              <w:autoSpaceDN w:val="0"/>
              <w:adjustRightInd w:val="0"/>
              <w:spacing w:line="480" w:lineRule="auto"/>
              <w:rPr>
                <w:rFonts w:eastAsia="TimesNewRomanPSMT"/>
                <w:color w:val="000000"/>
              </w:rPr>
            </w:pPr>
            <w:r w:rsidRPr="006B4A66">
              <w:rPr>
                <w:rFonts w:eastAsia="Calibri"/>
                <w:color w:val="000000"/>
              </w:rPr>
              <w:t xml:space="preserve">For units </w:t>
            </w:r>
            <w:r w:rsidRPr="006B4A66">
              <w:rPr>
                <w:rFonts w:eastAsia="TimesNewRomanPSMT"/>
                <w:color w:val="000000"/>
              </w:rPr>
              <w:t>≤ 72,000 Btuh, comply with at least two of three measures:</w:t>
            </w:r>
          </w:p>
          <w:p w14:paraId="1F0C86AB" w14:textId="77777777" w:rsidR="006B4A66" w:rsidRPr="006B4A66" w:rsidRDefault="006B4A66" w:rsidP="0073496A">
            <w:pPr>
              <w:autoSpaceDE w:val="0"/>
              <w:autoSpaceDN w:val="0"/>
              <w:adjustRightInd w:val="0"/>
              <w:spacing w:line="480" w:lineRule="auto"/>
              <w:rPr>
                <w:rFonts w:eastAsia="TimesNewRomanPSMT"/>
                <w:color w:val="000000"/>
              </w:rPr>
            </w:pPr>
            <w:r w:rsidRPr="006B4A66">
              <w:rPr>
                <w:rFonts w:eastAsia="TimesNewRomanPSMT"/>
                <w:color w:val="000000"/>
              </w:rPr>
              <w:t>1.  Efficiency:  +10%</w:t>
            </w:r>
            <w:r w:rsidRPr="006B4A66">
              <w:rPr>
                <w:rFonts w:eastAsia="TimesNewRomanPSMT"/>
                <w:color w:val="000000"/>
                <w:vertAlign w:val="superscript"/>
              </w:rPr>
              <w:t>e</w:t>
            </w:r>
          </w:p>
          <w:p w14:paraId="3E970173"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2.  Flow control valve</w:t>
            </w:r>
            <w:r w:rsidRPr="006B4A66">
              <w:rPr>
                <w:rFonts w:eastAsia="Calibri"/>
                <w:color w:val="000000"/>
                <w:vertAlign w:val="superscript"/>
              </w:rPr>
              <w:t>g</w:t>
            </w:r>
          </w:p>
          <w:p w14:paraId="421F5C83"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3.  Economizer:  50%</w:t>
            </w:r>
            <w:r w:rsidRPr="006B4A66">
              <w:rPr>
                <w:rFonts w:eastAsia="Calibri"/>
                <w:color w:val="000000"/>
                <w:vertAlign w:val="superscript"/>
              </w:rPr>
              <w:t>f</w:t>
            </w:r>
          </w:p>
        </w:tc>
        <w:tc>
          <w:tcPr>
            <w:tcW w:w="2142" w:type="dxa"/>
          </w:tcPr>
          <w:p w14:paraId="482CEF39" w14:textId="77777777" w:rsidR="006B4A66" w:rsidRPr="006B4A66" w:rsidRDefault="006B4A66" w:rsidP="0073496A">
            <w:pPr>
              <w:autoSpaceDE w:val="0"/>
              <w:autoSpaceDN w:val="0"/>
              <w:adjustRightInd w:val="0"/>
              <w:spacing w:line="480" w:lineRule="auto"/>
              <w:rPr>
                <w:rFonts w:eastAsia="TimesNewRomanPSMT"/>
                <w:color w:val="000000"/>
              </w:rPr>
            </w:pPr>
            <w:r w:rsidRPr="006B4A66">
              <w:rPr>
                <w:rFonts w:eastAsia="Calibri"/>
                <w:color w:val="000000"/>
              </w:rPr>
              <w:t xml:space="preserve">For units </w:t>
            </w:r>
            <w:r w:rsidRPr="006B4A66">
              <w:rPr>
                <w:rFonts w:eastAsia="TimesNewRomanPSMT"/>
                <w:color w:val="000000"/>
              </w:rPr>
              <w:t>≤ 72,000 Btuh, comply with all three measures:</w:t>
            </w:r>
          </w:p>
          <w:p w14:paraId="7EE22B2E" w14:textId="77777777" w:rsidR="006B4A66" w:rsidRPr="006B4A66" w:rsidRDefault="006B4A66" w:rsidP="0073496A">
            <w:pPr>
              <w:autoSpaceDE w:val="0"/>
              <w:autoSpaceDN w:val="0"/>
              <w:adjustRightInd w:val="0"/>
              <w:spacing w:line="480" w:lineRule="auto"/>
              <w:rPr>
                <w:rFonts w:eastAsia="TimesNewRomanPSMT"/>
                <w:color w:val="000000"/>
              </w:rPr>
            </w:pPr>
            <w:r w:rsidRPr="006B4A66">
              <w:rPr>
                <w:rFonts w:eastAsia="TimesNewRomanPSMT"/>
                <w:color w:val="000000"/>
              </w:rPr>
              <w:t>1. Efficiency:  +10%</w:t>
            </w:r>
            <w:r w:rsidRPr="006B4A66">
              <w:rPr>
                <w:rFonts w:eastAsia="TimesNewRomanPSMT"/>
                <w:color w:val="000000"/>
                <w:vertAlign w:val="superscript"/>
              </w:rPr>
              <w:t>e</w:t>
            </w:r>
          </w:p>
          <w:p w14:paraId="459F7CDF"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2. Flow control valve</w:t>
            </w:r>
            <w:r w:rsidRPr="006B4A66">
              <w:rPr>
                <w:rFonts w:eastAsia="Calibri"/>
                <w:color w:val="000000"/>
                <w:vertAlign w:val="superscript"/>
              </w:rPr>
              <w:t>g</w:t>
            </w:r>
          </w:p>
          <w:p w14:paraId="128645EA"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3. Economizer:  50%</w:t>
            </w:r>
            <w:r w:rsidRPr="006B4A66">
              <w:rPr>
                <w:rFonts w:eastAsia="Calibri"/>
                <w:color w:val="000000"/>
                <w:vertAlign w:val="superscript"/>
              </w:rPr>
              <w:t xml:space="preserve">f </w:t>
            </w:r>
            <w:r w:rsidRPr="006B4A66">
              <w:rPr>
                <w:rFonts w:eastAsia="Calibri"/>
                <w:color w:val="000000"/>
              </w:rPr>
              <w:t>(except for certain pre-1991 systems</w:t>
            </w:r>
            <w:r w:rsidRPr="006B4A66">
              <w:rPr>
                <w:rFonts w:eastAsia="Calibri"/>
                <w:color w:val="000000"/>
                <w:vertAlign w:val="superscript"/>
              </w:rPr>
              <w:t>h</w:t>
            </w:r>
            <w:r w:rsidRPr="006B4A66">
              <w:rPr>
                <w:rFonts w:eastAsia="Calibri"/>
                <w:color w:val="000000"/>
              </w:rPr>
              <w:t>)</w:t>
            </w:r>
          </w:p>
        </w:tc>
        <w:tc>
          <w:tcPr>
            <w:tcW w:w="2142" w:type="dxa"/>
          </w:tcPr>
          <w:p w14:paraId="4434DFC0"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Efficiency:  min.</w:t>
            </w:r>
            <w:r w:rsidRPr="006B4A66">
              <w:rPr>
                <w:rFonts w:eastAsia="Calibri"/>
                <w:color w:val="000000"/>
                <w:vertAlign w:val="superscript"/>
              </w:rPr>
              <w:t>a</w:t>
            </w:r>
          </w:p>
          <w:p w14:paraId="3B789600"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C403.5</w:t>
            </w:r>
            <w:r w:rsidRPr="006B4A66">
              <w:rPr>
                <w:rFonts w:eastAsia="Calibri"/>
                <w:color w:val="000000"/>
                <w:vertAlign w:val="superscript"/>
              </w:rPr>
              <w:t xml:space="preserve">b </w:t>
            </w:r>
            <w:r w:rsidRPr="006B4A66">
              <w:rPr>
                <w:rFonts w:eastAsia="Calibri"/>
                <w:color w:val="000000"/>
              </w:rPr>
              <w:t>(except for certain pre-1991 systems</w:t>
            </w:r>
            <w:r w:rsidRPr="006B4A66">
              <w:rPr>
                <w:rFonts w:eastAsia="Calibri"/>
                <w:color w:val="000000"/>
                <w:vertAlign w:val="superscript"/>
              </w:rPr>
              <w:t>q</w:t>
            </w:r>
            <w:r w:rsidRPr="006B4A66">
              <w:rPr>
                <w:rFonts w:eastAsia="Calibri"/>
                <w:color w:val="000000"/>
              </w:rPr>
              <w:t>)</w:t>
            </w:r>
          </w:p>
        </w:tc>
      </w:tr>
      <w:tr w:rsidR="006B4A66" w:rsidRPr="006B4A66" w14:paraId="476E7A9D" w14:textId="77777777" w:rsidTr="00A76114">
        <w:tc>
          <w:tcPr>
            <w:tcW w:w="2142" w:type="dxa"/>
            <w:vMerge/>
          </w:tcPr>
          <w:p w14:paraId="7B0932CC" w14:textId="77777777" w:rsidR="006B4A66" w:rsidRPr="006B4A66" w:rsidRDefault="006B4A66" w:rsidP="0073496A">
            <w:pPr>
              <w:autoSpaceDE w:val="0"/>
              <w:autoSpaceDN w:val="0"/>
              <w:adjustRightInd w:val="0"/>
              <w:spacing w:line="480" w:lineRule="auto"/>
              <w:rPr>
                <w:rFonts w:eastAsia="Calibri"/>
                <w:color w:val="000000"/>
              </w:rPr>
            </w:pPr>
          </w:p>
        </w:tc>
        <w:tc>
          <w:tcPr>
            <w:tcW w:w="2142" w:type="dxa"/>
            <w:vMerge/>
          </w:tcPr>
          <w:p w14:paraId="2AEEBE7C" w14:textId="77777777" w:rsidR="006B4A66" w:rsidRPr="006B4A66" w:rsidRDefault="006B4A66" w:rsidP="0073496A">
            <w:pPr>
              <w:autoSpaceDE w:val="0"/>
              <w:autoSpaceDN w:val="0"/>
              <w:adjustRightInd w:val="0"/>
              <w:spacing w:line="480" w:lineRule="auto"/>
              <w:rPr>
                <w:rFonts w:eastAsia="Calibri"/>
                <w:color w:val="000000"/>
              </w:rPr>
            </w:pPr>
          </w:p>
        </w:tc>
        <w:tc>
          <w:tcPr>
            <w:tcW w:w="2142" w:type="dxa"/>
          </w:tcPr>
          <w:p w14:paraId="240E76FC"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For all other capacities:</w:t>
            </w:r>
          </w:p>
          <w:p w14:paraId="59F77684"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Efficiency:  min.</w:t>
            </w:r>
            <w:r w:rsidRPr="006B4A66">
              <w:rPr>
                <w:rFonts w:eastAsia="Calibri"/>
                <w:color w:val="000000"/>
                <w:vertAlign w:val="superscript"/>
              </w:rPr>
              <w:t>a</w:t>
            </w:r>
          </w:p>
          <w:p w14:paraId="058A7F0C"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C403.5</w:t>
            </w:r>
            <w:r w:rsidRPr="006B4A66">
              <w:rPr>
                <w:rFonts w:eastAsia="Calibri"/>
                <w:color w:val="000000"/>
                <w:vertAlign w:val="superscript"/>
              </w:rPr>
              <w:t>b</w:t>
            </w:r>
          </w:p>
        </w:tc>
        <w:tc>
          <w:tcPr>
            <w:tcW w:w="2142" w:type="dxa"/>
          </w:tcPr>
          <w:p w14:paraId="2D38A1B6"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For all other capacities:</w:t>
            </w:r>
          </w:p>
          <w:p w14:paraId="70A09F5A"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Efficiency: min.</w:t>
            </w:r>
            <w:r w:rsidRPr="006B4A66">
              <w:rPr>
                <w:rFonts w:eastAsia="Calibri"/>
                <w:color w:val="000000"/>
                <w:vertAlign w:val="superscript"/>
              </w:rPr>
              <w:t>a</w:t>
            </w:r>
          </w:p>
          <w:p w14:paraId="5D0E3089"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C403.5</w:t>
            </w:r>
            <w:r w:rsidRPr="006B4A66">
              <w:rPr>
                <w:rFonts w:eastAsia="Calibri"/>
                <w:color w:val="000000"/>
                <w:vertAlign w:val="superscript"/>
              </w:rPr>
              <w:t>b</w:t>
            </w:r>
          </w:p>
        </w:tc>
        <w:tc>
          <w:tcPr>
            <w:tcW w:w="2142" w:type="dxa"/>
          </w:tcPr>
          <w:p w14:paraId="0468E6E4" w14:textId="77777777" w:rsidR="006B4A66" w:rsidRPr="006B4A66" w:rsidRDefault="006B4A66" w:rsidP="0073496A">
            <w:pPr>
              <w:autoSpaceDE w:val="0"/>
              <w:autoSpaceDN w:val="0"/>
              <w:adjustRightInd w:val="0"/>
              <w:spacing w:line="480" w:lineRule="auto"/>
              <w:rPr>
                <w:rFonts w:eastAsia="Calibri"/>
                <w:color w:val="000000"/>
              </w:rPr>
            </w:pPr>
          </w:p>
        </w:tc>
      </w:tr>
      <w:tr w:rsidR="006B4A66" w:rsidRPr="006B4A66" w14:paraId="4960E8BE" w14:textId="77777777" w:rsidTr="00A76114">
        <w:tc>
          <w:tcPr>
            <w:tcW w:w="2142" w:type="dxa"/>
          </w:tcPr>
          <w:p w14:paraId="7462C54E" w14:textId="77777777" w:rsidR="006B4A66" w:rsidRPr="006B4A66" w:rsidRDefault="006B4A66" w:rsidP="0073496A">
            <w:pPr>
              <w:numPr>
                <w:ilvl w:val="0"/>
                <w:numId w:val="8"/>
              </w:numPr>
              <w:autoSpaceDE w:val="0"/>
              <w:autoSpaceDN w:val="0"/>
              <w:adjustRightInd w:val="0"/>
              <w:spacing w:line="480" w:lineRule="auto"/>
              <w:ind w:left="430"/>
              <w:rPr>
                <w:rFonts w:eastAsia="Calibri"/>
                <w:color w:val="000000"/>
              </w:rPr>
            </w:pPr>
            <w:r w:rsidRPr="006B4A66">
              <w:rPr>
                <w:rFonts w:eastAsia="Calibri"/>
                <w:color w:val="000000"/>
              </w:rPr>
              <w:t>Water economizer using air-cooled heat rejection equipment (dry cooler)</w:t>
            </w:r>
          </w:p>
        </w:tc>
        <w:tc>
          <w:tcPr>
            <w:tcW w:w="2142" w:type="dxa"/>
          </w:tcPr>
          <w:p w14:paraId="0C382D3C"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Efficiency:  min.</w:t>
            </w:r>
            <w:r w:rsidRPr="006B4A66">
              <w:rPr>
                <w:rFonts w:eastAsia="Calibri"/>
                <w:color w:val="000000"/>
                <w:vertAlign w:val="superscript"/>
              </w:rPr>
              <w:t>a</w:t>
            </w:r>
          </w:p>
          <w:p w14:paraId="622C1FDA"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C403.5</w:t>
            </w:r>
            <w:r w:rsidRPr="006B4A66">
              <w:rPr>
                <w:rFonts w:eastAsia="Calibri"/>
                <w:color w:val="000000"/>
                <w:vertAlign w:val="superscript"/>
              </w:rPr>
              <w:t>b</w:t>
            </w:r>
          </w:p>
        </w:tc>
        <w:tc>
          <w:tcPr>
            <w:tcW w:w="2142" w:type="dxa"/>
          </w:tcPr>
          <w:p w14:paraId="51CECBDB" w14:textId="77777777" w:rsidR="006B4A66" w:rsidRPr="006B4A66" w:rsidRDefault="006B4A66" w:rsidP="0073496A">
            <w:pPr>
              <w:autoSpaceDE w:val="0"/>
              <w:autoSpaceDN w:val="0"/>
              <w:adjustRightInd w:val="0"/>
              <w:spacing w:line="480" w:lineRule="auto"/>
              <w:rPr>
                <w:rFonts w:eastAsia="TimesNewRomanPSMT"/>
                <w:color w:val="000000"/>
              </w:rPr>
            </w:pPr>
            <w:r w:rsidRPr="006B4A66">
              <w:rPr>
                <w:rFonts w:eastAsia="TimesNewRomanPSMT"/>
                <w:color w:val="000000"/>
              </w:rPr>
              <w:t>Efficiency:   +5%</w:t>
            </w:r>
            <w:r w:rsidRPr="006B4A66">
              <w:rPr>
                <w:rFonts w:eastAsia="TimesNewRomanPSMT"/>
                <w:color w:val="000000"/>
                <w:vertAlign w:val="superscript"/>
              </w:rPr>
              <w:t>d</w:t>
            </w:r>
          </w:p>
          <w:p w14:paraId="056F6C5A"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shall not decrease existing economizer capability</w:t>
            </w:r>
          </w:p>
        </w:tc>
        <w:tc>
          <w:tcPr>
            <w:tcW w:w="2142" w:type="dxa"/>
          </w:tcPr>
          <w:p w14:paraId="1E9C595E"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Efficiency:  min.</w:t>
            </w:r>
            <w:r w:rsidRPr="006B4A66">
              <w:rPr>
                <w:rFonts w:eastAsia="Calibri"/>
                <w:color w:val="000000"/>
                <w:vertAlign w:val="superscript"/>
              </w:rPr>
              <w:t>a</w:t>
            </w:r>
          </w:p>
          <w:p w14:paraId="6F1D261D"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C403.5</w:t>
            </w:r>
            <w:r w:rsidRPr="006B4A66">
              <w:rPr>
                <w:rFonts w:eastAsia="Calibri"/>
                <w:color w:val="000000"/>
                <w:vertAlign w:val="superscript"/>
              </w:rPr>
              <w:t>b</w:t>
            </w:r>
          </w:p>
        </w:tc>
        <w:tc>
          <w:tcPr>
            <w:tcW w:w="2142" w:type="dxa"/>
          </w:tcPr>
          <w:p w14:paraId="4C4C24DD"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Efficiency:  min.</w:t>
            </w:r>
            <w:r w:rsidRPr="006B4A66">
              <w:rPr>
                <w:rFonts w:eastAsia="Calibri"/>
                <w:color w:val="000000"/>
                <w:vertAlign w:val="superscript"/>
              </w:rPr>
              <w:t>a</w:t>
            </w:r>
          </w:p>
          <w:p w14:paraId="202F15B8"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C403.5</w:t>
            </w:r>
            <w:r w:rsidRPr="006B4A66">
              <w:rPr>
                <w:rFonts w:eastAsia="Calibri"/>
                <w:color w:val="000000"/>
                <w:vertAlign w:val="superscript"/>
              </w:rPr>
              <w:t>b</w:t>
            </w:r>
          </w:p>
        </w:tc>
      </w:tr>
      <w:tr w:rsidR="006B4A66" w:rsidRPr="006B4A66" w14:paraId="651E24BF" w14:textId="77777777" w:rsidTr="00A76114">
        <w:tc>
          <w:tcPr>
            <w:tcW w:w="2142" w:type="dxa"/>
          </w:tcPr>
          <w:p w14:paraId="25CDA401" w14:textId="77777777" w:rsidR="006B4A66" w:rsidRPr="006B4A66" w:rsidRDefault="006B4A66" w:rsidP="0073496A">
            <w:pPr>
              <w:numPr>
                <w:ilvl w:val="0"/>
                <w:numId w:val="8"/>
              </w:numPr>
              <w:autoSpaceDE w:val="0"/>
              <w:autoSpaceDN w:val="0"/>
              <w:adjustRightInd w:val="0"/>
              <w:spacing w:line="480" w:lineRule="auto"/>
              <w:ind w:left="430"/>
              <w:rPr>
                <w:rFonts w:eastAsia="Calibri"/>
                <w:color w:val="000000"/>
              </w:rPr>
            </w:pPr>
            <w:r w:rsidRPr="006B4A66">
              <w:rPr>
                <w:rFonts w:eastAsia="Calibri"/>
                <w:color w:val="000000"/>
              </w:rPr>
              <w:t>Air-handling unit (including fan coil units) where the system has an air-cooled chiller</w:t>
            </w:r>
          </w:p>
        </w:tc>
        <w:tc>
          <w:tcPr>
            <w:tcW w:w="2142" w:type="dxa"/>
          </w:tcPr>
          <w:p w14:paraId="5D19922E"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Efficiency:  min.</w:t>
            </w:r>
            <w:r w:rsidRPr="006B4A66">
              <w:rPr>
                <w:rFonts w:eastAsia="Calibri"/>
                <w:color w:val="000000"/>
                <w:vertAlign w:val="superscript"/>
              </w:rPr>
              <w:t>a</w:t>
            </w:r>
          </w:p>
          <w:p w14:paraId="3909C40E"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C403.5</w:t>
            </w:r>
            <w:r w:rsidRPr="006B4A66">
              <w:rPr>
                <w:rFonts w:eastAsia="Calibri"/>
                <w:color w:val="000000"/>
                <w:vertAlign w:val="superscript"/>
              </w:rPr>
              <w:t>b</w:t>
            </w:r>
          </w:p>
        </w:tc>
        <w:tc>
          <w:tcPr>
            <w:tcW w:w="2142" w:type="dxa"/>
          </w:tcPr>
          <w:p w14:paraId="46B322A7"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shall not decrease existing economizer capacity</w:t>
            </w:r>
          </w:p>
        </w:tc>
        <w:tc>
          <w:tcPr>
            <w:tcW w:w="2142" w:type="dxa"/>
          </w:tcPr>
          <w:p w14:paraId="61454B24"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Efficiency:  min.</w:t>
            </w:r>
            <w:r w:rsidRPr="006B4A66">
              <w:rPr>
                <w:rFonts w:eastAsia="Calibri"/>
                <w:color w:val="000000"/>
                <w:vertAlign w:val="superscript"/>
              </w:rPr>
              <w:t>a</w:t>
            </w:r>
          </w:p>
          <w:p w14:paraId="3A608230"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C403.5</w:t>
            </w:r>
            <w:r w:rsidRPr="006B4A66">
              <w:rPr>
                <w:rFonts w:eastAsia="Calibri"/>
                <w:color w:val="000000"/>
                <w:vertAlign w:val="superscript"/>
              </w:rPr>
              <w:t xml:space="preserve">b </w:t>
            </w:r>
            <w:r w:rsidRPr="006B4A66">
              <w:rPr>
                <w:rFonts w:eastAsia="Calibri"/>
                <w:color w:val="000000"/>
              </w:rPr>
              <w:t>(except for certain pre-1991 systems</w:t>
            </w:r>
            <w:r w:rsidRPr="006B4A66">
              <w:rPr>
                <w:rFonts w:eastAsia="Calibri"/>
                <w:color w:val="000000"/>
                <w:vertAlign w:val="superscript"/>
              </w:rPr>
              <w:t>q</w:t>
            </w:r>
            <w:r w:rsidRPr="006B4A66">
              <w:rPr>
                <w:rFonts w:eastAsia="Calibri"/>
                <w:color w:val="000000"/>
              </w:rPr>
              <w:t>)</w:t>
            </w:r>
          </w:p>
        </w:tc>
        <w:tc>
          <w:tcPr>
            <w:tcW w:w="2142" w:type="dxa"/>
          </w:tcPr>
          <w:p w14:paraId="236F4AAC"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Efficiency:  min.</w:t>
            </w:r>
            <w:r w:rsidRPr="006B4A66">
              <w:rPr>
                <w:rFonts w:eastAsia="Calibri"/>
                <w:color w:val="000000"/>
                <w:vertAlign w:val="superscript"/>
              </w:rPr>
              <w:t>a</w:t>
            </w:r>
          </w:p>
          <w:p w14:paraId="7F907D26"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C403.5</w:t>
            </w:r>
            <w:r w:rsidRPr="006B4A66">
              <w:rPr>
                <w:rFonts w:eastAsia="Calibri"/>
                <w:color w:val="000000"/>
                <w:vertAlign w:val="superscript"/>
              </w:rPr>
              <w:t xml:space="preserve">b </w:t>
            </w:r>
            <w:r w:rsidRPr="006B4A66">
              <w:rPr>
                <w:rFonts w:eastAsia="Calibri"/>
                <w:color w:val="000000"/>
              </w:rPr>
              <w:t>(except for certain pre-1991 systems</w:t>
            </w:r>
            <w:r w:rsidRPr="006B4A66">
              <w:rPr>
                <w:rFonts w:eastAsia="Calibri"/>
                <w:color w:val="000000"/>
                <w:vertAlign w:val="superscript"/>
              </w:rPr>
              <w:t>q</w:t>
            </w:r>
            <w:r w:rsidRPr="006B4A66">
              <w:rPr>
                <w:rFonts w:eastAsia="Calibri"/>
                <w:color w:val="000000"/>
              </w:rPr>
              <w:t>)</w:t>
            </w:r>
          </w:p>
        </w:tc>
      </w:tr>
      <w:tr w:rsidR="006B4A66" w:rsidRPr="006B4A66" w14:paraId="186B7042" w14:textId="77777777" w:rsidTr="00A76114">
        <w:tc>
          <w:tcPr>
            <w:tcW w:w="2142" w:type="dxa"/>
          </w:tcPr>
          <w:p w14:paraId="50749CA9" w14:textId="77777777" w:rsidR="006B4A66" w:rsidRPr="006B4A66" w:rsidRDefault="006B4A66" w:rsidP="0073496A">
            <w:pPr>
              <w:numPr>
                <w:ilvl w:val="0"/>
                <w:numId w:val="8"/>
              </w:numPr>
              <w:autoSpaceDE w:val="0"/>
              <w:autoSpaceDN w:val="0"/>
              <w:adjustRightInd w:val="0"/>
              <w:spacing w:line="480" w:lineRule="auto"/>
              <w:ind w:left="430"/>
              <w:rPr>
                <w:rFonts w:eastAsia="Calibri"/>
                <w:color w:val="000000"/>
              </w:rPr>
            </w:pPr>
            <w:r w:rsidRPr="006B4A66">
              <w:rPr>
                <w:rFonts w:eastAsia="Calibri"/>
                <w:color w:val="000000"/>
              </w:rPr>
              <w:lastRenderedPageBreak/>
              <w:t>Air-handling unit (including fan coil units) and water-cooled process equipment, where the system has a water-cooled chiller</w:t>
            </w:r>
            <w:r w:rsidRPr="006B4A66">
              <w:rPr>
                <w:rFonts w:eastAsia="Calibri"/>
                <w:color w:val="000000"/>
                <w:vertAlign w:val="superscript"/>
              </w:rPr>
              <w:t>j</w:t>
            </w:r>
          </w:p>
        </w:tc>
        <w:tc>
          <w:tcPr>
            <w:tcW w:w="2142" w:type="dxa"/>
          </w:tcPr>
          <w:p w14:paraId="24AAE11A"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Efficiency: min.</w:t>
            </w:r>
            <w:r w:rsidRPr="006B4A66">
              <w:rPr>
                <w:rFonts w:eastAsia="Calibri"/>
                <w:color w:val="000000"/>
                <w:vertAlign w:val="superscript"/>
              </w:rPr>
              <w:t>a</w:t>
            </w:r>
          </w:p>
          <w:p w14:paraId="4A8A76E4"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C403.5</w:t>
            </w:r>
            <w:r w:rsidRPr="006B4A66">
              <w:rPr>
                <w:rFonts w:eastAsia="Calibri"/>
                <w:color w:val="000000"/>
                <w:vertAlign w:val="superscript"/>
              </w:rPr>
              <w:t>b</w:t>
            </w:r>
          </w:p>
        </w:tc>
        <w:tc>
          <w:tcPr>
            <w:tcW w:w="2142" w:type="dxa"/>
          </w:tcPr>
          <w:p w14:paraId="3CFFD781"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shall not decrease existing economizer capacity</w:t>
            </w:r>
          </w:p>
        </w:tc>
        <w:tc>
          <w:tcPr>
            <w:tcW w:w="2142" w:type="dxa"/>
          </w:tcPr>
          <w:p w14:paraId="3DFB3F10"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Efficiency:  min.</w:t>
            </w:r>
            <w:r w:rsidRPr="006B4A66">
              <w:rPr>
                <w:rFonts w:eastAsia="Calibri"/>
                <w:color w:val="000000"/>
                <w:vertAlign w:val="superscript"/>
              </w:rPr>
              <w:t>a</w:t>
            </w:r>
          </w:p>
          <w:p w14:paraId="6AAF226D"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C403.5</w:t>
            </w:r>
            <w:r w:rsidRPr="006B4A66">
              <w:rPr>
                <w:rFonts w:eastAsia="Calibri"/>
                <w:color w:val="000000"/>
                <w:vertAlign w:val="superscript"/>
              </w:rPr>
              <w:t xml:space="preserve">b </w:t>
            </w:r>
            <w:r w:rsidRPr="006B4A66">
              <w:rPr>
                <w:rFonts w:eastAsia="Calibri"/>
                <w:color w:val="000000"/>
              </w:rPr>
              <w:t>(except for certain pre-1991 systems</w:t>
            </w:r>
            <w:r w:rsidRPr="006B4A66">
              <w:rPr>
                <w:rFonts w:eastAsia="Calibri"/>
                <w:color w:val="000000"/>
                <w:vertAlign w:val="superscript"/>
              </w:rPr>
              <w:t xml:space="preserve">h </w:t>
            </w:r>
            <w:r w:rsidRPr="006B4A66">
              <w:rPr>
                <w:rFonts w:eastAsia="Calibri"/>
                <w:color w:val="000000"/>
              </w:rPr>
              <w:t>and certain 1991-2017 systems</w:t>
            </w:r>
            <w:r w:rsidRPr="006B4A66">
              <w:rPr>
                <w:rFonts w:eastAsia="Calibri"/>
                <w:color w:val="000000"/>
                <w:vertAlign w:val="superscript"/>
              </w:rPr>
              <w:t>i</w:t>
            </w:r>
            <w:r w:rsidRPr="006B4A66">
              <w:rPr>
                <w:rFonts w:eastAsia="Calibri"/>
                <w:color w:val="000000"/>
              </w:rPr>
              <w:t>)</w:t>
            </w:r>
          </w:p>
        </w:tc>
        <w:tc>
          <w:tcPr>
            <w:tcW w:w="2142" w:type="dxa"/>
          </w:tcPr>
          <w:p w14:paraId="5BC892BA"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Efficiency:  min.</w:t>
            </w:r>
            <w:r w:rsidRPr="006B4A66">
              <w:rPr>
                <w:rFonts w:eastAsia="Calibri"/>
                <w:color w:val="000000"/>
                <w:vertAlign w:val="superscript"/>
              </w:rPr>
              <w:t>a</w:t>
            </w:r>
          </w:p>
          <w:p w14:paraId="38B1CF53"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C403.5</w:t>
            </w:r>
            <w:r w:rsidRPr="006B4A66">
              <w:rPr>
                <w:rFonts w:eastAsia="Calibri"/>
                <w:color w:val="000000"/>
                <w:vertAlign w:val="superscript"/>
              </w:rPr>
              <w:t xml:space="preserve">b </w:t>
            </w:r>
            <w:r w:rsidRPr="006B4A66">
              <w:rPr>
                <w:rFonts w:eastAsia="Calibri"/>
                <w:color w:val="000000"/>
              </w:rPr>
              <w:t>(except for certain pre-1991 systems</w:t>
            </w:r>
            <w:r w:rsidRPr="006B4A66">
              <w:rPr>
                <w:rFonts w:eastAsia="Calibri"/>
                <w:color w:val="000000"/>
                <w:vertAlign w:val="superscript"/>
              </w:rPr>
              <w:t xml:space="preserve">h </w:t>
            </w:r>
            <w:r w:rsidRPr="006B4A66">
              <w:rPr>
                <w:rFonts w:eastAsia="Calibri"/>
                <w:color w:val="000000"/>
              </w:rPr>
              <w:t>and certain 1991-2017 systems</w:t>
            </w:r>
            <w:r w:rsidRPr="006B4A66">
              <w:rPr>
                <w:rFonts w:eastAsia="Calibri"/>
                <w:color w:val="000000"/>
                <w:vertAlign w:val="superscript"/>
              </w:rPr>
              <w:t>i</w:t>
            </w:r>
            <w:r w:rsidRPr="006B4A66">
              <w:rPr>
                <w:rFonts w:eastAsia="Calibri"/>
                <w:color w:val="000000"/>
              </w:rPr>
              <w:t>)</w:t>
            </w:r>
          </w:p>
        </w:tc>
      </w:tr>
      <w:tr w:rsidR="006B4A66" w:rsidRPr="006B4A66" w14:paraId="435A2409" w14:textId="77777777" w:rsidTr="00A76114">
        <w:tc>
          <w:tcPr>
            <w:tcW w:w="2142" w:type="dxa"/>
          </w:tcPr>
          <w:p w14:paraId="6CBE43EE" w14:textId="77777777" w:rsidR="006B4A66" w:rsidRPr="006B4A66" w:rsidRDefault="006B4A66" w:rsidP="0073496A">
            <w:pPr>
              <w:numPr>
                <w:ilvl w:val="0"/>
                <w:numId w:val="8"/>
              </w:numPr>
              <w:autoSpaceDE w:val="0"/>
              <w:autoSpaceDN w:val="0"/>
              <w:adjustRightInd w:val="0"/>
              <w:spacing w:line="480" w:lineRule="auto"/>
              <w:ind w:left="430"/>
              <w:rPr>
                <w:rFonts w:eastAsia="Calibri"/>
                <w:color w:val="000000"/>
              </w:rPr>
            </w:pPr>
            <w:r w:rsidRPr="006B4A66">
              <w:rPr>
                <w:rFonts w:eastAsia="Calibri"/>
                <w:color w:val="000000"/>
              </w:rPr>
              <w:t>Cooling tower</w:t>
            </w:r>
          </w:p>
        </w:tc>
        <w:tc>
          <w:tcPr>
            <w:tcW w:w="2142" w:type="dxa"/>
          </w:tcPr>
          <w:p w14:paraId="5A40E4E4"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Efficiency:  min.</w:t>
            </w:r>
            <w:r w:rsidRPr="006B4A66">
              <w:rPr>
                <w:rFonts w:eastAsia="Calibri"/>
                <w:color w:val="000000"/>
                <w:vertAlign w:val="superscript"/>
              </w:rPr>
              <w:t>a</w:t>
            </w:r>
          </w:p>
          <w:p w14:paraId="0699DA2B"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C403.5</w:t>
            </w:r>
            <w:r w:rsidRPr="006B4A66">
              <w:rPr>
                <w:rFonts w:eastAsia="Calibri"/>
                <w:color w:val="000000"/>
                <w:vertAlign w:val="superscript"/>
              </w:rPr>
              <w:t>b</w:t>
            </w:r>
          </w:p>
        </w:tc>
        <w:tc>
          <w:tcPr>
            <w:tcW w:w="2142" w:type="dxa"/>
          </w:tcPr>
          <w:p w14:paraId="57536735"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No requirements</w:t>
            </w:r>
          </w:p>
        </w:tc>
        <w:tc>
          <w:tcPr>
            <w:tcW w:w="2142" w:type="dxa"/>
          </w:tcPr>
          <w:p w14:paraId="35AB2FF3"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Efficiency:  min.</w:t>
            </w:r>
            <w:r w:rsidRPr="006B4A66">
              <w:rPr>
                <w:rFonts w:eastAsia="Calibri"/>
                <w:color w:val="000000"/>
                <w:vertAlign w:val="superscript"/>
              </w:rPr>
              <w:t>a</w:t>
            </w:r>
          </w:p>
          <w:p w14:paraId="035B5300"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C403.5</w:t>
            </w:r>
            <w:r w:rsidRPr="006B4A66">
              <w:rPr>
                <w:rFonts w:eastAsia="Calibri"/>
                <w:color w:val="000000"/>
                <w:vertAlign w:val="superscript"/>
              </w:rPr>
              <w:t>b</w:t>
            </w:r>
          </w:p>
        </w:tc>
        <w:tc>
          <w:tcPr>
            <w:tcW w:w="2142" w:type="dxa"/>
          </w:tcPr>
          <w:p w14:paraId="618BD2AE"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Efficiency:  min.</w:t>
            </w:r>
            <w:r w:rsidRPr="006B4A66">
              <w:rPr>
                <w:rFonts w:eastAsia="Calibri"/>
                <w:color w:val="000000"/>
                <w:vertAlign w:val="superscript"/>
              </w:rPr>
              <w:t>a</w:t>
            </w:r>
          </w:p>
          <w:p w14:paraId="4C1E5971"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C403.5</w:t>
            </w:r>
            <w:r w:rsidRPr="006B4A66">
              <w:rPr>
                <w:rFonts w:eastAsia="Calibri"/>
                <w:color w:val="000000"/>
                <w:vertAlign w:val="superscript"/>
              </w:rPr>
              <w:t>b</w:t>
            </w:r>
          </w:p>
        </w:tc>
      </w:tr>
      <w:tr w:rsidR="006B4A66" w:rsidRPr="006B4A66" w14:paraId="595977E5" w14:textId="77777777" w:rsidTr="00A76114">
        <w:tc>
          <w:tcPr>
            <w:tcW w:w="2142" w:type="dxa"/>
          </w:tcPr>
          <w:p w14:paraId="74253AE4" w14:textId="77777777" w:rsidR="006B4A66" w:rsidRPr="006B4A66" w:rsidRDefault="006B4A66" w:rsidP="0073496A">
            <w:pPr>
              <w:numPr>
                <w:ilvl w:val="0"/>
                <w:numId w:val="8"/>
              </w:numPr>
              <w:autoSpaceDE w:val="0"/>
              <w:autoSpaceDN w:val="0"/>
              <w:adjustRightInd w:val="0"/>
              <w:spacing w:line="480" w:lineRule="auto"/>
              <w:ind w:left="430"/>
              <w:rPr>
                <w:rFonts w:eastAsia="Calibri"/>
                <w:color w:val="000000"/>
              </w:rPr>
            </w:pPr>
            <w:r w:rsidRPr="006B4A66">
              <w:rPr>
                <w:rFonts w:eastAsia="Calibri"/>
                <w:color w:val="000000"/>
              </w:rPr>
              <w:t>Air-cooled chiller</w:t>
            </w:r>
          </w:p>
        </w:tc>
        <w:tc>
          <w:tcPr>
            <w:tcW w:w="2142" w:type="dxa"/>
          </w:tcPr>
          <w:p w14:paraId="535143EC"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Efficiency:  min.</w:t>
            </w:r>
            <w:r w:rsidRPr="006B4A66">
              <w:rPr>
                <w:rFonts w:eastAsia="Calibri"/>
                <w:color w:val="000000"/>
                <w:vertAlign w:val="superscript"/>
              </w:rPr>
              <w:t>a</w:t>
            </w:r>
          </w:p>
          <w:p w14:paraId="6FA7A1C1"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C403.5</w:t>
            </w:r>
            <w:r w:rsidRPr="006B4A66">
              <w:rPr>
                <w:rFonts w:eastAsia="Calibri"/>
                <w:color w:val="000000"/>
                <w:vertAlign w:val="superscript"/>
              </w:rPr>
              <w:t>b</w:t>
            </w:r>
          </w:p>
        </w:tc>
        <w:tc>
          <w:tcPr>
            <w:tcW w:w="2142" w:type="dxa"/>
          </w:tcPr>
          <w:p w14:paraId="0CF54DF8" w14:textId="77777777" w:rsidR="006B4A66" w:rsidRPr="006B4A66" w:rsidRDefault="006B4A66" w:rsidP="0073496A">
            <w:pPr>
              <w:autoSpaceDE w:val="0"/>
              <w:autoSpaceDN w:val="0"/>
              <w:adjustRightInd w:val="0"/>
              <w:spacing w:line="480" w:lineRule="auto"/>
              <w:rPr>
                <w:rFonts w:eastAsia="TimesNewRomanPSMT"/>
                <w:color w:val="000000"/>
              </w:rPr>
            </w:pPr>
            <w:r w:rsidRPr="006B4A66">
              <w:rPr>
                <w:rFonts w:eastAsia="TimesNewRomanPSMT"/>
                <w:color w:val="000000"/>
              </w:rPr>
              <w:t>Efficiency:  +10%</w:t>
            </w:r>
            <w:r w:rsidRPr="006B4A66">
              <w:rPr>
                <w:rFonts w:eastAsia="TimesNewRomanPSMT"/>
                <w:color w:val="000000"/>
                <w:vertAlign w:val="superscript"/>
              </w:rPr>
              <w:t>k</w:t>
            </w:r>
          </w:p>
          <w:p w14:paraId="39BCE974"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shall not decrease existing economizer capability</w:t>
            </w:r>
          </w:p>
        </w:tc>
        <w:tc>
          <w:tcPr>
            <w:tcW w:w="2142" w:type="dxa"/>
          </w:tcPr>
          <w:p w14:paraId="1F54D020"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Efficiency:  comply with both measures:</w:t>
            </w:r>
          </w:p>
          <w:p w14:paraId="13C10BF5"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1.  +10%</w:t>
            </w:r>
            <w:r w:rsidRPr="006B4A66">
              <w:rPr>
                <w:rFonts w:eastAsia="Calibri"/>
                <w:color w:val="000000"/>
                <w:vertAlign w:val="superscript"/>
              </w:rPr>
              <w:t>k, l</w:t>
            </w:r>
            <w:r w:rsidRPr="006B4A66">
              <w:rPr>
                <w:rFonts w:eastAsia="Calibri"/>
                <w:color w:val="000000"/>
              </w:rPr>
              <w:t>;</w:t>
            </w:r>
            <w:r w:rsidRPr="006B4A66">
              <w:rPr>
                <w:rFonts w:eastAsia="Calibri"/>
                <w:color w:val="000000"/>
                <w:vertAlign w:val="superscript"/>
              </w:rPr>
              <w:t xml:space="preserve"> </w:t>
            </w:r>
            <w:r w:rsidRPr="006B4A66">
              <w:rPr>
                <w:rFonts w:eastAsia="Calibri"/>
                <w:color w:val="000000"/>
              </w:rPr>
              <w:t>and</w:t>
            </w:r>
          </w:p>
          <w:p w14:paraId="6FF46F8C"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2.  Multistage compressor(s)</w:t>
            </w:r>
          </w:p>
          <w:p w14:paraId="0F683AE2"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shall not decrease existing economizer capacity</w:t>
            </w:r>
          </w:p>
        </w:tc>
        <w:tc>
          <w:tcPr>
            <w:tcW w:w="2142" w:type="dxa"/>
          </w:tcPr>
          <w:p w14:paraId="2CA7AEAB"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Efficiency:  min.</w:t>
            </w:r>
            <w:r w:rsidRPr="006B4A66">
              <w:rPr>
                <w:rFonts w:eastAsia="Calibri"/>
                <w:color w:val="000000"/>
                <w:vertAlign w:val="superscript"/>
              </w:rPr>
              <w:t>a</w:t>
            </w:r>
          </w:p>
          <w:p w14:paraId="37E4A34C"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C403.5</w:t>
            </w:r>
            <w:r w:rsidRPr="006B4A66">
              <w:rPr>
                <w:rFonts w:eastAsia="Calibri"/>
                <w:color w:val="000000"/>
                <w:vertAlign w:val="superscript"/>
              </w:rPr>
              <w:t>b</w:t>
            </w:r>
          </w:p>
        </w:tc>
      </w:tr>
      <w:tr w:rsidR="006B4A66" w:rsidRPr="006B4A66" w14:paraId="33F0D6FE" w14:textId="77777777" w:rsidTr="00A76114">
        <w:tc>
          <w:tcPr>
            <w:tcW w:w="2142" w:type="dxa"/>
          </w:tcPr>
          <w:p w14:paraId="58596B80" w14:textId="77777777" w:rsidR="006B4A66" w:rsidRPr="006B4A66" w:rsidRDefault="006B4A66" w:rsidP="0073496A">
            <w:pPr>
              <w:numPr>
                <w:ilvl w:val="0"/>
                <w:numId w:val="8"/>
              </w:numPr>
              <w:autoSpaceDE w:val="0"/>
              <w:autoSpaceDN w:val="0"/>
              <w:adjustRightInd w:val="0"/>
              <w:spacing w:line="480" w:lineRule="auto"/>
              <w:ind w:left="430"/>
              <w:rPr>
                <w:rFonts w:eastAsia="Calibri"/>
                <w:color w:val="000000"/>
              </w:rPr>
            </w:pPr>
            <w:r w:rsidRPr="006B4A66">
              <w:rPr>
                <w:rFonts w:eastAsia="Calibri"/>
                <w:color w:val="000000"/>
              </w:rPr>
              <w:t>Water-cooled chiller</w:t>
            </w:r>
          </w:p>
        </w:tc>
        <w:tc>
          <w:tcPr>
            <w:tcW w:w="2142" w:type="dxa"/>
          </w:tcPr>
          <w:p w14:paraId="797DE922"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Efficiency:  min.</w:t>
            </w:r>
            <w:r w:rsidRPr="006B4A66">
              <w:rPr>
                <w:rFonts w:eastAsia="Calibri"/>
                <w:color w:val="000000"/>
                <w:vertAlign w:val="superscript"/>
              </w:rPr>
              <w:t>a</w:t>
            </w:r>
          </w:p>
          <w:p w14:paraId="6E65C32C"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C403.5</w:t>
            </w:r>
            <w:r w:rsidRPr="006B4A66">
              <w:rPr>
                <w:rFonts w:eastAsia="Calibri"/>
                <w:color w:val="000000"/>
                <w:vertAlign w:val="superscript"/>
              </w:rPr>
              <w:t>b</w:t>
            </w:r>
          </w:p>
        </w:tc>
        <w:tc>
          <w:tcPr>
            <w:tcW w:w="2142" w:type="dxa"/>
          </w:tcPr>
          <w:p w14:paraId="50FD58B5"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Efficiency:  comply with at least one of two measures:</w:t>
            </w:r>
          </w:p>
          <w:p w14:paraId="2240FCFC"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1.  Part load IPLV + 15%</w:t>
            </w:r>
            <w:r w:rsidRPr="006B4A66">
              <w:rPr>
                <w:rFonts w:eastAsia="Calibri"/>
                <w:color w:val="000000"/>
                <w:vertAlign w:val="superscript"/>
              </w:rPr>
              <w:t>n</w:t>
            </w:r>
            <w:r w:rsidRPr="006B4A66">
              <w:rPr>
                <w:rFonts w:eastAsia="Calibri"/>
                <w:color w:val="000000"/>
              </w:rPr>
              <w:t>;</w:t>
            </w:r>
            <w:r w:rsidRPr="006B4A66">
              <w:rPr>
                <w:rFonts w:eastAsia="Calibri"/>
                <w:color w:val="000000"/>
                <w:vertAlign w:val="superscript"/>
              </w:rPr>
              <w:t xml:space="preserve"> </w:t>
            </w:r>
            <w:r w:rsidRPr="006B4A66">
              <w:rPr>
                <w:rFonts w:eastAsia="Calibri"/>
                <w:color w:val="000000"/>
              </w:rPr>
              <w:t>or</w:t>
            </w:r>
          </w:p>
          <w:p w14:paraId="3236123C" w14:textId="77777777" w:rsidR="006B4A66" w:rsidRPr="006B4A66" w:rsidRDefault="006B4A66" w:rsidP="0073496A">
            <w:pPr>
              <w:autoSpaceDE w:val="0"/>
              <w:autoSpaceDN w:val="0"/>
              <w:adjustRightInd w:val="0"/>
              <w:spacing w:line="480" w:lineRule="auto"/>
              <w:rPr>
                <w:rFonts w:eastAsia="Calibri"/>
                <w:color w:val="000000"/>
                <w:vertAlign w:val="superscript"/>
              </w:rPr>
            </w:pPr>
            <w:r w:rsidRPr="006B4A66">
              <w:rPr>
                <w:rFonts w:eastAsia="Calibri"/>
                <w:color w:val="000000"/>
              </w:rPr>
              <w:t>2.  Plate frame heat exchanger</w:t>
            </w:r>
            <w:r w:rsidRPr="006B4A66">
              <w:rPr>
                <w:rFonts w:eastAsia="Calibri"/>
                <w:color w:val="000000"/>
                <w:vertAlign w:val="superscript"/>
              </w:rPr>
              <w:t>o</w:t>
            </w:r>
          </w:p>
          <w:p w14:paraId="5F665499"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shall not decrease</w:t>
            </w:r>
            <w:r w:rsidRPr="006B4A66">
              <w:rPr>
                <w:rFonts w:eastAsia="Calibri"/>
                <w:color w:val="000000"/>
                <w:vertAlign w:val="superscript"/>
              </w:rPr>
              <w:t xml:space="preserve"> </w:t>
            </w:r>
            <w:r w:rsidRPr="006B4A66">
              <w:rPr>
                <w:rFonts w:eastAsia="Calibri"/>
                <w:color w:val="000000"/>
              </w:rPr>
              <w:t>existing economizer capacity</w:t>
            </w:r>
          </w:p>
        </w:tc>
        <w:tc>
          <w:tcPr>
            <w:tcW w:w="2142" w:type="dxa"/>
          </w:tcPr>
          <w:p w14:paraId="73C85263"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Efficiency:  comply with at least one of two measures:</w:t>
            </w:r>
          </w:p>
          <w:p w14:paraId="670D93E0"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1.  Part load IPLV + 15%</w:t>
            </w:r>
            <w:r w:rsidRPr="006B4A66">
              <w:rPr>
                <w:rFonts w:eastAsia="Calibri"/>
                <w:color w:val="000000"/>
                <w:vertAlign w:val="superscript"/>
              </w:rPr>
              <w:t>n</w:t>
            </w:r>
            <w:r w:rsidRPr="006B4A66">
              <w:rPr>
                <w:rFonts w:eastAsia="Calibri"/>
                <w:color w:val="000000"/>
              </w:rPr>
              <w:t>;</w:t>
            </w:r>
            <w:r w:rsidRPr="006B4A66">
              <w:rPr>
                <w:rFonts w:eastAsia="Calibri"/>
                <w:color w:val="000000"/>
                <w:vertAlign w:val="superscript"/>
              </w:rPr>
              <w:t xml:space="preserve"> </w:t>
            </w:r>
            <w:r w:rsidRPr="006B4A66">
              <w:rPr>
                <w:rFonts w:eastAsia="Calibri"/>
                <w:color w:val="000000"/>
              </w:rPr>
              <w:t>or</w:t>
            </w:r>
          </w:p>
          <w:p w14:paraId="0EEEF895" w14:textId="77777777" w:rsidR="006B4A66" w:rsidRPr="006B4A66" w:rsidRDefault="006B4A66" w:rsidP="0073496A">
            <w:pPr>
              <w:autoSpaceDE w:val="0"/>
              <w:autoSpaceDN w:val="0"/>
              <w:adjustRightInd w:val="0"/>
              <w:spacing w:line="480" w:lineRule="auto"/>
              <w:rPr>
                <w:rFonts w:eastAsia="Calibri"/>
                <w:color w:val="000000"/>
                <w:vertAlign w:val="superscript"/>
              </w:rPr>
            </w:pPr>
            <w:r w:rsidRPr="006B4A66">
              <w:rPr>
                <w:rFonts w:eastAsia="Calibri"/>
                <w:color w:val="000000"/>
              </w:rPr>
              <w:t>2.  Plate frame heat exchanger</w:t>
            </w:r>
            <w:r w:rsidRPr="006B4A66">
              <w:rPr>
                <w:rFonts w:eastAsia="Calibri"/>
                <w:color w:val="000000"/>
                <w:vertAlign w:val="superscript"/>
              </w:rPr>
              <w:t>o</w:t>
            </w:r>
          </w:p>
          <w:p w14:paraId="00C31771"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shall not decrease</w:t>
            </w:r>
            <w:r w:rsidRPr="006B4A66">
              <w:rPr>
                <w:rFonts w:eastAsia="Calibri"/>
                <w:color w:val="000000"/>
                <w:vertAlign w:val="superscript"/>
              </w:rPr>
              <w:t xml:space="preserve"> </w:t>
            </w:r>
            <w:r w:rsidRPr="006B4A66">
              <w:rPr>
                <w:rFonts w:eastAsia="Calibri"/>
                <w:color w:val="000000"/>
              </w:rPr>
              <w:t>existing economizer capacity</w:t>
            </w:r>
          </w:p>
        </w:tc>
        <w:tc>
          <w:tcPr>
            <w:tcW w:w="2142" w:type="dxa"/>
          </w:tcPr>
          <w:p w14:paraId="5766FD13"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Efficiency:  min.</w:t>
            </w:r>
            <w:r w:rsidRPr="006B4A66">
              <w:rPr>
                <w:rFonts w:eastAsia="Calibri"/>
                <w:color w:val="000000"/>
                <w:vertAlign w:val="superscript"/>
              </w:rPr>
              <w:t>a</w:t>
            </w:r>
          </w:p>
          <w:p w14:paraId="2507B67E"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C403.5</w:t>
            </w:r>
            <w:r w:rsidRPr="006B4A66">
              <w:rPr>
                <w:rFonts w:eastAsia="Calibri"/>
                <w:color w:val="000000"/>
                <w:vertAlign w:val="superscript"/>
              </w:rPr>
              <w:t>b</w:t>
            </w:r>
          </w:p>
        </w:tc>
      </w:tr>
      <w:tr w:rsidR="006B4A66" w:rsidRPr="006B4A66" w14:paraId="5D2F6804" w14:textId="77777777" w:rsidTr="00A76114">
        <w:tc>
          <w:tcPr>
            <w:tcW w:w="2142" w:type="dxa"/>
          </w:tcPr>
          <w:p w14:paraId="3974923C" w14:textId="77777777" w:rsidR="006B4A66" w:rsidRPr="006B4A66" w:rsidRDefault="006B4A66" w:rsidP="0073496A">
            <w:pPr>
              <w:numPr>
                <w:ilvl w:val="0"/>
                <w:numId w:val="8"/>
              </w:numPr>
              <w:autoSpaceDE w:val="0"/>
              <w:autoSpaceDN w:val="0"/>
              <w:adjustRightInd w:val="0"/>
              <w:spacing w:line="480" w:lineRule="auto"/>
              <w:ind w:left="430"/>
              <w:rPr>
                <w:rFonts w:eastAsia="Calibri"/>
                <w:color w:val="000000"/>
              </w:rPr>
            </w:pPr>
            <w:r w:rsidRPr="006B4A66">
              <w:rPr>
                <w:rFonts w:eastAsia="Calibri"/>
                <w:color w:val="000000"/>
              </w:rPr>
              <w:lastRenderedPageBreak/>
              <w:t>Package terminal air conditioner</w:t>
            </w:r>
          </w:p>
        </w:tc>
        <w:tc>
          <w:tcPr>
            <w:tcW w:w="2142" w:type="dxa"/>
          </w:tcPr>
          <w:p w14:paraId="481AD7F8"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Efficiency: min.</w:t>
            </w:r>
            <w:r w:rsidRPr="006B4A66">
              <w:rPr>
                <w:rFonts w:eastAsia="Calibri"/>
                <w:color w:val="000000"/>
                <w:vertAlign w:val="superscript"/>
              </w:rPr>
              <w:t>a</w:t>
            </w:r>
          </w:p>
          <w:p w14:paraId="48DC2C92"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C403.5</w:t>
            </w:r>
            <w:r w:rsidRPr="006B4A66">
              <w:rPr>
                <w:rFonts w:eastAsia="Calibri"/>
                <w:color w:val="000000"/>
                <w:vertAlign w:val="superscript"/>
              </w:rPr>
              <w:t>b</w:t>
            </w:r>
          </w:p>
        </w:tc>
        <w:tc>
          <w:tcPr>
            <w:tcW w:w="2142" w:type="dxa"/>
          </w:tcPr>
          <w:p w14:paraId="41A6B0F5" w14:textId="77777777" w:rsidR="006B4A66" w:rsidRPr="006B4A66" w:rsidRDefault="006B4A66" w:rsidP="0073496A">
            <w:pPr>
              <w:autoSpaceDE w:val="0"/>
              <w:autoSpaceDN w:val="0"/>
              <w:adjustRightInd w:val="0"/>
              <w:spacing w:line="480" w:lineRule="auto"/>
              <w:rPr>
                <w:rFonts w:eastAsia="TimesNewRomanPSMT"/>
                <w:color w:val="000000"/>
              </w:rPr>
            </w:pPr>
            <w:r w:rsidRPr="006B4A66">
              <w:rPr>
                <w:rFonts w:eastAsia="TimesNewRomanPSMT"/>
                <w:color w:val="000000"/>
              </w:rPr>
              <w:t>Efficiency:  +5%</w:t>
            </w:r>
            <w:r w:rsidRPr="006B4A66">
              <w:rPr>
                <w:rFonts w:eastAsia="TimesNewRomanPSMT"/>
                <w:color w:val="000000"/>
                <w:vertAlign w:val="superscript"/>
              </w:rPr>
              <w:t>a</w:t>
            </w:r>
          </w:p>
          <w:p w14:paraId="32DF91A1"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shall not decrease existing economizer capability</w:t>
            </w:r>
          </w:p>
        </w:tc>
        <w:tc>
          <w:tcPr>
            <w:tcW w:w="2142" w:type="dxa"/>
          </w:tcPr>
          <w:p w14:paraId="45E2932C" w14:textId="77777777" w:rsidR="006B4A66" w:rsidRPr="006B4A66" w:rsidRDefault="006B4A66" w:rsidP="0073496A">
            <w:pPr>
              <w:autoSpaceDE w:val="0"/>
              <w:autoSpaceDN w:val="0"/>
              <w:adjustRightInd w:val="0"/>
              <w:spacing w:line="480" w:lineRule="auto"/>
              <w:rPr>
                <w:rFonts w:eastAsia="TimesNewRomanPSMT"/>
                <w:color w:val="000000"/>
              </w:rPr>
            </w:pPr>
            <w:r w:rsidRPr="006B4A66">
              <w:rPr>
                <w:rFonts w:eastAsia="TimesNewRomanPSMT"/>
                <w:color w:val="000000"/>
              </w:rPr>
              <w:t>Efficiency:  +5%</w:t>
            </w:r>
            <w:r w:rsidRPr="006B4A66">
              <w:rPr>
                <w:rFonts w:eastAsia="TimesNewRomanPSMT"/>
                <w:color w:val="000000"/>
                <w:vertAlign w:val="superscript"/>
              </w:rPr>
              <w:t>a</w:t>
            </w:r>
          </w:p>
          <w:p w14:paraId="2034D5FA"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shall not decrease existing economizer capability</w:t>
            </w:r>
          </w:p>
        </w:tc>
        <w:tc>
          <w:tcPr>
            <w:tcW w:w="2142" w:type="dxa"/>
          </w:tcPr>
          <w:p w14:paraId="2601AD3E"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Efficiency: min.</w:t>
            </w:r>
            <w:r w:rsidRPr="006B4A66">
              <w:rPr>
                <w:rFonts w:eastAsia="Calibri"/>
                <w:color w:val="000000"/>
                <w:vertAlign w:val="superscript"/>
              </w:rPr>
              <w:t>a</w:t>
            </w:r>
          </w:p>
          <w:p w14:paraId="295FD9B3"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C403.5</w:t>
            </w:r>
            <w:r w:rsidRPr="006B4A66">
              <w:rPr>
                <w:rFonts w:eastAsia="Calibri"/>
                <w:color w:val="000000"/>
                <w:vertAlign w:val="superscript"/>
              </w:rPr>
              <w:t>b</w:t>
            </w:r>
          </w:p>
        </w:tc>
      </w:tr>
      <w:tr w:rsidR="006B4A66" w:rsidRPr="006B4A66" w14:paraId="12F0D803" w14:textId="77777777" w:rsidTr="00A76114">
        <w:tc>
          <w:tcPr>
            <w:tcW w:w="2142" w:type="dxa"/>
          </w:tcPr>
          <w:p w14:paraId="7EB63FEF" w14:textId="77777777" w:rsidR="006B4A66" w:rsidRPr="006B4A66" w:rsidRDefault="006B4A66" w:rsidP="0073496A">
            <w:pPr>
              <w:numPr>
                <w:ilvl w:val="0"/>
                <w:numId w:val="8"/>
              </w:numPr>
              <w:autoSpaceDE w:val="0"/>
              <w:autoSpaceDN w:val="0"/>
              <w:adjustRightInd w:val="0"/>
              <w:spacing w:line="480" w:lineRule="auto"/>
              <w:ind w:left="430"/>
              <w:rPr>
                <w:rFonts w:eastAsia="Calibri"/>
                <w:color w:val="000000"/>
              </w:rPr>
            </w:pPr>
            <w:r w:rsidRPr="006B4A66">
              <w:rPr>
                <w:rFonts w:eastAsia="Calibri"/>
                <w:color w:val="000000"/>
              </w:rPr>
              <w:t>Package terminal heat pump</w:t>
            </w:r>
          </w:p>
        </w:tc>
        <w:tc>
          <w:tcPr>
            <w:tcW w:w="2142" w:type="dxa"/>
          </w:tcPr>
          <w:p w14:paraId="30BFB5E7"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Efficiency: min.</w:t>
            </w:r>
            <w:r w:rsidRPr="006B4A66">
              <w:rPr>
                <w:rFonts w:eastAsia="Calibri"/>
                <w:color w:val="000000"/>
                <w:vertAlign w:val="superscript"/>
              </w:rPr>
              <w:t>a</w:t>
            </w:r>
          </w:p>
          <w:p w14:paraId="45B21EFB"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C403.5</w:t>
            </w:r>
            <w:r w:rsidRPr="006B4A66">
              <w:rPr>
                <w:rFonts w:eastAsia="Calibri"/>
                <w:color w:val="000000"/>
                <w:vertAlign w:val="superscript"/>
              </w:rPr>
              <w:t>b</w:t>
            </w:r>
          </w:p>
        </w:tc>
        <w:tc>
          <w:tcPr>
            <w:tcW w:w="2142" w:type="dxa"/>
          </w:tcPr>
          <w:p w14:paraId="5D5B68A3"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Cooling efficiency:  +5%</w:t>
            </w:r>
            <w:r w:rsidRPr="006B4A66">
              <w:rPr>
                <w:rFonts w:eastAsia="Calibri"/>
                <w:color w:val="000000"/>
                <w:vertAlign w:val="superscript"/>
              </w:rPr>
              <w:t>d</w:t>
            </w:r>
          </w:p>
          <w:p w14:paraId="16CA0CCF"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Heating efficiency:  +10%</w:t>
            </w:r>
            <w:r w:rsidRPr="006B4A66">
              <w:rPr>
                <w:rFonts w:eastAsia="Calibri"/>
                <w:color w:val="000000"/>
                <w:vertAlign w:val="superscript"/>
              </w:rPr>
              <w:t>e</w:t>
            </w:r>
          </w:p>
          <w:p w14:paraId="605A21A3"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Shall not decrease existing economizer capacity</w:t>
            </w:r>
          </w:p>
        </w:tc>
        <w:tc>
          <w:tcPr>
            <w:tcW w:w="2142" w:type="dxa"/>
          </w:tcPr>
          <w:p w14:paraId="7CC94C25"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Cooling efficiency:  +5%</w:t>
            </w:r>
            <w:r w:rsidRPr="006B4A66">
              <w:rPr>
                <w:rFonts w:eastAsia="Calibri"/>
                <w:color w:val="000000"/>
                <w:vertAlign w:val="superscript"/>
              </w:rPr>
              <w:t>d</w:t>
            </w:r>
          </w:p>
          <w:p w14:paraId="517B10CA"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Heating efficiency:  +10%</w:t>
            </w:r>
            <w:r w:rsidRPr="006B4A66">
              <w:rPr>
                <w:rFonts w:eastAsia="Calibri"/>
                <w:color w:val="000000"/>
                <w:vertAlign w:val="superscript"/>
              </w:rPr>
              <w:t>e</w:t>
            </w:r>
          </w:p>
          <w:p w14:paraId="793FFE34"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Shall not decrease existing economizer capacity</w:t>
            </w:r>
          </w:p>
        </w:tc>
        <w:tc>
          <w:tcPr>
            <w:tcW w:w="2142" w:type="dxa"/>
          </w:tcPr>
          <w:p w14:paraId="27081584"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Efficiency: min.</w:t>
            </w:r>
            <w:r w:rsidRPr="006B4A66">
              <w:rPr>
                <w:rFonts w:eastAsia="Calibri"/>
                <w:color w:val="000000"/>
                <w:vertAlign w:val="superscript"/>
              </w:rPr>
              <w:t>a</w:t>
            </w:r>
          </w:p>
          <w:p w14:paraId="7C2E2FE8" w14:textId="77777777" w:rsidR="006B4A66" w:rsidRPr="006B4A66" w:rsidRDefault="006B4A66" w:rsidP="0073496A">
            <w:pPr>
              <w:autoSpaceDE w:val="0"/>
              <w:autoSpaceDN w:val="0"/>
              <w:adjustRightInd w:val="0"/>
              <w:spacing w:line="480" w:lineRule="auto"/>
              <w:rPr>
                <w:rFonts w:eastAsia="Calibri"/>
                <w:color w:val="000000"/>
              </w:rPr>
            </w:pPr>
            <w:r w:rsidRPr="006B4A66">
              <w:rPr>
                <w:rFonts w:eastAsia="Calibri"/>
                <w:color w:val="000000"/>
              </w:rPr>
              <w:t>Economizer: C403.5</w:t>
            </w:r>
            <w:r w:rsidRPr="006B4A66">
              <w:rPr>
                <w:rFonts w:eastAsia="Calibri"/>
                <w:color w:val="000000"/>
                <w:vertAlign w:val="superscript"/>
              </w:rPr>
              <w:t>b</w:t>
            </w:r>
          </w:p>
        </w:tc>
      </w:tr>
    </w:tbl>
    <w:p w14:paraId="3C9BA0F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Footnotes:</w:t>
      </w:r>
    </w:p>
    <w:p w14:paraId="397AEE3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a.  Minimum equipment efficiency shall comply with WSEC C403.3.2 and the tables in WSEC C403.3.2.</w:t>
      </w:r>
    </w:p>
    <w:p w14:paraId="3C11563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b.  All separate new equipment and replacement equipment shall have air economizer complying with WSEC C403.5 including both the individual unit size limits and the total building capacity limits on units without economizer.  It is acceptable to comply using one of the exceptions to WSEC C403.5.</w:t>
      </w:r>
    </w:p>
    <w:p w14:paraId="0025A2E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c.  Reserved.</w:t>
      </w:r>
    </w:p>
    <w:p w14:paraId="3EE805E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d.  Equipment shall have a capacity-weighted average cooling system efficiency that is 5% better than the requirements in the tables in WSEC C403.3.2 (1.05 × values in the tables).</w:t>
      </w:r>
    </w:p>
    <w:p w14:paraId="66369A4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e.  Equipment shall have a capacity-weighted average cooling system efficiency that is 10% better than the requirements in the tables in WSEC C403.3.2 (1.10 × values in the tables).</w:t>
      </w:r>
    </w:p>
    <w:p w14:paraId="57C867B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f.  Minimum of 50 percent air economizer that is ducted in a fully enclosed path directly to every heat pump unit in each zone, except that ducts may terminate within 12 inches (305 millimeters) of the intake to an HVAC unit provided that they are physically fastened so that the outside air duct is directed into the unit intake.  If this is an increase in the amount of outside air supplied to this unit, the outside air supply system shall be configured to provide this additional outside air and be equipped with economizer control.</w:t>
      </w:r>
    </w:p>
    <w:p w14:paraId="3E40730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g.  Water-source heat pump systems shall have a flow control valve to eliminate flow through the heat pumps that are not in operation and variable speed pumping control complying with WSEC C403.4.3 for that heat pump.</w:t>
      </w:r>
    </w:p>
    <w:p w14:paraId="4988FA2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When the total capacity of all units with flow control valves exceeds 15 percent of the total system capacity, a variable frequency drive shall be installed on the main loop pump.</w:t>
      </w:r>
    </w:p>
    <w:p w14:paraId="26F18F9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As an alternate to this requirement, the capacity-weighted average cooling system efficiency shall be 5 percent better than the requirements in footnote e for water-source heat pumps (i.e., a minimum of 15 percent greater than the requirements in WSEC Table C403.3.2 (14)).</w:t>
      </w:r>
    </w:p>
    <w:p w14:paraId="1C1F9E5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h.  Water economizer equipment shall have a capacity-weighted average cooling system efficiency that is 10 percent better than the requirements in WSEC Tables C403.3.2 (7), C403.3.2(10), and C403.3.2 (16) (1.10 × values in WSEC Tables C403.3.2 (7), C403.3.2(10), and C403.3.2 (16)).</w:t>
      </w:r>
    </w:p>
    <w:p w14:paraId="040AC98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i.  Air economizer is not required for systems installed with water economizer plate and frame heat exchanger complying with previous codes between 1991 and June </w:t>
      </w:r>
      <w:r w:rsidRPr="006B4A66">
        <w:rPr>
          <w:rFonts w:ascii="Times New Roman" w:eastAsia="Calibri" w:hAnsi="Times New Roman" w:cs="Times New Roman"/>
          <w:color w:val="000000"/>
          <w:kern w:val="0"/>
          <w:sz w:val="24"/>
          <w14:ligatures w14:val="none"/>
        </w:rPr>
        <w:lastRenderedPageBreak/>
        <w:t>2016, provided that the total fan coil load does not exceed the existing or added capacity of the heat exchangers.</w:t>
      </w:r>
    </w:p>
    <w:p w14:paraId="2CE0EF1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j.  For water-cooled process equipment where the manufacturers specifications require colder temperatures than available with waterside economizer, that portion of the load is exempt from the economizer requirements.</w:t>
      </w:r>
    </w:p>
    <w:p w14:paraId="4C40488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k.  The air-cooled chiller shall have an IPLV efficiency that is a minimum of 10 percent greater than the IPLV requirements in EER in WSEC Table C403.3.2 (3) (1.10 × IPLV values in EER in WSEC Table C403.3.2 (3)).</w:t>
      </w:r>
    </w:p>
    <w:p w14:paraId="592B255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l.  The air-cooled chiller shall be multistage with a minimum of two compressors. </w:t>
      </w:r>
    </w:p>
    <w:p w14:paraId="6744E46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m.  Reserved</w:t>
      </w:r>
    </w:p>
    <w:p w14:paraId="58FA52A6" w14:textId="77777777" w:rsidR="006B4A66" w:rsidRPr="006B4A66" w:rsidRDefault="006B4A66" w:rsidP="0073496A">
      <w:pPr>
        <w:tabs>
          <w:tab w:val="left" w:pos="720"/>
        </w:tabs>
        <w:spacing w:after="0" w:line="480" w:lineRule="auto"/>
        <w:ind w:firstLine="720"/>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n.  The water-cooled chiller shall have an IPLV value that is a minimum of 15 percent lower than the IPLV requirements in WSEC Table C403.3.2(3) (0.85 × IPLV values in WSEC Table C403.3.2(3)).  Water-cooled centrifugal chillers designed for nonstandard conditions shall have an NPLV value that is at least 15 lower than the adjusted maximum NPLV rating in kW per ton defined in WSEC C403.3.2.3 (0.85 × NPLV).</w:t>
      </w:r>
    </w:p>
    <w:p w14:paraId="16419C5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o.  Economizer cooling shall be provided by adding a plate-frame heat exchanger on the waterside with a capacity that is a minimum of 20 percent of the chiller capacity at standard AHRI rating conditions.</w:t>
      </w:r>
    </w:p>
    <w:p w14:paraId="6E17C75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p.  Reserved.</w:t>
      </w:r>
    </w:p>
    <w:p w14:paraId="2147399C" w14:textId="490B4679" w:rsid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q.  Systems installed prior to 1991 without fully utilized capacity are allowed to comply with Option B, provided that the individual unit cooling capacity does not exceed 90,000 Btu/h .</w:t>
      </w:r>
    </w:p>
    <w:p w14:paraId="0331DA2F" w14:textId="4DB5FB79" w:rsidR="00CC3C12" w:rsidRPr="006B4A66" w:rsidRDefault="00CC3C12"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color w:val="000000"/>
          <w:kern w:val="0"/>
          <w:sz w:val="24"/>
          <w:u w:val="single"/>
          <w14:ligatures w14:val="none"/>
        </w:rPr>
        <w:t>NEW SECTION.  SECTION 147.</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1ED443E5" w14:textId="1C145D0E" w:rsidR="00CC3C12" w:rsidRPr="006B4A66" w:rsidRDefault="00CC3C12" w:rsidP="0073496A">
      <w:pPr>
        <w:tabs>
          <w:tab w:val="left" w:pos="720"/>
        </w:tabs>
        <w:spacing w:after="0" w:line="480" w:lineRule="auto"/>
        <w:rPr>
          <w:rFonts w:ascii="Times New Roman" w:eastAsia="Calibri" w:hAnsi="Times New Roman" w:cs="Times New Roman"/>
          <w:color w:val="000000"/>
          <w:kern w:val="0"/>
          <w:sz w:val="24"/>
          <w14:ligatures w14:val="none"/>
        </w:rPr>
      </w:pPr>
      <w:r>
        <w:rPr>
          <w:rFonts w:ascii="Times New Roman" w:eastAsia="Times New Roman" w:hAnsi="Times New Roman" w:cs="Times New Roman"/>
          <w:color w:val="000000"/>
          <w:kern w:val="0"/>
          <w:sz w:val="24"/>
          <w:szCs w:val="24"/>
          <w14:ligatures w14:val="none"/>
        </w:rPr>
        <w:tab/>
        <w:t>Section</w:t>
      </w:r>
      <w:r w:rsidRPr="006B4A66">
        <w:rPr>
          <w:rFonts w:ascii="Times New Roman" w:eastAsia="Times New Roman" w:hAnsi="Times New Roman" w:cs="Times New Roman"/>
          <w:color w:val="000000"/>
          <w:kern w:val="0"/>
          <w:sz w:val="24"/>
          <w:szCs w:val="24"/>
          <w14:ligatures w14:val="none"/>
        </w:rPr>
        <w:t xml:space="preserve"> C503.4.6 of the Washington State Energy Code </w:t>
      </w:r>
      <w:r w:rsidR="001A44FD">
        <w:rPr>
          <w:rFonts w:ascii="Times New Roman" w:eastAsia="Times New Roman" w:hAnsi="Times New Roman" w:cs="Times New Roman"/>
          <w:color w:val="000000"/>
          <w:kern w:val="0"/>
          <w:sz w:val="24"/>
          <w:szCs w:val="24"/>
          <w14:ligatures w14:val="none"/>
        </w:rPr>
        <w:t>is</w:t>
      </w:r>
      <w:r w:rsidRPr="006B4A66">
        <w:rPr>
          <w:rFonts w:ascii="Times New Roman" w:eastAsia="Times New Roman" w:hAnsi="Times New Roman" w:cs="Times New Roman"/>
          <w:color w:val="000000"/>
          <w:kern w:val="0"/>
          <w:sz w:val="24"/>
          <w:szCs w:val="24"/>
          <w14:ligatures w14:val="none"/>
        </w:rPr>
        <w:t xml:space="preserve"> not adopted and the following is substituted:</w:t>
      </w:r>
    </w:p>
    <w:p w14:paraId="4479E9D1" w14:textId="77777777" w:rsidR="006B4A66" w:rsidRPr="006B4A66" w:rsidRDefault="006B4A66" w:rsidP="0073496A">
      <w:pPr>
        <w:tabs>
          <w:tab w:val="left" w:pos="720"/>
        </w:tabs>
        <w:spacing w:after="0" w:line="480" w:lineRule="auto"/>
        <w:rPr>
          <w:rFonts w:ascii="Times New Roman" w:eastAsia="Calibri" w:hAnsi="Times New Roman" w:cs="Times New Roman"/>
          <w:b/>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color w:val="000000"/>
          <w:kern w:val="0"/>
          <w:sz w:val="24"/>
          <w14:ligatures w14:val="none"/>
        </w:rPr>
        <w:t>Addition or replacement of HVAC heating appliances (WSEC C503.4.6 ).</w:t>
      </w:r>
    </w:p>
    <w:p w14:paraId="140BD01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ab/>
      </w:r>
      <w:r w:rsidRPr="006B4A66">
        <w:rPr>
          <w:rFonts w:ascii="Times New Roman" w:eastAsia="Calibri" w:hAnsi="Times New Roman" w:cs="Times New Roman"/>
          <w:color w:val="000000"/>
          <w:kern w:val="0"/>
          <w:sz w:val="24"/>
          <w14:ligatures w14:val="none"/>
        </w:rPr>
        <w:t>New HVAC heating systems shall comply with WSEC C403.1.4.  Where one or more HVAC mechanical heating appliances are added or replaced, the added or replaced appliances shall comply with WSEC C401.3 and C403.1.4 or with an alternate compliance option in WSEC Table C503.4.6.  When complying with the alternate compliance option in WSEC Table C503.4.6, added or replaced HVAC heating appliances must select HVAC heating appliances from one of the Proposed Heating Type Options and the applicable Heating Efficiency Tables.  Additions, alterations, or replacements shall not be made to an existing HVAC heating system that will cause the existing system to become out of compliance.  Where use of heat pump equipment for space heating is required by this section, it is permissible to utilize the Fossil Fuel Compliance Path in WSEC C401.3 to attain the credits required for building additions shown in WSEC Table C401.3.3.</w:t>
      </w:r>
    </w:p>
    <w:p w14:paraId="07666406" w14:textId="77777777" w:rsidR="009B387F" w:rsidRPr="006B4A66" w:rsidRDefault="009B387F" w:rsidP="0073496A">
      <w:pPr>
        <w:tabs>
          <w:tab w:val="left" w:pos="720"/>
        </w:tabs>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EXCEPTIONS:</w:t>
      </w:r>
    </w:p>
    <w:p w14:paraId="243AE20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  Exempt buildings and occupancies.  Replacement heating equipment serving any of the following building categories is permitted to use the same fuel type as the existing equipment, provided the replacement equipment complies with the minimum efficiency in WSEC Table C503.4.6 and the same or lower capacity than the existing, and that the requirements of WSEC C503.4.6.2 are met.</w:t>
      </w:r>
    </w:p>
    <w:p w14:paraId="01FE71C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 xml:space="preserve">    a.  Affordable housing.</w:t>
      </w:r>
    </w:p>
    <w:p w14:paraId="195E9D9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b.  Group I-1, I-2, and I-3 occupancies.</w:t>
      </w:r>
    </w:p>
    <w:p w14:paraId="5DD1086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c.  Buildings with more than 50 percent of conditioned floor area occupied by organizations recognized as nonprofit by the State of Washington or by federal tax law.</w:t>
      </w:r>
    </w:p>
    <w:p w14:paraId="373BE74E" w14:textId="76DD15C4"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d.  Buildings with no more than 20,000 square feet (1,858 square meters) of conditioned floor area.</w:t>
      </w:r>
    </w:p>
    <w:p w14:paraId="1025624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2.  Retention of portion of existing system capacity. For buildings not exempted by Exception 1 above, a maximum of 50 percent of the existing fossil fuel or electric resistance heating capacity is permitted to be retained or replaced to serve as supplemental heat for the new heat pump heating system, provided that the supplemental heat is controlled to be used only when the heat pump system capacity is insufficient to meet the load, in compliance with the applicable exception 5, 6, or 7 to WSEC C403.1.4, and that the requirements of WSEC C503.4.6.2 are met.  Where an alteration replaces less than 50 percent of the existing fossil fuel or electric resistance heating capacity, the remaining heating appliances are permitted to be retained.  Where the alteration project decreases the peak heating load, the fossil fuel or electric resistance heating capacity shall be limited to 50 percent of the calculated peak heating load.  The replacement equipment shall comply with the minimum efficiency in WSEC Table C503.4.6.</w:t>
      </w:r>
    </w:p>
    <w:p w14:paraId="0538B19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3.  Temporary replacement of failing equipment.  Temporary like-for-like replacement of one or more heating appliances, in excess of the 50 percent capacity permitted by exception 2 above, is permitted where those appliances require immediate replacement, and where no other work on the HVAC system is planned.  When using this exception, it is acceptable to replace a single appliance with two or more smaller </w:t>
      </w:r>
      <w:r w:rsidRPr="006B4A66">
        <w:rPr>
          <w:rFonts w:ascii="Times New Roman" w:eastAsia="Calibri" w:hAnsi="Times New Roman" w:cs="Times New Roman"/>
          <w:color w:val="000000"/>
          <w:kern w:val="0"/>
          <w:sz w:val="24"/>
          <w14:ligatures w14:val="none"/>
        </w:rPr>
        <w:lastRenderedPageBreak/>
        <w:t>appliances, provided the total capacity is not greater than that of the original appliance.  In addition, the requirements of WSEC C503.4.6.2 shall be met, and the applicant shall ensure completion of the required heat pump system in compliance with one of the following options.</w:t>
      </w:r>
    </w:p>
    <w:p w14:paraId="6B0289C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a.  The code official issuing a temporary certificate of occupancy (TCO), which will remain in force until the heat pump heating system is installed and the final inspection of the system has been completed; or</w:t>
      </w:r>
    </w:p>
    <w:p w14:paraId="5B6BBA6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b.  Posting a performance bond for the full estimated cost of the required heat pump system installation, to ensure the heat pump system installation completion within 48 months.</w:t>
      </w:r>
    </w:p>
    <w:p w14:paraId="4EDA127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4.  Utility service upgrade.  Compliance with WSEC C403.1.4 is not required where the requirements of WSEC C503.4.6.2 are met, and where such compliance would trigger an unplanned utility electrical service upgrade, based on the 2023 Edition of the National Electrical Code Section 220.87 method for determining existing loads, where one or more of the following is required:</w:t>
      </w:r>
    </w:p>
    <w:p w14:paraId="1F029F3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a.  A new utility transformer vault located in the existing building or on the site, or an enlargement of the floor area of such a vault.</w:t>
      </w:r>
    </w:p>
    <w:p w14:paraId="42A3E2B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b.  Trenching across the vehicle lanes of a public way.</w:t>
      </w:r>
    </w:p>
    <w:p w14:paraId="243D747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c.  The estimated construction cost for the required electrical service enlargement exceeds 50 percent of the project valuation for the remainder of the work, as determined in accordance with the fee subtitle.  Construction cost shall be documented by an Association for the Advancement of Cost Engineering (AACE) Level 3 or equivalent cost estimate, including required demolition, construction, site work, and utility fees.</w:t>
      </w:r>
    </w:p>
    <w:p w14:paraId="64AA38A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The replacement equipment shall comply with the minimum efficiency in WSEC Table C503.4.6.</w:t>
      </w:r>
    </w:p>
    <w:p w14:paraId="714CFBD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5.  Exempt equipment.  Alterations to the following equipment types are not required to comply with this section.</w:t>
      </w:r>
    </w:p>
    <w:p w14:paraId="316673B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a.  Terminal unit equipment including but not limited to hydronic VAV terminal units, electric resistance VAV boxes, electric duct heaters, water source heat pumps, fan coils, or VRF indoor units, except such modifications to terminal equipment with hydronic heating coils as are required to accommodate lower-temperature fluids circulated from new central heat pump systems in accordance with WSEC C403.3.8.2.</w:t>
      </w:r>
    </w:p>
    <w:p w14:paraId="42733DF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b.  Air handling equipment with hydronic heating coils, except such modifications to the air handling equipment as are required to accommodate lower-temperature fluids circulated from central heat pump systems in accordance with WSEC C403.3.8.2.</w:t>
      </w:r>
    </w:p>
    <w:p w14:paraId="5A1D869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c.  Replacement of existing steam boilers with steam distribution piping to terminal units and replacement of the existing associated boiler feed equipment.</w:t>
      </w:r>
    </w:p>
    <w:p w14:paraId="418DF5FC"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Table C503.4.6</w:t>
      </w:r>
    </w:p>
    <w:p w14:paraId="7E229398" w14:textId="77777777" w:rsidR="006B4A66" w:rsidRPr="006B4A66" w:rsidRDefault="006B4A66" w:rsidP="0073496A">
      <w:pPr>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Compliance Options for HVAC Heating Equipment Alterations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3"/>
        <w:gridCol w:w="2052"/>
        <w:gridCol w:w="1864"/>
        <w:gridCol w:w="4281"/>
      </w:tblGrid>
      <w:tr w:rsidR="006B4A66" w:rsidRPr="006B4A66" w14:paraId="655CE790" w14:textId="77777777">
        <w:trPr>
          <w:cantSplit/>
          <w:tblHeader/>
          <w:jc w:val="center"/>
        </w:trPr>
        <w:tc>
          <w:tcPr>
            <w:tcW w:w="438" w:type="dxa"/>
            <w:tcMar>
              <w:top w:w="40" w:type="dxa"/>
              <w:left w:w="120" w:type="dxa"/>
              <w:bottom w:w="40" w:type="dxa"/>
              <w:right w:w="120" w:type="dxa"/>
            </w:tcMar>
          </w:tcPr>
          <w:p w14:paraId="0F85204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p>
        </w:tc>
        <w:tc>
          <w:tcPr>
            <w:tcW w:w="2095" w:type="dxa"/>
            <w:tcMar>
              <w:top w:w="40" w:type="dxa"/>
              <w:left w:w="120" w:type="dxa"/>
              <w:bottom w:w="40" w:type="dxa"/>
              <w:right w:w="120" w:type="dxa"/>
            </w:tcMar>
          </w:tcPr>
          <w:p w14:paraId="01336F81"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Proposed Heating</w:t>
            </w:r>
          </w:p>
          <w:p w14:paraId="2D494E1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Equipment Type</w:t>
            </w:r>
            <w:r w:rsidRPr="006B4A66">
              <w:rPr>
                <w:rFonts w:ascii="Times New Roman" w:eastAsia="Calibri" w:hAnsi="Times New Roman" w:cs="Times New Roman"/>
                <w:b/>
                <w:color w:val="000000"/>
                <w:kern w:val="0"/>
                <w:sz w:val="24"/>
                <w:vertAlign w:val="superscript"/>
                <w14:ligatures w14:val="none"/>
              </w:rPr>
              <w:t>a</w:t>
            </w:r>
          </w:p>
        </w:tc>
        <w:tc>
          <w:tcPr>
            <w:tcW w:w="1886" w:type="dxa"/>
            <w:tcMar>
              <w:top w:w="40" w:type="dxa"/>
              <w:left w:w="120" w:type="dxa"/>
              <w:bottom w:w="40" w:type="dxa"/>
              <w:right w:w="120" w:type="dxa"/>
            </w:tcMar>
          </w:tcPr>
          <w:p w14:paraId="7045212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Heating Efficiency</w:t>
            </w:r>
          </w:p>
          <w:p w14:paraId="2716540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t>WSEC</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b/>
                <w:color w:val="000000"/>
                <w:kern w:val="0"/>
                <w:sz w:val="24"/>
                <w14:ligatures w14:val="none"/>
              </w:rPr>
              <w:t>Table Reference</w:t>
            </w:r>
          </w:p>
        </w:tc>
        <w:tc>
          <w:tcPr>
            <w:tcW w:w="4461" w:type="dxa"/>
            <w:tcMar>
              <w:top w:w="40" w:type="dxa"/>
              <w:left w:w="120" w:type="dxa"/>
              <w:bottom w:w="40" w:type="dxa"/>
              <w:right w:w="120" w:type="dxa"/>
            </w:tcMar>
          </w:tcPr>
          <w:p w14:paraId="1EA2C499"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color w:val="000000"/>
                <w:kern w:val="0"/>
                <w:sz w:val="24"/>
                <w14:ligatures w14:val="none"/>
              </w:rPr>
              <w:t xml:space="preserve">Alternate Compliance Options to </w:t>
            </w:r>
            <w:r w:rsidRPr="006B4A66">
              <w:rPr>
                <w:rFonts w:ascii="Times New Roman" w:eastAsia="Calibri" w:hAnsi="Times New Roman" w:cs="Times New Roman"/>
                <w:b/>
                <w:bCs/>
                <w:color w:val="000000"/>
                <w:kern w:val="0"/>
                <w:sz w:val="24"/>
                <w14:ligatures w14:val="none"/>
              </w:rPr>
              <w:t>WSEC</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b/>
                <w:color w:val="000000"/>
                <w:kern w:val="0"/>
                <w:sz w:val="24"/>
                <w14:ligatures w14:val="none"/>
              </w:rPr>
              <w:t>C403.1.4</w:t>
            </w:r>
          </w:p>
        </w:tc>
      </w:tr>
      <w:tr w:rsidR="006B4A66" w:rsidRPr="006B4A66" w14:paraId="64D06CDC" w14:textId="77777777">
        <w:trPr>
          <w:jc w:val="center"/>
        </w:trPr>
        <w:tc>
          <w:tcPr>
            <w:tcW w:w="438" w:type="dxa"/>
            <w:tcMar>
              <w:top w:w="40" w:type="dxa"/>
              <w:left w:w="120" w:type="dxa"/>
              <w:bottom w:w="40" w:type="dxa"/>
              <w:right w:w="120" w:type="dxa"/>
            </w:tcMar>
          </w:tcPr>
          <w:p w14:paraId="382C722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1</w:t>
            </w:r>
          </w:p>
        </w:tc>
        <w:tc>
          <w:tcPr>
            <w:tcW w:w="2095" w:type="dxa"/>
            <w:tcMar>
              <w:top w:w="40" w:type="dxa"/>
              <w:left w:w="120" w:type="dxa"/>
              <w:bottom w:w="40" w:type="dxa"/>
              <w:right w:w="120" w:type="dxa"/>
            </w:tcMar>
          </w:tcPr>
          <w:p w14:paraId="1C2513A6"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Air-cooled unitary heat pumps</w:t>
            </w:r>
          </w:p>
        </w:tc>
        <w:tc>
          <w:tcPr>
            <w:tcW w:w="1886" w:type="dxa"/>
            <w:tcMar>
              <w:top w:w="40" w:type="dxa"/>
              <w:left w:w="120" w:type="dxa"/>
              <w:bottom w:w="40" w:type="dxa"/>
              <w:right w:w="120" w:type="dxa"/>
            </w:tcMar>
          </w:tcPr>
          <w:p w14:paraId="556F7EF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Table C403.3.2(2)</w:t>
            </w:r>
          </w:p>
        </w:tc>
        <w:tc>
          <w:tcPr>
            <w:tcW w:w="4461" w:type="dxa"/>
            <w:tcMar>
              <w:top w:w="40" w:type="dxa"/>
              <w:left w:w="120" w:type="dxa"/>
              <w:bottom w:w="40" w:type="dxa"/>
              <w:right w:w="120" w:type="dxa"/>
            </w:tcMar>
          </w:tcPr>
          <w:p w14:paraId="31671516"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1.  Compliance with WSEC C403.1.4, except heat pump rated capacity in </w:t>
            </w:r>
            <w:r w:rsidRPr="006B4A66">
              <w:rPr>
                <w:rFonts w:ascii="Times New Roman" w:eastAsia="Calibri" w:hAnsi="Times New Roman" w:cs="Times New Roman"/>
                <w:color w:val="000000"/>
                <w:kern w:val="0"/>
                <w:sz w:val="24"/>
                <w14:ligatures w14:val="none"/>
              </w:rPr>
              <w:lastRenderedPageBreak/>
              <w:t>accordance with WSEC C403.1.4 Exception 5d is permitted to be sized equal to the supplemental internal resistance heating capacity in Climate Zone 4 or 5</w:t>
            </w:r>
            <w:r w:rsidRPr="006B4A66">
              <w:rPr>
                <w:rFonts w:ascii="Times New Roman" w:eastAsia="Calibri" w:hAnsi="Times New Roman" w:cs="Times New Roman"/>
                <w:color w:val="000000"/>
                <w:kern w:val="0"/>
                <w:sz w:val="24"/>
                <w:vertAlign w:val="superscript"/>
                <w14:ligatures w14:val="none"/>
              </w:rPr>
              <w:t>c</w:t>
            </w:r>
            <w:r w:rsidRPr="006B4A66">
              <w:rPr>
                <w:rFonts w:ascii="Times New Roman" w:eastAsia="Calibri" w:hAnsi="Times New Roman" w:cs="Times New Roman"/>
                <w:color w:val="000000"/>
                <w:kern w:val="0"/>
                <w:sz w:val="24"/>
                <w14:ligatures w14:val="none"/>
              </w:rPr>
              <w:t>.</w:t>
            </w:r>
          </w:p>
          <w:p w14:paraId="5AA0C5C8"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2.  Compliance with WSEC C403.1.4, except electric resistance mixed air preheat is permissible</w:t>
            </w:r>
            <w:r w:rsidRPr="006B4A66">
              <w:rPr>
                <w:rFonts w:ascii="Times New Roman" w:eastAsia="Calibri" w:hAnsi="Times New Roman" w:cs="Times New Roman"/>
                <w:color w:val="000000"/>
                <w:kern w:val="0"/>
                <w:sz w:val="24"/>
                <w:vertAlign w:val="superscript"/>
                <w14:ligatures w14:val="none"/>
              </w:rPr>
              <w:t xml:space="preserve"> c</w:t>
            </w:r>
            <w:r w:rsidRPr="006B4A66">
              <w:rPr>
                <w:rFonts w:ascii="Times New Roman" w:eastAsia="Calibri" w:hAnsi="Times New Roman" w:cs="Times New Roman"/>
                <w:color w:val="000000"/>
                <w:kern w:val="0"/>
                <w:sz w:val="24"/>
                <w14:ligatures w14:val="none"/>
              </w:rPr>
              <w:t>.</w:t>
            </w:r>
          </w:p>
        </w:tc>
      </w:tr>
      <w:tr w:rsidR="006B4A66" w:rsidRPr="006B4A66" w14:paraId="749A00E2" w14:textId="77777777">
        <w:trPr>
          <w:jc w:val="center"/>
        </w:trPr>
        <w:tc>
          <w:tcPr>
            <w:tcW w:w="438" w:type="dxa"/>
            <w:tcMar>
              <w:top w:w="40" w:type="dxa"/>
              <w:left w:w="120" w:type="dxa"/>
              <w:bottom w:w="40" w:type="dxa"/>
              <w:right w:w="120" w:type="dxa"/>
            </w:tcMar>
          </w:tcPr>
          <w:p w14:paraId="2AED20A5"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2</w:t>
            </w:r>
          </w:p>
        </w:tc>
        <w:tc>
          <w:tcPr>
            <w:tcW w:w="2095" w:type="dxa"/>
            <w:tcMar>
              <w:top w:w="40" w:type="dxa"/>
              <w:left w:w="120" w:type="dxa"/>
              <w:bottom w:w="40" w:type="dxa"/>
              <w:right w:w="120" w:type="dxa"/>
            </w:tcMar>
          </w:tcPr>
          <w:p w14:paraId="660A22EB"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Packaged terminal, single-package vertical, and room air-conditioner heat pumps</w:t>
            </w:r>
          </w:p>
        </w:tc>
        <w:tc>
          <w:tcPr>
            <w:tcW w:w="1886" w:type="dxa"/>
            <w:tcMar>
              <w:top w:w="40" w:type="dxa"/>
              <w:left w:w="120" w:type="dxa"/>
              <w:bottom w:w="40" w:type="dxa"/>
              <w:right w:w="120" w:type="dxa"/>
            </w:tcMar>
          </w:tcPr>
          <w:p w14:paraId="2DEA8E6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Table C403.3.2(4)</w:t>
            </w:r>
          </w:p>
        </w:tc>
        <w:tc>
          <w:tcPr>
            <w:tcW w:w="4461" w:type="dxa"/>
            <w:tcMar>
              <w:top w:w="40" w:type="dxa"/>
              <w:left w:w="120" w:type="dxa"/>
              <w:bottom w:w="40" w:type="dxa"/>
              <w:right w:w="120" w:type="dxa"/>
            </w:tcMar>
          </w:tcPr>
          <w:p w14:paraId="1A66CB82"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Compliance with WSEC C403.1.4, except heat pump rated capacity in accordance with WSEC C403.1.4 Exception 5d is permitted to be sized equal to the supplemental internal resistance heating capacity in Climate Zone 4 or 5</w:t>
            </w:r>
          </w:p>
        </w:tc>
      </w:tr>
      <w:tr w:rsidR="006B4A66" w:rsidRPr="006B4A66" w14:paraId="3083551B" w14:textId="77777777">
        <w:trPr>
          <w:jc w:val="center"/>
        </w:trPr>
        <w:tc>
          <w:tcPr>
            <w:tcW w:w="438" w:type="dxa"/>
            <w:tcMar>
              <w:top w:w="40" w:type="dxa"/>
              <w:left w:w="120" w:type="dxa"/>
              <w:bottom w:w="40" w:type="dxa"/>
              <w:right w:w="120" w:type="dxa"/>
            </w:tcMar>
          </w:tcPr>
          <w:p w14:paraId="5320C2F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3</w:t>
            </w:r>
          </w:p>
        </w:tc>
        <w:tc>
          <w:tcPr>
            <w:tcW w:w="2095" w:type="dxa"/>
            <w:tcMar>
              <w:top w:w="40" w:type="dxa"/>
              <w:left w:w="120" w:type="dxa"/>
              <w:bottom w:w="40" w:type="dxa"/>
              <w:right w:w="120" w:type="dxa"/>
            </w:tcMar>
          </w:tcPr>
          <w:p w14:paraId="2AE3F75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Furnaces, duct furnaces, and unit heaters</w:t>
            </w:r>
          </w:p>
        </w:tc>
        <w:tc>
          <w:tcPr>
            <w:tcW w:w="1886" w:type="dxa"/>
            <w:tcMar>
              <w:top w:w="40" w:type="dxa"/>
              <w:left w:w="120" w:type="dxa"/>
              <w:bottom w:w="40" w:type="dxa"/>
              <w:right w:w="120" w:type="dxa"/>
            </w:tcMar>
          </w:tcPr>
          <w:p w14:paraId="069573C5"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Table C403.3.2(5)</w:t>
            </w:r>
          </w:p>
        </w:tc>
        <w:tc>
          <w:tcPr>
            <w:tcW w:w="4461" w:type="dxa"/>
            <w:tcMar>
              <w:top w:w="40" w:type="dxa"/>
              <w:left w:w="120" w:type="dxa"/>
              <w:bottom w:w="40" w:type="dxa"/>
              <w:right w:w="120" w:type="dxa"/>
            </w:tcMar>
          </w:tcPr>
          <w:p w14:paraId="2E86FCE6"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1.  Permitted only when qualifying for and complying with WSEC C503.4.6 Exceptions 1, 2, 3, or 4</w:t>
            </w:r>
          </w:p>
          <w:p w14:paraId="0BA0BD1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2.  Efficiency: +10%</w:t>
            </w:r>
            <w:r w:rsidRPr="006B4A66">
              <w:rPr>
                <w:rFonts w:ascii="Times New Roman" w:eastAsia="Calibri" w:hAnsi="Times New Roman" w:cs="Times New Roman"/>
                <w:color w:val="000000"/>
                <w:kern w:val="0"/>
                <w:sz w:val="24"/>
                <w:vertAlign w:val="superscript"/>
                <w14:ligatures w14:val="none"/>
              </w:rPr>
              <w:t>b</w:t>
            </w:r>
          </w:p>
        </w:tc>
      </w:tr>
      <w:tr w:rsidR="006B4A66" w:rsidRPr="006B4A66" w14:paraId="72905FFB" w14:textId="77777777">
        <w:trPr>
          <w:jc w:val="center"/>
        </w:trPr>
        <w:tc>
          <w:tcPr>
            <w:tcW w:w="438" w:type="dxa"/>
            <w:tcMar>
              <w:top w:w="40" w:type="dxa"/>
              <w:left w:w="120" w:type="dxa"/>
              <w:bottom w:w="40" w:type="dxa"/>
              <w:right w:w="120" w:type="dxa"/>
            </w:tcMar>
          </w:tcPr>
          <w:p w14:paraId="3964AB4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4</w:t>
            </w:r>
          </w:p>
        </w:tc>
        <w:tc>
          <w:tcPr>
            <w:tcW w:w="2095" w:type="dxa"/>
            <w:tcMar>
              <w:top w:w="40" w:type="dxa"/>
              <w:left w:w="120" w:type="dxa"/>
              <w:bottom w:w="40" w:type="dxa"/>
              <w:right w:w="120" w:type="dxa"/>
            </w:tcMar>
          </w:tcPr>
          <w:p w14:paraId="660C6F2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 xml:space="preserve">Gas-fired hot water boilers </w:t>
            </w:r>
          </w:p>
        </w:tc>
        <w:tc>
          <w:tcPr>
            <w:tcW w:w="1886" w:type="dxa"/>
            <w:tcMar>
              <w:top w:w="40" w:type="dxa"/>
              <w:left w:w="120" w:type="dxa"/>
              <w:bottom w:w="40" w:type="dxa"/>
              <w:right w:w="120" w:type="dxa"/>
            </w:tcMar>
          </w:tcPr>
          <w:p w14:paraId="0612191F"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Table C403.3.2(6)</w:t>
            </w:r>
          </w:p>
        </w:tc>
        <w:tc>
          <w:tcPr>
            <w:tcW w:w="4461" w:type="dxa"/>
            <w:tcMar>
              <w:top w:w="40" w:type="dxa"/>
              <w:left w:w="120" w:type="dxa"/>
              <w:bottom w:w="40" w:type="dxa"/>
              <w:right w:w="120" w:type="dxa"/>
            </w:tcMar>
          </w:tcPr>
          <w:p w14:paraId="7F5A72D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1.  Permitted only when qualifying for and complying with WSEC C503.4.6 Exceptions 1, 2, 3, or 4</w:t>
            </w:r>
          </w:p>
          <w:p w14:paraId="4BF4348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2.  Efficiency: +10%</w:t>
            </w:r>
            <w:r w:rsidRPr="006B4A66">
              <w:rPr>
                <w:rFonts w:ascii="Times New Roman" w:eastAsia="Calibri" w:hAnsi="Times New Roman" w:cs="Times New Roman"/>
                <w:color w:val="000000"/>
                <w:kern w:val="0"/>
                <w:sz w:val="24"/>
                <w:vertAlign w:val="superscript"/>
                <w14:ligatures w14:val="none"/>
              </w:rPr>
              <w:t>b</w:t>
            </w:r>
          </w:p>
        </w:tc>
      </w:tr>
      <w:tr w:rsidR="006B4A66" w:rsidRPr="006B4A66" w14:paraId="5F4795E6" w14:textId="77777777">
        <w:trPr>
          <w:jc w:val="center"/>
        </w:trPr>
        <w:tc>
          <w:tcPr>
            <w:tcW w:w="438" w:type="dxa"/>
            <w:tcMar>
              <w:top w:w="40" w:type="dxa"/>
              <w:left w:w="120" w:type="dxa"/>
              <w:bottom w:w="40" w:type="dxa"/>
              <w:right w:w="120" w:type="dxa"/>
            </w:tcMar>
          </w:tcPr>
          <w:p w14:paraId="27BF15D3"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5</w:t>
            </w:r>
          </w:p>
        </w:tc>
        <w:tc>
          <w:tcPr>
            <w:tcW w:w="2095" w:type="dxa"/>
            <w:tcMar>
              <w:top w:w="40" w:type="dxa"/>
              <w:left w:w="120" w:type="dxa"/>
              <w:bottom w:w="40" w:type="dxa"/>
              <w:right w:w="120" w:type="dxa"/>
            </w:tcMar>
          </w:tcPr>
          <w:p w14:paraId="68B4FA05"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Variable refrigerant flow air-to-air and applied heat pumps</w:t>
            </w:r>
          </w:p>
        </w:tc>
        <w:tc>
          <w:tcPr>
            <w:tcW w:w="1886" w:type="dxa"/>
            <w:tcMar>
              <w:top w:w="40" w:type="dxa"/>
              <w:left w:w="120" w:type="dxa"/>
              <w:bottom w:w="40" w:type="dxa"/>
              <w:right w:w="120" w:type="dxa"/>
            </w:tcMar>
          </w:tcPr>
          <w:p w14:paraId="01E87EC4"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Table C403.3.2(9)</w:t>
            </w:r>
          </w:p>
        </w:tc>
        <w:tc>
          <w:tcPr>
            <w:tcW w:w="4461" w:type="dxa"/>
            <w:tcMar>
              <w:top w:w="40" w:type="dxa"/>
              <w:left w:w="120" w:type="dxa"/>
              <w:bottom w:w="40" w:type="dxa"/>
              <w:right w:w="120" w:type="dxa"/>
            </w:tcMar>
          </w:tcPr>
          <w:p w14:paraId="4F53DCB9"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No alternate compliance option</w:t>
            </w:r>
          </w:p>
        </w:tc>
      </w:tr>
      <w:tr w:rsidR="006B4A66" w:rsidRPr="006B4A66" w14:paraId="189F674F" w14:textId="77777777">
        <w:trPr>
          <w:jc w:val="center"/>
        </w:trPr>
        <w:tc>
          <w:tcPr>
            <w:tcW w:w="438" w:type="dxa"/>
            <w:tcMar>
              <w:top w:w="40" w:type="dxa"/>
              <w:left w:w="120" w:type="dxa"/>
              <w:bottom w:w="40" w:type="dxa"/>
              <w:right w:w="120" w:type="dxa"/>
            </w:tcMar>
          </w:tcPr>
          <w:p w14:paraId="584E909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6</w:t>
            </w:r>
          </w:p>
        </w:tc>
        <w:tc>
          <w:tcPr>
            <w:tcW w:w="2095" w:type="dxa"/>
            <w:tcMar>
              <w:top w:w="40" w:type="dxa"/>
              <w:left w:w="120" w:type="dxa"/>
              <w:bottom w:w="40" w:type="dxa"/>
              <w:right w:w="120" w:type="dxa"/>
            </w:tcMar>
          </w:tcPr>
          <w:p w14:paraId="590DCA3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DX-DOAS equipment</w:t>
            </w:r>
          </w:p>
        </w:tc>
        <w:tc>
          <w:tcPr>
            <w:tcW w:w="1886" w:type="dxa"/>
            <w:tcMar>
              <w:top w:w="40" w:type="dxa"/>
              <w:left w:w="120" w:type="dxa"/>
              <w:bottom w:w="40" w:type="dxa"/>
              <w:right w:w="120" w:type="dxa"/>
            </w:tcMar>
          </w:tcPr>
          <w:p w14:paraId="0114A11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Table C403.3.2(12) and</w:t>
            </w:r>
          </w:p>
          <w:p w14:paraId="0F75A14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Table C403.3.2(13)</w:t>
            </w:r>
          </w:p>
        </w:tc>
        <w:tc>
          <w:tcPr>
            <w:tcW w:w="4461" w:type="dxa"/>
            <w:tcMar>
              <w:top w:w="40" w:type="dxa"/>
              <w:left w:w="120" w:type="dxa"/>
              <w:bottom w:w="40" w:type="dxa"/>
              <w:right w:w="120" w:type="dxa"/>
            </w:tcMar>
          </w:tcPr>
          <w:p w14:paraId="2EB95FDD"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DX-DOAS is provided with heat recovery if not required by WSEC C403.3.5.1.</w:t>
            </w:r>
          </w:p>
        </w:tc>
      </w:tr>
      <w:tr w:rsidR="006B4A66" w:rsidRPr="006B4A66" w14:paraId="00AD4591" w14:textId="77777777">
        <w:trPr>
          <w:jc w:val="center"/>
        </w:trPr>
        <w:tc>
          <w:tcPr>
            <w:tcW w:w="438" w:type="dxa"/>
            <w:tcMar>
              <w:top w:w="40" w:type="dxa"/>
              <w:left w:w="120" w:type="dxa"/>
              <w:bottom w:w="40" w:type="dxa"/>
              <w:right w:w="120" w:type="dxa"/>
            </w:tcMar>
          </w:tcPr>
          <w:p w14:paraId="364AFE81"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7</w:t>
            </w:r>
          </w:p>
        </w:tc>
        <w:tc>
          <w:tcPr>
            <w:tcW w:w="2095" w:type="dxa"/>
            <w:tcMar>
              <w:top w:w="40" w:type="dxa"/>
              <w:left w:w="120" w:type="dxa"/>
              <w:bottom w:w="40" w:type="dxa"/>
              <w:right w:w="120" w:type="dxa"/>
            </w:tcMar>
          </w:tcPr>
          <w:p w14:paraId="761270EA"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Water-source heat pumps</w:t>
            </w:r>
          </w:p>
        </w:tc>
        <w:tc>
          <w:tcPr>
            <w:tcW w:w="1886" w:type="dxa"/>
            <w:tcMar>
              <w:top w:w="40" w:type="dxa"/>
              <w:left w:w="120" w:type="dxa"/>
              <w:bottom w:w="40" w:type="dxa"/>
              <w:right w:w="120" w:type="dxa"/>
            </w:tcMar>
          </w:tcPr>
          <w:p w14:paraId="3C82C5A2"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Table C403.3.2(14)</w:t>
            </w:r>
          </w:p>
        </w:tc>
        <w:tc>
          <w:tcPr>
            <w:tcW w:w="4461" w:type="dxa"/>
            <w:tcMar>
              <w:top w:w="40" w:type="dxa"/>
              <w:left w:w="120" w:type="dxa"/>
              <w:bottom w:w="40" w:type="dxa"/>
              <w:right w:w="120" w:type="dxa"/>
            </w:tcMar>
          </w:tcPr>
          <w:p w14:paraId="7FE49ECE"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No alternate compliance option</w:t>
            </w:r>
          </w:p>
        </w:tc>
      </w:tr>
    </w:tbl>
    <w:p w14:paraId="1252818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spacing w:val="-2"/>
          <w:kern w:val="0"/>
          <w:sz w:val="24"/>
          <w14:ligatures w14:val="none"/>
        </w:rPr>
      </w:pPr>
      <w:r w:rsidRPr="006B4A66">
        <w:rPr>
          <w:rFonts w:ascii="Times New Roman" w:eastAsia="Calibri" w:hAnsi="Times New Roman" w:cs="Times New Roman"/>
          <w:color w:val="000000"/>
          <w:spacing w:val="-2"/>
          <w:kern w:val="0"/>
          <w:sz w:val="24"/>
          <w14:ligatures w14:val="none"/>
        </w:rPr>
        <w:tab/>
        <w:t>Footnotes:</w:t>
      </w:r>
    </w:p>
    <w:p w14:paraId="0240C8B5" w14:textId="77777777" w:rsidR="006B4A66" w:rsidRPr="006B4A66" w:rsidRDefault="006B4A66" w:rsidP="0073496A">
      <w:pPr>
        <w:tabs>
          <w:tab w:val="left" w:pos="720"/>
        </w:tabs>
        <w:spacing w:after="0" w:line="480" w:lineRule="auto"/>
        <w:ind w:firstLine="720"/>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lastRenderedPageBreak/>
        <w:t xml:space="preserve">a.  </w:t>
      </w:r>
      <w:r w:rsidRPr="006B4A66">
        <w:rPr>
          <w:rFonts w:ascii="Times New Roman" w:eastAsia="Calibri" w:hAnsi="Times New Roman" w:cs="Times New Roman"/>
          <w:color w:val="000000"/>
          <w:kern w:val="0"/>
          <w:sz w:val="24"/>
          <w14:ligatures w14:val="none"/>
        </w:rPr>
        <w:t>Includes replacement of equipment with a unit that is the same type or higher efficiency and the same or lower capacity, or a replacement of one equipment type with a different equipment type.</w:t>
      </w:r>
    </w:p>
    <w:p w14:paraId="0A60758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tab/>
        <w:t xml:space="preserve">b.  </w:t>
      </w:r>
      <w:r w:rsidRPr="006B4A66">
        <w:rPr>
          <w:rFonts w:ascii="Times New Roman" w:eastAsia="Calibri" w:hAnsi="Times New Roman" w:cs="Times New Roman"/>
          <w:color w:val="000000"/>
          <w:kern w:val="0"/>
          <w:sz w:val="24"/>
          <w14:ligatures w14:val="none"/>
        </w:rPr>
        <w:t>Equipment shall have a capacity-weighted average heating system efficiency that is 10 percent better than that shown in the reference table (1.1 times the values in reference table).</w:t>
      </w:r>
    </w:p>
    <w:p w14:paraId="31887201" w14:textId="77777777" w:rsid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tab/>
        <w:t xml:space="preserve">c.  </w:t>
      </w:r>
      <w:r w:rsidRPr="006B4A66">
        <w:rPr>
          <w:rFonts w:ascii="Times New Roman" w:eastAsia="Calibri" w:hAnsi="Times New Roman" w:cs="Times New Roman"/>
          <w:color w:val="000000"/>
          <w:kern w:val="0"/>
          <w:sz w:val="24"/>
          <w14:ligatures w14:val="none"/>
        </w:rPr>
        <w:t>Option 1 and Option 2 can be combined.</w:t>
      </w:r>
    </w:p>
    <w:p w14:paraId="63938FFE" w14:textId="77777777" w:rsidR="002917CD" w:rsidRPr="006B4A66" w:rsidRDefault="002917CD" w:rsidP="0073496A">
      <w:pPr>
        <w:tabs>
          <w:tab w:val="left" w:pos="720"/>
        </w:tabs>
        <w:spacing w:after="0" w:line="480" w:lineRule="auto"/>
        <w:rPr>
          <w:rFonts w:ascii="Times New Roman" w:eastAsia="Calibri" w:hAnsi="Times New Roman" w:cs="Times New Roman"/>
          <w:color w:val="000000"/>
          <w:kern w:val="0"/>
          <w:sz w:val="24"/>
          <w14:ligatures w14:val="none"/>
        </w:rPr>
      </w:pPr>
      <w:r>
        <w:rPr>
          <w:rFonts w:ascii="Times New Roman" w:eastAsia="Calibri" w:hAnsi="Times New Roman" w:cs="Times New Roman"/>
          <w:color w:val="000000"/>
          <w:kern w:val="0"/>
          <w:sz w:val="24"/>
          <w14:ligatures w14:val="none"/>
        </w:rPr>
        <w:tab/>
      </w:r>
      <w:r w:rsidRPr="005D21A1">
        <w:rPr>
          <w:rFonts w:ascii="Times New Roman" w:eastAsia="Calibri" w:hAnsi="Times New Roman" w:cs="Times New Roman"/>
          <w:b/>
          <w:bCs/>
          <w:color w:val="000000"/>
          <w:kern w:val="0"/>
          <w:sz w:val="24"/>
          <w14:ligatures w14:val="none"/>
        </w:rPr>
        <w:t>Hydronic system alteration supply water temperature (WSEC C503.4.6.1).</w:t>
      </w:r>
      <w:r>
        <w:rPr>
          <w:rFonts w:ascii="Times New Roman" w:eastAsia="Calibri" w:hAnsi="Times New Roman" w:cs="Times New Roman"/>
          <w:b/>
          <w:bCs/>
          <w:color w:val="000000"/>
          <w:kern w:val="0"/>
          <w:sz w:val="24"/>
          <w14:ligatures w14:val="none"/>
        </w:rPr>
        <w:tab/>
      </w:r>
      <w:r w:rsidRPr="006B4A66">
        <w:rPr>
          <w:rFonts w:ascii="Times New Roman" w:eastAsia="Calibri" w:hAnsi="Times New Roman" w:cs="Times New Roman"/>
          <w:color w:val="000000"/>
          <w:kern w:val="0"/>
          <w:sz w:val="24"/>
          <w14:ligatures w14:val="none"/>
        </w:rPr>
        <w:t>Hydronic heating coils and appliances subject to WSEC C503.4.5 or C503.4.6 shall comply with WSEC C403.3.8.2.</w:t>
      </w:r>
    </w:p>
    <w:p w14:paraId="2F07F551" w14:textId="77777777" w:rsidR="002917CD" w:rsidRDefault="002917CD"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5D21A1">
        <w:rPr>
          <w:rFonts w:ascii="Times New Roman" w:eastAsia="Calibri" w:hAnsi="Times New Roman" w:cs="Times New Roman"/>
          <w:b/>
          <w:bCs/>
          <w:color w:val="000000"/>
          <w:kern w:val="0"/>
          <w:sz w:val="24"/>
          <w14:ligatures w14:val="none"/>
        </w:rPr>
        <w:t>Future decarbonization plan (WSEC C503.4.6.2).</w:t>
      </w:r>
    </w:p>
    <w:p w14:paraId="5F5AE96F" w14:textId="77777777" w:rsidR="002917CD" w:rsidRPr="006B4A66" w:rsidRDefault="002917CD" w:rsidP="0073496A">
      <w:pPr>
        <w:tabs>
          <w:tab w:val="left" w:pos="720"/>
        </w:tabs>
        <w:spacing w:after="0" w:line="480" w:lineRule="auto"/>
        <w:rPr>
          <w:rFonts w:ascii="Times New Roman" w:eastAsia="Calibri" w:hAnsi="Times New Roman" w:cs="Times New Roman"/>
          <w:color w:val="000000"/>
          <w:kern w:val="0"/>
          <w:sz w:val="24"/>
          <w14:ligatures w14:val="none"/>
        </w:rPr>
      </w:pPr>
      <w:r>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14:ligatures w14:val="none"/>
        </w:rPr>
        <w:t>For buildings with more than 20,000 square feet (1,858 square meters) of conditioned space, a schematic-level design of a heat pump system to replace the existing system shall be prepared by a professional engineer and submitted to the code official.  The professional engineer must be identified on the schematic design documents, but the engineer’s signature and date are not required, and no party is obligated to provide any further development of the schematic design.  Documents submitted with the schematic design must include:</w:t>
      </w:r>
    </w:p>
    <w:p w14:paraId="3DBA2C54" w14:textId="77777777" w:rsidR="002917CD" w:rsidRPr="006B4A66" w:rsidRDefault="002917CD"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  Completed decarbonization planning form, available on the King County permitting website.</w:t>
      </w:r>
    </w:p>
    <w:p w14:paraId="2A4366A9" w14:textId="77777777" w:rsidR="002917CD" w:rsidRPr="006B4A66" w:rsidRDefault="002917CD"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2.  Mechanical and electrical one-line system diagrams, showing only the impacted portions of systems.</w:t>
      </w:r>
    </w:p>
    <w:p w14:paraId="76C63A8E" w14:textId="77777777" w:rsidR="002917CD" w:rsidRPr="006B4A66" w:rsidRDefault="002917CD"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 xml:space="preserve">  3.  Equipment sized and laid out to scale on plans of the existing facility.  Only the impacted areas need be depicted, at a simple schematic level of detail.</w:t>
      </w:r>
    </w:p>
    <w:p w14:paraId="2DC15FA2" w14:textId="77777777" w:rsidR="002917CD" w:rsidRPr="006B4A66" w:rsidRDefault="002917CD"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4.  Required louvers, ducts, and air handling equipment.</w:t>
      </w:r>
    </w:p>
    <w:p w14:paraId="6E7EA20A" w14:textId="77777777" w:rsidR="002917CD" w:rsidRPr="006B4A66" w:rsidRDefault="002917CD"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5.  Required structural modifications.</w:t>
      </w:r>
    </w:p>
    <w:p w14:paraId="0B1B51D2" w14:textId="77777777" w:rsidR="002917CD" w:rsidRPr="006B4A66" w:rsidRDefault="002917CD"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6.  Required partitions, doors, and other architectural modifications.</w:t>
      </w:r>
    </w:p>
    <w:p w14:paraId="321EA641" w14:textId="77777777" w:rsidR="002917CD" w:rsidRPr="006B4A66" w:rsidRDefault="002917CD"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7.  Required electrical infrastructure, including any electrical service upgrade and vault.</w:t>
      </w:r>
    </w:p>
    <w:p w14:paraId="5CDCD198" w14:textId="77777777" w:rsidR="002917CD" w:rsidRPr="006B4A66" w:rsidRDefault="002917CD"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8.  Schematic-level cost estimate, AACE Class 5, or equivalent, including separate line items for structural, mechanical, electrical, architectural, and utility costs.</w:t>
      </w:r>
    </w:p>
    <w:p w14:paraId="56B5D9CC" w14:textId="4F705287" w:rsidR="002917CD" w:rsidRPr="006B4A66" w:rsidRDefault="002917CD"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9.  Applicable compliance dates for Washington State Clean Buildings Performance Standards with maximum allowable energy use index (EUI) and carbon emissions.</w:t>
      </w:r>
    </w:p>
    <w:p w14:paraId="5A8A4F8E" w14:textId="337D9329"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148.</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071AE091"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Section C503.5 of the Washington State Energy Code is not adopted and the following is substituted:</w:t>
      </w:r>
    </w:p>
    <w:p w14:paraId="2D25D652" w14:textId="77777777" w:rsidR="006B4A66" w:rsidRPr="006B4A66" w:rsidRDefault="006B4A66" w:rsidP="0073496A">
      <w:pPr>
        <w:tabs>
          <w:tab w:val="left" w:pos="720"/>
        </w:tabs>
        <w:spacing w:after="0" w:line="480" w:lineRule="auto"/>
        <w:rPr>
          <w:rFonts w:ascii="Times New Roman" w:eastAsia="Calibri" w:hAnsi="Times New Roman" w:cs="Times New Roman"/>
          <w:b/>
          <w:color w:val="000000"/>
          <w:kern w:val="0"/>
          <w:sz w:val="24"/>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b/>
          <w:color w:val="000000"/>
          <w:kern w:val="0"/>
          <w:sz w:val="24"/>
          <w14:ligatures w14:val="none"/>
        </w:rPr>
        <w:t>Service water heating systems (WSEC C503.5).</w:t>
      </w:r>
      <w:r w:rsidRPr="006B4A66">
        <w:rPr>
          <w:rFonts w:ascii="Times New Roman" w:eastAsia="Calibri" w:hAnsi="Times New Roman" w:cs="Times New Roman"/>
          <w:bCs/>
          <w:color w:val="000000"/>
          <w:kern w:val="0"/>
          <w:sz w:val="24"/>
          <w14:ligatures w14:val="none"/>
        </w:rPr>
        <w:t xml:space="preserve">  All new service water heating systems shall comply with </w:t>
      </w:r>
      <w:r w:rsidRPr="006B4A66">
        <w:rPr>
          <w:rFonts w:ascii="Times New Roman" w:eastAsia="Calibri" w:hAnsi="Times New Roman" w:cs="Times New Roman"/>
          <w:color w:val="000000"/>
          <w:kern w:val="0"/>
          <w:sz w:val="24"/>
          <w14:ligatures w14:val="none"/>
        </w:rPr>
        <w:t>WSEC</w:t>
      </w:r>
      <w:r w:rsidRPr="006B4A66">
        <w:rPr>
          <w:rFonts w:ascii="Times New Roman" w:eastAsia="Calibri" w:hAnsi="Times New Roman" w:cs="Times New Roman"/>
          <w:bCs/>
          <w:color w:val="000000"/>
          <w:kern w:val="0"/>
          <w:sz w:val="24"/>
          <w14:ligatures w14:val="none"/>
        </w:rPr>
        <w:t xml:space="preserve"> C404.</w:t>
      </w:r>
    </w:p>
    <w:p w14:paraId="1F9BD1B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C503.5.1.  Addition or replacement of service water heating equipment.  All existing service hot water systems, equipment, and components of existing systems that are altered or replaced shall comply with WSEC C407 or WSEC C404, C408.3, C506.1, and C501.6.  Additions or alterations shall not be made to an existing service water heating system that will cause the existing system to become out of compliance.  Where </w:t>
      </w:r>
      <w:r w:rsidRPr="006B4A66">
        <w:rPr>
          <w:rFonts w:ascii="Times New Roman" w:eastAsia="Calibri" w:hAnsi="Times New Roman" w:cs="Times New Roman"/>
          <w:color w:val="000000"/>
          <w:kern w:val="0"/>
          <w:sz w:val="24"/>
          <w14:ligatures w14:val="none"/>
        </w:rPr>
        <w:lastRenderedPageBreak/>
        <w:t>use of heat pump equipment for space heating is required by this section, it is permissible to utilize the Fossil Fuel Compliance Path in WSEC C401.3 to attain the credits required for building additions shown in WSEC Table C401.3.3.</w:t>
      </w:r>
    </w:p>
    <w:p w14:paraId="37CA4A94" w14:textId="77777777" w:rsidR="006B4A66" w:rsidRPr="006B4A66" w:rsidRDefault="006B4A66" w:rsidP="0073496A">
      <w:pPr>
        <w:tabs>
          <w:tab w:val="left" w:pos="720"/>
        </w:tabs>
        <w:spacing w:after="0" w:line="480" w:lineRule="auto"/>
        <w:rPr>
          <w:rFonts w:ascii="Times New Roman" w:eastAsia="Calibri" w:hAnsi="Times New Roman" w:cs="Times New Roman"/>
          <w:b/>
          <w:bCs/>
          <w:color w:val="000000"/>
          <w:spacing w:val="-2"/>
          <w:kern w:val="0"/>
          <w:sz w:val="24"/>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b/>
          <w:bCs/>
          <w:color w:val="000000"/>
          <w:spacing w:val="-2"/>
          <w:kern w:val="0"/>
          <w:sz w:val="24"/>
          <w14:ligatures w14:val="none"/>
        </w:rPr>
        <w:t>EXCEPTIONS:</w:t>
      </w:r>
    </w:p>
    <w:p w14:paraId="669BE07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color w:val="000000"/>
          <w:kern w:val="0"/>
          <w:sz w:val="24"/>
          <w14:ligatures w14:val="none"/>
        </w:rPr>
        <w:t>1.  Utility service upgrade.  Compliance with WSEC C403.1.4 is not required where the requirements of WSEC C503.4.6.2 are met, and where such compliance would trigger an unplanned utility electrical service upgrade, based on the National Electrical Code Section 220.87 method for determining existing loads, that requires one or more of the following:</w:t>
      </w:r>
    </w:p>
    <w:p w14:paraId="04FF00C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1.1.  A new utility transformer vault located in the existing building or on the site, or an enlargement of the floor area of such a vault.</w:t>
      </w:r>
    </w:p>
    <w:p w14:paraId="45CCEFE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1.2.  Trenching across the vehicle lanes of a public way.</w:t>
      </w:r>
    </w:p>
    <w:p w14:paraId="621CAAE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1.3.  The estimated construction cost for the required electrical service enlargement exceeds 50 percent of the project valuation for the remainder of the work, as determined in accordance with the fee subtitle.  Construction cost shall be documented by an AACE Level 3 or equivalent cost estimate, including required demolition, construction, site work, and utility fees.</w:t>
      </w:r>
    </w:p>
    <w:p w14:paraId="00D4C03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The replacement equipment shall comply with the minimum efficiency in Table C503.4.6.</w:t>
      </w:r>
    </w:p>
    <w:p w14:paraId="7CDF2AE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Exempt Systems.  Replacement of any of the following water heater appliances is not required to comply with this section or with WSEC C404.2.1:</w:t>
      </w:r>
    </w:p>
    <w:p w14:paraId="187E358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2.1.  Electric water heaters with an input of 24 kilowatts or less.</w:t>
      </w:r>
    </w:p>
    <w:p w14:paraId="3CD8CF1E" w14:textId="12D787E6"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 xml:space="preserve">  2.2.  Gas storage water heaters with an input of 75,000 Btu/h (</w:t>
      </w:r>
      <w:r w:rsidR="007D0B30">
        <w:rPr>
          <w:rFonts w:ascii="Times New Roman" w:eastAsia="Calibri" w:hAnsi="Times New Roman" w:cs="Times New Roman"/>
          <w:color w:val="000000"/>
          <w:kern w:val="0"/>
          <w:sz w:val="24"/>
          <w14:ligatures w14:val="none"/>
        </w:rPr>
        <w:t>22 kilowatts</w:t>
      </w:r>
      <w:r w:rsidRPr="006B4A66">
        <w:rPr>
          <w:rFonts w:ascii="Times New Roman" w:eastAsia="Calibri" w:hAnsi="Times New Roman" w:cs="Times New Roman"/>
          <w:color w:val="000000"/>
          <w:kern w:val="0"/>
          <w:sz w:val="24"/>
          <w14:ligatures w14:val="none"/>
        </w:rPr>
        <w:t>) or less.</w:t>
      </w:r>
    </w:p>
    <w:p w14:paraId="648E7F86" w14:textId="1E62837C"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2.3.  Gas instantaneous water heaters with an input of 200,000 Btu/h (</w:t>
      </w:r>
      <w:r w:rsidR="00420DFA">
        <w:rPr>
          <w:rFonts w:ascii="Times New Roman" w:eastAsia="Calibri" w:hAnsi="Times New Roman" w:cs="Times New Roman"/>
          <w:color w:val="000000"/>
          <w:kern w:val="0"/>
          <w:sz w:val="24"/>
          <w14:ligatures w14:val="none"/>
        </w:rPr>
        <w:t>58.6 kilowatts</w:t>
      </w:r>
      <w:r w:rsidRPr="006B4A66">
        <w:rPr>
          <w:rFonts w:ascii="Times New Roman" w:eastAsia="Calibri" w:hAnsi="Times New Roman" w:cs="Times New Roman"/>
          <w:color w:val="000000"/>
          <w:kern w:val="0"/>
          <w:sz w:val="24"/>
          <w14:ligatures w14:val="none"/>
        </w:rPr>
        <w:t>) or less and 2 gallons (</w:t>
      </w:r>
      <w:r w:rsidR="007D0B30">
        <w:rPr>
          <w:rFonts w:ascii="Times New Roman" w:eastAsia="Calibri" w:hAnsi="Times New Roman" w:cs="Times New Roman"/>
          <w:color w:val="000000"/>
          <w:kern w:val="0"/>
          <w:sz w:val="24"/>
          <w14:ligatures w14:val="none"/>
        </w:rPr>
        <w:t>7.6</w:t>
      </w:r>
      <w:r w:rsidR="007D0B30"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14:ligatures w14:val="none"/>
        </w:rPr>
        <w:t>liters) or less of storage.</w:t>
      </w:r>
    </w:p>
    <w:p w14:paraId="49BF186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2.4.  Replacement of existing steam boilers with steam distribution piping to terminal units and replacement of the existing associated boiler feed equipment.</w:t>
      </w:r>
    </w:p>
    <w:p w14:paraId="4318611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3.  Reserved.</w:t>
      </w:r>
    </w:p>
    <w:p w14:paraId="19518D3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4.  Exempt buildings.  Replacement service water heating equipment for the following buildings is permitted to use the same fuel type as the existing equipment, provided the new equipment has no lower efficiency and no higher capacity than the existing, and the requirements of WSEC C503.4.6.2 are met.</w:t>
      </w:r>
    </w:p>
    <w:p w14:paraId="68A44DD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a.  Affordable housing.</w:t>
      </w:r>
    </w:p>
    <w:p w14:paraId="024B853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b.  Group I-1, I-2, or I-3 occupancies.</w:t>
      </w:r>
    </w:p>
    <w:p w14:paraId="2642E48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c.  Buildings with more than 50 percent of conditioned floor area occupied by organizations recognized as nonprofit by the State of Washington or by federal tax law.</w:t>
      </w:r>
    </w:p>
    <w:p w14:paraId="6F45DC72" w14:textId="445AFBFF"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d.  Buildings smaller than 20,000 square feet (1,858 square meters).</w:t>
      </w:r>
    </w:p>
    <w:p w14:paraId="6626E43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5.  Retention of portion of existing system capacity.  A maximum of 50 percent of the existing central fossil fuel or electric resistance water heating capacity is permitted to be provided as supplemental heat for the new heat pump water heating system, provided that the supplemental heat is controlled to be used only when the heat pump system capacity is insufficient to meet the load, in compliance with WSEC C404.2.1.4, and that the requirements of WSEC C503.4.6.2 are met.  Where an alteration replaces less than 50 percent of the existing fossil fuel or electric resistance service water heating capacity, the </w:t>
      </w:r>
      <w:r w:rsidRPr="006B4A66">
        <w:rPr>
          <w:rFonts w:ascii="Times New Roman" w:eastAsia="Calibri" w:hAnsi="Times New Roman" w:cs="Times New Roman"/>
          <w:color w:val="000000"/>
          <w:kern w:val="0"/>
          <w:sz w:val="24"/>
          <w14:ligatures w14:val="none"/>
        </w:rPr>
        <w:lastRenderedPageBreak/>
        <w:t>remaining service water heating appliances are permitted to be retained.  Where the alteration project decreases the peak service water heating load, the fossil fuel or electric resistance heating capacity shall be limited to 50 percent of the calculated peak heating load.</w:t>
      </w:r>
    </w:p>
    <w:p w14:paraId="7D0F0ED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6.  Temporary replacement of failing equipment.  Temporary like-for-like replacement of one or more service water heating appliances, in excess of the 50 percent capacity permitted by exception 5 above, is permitted where those appliances require immediate replacement, and where no other work on the service water heating system is planned.  When using this exception, it is acceptable to replace a single appliance with two or more smaller appliances, provided the total capacity is not greater than that of the original appliance.  In addition, the requirements of WSEC C503.4.6.2 shall be met, and the applicant shall ensure completion of the required heat pump water heating system in compliance with one of the following options;</w:t>
      </w:r>
    </w:p>
    <w:p w14:paraId="45B932A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a.  The code official issuing a temporary certificate of occupancy (TCO), which will remain in force until the heat pump water heating system is installed and the final inspection of the system has been completed; or</w:t>
      </w:r>
    </w:p>
    <w:p w14:paraId="6CD94E3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b.  Posting a performance bond for the full estimated cost of the required heat pump water heating system installation, to ensure the system installation completion within 48 months.</w:t>
      </w:r>
    </w:p>
    <w:p w14:paraId="679B79FC" w14:textId="25B57862"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149.</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52A3B441"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spacing w:val="-2"/>
          <w:kern w:val="0"/>
          <w:sz w:val="24"/>
          <w:szCs w:val="24"/>
          <w14:ligatures w14:val="none"/>
        </w:rPr>
        <w:tab/>
      </w:r>
      <w:r w:rsidRPr="006B4A66">
        <w:rPr>
          <w:rFonts w:ascii="Times New Roman" w:eastAsia="Times New Roman" w:hAnsi="Times New Roman" w:cs="Times New Roman"/>
          <w:color w:val="000000"/>
          <w:kern w:val="0"/>
          <w:sz w:val="24"/>
          <w:szCs w:val="24"/>
          <w14:ligatures w14:val="none"/>
        </w:rPr>
        <w:t>Section C505.2 of the Washington State Energy Code is not adopted and the following is substituted:</w:t>
      </w:r>
    </w:p>
    <w:p w14:paraId="6D46F72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b/>
          <w:color w:val="000000"/>
          <w:kern w:val="0"/>
          <w:sz w:val="24"/>
          <w14:ligatures w14:val="none"/>
        </w:rPr>
        <w:t>Change in space conditioning (WSEC 505.2).</w:t>
      </w:r>
      <w:r w:rsidRPr="006B4A66">
        <w:rPr>
          <w:rFonts w:ascii="Times New Roman" w:eastAsia="Calibri" w:hAnsi="Times New Roman" w:cs="Times New Roman"/>
          <w:color w:val="000000"/>
          <w:kern w:val="0"/>
          <w:sz w:val="24"/>
          <w14:ligatures w14:val="none"/>
        </w:rPr>
        <w:t xml:space="preserve">  For the purposes of this section, space conditioning area categories include: low energy space in accordance with WSEC C402.1.1.1, semi-heated space, and conditioned space</w:t>
      </w:r>
      <w:r w:rsidRPr="006B4A66">
        <w:rPr>
          <w:rFonts w:ascii="Times New Roman" w:eastAsia="Calibri" w:hAnsi="Times New Roman" w:cs="Times New Roman"/>
          <w:i/>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Spaces undergoing a change in space conditioning shall be brought up to full compliance with this code, other than WSEC C502, C503, and C504, for all disciplines in the following cases:</w:t>
      </w:r>
    </w:p>
    <w:p w14:paraId="56858A2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Any low energy space in accordance with WSEC C402.1.1.1 that is altered to become conditioned space or semi-heated space.</w:t>
      </w:r>
    </w:p>
    <w:p w14:paraId="5C130B4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Any semi-heated space in accordance with WSEC C402.1.1.2 that is altered to become conditioned space, or any heated but not cooled space that is altered to become both heated and cooled.</w:t>
      </w:r>
    </w:p>
    <w:p w14:paraId="61A3C92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Interior walls, ceilings, floors, and fenestration that separate conditioned spaces from low energy or semi-heated spaces shall comply with the thermal envelope requirements for conditioned space.  Interior walls, ceilings, floors, and fenestration that separate semi-heated spaces from low energy spaces shall comply with the thermal envelope requirements for semi-heated space.</w:t>
      </w:r>
    </w:p>
    <w:p w14:paraId="6369BA4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A change in space conditioning is permitted to demonstrate by the alteration area alone or combining the alteration area with all existing spaces of the same space conditioning area category that complies.  This applies to either prescriptive compliance in accordance with WSEC C505.4 or total building performance in accordance with WSEC C407.</w:t>
      </w:r>
    </w:p>
    <w:p w14:paraId="6A1B59EE" w14:textId="77777777" w:rsidR="006B4A66" w:rsidRPr="006B4A66" w:rsidRDefault="006B4A66" w:rsidP="0073496A">
      <w:pPr>
        <w:tabs>
          <w:tab w:val="left" w:pos="720"/>
        </w:tabs>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ab/>
        <w:t>EXCEPTIONS:</w:t>
      </w:r>
    </w:p>
    <w:p w14:paraId="3655E52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A change in space conditioning does not require full compliance with this code if both of the following conditions are met:</w:t>
      </w:r>
    </w:p>
    <w:p w14:paraId="18445C3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 xml:space="preserve">  1.1.  The existing heated but not cooled space is altered to become both heated and cooled solely by replacement of the existing heating-only HVAC system with an electric heat pump HVAC system, provided that there is no change in the use or occupancy classification of the area served by the HVAC system that would increase the cooling load.</w:t>
      </w:r>
    </w:p>
    <w:p w14:paraId="11925E0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1.2  The new system includes a DOAS with energy recovery in compliance with WSEC C403.3.5.</w:t>
      </w:r>
    </w:p>
    <w:p w14:paraId="372F222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The addition of cooling equipment to already-conditioned rooms or spaces less than 2,000 square feet (185.8 square meters) in floor area does not trigger the requirement to comply with this Section, WSEC 505.2.</w:t>
      </w:r>
    </w:p>
    <w:p w14:paraId="263D9DDD" w14:textId="1C3AE912"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150.</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24DDF882" w14:textId="77777777" w:rsidR="006B4A66" w:rsidRPr="006B4A66" w:rsidRDefault="006B4A66" w:rsidP="0073496A">
      <w:pPr>
        <w:widowControl w:val="0"/>
        <w:numPr>
          <w:ilvl w:val="0"/>
          <w:numId w:val="6"/>
        </w:num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C506 of the Washington State Energy Code is supplemented with the following:</w:t>
      </w:r>
    </w:p>
    <w:p w14:paraId="7293692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tab/>
        <w:t>Metering for the addition or replacement of HVAC equipment in existing buildings (</w:t>
      </w:r>
      <w:r w:rsidRPr="006B4A66">
        <w:rPr>
          <w:rFonts w:ascii="Times New Roman" w:eastAsia="Calibri" w:hAnsi="Times New Roman" w:cs="Times New Roman"/>
          <w:b/>
          <w:color w:val="000000"/>
          <w:kern w:val="0"/>
          <w:sz w:val="24"/>
          <w14:ligatures w14:val="none"/>
        </w:rPr>
        <w:t>WSEC</w:t>
      </w:r>
      <w:r w:rsidRPr="006B4A66">
        <w:rPr>
          <w:rFonts w:ascii="Times New Roman" w:eastAsia="Calibri" w:hAnsi="Times New Roman" w:cs="Times New Roman"/>
          <w:b/>
          <w:bCs/>
          <w:color w:val="000000"/>
          <w:kern w:val="0"/>
          <w:sz w:val="24"/>
          <w14:ligatures w14:val="none"/>
        </w:rPr>
        <w:t xml:space="preserve"> C506.2).</w:t>
      </w:r>
      <w:r w:rsidRPr="006B4A66">
        <w:rPr>
          <w:rFonts w:ascii="Times New Roman" w:eastAsia="Calibri" w:hAnsi="Times New Roman" w:cs="Times New Roman"/>
          <w:color w:val="000000"/>
          <w:kern w:val="0"/>
          <w:sz w:val="24"/>
          <w14:ligatures w14:val="none"/>
        </w:rPr>
        <w:t xml:space="preserve">  Where HVAC equipment is added or replaced, metering shall be provided according to WSEC C506.2.1 or C506.2.2, as applicable.</w:t>
      </w:r>
    </w:p>
    <w:p w14:paraId="1C367D9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color w:val="000000"/>
          <w:kern w:val="0"/>
          <w:sz w:val="24"/>
          <w14:ligatures w14:val="none"/>
        </w:rPr>
        <w:t>C506.2.</w:t>
      </w:r>
      <w:r w:rsidRPr="006B4A66">
        <w:rPr>
          <w:rFonts w:ascii="Times New Roman" w:eastAsia="Calibri" w:hAnsi="Times New Roman" w:cs="Times New Roman"/>
          <w:b/>
          <w:bCs/>
          <w:color w:val="000000"/>
          <w:kern w:val="0"/>
          <w:sz w:val="24"/>
          <w14:ligatures w14:val="none"/>
        </w:rPr>
        <w:t>1</w:t>
      </w:r>
      <w:r w:rsidRPr="006B4A66">
        <w:rPr>
          <w:rFonts w:ascii="Times New Roman" w:eastAsia="Calibri" w:hAnsi="Times New Roman" w:cs="Times New Roman"/>
          <w:b/>
          <w:color w:val="000000"/>
          <w:kern w:val="0"/>
          <w:sz w:val="24"/>
          <w14:ligatures w14:val="none"/>
        </w:rPr>
        <w:t>.  Addition or replacement of individual HVAC equipment pieces.</w:t>
      </w:r>
      <w:r w:rsidRPr="006B4A66">
        <w:rPr>
          <w:rFonts w:ascii="Times New Roman" w:eastAsia="Calibri" w:hAnsi="Times New Roman" w:cs="Times New Roman"/>
          <w:bCs/>
          <w:color w:val="000000"/>
          <w:kern w:val="0"/>
          <w:sz w:val="24"/>
          <w14:ligatures w14:val="none"/>
        </w:rPr>
        <w:t xml:space="preserve"> </w:t>
      </w:r>
      <w:r w:rsidRPr="006B4A66">
        <w:rPr>
          <w:rFonts w:ascii="Times New Roman" w:eastAsia="Calibri" w:hAnsi="Times New Roman" w:cs="Times New Roman"/>
          <w:color w:val="000000"/>
          <w:kern w:val="0"/>
          <w:sz w:val="24"/>
          <w14:ligatures w14:val="none"/>
        </w:rPr>
        <w:t xml:space="preserve"> Where HVAC equipment is added or replaced, but compliance with WSEC C506.2.2 is not required, metering shall be provided as follows.  The data from these meters is permitted to be stored locally using a manual totalizing meter or other means at the meter or fed into a central data collection system.</w:t>
      </w:r>
    </w:p>
    <w:p w14:paraId="717C3A0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Electrical metering shall be provided for all of the following:</w:t>
      </w:r>
    </w:p>
    <w:p w14:paraId="45CC1A2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 xml:space="preserve">  a.  Each new or existing branch circuit serving a new piece of HVAC equipment with minimum circuit ampacity (MCA) that equates to 50 kilovolt-amps or more.  A single meter is permitted to serve multiple circuits of the same sub-metering category from WSEC C409.3.</w:t>
      </w:r>
    </w:p>
    <w:p w14:paraId="4213455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b.  Each new or existing branch circuit supplied by a new electrical panel that is dedicated to serving HVAC equipment.  Circuits may be metered individually or in aggregate.</w:t>
      </w:r>
    </w:p>
    <w:p w14:paraId="785732C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c.  Each new HVAC fan or pump on a variable speed drive, where the fan, pump, or variable speed drive is new, unless the variable speed drive is integral to a packaged HVAC unit or the existing variable speed drive lacks the capability to provide electric metering output.</w:t>
      </w:r>
    </w:p>
    <w:p w14:paraId="4442F965" w14:textId="134D5659"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Natural gas metering shall be provided for each new natural gas connection that is rated at 1,000 kBtu (</w:t>
      </w:r>
      <w:r w:rsidR="00A32C8A">
        <w:rPr>
          <w:rFonts w:ascii="Times New Roman" w:eastAsia="Calibri" w:hAnsi="Times New Roman" w:cs="Times New Roman"/>
          <w:color w:val="000000"/>
          <w:kern w:val="0"/>
          <w:sz w:val="24"/>
          <w14:ligatures w14:val="none"/>
        </w:rPr>
        <w:t>351.7 kilowatts</w:t>
      </w:r>
      <w:r w:rsidRPr="006B4A66">
        <w:rPr>
          <w:rFonts w:ascii="Times New Roman" w:eastAsia="Calibri" w:hAnsi="Times New Roman" w:cs="Times New Roman"/>
          <w:color w:val="000000"/>
          <w:kern w:val="0"/>
          <w:sz w:val="24"/>
          <w14:ligatures w14:val="none"/>
        </w:rPr>
        <w:t>) or higher.  A single meter is permitted to serve multiple equipment pieces of the same sub-metering category from WSEC C409.3; HVAC, water heating, or process.</w:t>
      </w:r>
    </w:p>
    <w:p w14:paraId="58666517" w14:textId="18F64530"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C506.2.2.</w:t>
      </w:r>
      <w:r w:rsidRPr="006B4A66">
        <w:rPr>
          <w:rFonts w:ascii="Times New Roman" w:eastAsia="Calibri" w:hAnsi="Times New Roman" w:cs="Times New Roman"/>
          <w:b/>
          <w:color w:val="000000"/>
          <w:kern w:val="0"/>
          <w:sz w:val="24"/>
          <w14:ligatures w14:val="none"/>
        </w:rPr>
        <w:t xml:space="preserve">  Addition or replacement of the majority of HVAC equipment in a building.</w:t>
      </w:r>
      <w:r w:rsidRPr="006B4A66">
        <w:rPr>
          <w:rFonts w:ascii="Times New Roman" w:eastAsia="Calibri" w:hAnsi="Times New Roman" w:cs="Times New Roman"/>
          <w:color w:val="000000"/>
          <w:kern w:val="0"/>
          <w:sz w:val="24"/>
          <w14:ligatures w14:val="none"/>
        </w:rPr>
        <w:t xml:space="preserve">  Within any 12-month period, where permits are issued for new or replacement HVAC equipment that has a total heating and cooling capacity greater than 1,200 kBtu/h (</w:t>
      </w:r>
      <w:r w:rsidR="00A32C8A">
        <w:rPr>
          <w:rFonts w:ascii="Times New Roman" w:eastAsia="Calibri" w:hAnsi="Times New Roman" w:cs="Times New Roman"/>
          <w:color w:val="000000"/>
          <w:kern w:val="0"/>
          <w:sz w:val="24"/>
          <w14:ligatures w14:val="none"/>
        </w:rPr>
        <w:t>351.7 kilowatts</w:t>
      </w:r>
      <w:r w:rsidRPr="006B4A66">
        <w:rPr>
          <w:rFonts w:ascii="Times New Roman" w:eastAsia="Calibri" w:hAnsi="Times New Roman" w:cs="Times New Roman"/>
          <w:color w:val="000000"/>
          <w:kern w:val="0"/>
          <w:sz w:val="24"/>
          <w14:ligatures w14:val="none"/>
        </w:rPr>
        <w:t>) and greater than 50 percent of the building's existing HVAC heating and cooling capacity, the following shall be provided for the building:</w:t>
      </w:r>
    </w:p>
    <w:p w14:paraId="6B41158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  Energy source metering required by WSEC C409.2;</w:t>
      </w:r>
    </w:p>
    <w:p w14:paraId="3AE46EC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2.  HVAC system end-use metering required by WSEC C409.3.1; and</w:t>
      </w:r>
    </w:p>
    <w:p w14:paraId="687BB1A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3.  Data acquisition and display system per the requirements of WSEC C409.4.</w:t>
      </w:r>
    </w:p>
    <w:p w14:paraId="6C5BEF5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Each of the building's existing HVAC chillers, boilers, cooling towers, air handlers, packaged units, and heat pumps with a capacity exceeding 5 tons or that represents more than 10 percent of the building's total heating and cooling capacity shall be included in the calculation of the existing heating and cooling capacity of the building.  Where heat pumps are configured to deliver both heating and cooling, the heating and cooling capacities shall both be included in the calculation of the total capacity.</w:t>
      </w:r>
    </w:p>
    <w:p w14:paraId="1DF9F75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Each of the building's existing and new HVAC chillers, boilers, cooling towers, air handlers, packaged units, and heat pumps with a heating or cooling capacity exceeding 5 tons or that represents more than 10 percent of the total heating and cooling capacity of the building shall be included in the HVAC system end-use metering.</w:t>
      </w:r>
    </w:p>
    <w:p w14:paraId="1992552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Construction documents for new or replacement heating and cooling equipment projects shall indicate the total heating and cooling capacity of the building's existing HVAC equipment and the total heating and cooling capacity of the new or replacement equipment.  Where permits have been issued for new or replacement heating and cooling equipment within the 12-month period prior to the permit application date, the heating and cooling equipment's capacity shall also be indicated.  All heating and cooling equipment capacities shall be expressed in thousand-Btu/h.</w:t>
      </w:r>
    </w:p>
    <w:p w14:paraId="1DDA0B92" w14:textId="2A9B8D65"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151.</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50FA955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C506 of the Washington State Energy Code is supplemented with the following:</w:t>
      </w:r>
    </w:p>
    <w:p w14:paraId="383EFD8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Addition or replacement of service water heating equipment (</w:t>
      </w:r>
      <w:r w:rsidRPr="006B4A66">
        <w:rPr>
          <w:rFonts w:ascii="Times New Roman" w:eastAsia="Calibri" w:hAnsi="Times New Roman" w:cs="Times New Roman"/>
          <w:b/>
          <w:color w:val="000000"/>
          <w:kern w:val="0"/>
          <w:sz w:val="24"/>
          <w14:ligatures w14:val="none"/>
        </w:rPr>
        <w:t>WSEC</w:t>
      </w:r>
      <w:r w:rsidRPr="006B4A66">
        <w:rPr>
          <w:rFonts w:ascii="Times New Roman" w:eastAsia="Calibri" w:hAnsi="Times New Roman" w:cs="Times New Roman"/>
          <w:b/>
          <w:bCs/>
          <w:color w:val="000000"/>
          <w:kern w:val="0"/>
          <w:sz w:val="24"/>
          <w14:ligatures w14:val="none"/>
        </w:rPr>
        <w:t xml:space="preserve"> C506.3).</w:t>
      </w:r>
      <w:r w:rsidRPr="006B4A66">
        <w:rPr>
          <w:rFonts w:ascii="Times New Roman" w:eastAsia="Calibri" w:hAnsi="Times New Roman" w:cs="Times New Roman"/>
          <w:color w:val="000000"/>
          <w:kern w:val="0"/>
          <w:sz w:val="24"/>
          <w14:ligatures w14:val="none"/>
        </w:rPr>
        <w:t xml:space="preserve">  Where service water heating equipment is added or replaced, metering shall be </w:t>
      </w:r>
      <w:r w:rsidRPr="006B4A66">
        <w:rPr>
          <w:rFonts w:ascii="Times New Roman" w:eastAsia="Calibri" w:hAnsi="Times New Roman" w:cs="Times New Roman"/>
          <w:color w:val="000000"/>
          <w:kern w:val="0"/>
          <w:sz w:val="24"/>
          <w14:ligatures w14:val="none"/>
        </w:rPr>
        <w:lastRenderedPageBreak/>
        <w:t>provided as follows.  The data from these meters is permitted to be stored locally and shall be stored for a minimum of 36 months using a manual totalizing meter or other means at the meter, or fed into a central data collection system.</w:t>
      </w:r>
    </w:p>
    <w:p w14:paraId="6390C0E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A.  Electrical metering shall be provided for each new or existing branch circuit that is primarily dedicated to serving service water heating equipment.  Circuits may be metered individually or in aggregate.</w:t>
      </w:r>
    </w:p>
    <w:p w14:paraId="4344C20B" w14:textId="4D07473A"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B.  Natural gas metering shall be provided for each new natural gas service water heating appliance that is rated at 100,000 Btu/h (</w:t>
      </w:r>
      <w:r w:rsidR="00167AAD">
        <w:rPr>
          <w:rFonts w:ascii="Times New Roman" w:eastAsia="Calibri" w:hAnsi="Times New Roman" w:cs="Times New Roman"/>
          <w:color w:val="000000"/>
          <w:kern w:val="0"/>
          <w:sz w:val="24"/>
          <w14:ligatures w14:val="none"/>
        </w:rPr>
        <w:t>29.3 kilowatts</w:t>
      </w:r>
      <w:r w:rsidRPr="006B4A66">
        <w:rPr>
          <w:rFonts w:ascii="Times New Roman" w:eastAsia="Calibri" w:hAnsi="Times New Roman" w:cs="Times New Roman"/>
          <w:color w:val="000000"/>
          <w:kern w:val="0"/>
          <w:sz w:val="24"/>
          <w14:ligatures w14:val="none"/>
        </w:rPr>
        <w:t>) or higher.  A single meter is permitted to serve multiple service water heating appliances.</w:t>
      </w:r>
    </w:p>
    <w:p w14:paraId="3FD50A52" w14:textId="7D445F76"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152.</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6AF9BBF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C506 of the Washington State Energy Code is supplemented with the following:</w:t>
      </w:r>
    </w:p>
    <w:p w14:paraId="09ACB3D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Tenant space electrical sub-metering for existing buildings (</w:t>
      </w:r>
      <w:r w:rsidRPr="006B4A66">
        <w:rPr>
          <w:rFonts w:ascii="Times New Roman" w:eastAsia="Calibri" w:hAnsi="Times New Roman" w:cs="Times New Roman"/>
          <w:b/>
          <w:color w:val="000000"/>
          <w:kern w:val="0"/>
          <w:sz w:val="24"/>
          <w14:ligatures w14:val="none"/>
        </w:rPr>
        <w:t>WSEC</w:t>
      </w:r>
      <w:r w:rsidRPr="006B4A66">
        <w:rPr>
          <w:rFonts w:ascii="Times New Roman" w:eastAsia="Calibri" w:hAnsi="Times New Roman" w:cs="Times New Roman"/>
          <w:b/>
          <w:bCs/>
          <w:color w:val="000000"/>
          <w:kern w:val="0"/>
          <w:sz w:val="24"/>
          <w14:ligatures w14:val="none"/>
        </w:rPr>
        <w:t xml:space="preserve"> C506.4).</w:t>
      </w:r>
      <w:r w:rsidRPr="006B4A66">
        <w:rPr>
          <w:rFonts w:ascii="Times New Roman" w:eastAsia="Calibri" w:hAnsi="Times New Roman" w:cs="Times New Roman"/>
          <w:color w:val="000000"/>
          <w:kern w:val="0"/>
          <w:sz w:val="24"/>
          <w14:ligatures w14:val="none"/>
        </w:rPr>
        <w:t xml:space="preserve">  For tenant improvements in which a single tenant will occupy a full floor or multiple floors of a building, the electrical consumption for the tenant space on that floor shall be separately metered, and the metering data provided to the tenant with a display system per the requirements of WSEC C409.4.3.  For the purposes of this section, separate end use categories need not be segregated.</w:t>
      </w:r>
    </w:p>
    <w:p w14:paraId="417C397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color w:val="000000"/>
          <w:kern w:val="0"/>
          <w:sz w:val="24"/>
          <w14:ligatures w14:val="none"/>
        </w:rPr>
        <w:t>EXCEPTION</w:t>
      </w:r>
      <w:r w:rsidRPr="006B4A66">
        <w:rPr>
          <w:rFonts w:ascii="Times New Roman" w:eastAsia="Calibri" w:hAnsi="Times New Roman" w:cs="Times New Roman"/>
          <w:color w:val="000000"/>
          <w:kern w:val="0"/>
          <w:sz w:val="24"/>
          <w14:ligatures w14:val="none"/>
        </w:rPr>
        <w:t>: Where an existing branch circuit electrical panel serves tenant spaces on multiple full floors of a building the floors served by that panel are not required to comply with this section.</w:t>
      </w:r>
    </w:p>
    <w:p w14:paraId="55B55575" w14:textId="79ABC5C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color w:val="000000"/>
          <w:kern w:val="0"/>
          <w:sz w:val="24"/>
          <w:u w:val="single"/>
          <w14:ligatures w14:val="none"/>
        </w:rPr>
        <w:t>NEW SECTION.  SECTION 153.</w:t>
      </w:r>
      <w:r w:rsidRPr="006B4A66">
        <w:rPr>
          <w:rFonts w:ascii="Times New Roman" w:eastAsia="Calibri" w:hAnsi="Times New Roman" w:cs="Times New Roman"/>
          <w:color w:val="000000"/>
          <w:kern w:val="0"/>
          <w:sz w:val="24"/>
          <w14:ligatures w14:val="none"/>
        </w:rPr>
        <w:t xml:space="preserve">  There is hereby added to K.C.C. chapter 16.07 a new section to read as follows:</w:t>
      </w:r>
    </w:p>
    <w:p w14:paraId="289C516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C506 of the Washington State Energy Code is supplemented with the following:</w:t>
      </w:r>
    </w:p>
    <w:p w14:paraId="0FECC05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Metering for complete electrical system replacement (</w:t>
      </w:r>
      <w:r w:rsidRPr="006B4A66">
        <w:rPr>
          <w:rFonts w:ascii="Times New Roman" w:eastAsia="Calibri" w:hAnsi="Times New Roman" w:cs="Times New Roman"/>
          <w:b/>
          <w:color w:val="000000"/>
          <w:kern w:val="0"/>
          <w:sz w:val="24"/>
          <w14:ligatures w14:val="none"/>
        </w:rPr>
        <w:t>WSEC</w:t>
      </w:r>
      <w:r w:rsidRPr="006B4A66">
        <w:rPr>
          <w:rFonts w:ascii="Times New Roman" w:eastAsia="Calibri" w:hAnsi="Times New Roman" w:cs="Times New Roman"/>
          <w:b/>
          <w:bCs/>
          <w:color w:val="000000"/>
          <w:kern w:val="0"/>
          <w:sz w:val="24"/>
          <w14:ligatures w14:val="none"/>
        </w:rPr>
        <w:t xml:space="preserve"> C506.5).</w:t>
      </w:r>
      <w:r w:rsidRPr="006B4A66">
        <w:rPr>
          <w:rFonts w:ascii="Times New Roman" w:eastAsia="Calibri" w:hAnsi="Times New Roman" w:cs="Times New Roman"/>
          <w:color w:val="000000"/>
          <w:kern w:val="0"/>
          <w:sz w:val="24"/>
          <w14:ligatures w14:val="none"/>
        </w:rPr>
        <w:t xml:space="preserve">  If all, or substantially all, of the existing electrical system is replaced within a 12-month period or under a single electrical permit, all the provisions of WSEC C409 shall be met.</w:t>
      </w:r>
    </w:p>
    <w:p w14:paraId="089B286A" w14:textId="1D51C809"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0"/>
          <w14:ligatures w14:val="none"/>
        </w:rPr>
      </w:pPr>
      <w:r w:rsidRPr="006B4A66">
        <w:rPr>
          <w:rFonts w:ascii="Times New Roman" w:eastAsia="Times New Roman" w:hAnsi="Times New Roman" w:cs="Times New Roman"/>
          <w:color w:val="000000"/>
          <w:kern w:val="0"/>
          <w:sz w:val="24"/>
          <w:szCs w:val="20"/>
          <w14:ligatures w14:val="none"/>
        </w:rPr>
        <w:tab/>
      </w:r>
      <w:r w:rsidRPr="006B4A66">
        <w:rPr>
          <w:rFonts w:ascii="Times New Roman" w:eastAsia="Times New Roman" w:hAnsi="Times New Roman" w:cs="Times New Roman"/>
          <w:color w:val="000000"/>
          <w:kern w:val="0"/>
          <w:sz w:val="24"/>
          <w:szCs w:val="20"/>
          <w:u w:val="single"/>
          <w14:ligatures w14:val="none"/>
        </w:rPr>
        <w:t>SECTION 154.</w:t>
      </w:r>
      <w:r w:rsidRPr="006B4A66">
        <w:rPr>
          <w:rFonts w:ascii="Times New Roman" w:eastAsia="Times New Roman" w:hAnsi="Times New Roman" w:cs="Times New Roman"/>
          <w:color w:val="000000"/>
          <w:kern w:val="0"/>
          <w:sz w:val="24"/>
          <w:szCs w:val="20"/>
          <w14:ligatures w14:val="none"/>
        </w:rPr>
        <w:t xml:space="preserve">  Ordinance 8766, Section 6, as amended, and K.C.C. 16.08.050 are each hereby amended to read as follows:</w:t>
      </w:r>
    </w:p>
    <w:p w14:paraId="436A327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spacing w:val="-2"/>
          <w:kern w:val="0"/>
          <w:sz w:val="24"/>
          <w14:ligatures w14:val="none"/>
        </w:rPr>
        <w:t>Approved numbers or addresses shall be provided for all new and existing buildings in ((</w:t>
      </w:r>
      <w:r w:rsidRPr="006B4A66">
        <w:rPr>
          <w:rFonts w:ascii="Times New Roman" w:eastAsia="Calibri" w:hAnsi="Times New Roman" w:cs="Times New Roman"/>
          <w:strike/>
          <w:color w:val="000000"/>
          <w:spacing w:val="-2"/>
          <w:kern w:val="0"/>
          <w:sz w:val="24"/>
          <w14:ligatures w14:val="none"/>
        </w:rPr>
        <w:t>such</w:t>
      </w:r>
      <w:r w:rsidRPr="006B4A66">
        <w:rPr>
          <w:rFonts w:ascii="Times New Roman" w:eastAsia="Calibri" w:hAnsi="Times New Roman" w:cs="Times New Roman"/>
          <w:color w:val="000000"/>
          <w:spacing w:val="-2"/>
          <w:kern w:val="0"/>
          <w:sz w:val="24"/>
          <w14:ligatures w14:val="none"/>
        </w:rPr>
        <w:t>)) a position ((</w:t>
      </w:r>
      <w:r w:rsidRPr="006B4A66">
        <w:rPr>
          <w:rFonts w:ascii="Times New Roman" w:eastAsia="Calibri" w:hAnsi="Times New Roman" w:cs="Times New Roman"/>
          <w:strike/>
          <w:color w:val="000000"/>
          <w:spacing w:val="-2"/>
          <w:kern w:val="0"/>
          <w:sz w:val="24"/>
          <w14:ligatures w14:val="none"/>
        </w:rPr>
        <w:t>as to be</w:t>
      </w:r>
      <w:r w:rsidRPr="006B4A66">
        <w:rPr>
          <w:rFonts w:ascii="Times New Roman" w:eastAsia="Calibri" w:hAnsi="Times New Roman" w:cs="Times New Roman"/>
          <w:color w:val="000000"/>
          <w:spacing w:val="-2"/>
          <w:kern w:val="0"/>
          <w:sz w:val="24"/>
          <w14:ligatures w14:val="none"/>
        </w:rPr>
        <w:t xml:space="preserve">)) </w:t>
      </w:r>
      <w:r w:rsidRPr="006B4A66">
        <w:rPr>
          <w:rFonts w:ascii="Times New Roman" w:eastAsia="Calibri" w:hAnsi="Times New Roman" w:cs="Times New Roman"/>
          <w:color w:val="000000"/>
          <w:spacing w:val="-2"/>
          <w:kern w:val="0"/>
          <w:sz w:val="24"/>
          <w:u w:val="single"/>
          <w14:ligatures w14:val="none"/>
        </w:rPr>
        <w:t>that is</w:t>
      </w:r>
      <w:r w:rsidRPr="006B4A66">
        <w:rPr>
          <w:rFonts w:ascii="Times New Roman" w:eastAsia="Calibri" w:hAnsi="Times New Roman" w:cs="Times New Roman"/>
          <w:color w:val="000000"/>
          <w:spacing w:val="-2"/>
          <w:kern w:val="0"/>
          <w:sz w:val="24"/>
          <w14:ligatures w14:val="none"/>
        </w:rPr>
        <w:t xml:space="preserve"> plainly visible and legible from the road fronting the property and in conformance with this section.</w:t>
      </w:r>
    </w:p>
    <w:p w14:paraId="5C1DDAE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spacing w:val="-2"/>
          <w:kern w:val="0"/>
          <w:sz w:val="24"/>
          <w14:ligatures w14:val="none"/>
        </w:rPr>
        <w:t>A.  The owner, occupant</w:t>
      </w:r>
      <w:r w:rsidRPr="006B4A66">
        <w:rPr>
          <w:rFonts w:ascii="Times New Roman" w:eastAsia="Calibri" w:hAnsi="Times New Roman" w:cs="Times New Roman"/>
          <w:color w:val="000000"/>
          <w:spacing w:val="-2"/>
          <w:kern w:val="0"/>
          <w:sz w:val="24"/>
          <w:u w:val="single"/>
          <w14:ligatures w14:val="none"/>
        </w:rPr>
        <w:t>,</w:t>
      </w:r>
      <w:r w:rsidRPr="006B4A66">
        <w:rPr>
          <w:rFonts w:ascii="Times New Roman" w:eastAsia="Calibri" w:hAnsi="Times New Roman" w:cs="Times New Roman"/>
          <w:color w:val="000000"/>
          <w:spacing w:val="-2"/>
          <w:kern w:val="0"/>
          <w:sz w:val="24"/>
          <w14:ligatures w14:val="none"/>
        </w:rPr>
        <w:t xml:space="preserve"> or renter of any addressed building or other structure shall maintain the address numbers in a conspicuous place over or near the principal entrance or entrances.  If the entrance cannot be easily seen from the nearest adjoining road, the address numbers shall be placed in ((</w:t>
      </w:r>
      <w:r w:rsidRPr="006B4A66">
        <w:rPr>
          <w:rFonts w:ascii="Times New Roman" w:eastAsia="Calibri" w:hAnsi="Times New Roman" w:cs="Times New Roman"/>
          <w:strike/>
          <w:color w:val="000000"/>
          <w:spacing w:val="-2"/>
          <w:kern w:val="0"/>
          <w:sz w:val="24"/>
          <w14:ligatures w14:val="none"/>
        </w:rPr>
        <w:t>such other</w:t>
      </w:r>
      <w:r w:rsidRPr="006B4A66">
        <w:rPr>
          <w:rFonts w:ascii="Times New Roman" w:eastAsia="Calibri" w:hAnsi="Times New Roman" w:cs="Times New Roman"/>
          <w:color w:val="000000"/>
          <w:spacing w:val="-2"/>
          <w:kern w:val="0"/>
          <w:sz w:val="24"/>
          <w14:ligatures w14:val="none"/>
        </w:rPr>
        <w:t xml:space="preserve">)) </w:t>
      </w:r>
      <w:r w:rsidRPr="006B4A66">
        <w:rPr>
          <w:rFonts w:ascii="Times New Roman" w:eastAsia="Calibri" w:hAnsi="Times New Roman" w:cs="Times New Roman"/>
          <w:color w:val="000000"/>
          <w:spacing w:val="-2"/>
          <w:kern w:val="0"/>
          <w:sz w:val="24"/>
          <w:u w:val="single"/>
          <w14:ligatures w14:val="none"/>
        </w:rPr>
        <w:t>another</w:t>
      </w:r>
      <w:r w:rsidRPr="006B4A66">
        <w:rPr>
          <w:rFonts w:ascii="Times New Roman" w:eastAsia="Calibri" w:hAnsi="Times New Roman" w:cs="Times New Roman"/>
          <w:color w:val="000000"/>
          <w:spacing w:val="-2"/>
          <w:kern w:val="0"/>
          <w:sz w:val="24"/>
          <w14:ligatures w14:val="none"/>
        </w:rPr>
        <w:t xml:space="preserve"> conspicuous place on the building or structure ((</w:t>
      </w:r>
      <w:r w:rsidRPr="006B4A66">
        <w:rPr>
          <w:rFonts w:ascii="Times New Roman" w:eastAsia="Calibri" w:hAnsi="Times New Roman" w:cs="Times New Roman"/>
          <w:strike/>
          <w:color w:val="000000"/>
          <w:spacing w:val="-2"/>
          <w:kern w:val="0"/>
          <w:sz w:val="24"/>
          <w14:ligatures w14:val="none"/>
        </w:rPr>
        <w:t>as is necessary for visually locating such</w:t>
      </w:r>
      <w:r w:rsidRPr="006B4A66">
        <w:rPr>
          <w:rFonts w:ascii="Times New Roman" w:eastAsia="Calibri" w:hAnsi="Times New Roman" w:cs="Times New Roman"/>
          <w:color w:val="000000"/>
          <w:spacing w:val="-2"/>
          <w:kern w:val="0"/>
          <w:sz w:val="24"/>
          <w14:ligatures w14:val="none"/>
        </w:rPr>
        <w:t xml:space="preserve">)) </w:t>
      </w:r>
      <w:r w:rsidRPr="006B4A66">
        <w:rPr>
          <w:rFonts w:ascii="Times New Roman" w:eastAsia="Calibri" w:hAnsi="Times New Roman" w:cs="Times New Roman"/>
          <w:color w:val="000000"/>
          <w:spacing w:val="-2"/>
          <w:kern w:val="0"/>
          <w:sz w:val="24"/>
          <w:u w:val="single"/>
          <w14:ligatures w14:val="none"/>
        </w:rPr>
        <w:t>so the</w:t>
      </w:r>
      <w:r w:rsidRPr="006B4A66">
        <w:rPr>
          <w:rFonts w:ascii="Times New Roman" w:eastAsia="Calibri" w:hAnsi="Times New Roman" w:cs="Times New Roman"/>
          <w:color w:val="000000"/>
          <w:spacing w:val="-2"/>
          <w:kern w:val="0"/>
          <w:sz w:val="24"/>
          <w14:ligatures w14:val="none"/>
        </w:rPr>
        <w:t xml:space="preserve"> address numbers </w:t>
      </w:r>
      <w:r w:rsidRPr="006B4A66">
        <w:rPr>
          <w:rFonts w:ascii="Times New Roman" w:eastAsia="Calibri" w:hAnsi="Times New Roman" w:cs="Times New Roman"/>
          <w:color w:val="000000"/>
          <w:spacing w:val="-2"/>
          <w:kern w:val="0"/>
          <w:sz w:val="24"/>
          <w:u w:val="single"/>
          <w14:ligatures w14:val="none"/>
        </w:rPr>
        <w:t>can be easily seen</w:t>
      </w:r>
      <w:r w:rsidRPr="006B4A66">
        <w:rPr>
          <w:rFonts w:ascii="Times New Roman" w:eastAsia="Calibri" w:hAnsi="Times New Roman" w:cs="Times New Roman"/>
          <w:color w:val="000000"/>
          <w:spacing w:val="-2"/>
          <w:kern w:val="0"/>
          <w:sz w:val="24"/>
          <w14:ligatures w14:val="none"/>
        </w:rPr>
        <w:t xml:space="preserve"> from the nearest adjoining road.</w:t>
      </w:r>
    </w:p>
    <w:p w14:paraId="00640FE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spacing w:val="-2"/>
          <w:kern w:val="0"/>
          <w:sz w:val="24"/>
          <w14:ligatures w14:val="none"/>
        </w:rPr>
        <w:t xml:space="preserve">B.  If the addressed building or structure cannot be easily seen from the nearest adjoining road, the address numbers shall be placed on a portion of the site that is clearly visible from the </w:t>
      </w:r>
      <w:r w:rsidRPr="006B4A66">
        <w:rPr>
          <w:rFonts w:ascii="Times New Roman" w:eastAsia="Calibri" w:hAnsi="Times New Roman" w:cs="Times New Roman"/>
          <w:color w:val="000000"/>
          <w:spacing w:val="-2"/>
          <w:kern w:val="0"/>
          <w:sz w:val="24"/>
          <w:u w:val="single"/>
          <w14:ligatures w14:val="none"/>
        </w:rPr>
        <w:t>nearest adjoining</w:t>
      </w:r>
      <w:r w:rsidRPr="006B4A66">
        <w:rPr>
          <w:rFonts w:ascii="Times New Roman" w:eastAsia="Calibri" w:hAnsi="Times New Roman" w:cs="Times New Roman"/>
          <w:color w:val="000000"/>
          <w:spacing w:val="-2"/>
          <w:kern w:val="0"/>
          <w:sz w:val="24"/>
          <w14:ligatures w14:val="none"/>
        </w:rPr>
        <w:t xml:space="preserve"> road.</w:t>
      </w:r>
    </w:p>
    <w:p w14:paraId="19C238E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spacing w:val="-2"/>
          <w:kern w:val="0"/>
          <w:sz w:val="24"/>
          <w14:ligatures w14:val="none"/>
        </w:rPr>
        <w:t>C.  The address numbers shall:</w:t>
      </w:r>
    </w:p>
    <w:p w14:paraId="4B0CD92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color w:val="000000"/>
          <w:spacing w:val="-2"/>
          <w:kern w:val="0"/>
          <w:sz w:val="24"/>
          <w14:ligatures w14:val="none"/>
        </w:rPr>
        <w:t xml:space="preserve">  1.  Be ((</w:t>
      </w:r>
      <w:r w:rsidRPr="006B4A66">
        <w:rPr>
          <w:rFonts w:ascii="Times New Roman" w:eastAsia="Calibri" w:hAnsi="Times New Roman" w:cs="Times New Roman"/>
          <w:strike/>
          <w:color w:val="000000"/>
          <w:spacing w:val="-2"/>
          <w:kern w:val="0"/>
          <w:sz w:val="24"/>
          <w14:ligatures w14:val="none"/>
        </w:rPr>
        <w:t>easily legible figures;</w:t>
      </w:r>
      <w:r w:rsidRPr="006B4A66">
        <w:rPr>
          <w:rFonts w:ascii="Times New Roman" w:eastAsia="Calibri" w:hAnsi="Times New Roman" w:cs="Times New Roman"/>
          <w:color w:val="000000"/>
          <w:spacing w:val="-2"/>
          <w:kern w:val="0"/>
          <w:sz w:val="24"/>
          <w14:ligatures w14:val="none"/>
        </w:rPr>
        <w:t xml:space="preserve">)) </w:t>
      </w:r>
      <w:r w:rsidRPr="006B4A66">
        <w:rPr>
          <w:rFonts w:ascii="Times New Roman" w:eastAsia="Calibri" w:hAnsi="Times New Roman" w:cs="Times New Roman"/>
          <w:color w:val="000000"/>
          <w:kern w:val="0"/>
          <w:sz w:val="24"/>
          <w:u w:val="single"/>
          <w14:ligatures w14:val="none"/>
        </w:rPr>
        <w:t>Arabic numbers or alphabetical letters.  Numbers shall not be spelled out</w:t>
      </w:r>
      <w:r w:rsidRPr="006B4A66">
        <w:rPr>
          <w:rFonts w:ascii="Times New Roman" w:eastAsia="Calibri" w:hAnsi="Times New Roman" w:cs="Times New Roman"/>
          <w:color w:val="000000"/>
          <w:spacing w:val="-2"/>
          <w:kern w:val="0"/>
          <w:sz w:val="24"/>
          <w:u w:val="single"/>
          <w14:ligatures w14:val="none"/>
        </w:rPr>
        <w:t>; and</w:t>
      </w:r>
    </w:p>
    <w:p w14:paraId="46F42F2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tab/>
        <w:t xml:space="preserve">  2.  ((</w:t>
      </w:r>
      <w:r w:rsidRPr="006B4A66">
        <w:rPr>
          <w:rFonts w:ascii="Times New Roman" w:eastAsia="Calibri" w:hAnsi="Times New Roman" w:cs="Times New Roman"/>
          <w:strike/>
          <w:color w:val="000000"/>
          <w:spacing w:val="-2"/>
          <w:kern w:val="0"/>
          <w:sz w:val="24"/>
          <w14:ligatures w14:val="none"/>
        </w:rPr>
        <w:t>C</w:t>
      </w:r>
      <w:r w:rsidRPr="006B4A66">
        <w:rPr>
          <w:rFonts w:ascii="Times New Roman" w:eastAsia="Calibri" w:hAnsi="Times New Roman" w:cs="Times New Roman"/>
          <w:color w:val="000000"/>
          <w:spacing w:val="-2"/>
          <w:kern w:val="0"/>
          <w:sz w:val="24"/>
          <w14:ligatures w14:val="none"/>
        </w:rPr>
        <w:t xml:space="preserve">)) </w:t>
      </w:r>
      <w:r w:rsidRPr="006B4A66">
        <w:rPr>
          <w:rFonts w:ascii="Times New Roman" w:eastAsia="Calibri" w:hAnsi="Times New Roman" w:cs="Times New Roman"/>
          <w:color w:val="000000"/>
          <w:spacing w:val="-2"/>
          <w:kern w:val="0"/>
          <w:sz w:val="24"/>
          <w:u w:val="single"/>
          <w14:ligatures w14:val="none"/>
        </w:rPr>
        <w:t>c</w:t>
      </w:r>
      <w:r w:rsidRPr="006B4A66">
        <w:rPr>
          <w:rFonts w:ascii="Times New Roman" w:eastAsia="Calibri" w:hAnsi="Times New Roman" w:cs="Times New Roman"/>
          <w:color w:val="000000"/>
          <w:spacing w:val="-2"/>
          <w:kern w:val="0"/>
          <w:sz w:val="24"/>
          <w14:ligatures w14:val="none"/>
        </w:rPr>
        <w:t>omply with the following size requirements, unless otherwise stipulated in this section:</w:t>
      </w:r>
    </w:p>
    <w:tbl>
      <w:tblPr>
        <w:tblpPr w:leftFromText="180" w:rightFromText="180" w:vertAnchor="text"/>
        <w:tblW w:w="0" w:type="auto"/>
        <w:tblCellMar>
          <w:left w:w="0" w:type="dxa"/>
          <w:right w:w="0" w:type="dxa"/>
        </w:tblCellMar>
        <w:tblLook w:val="04A0" w:firstRow="1" w:lastRow="0" w:firstColumn="1" w:lastColumn="0" w:noHBand="0" w:noVBand="1"/>
      </w:tblPr>
      <w:tblGrid>
        <w:gridCol w:w="4313"/>
        <w:gridCol w:w="4307"/>
      </w:tblGrid>
      <w:tr w:rsidR="006B4A66" w:rsidRPr="006B4A66" w14:paraId="3CBBFC12" w14:textId="77777777">
        <w:tc>
          <w:tcPr>
            <w:tcW w:w="431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0C0CF3F"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spacing w:val="-2"/>
                <w:kern w:val="0"/>
                <w:sz w:val="24"/>
                <w14:ligatures w14:val="none"/>
              </w:rPr>
              <w:t>Distance from ((</w:t>
            </w:r>
            <w:r w:rsidRPr="006B4A66">
              <w:rPr>
                <w:rFonts w:ascii="Times New Roman" w:eastAsia="Calibri" w:hAnsi="Times New Roman" w:cs="Times New Roman"/>
                <w:b/>
                <w:bCs/>
                <w:strike/>
                <w:color w:val="000000"/>
                <w:spacing w:val="-2"/>
                <w:kern w:val="0"/>
                <w:sz w:val="24"/>
                <w14:ligatures w14:val="none"/>
              </w:rPr>
              <w:t>Right of Way</w:t>
            </w:r>
            <w:r w:rsidRPr="006B4A66">
              <w:rPr>
                <w:rFonts w:ascii="Times New Roman" w:eastAsia="Calibri" w:hAnsi="Times New Roman" w:cs="Times New Roman"/>
                <w:b/>
                <w:bCs/>
                <w:color w:val="000000"/>
                <w:spacing w:val="-2"/>
                <w:kern w:val="0"/>
                <w:sz w:val="24"/>
                <w14:ligatures w14:val="none"/>
              </w:rPr>
              <w:t xml:space="preserve">)) </w:t>
            </w:r>
            <w:r w:rsidRPr="006B4A66">
              <w:rPr>
                <w:rFonts w:ascii="Times New Roman" w:eastAsia="Calibri" w:hAnsi="Times New Roman" w:cs="Times New Roman"/>
                <w:b/>
                <w:bCs/>
                <w:color w:val="000000"/>
                <w:spacing w:val="-2"/>
                <w:kern w:val="0"/>
                <w:sz w:val="24"/>
                <w:u w:val="single"/>
                <w14:ligatures w14:val="none"/>
              </w:rPr>
              <w:t>the street or road fronting the property</w:t>
            </w:r>
          </w:p>
        </w:tc>
        <w:tc>
          <w:tcPr>
            <w:tcW w:w="431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FDB5797" w14:textId="77777777"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spacing w:val="-2"/>
                <w:kern w:val="0"/>
                <w:sz w:val="24"/>
                <w14:ligatures w14:val="none"/>
              </w:rPr>
              <w:t>Minimum Letter Size</w:t>
            </w:r>
          </w:p>
        </w:tc>
      </w:tr>
      <w:tr w:rsidR="006B4A66" w:rsidRPr="006B4A66" w14:paraId="488F92BB" w14:textId="77777777">
        <w:tc>
          <w:tcPr>
            <w:tcW w:w="43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C20B92" w14:textId="77777777" w:rsidR="006B4A66" w:rsidRPr="006B4A66" w:rsidRDefault="006B4A66" w:rsidP="0073496A">
            <w:pPr>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spacing w:val="-2"/>
                <w:kern w:val="0"/>
                <w:sz w:val="24"/>
                <w14:ligatures w14:val="none"/>
              </w:rPr>
              <w:t>((</w:t>
            </w:r>
            <w:r w:rsidRPr="006B4A66">
              <w:rPr>
                <w:rFonts w:ascii="Times New Roman" w:eastAsia="Calibri" w:hAnsi="Times New Roman" w:cs="Times New Roman"/>
                <w:strike/>
                <w:color w:val="000000"/>
                <w:spacing w:val="-2"/>
                <w:kern w:val="0"/>
                <w:sz w:val="24"/>
                <w14:ligatures w14:val="none"/>
              </w:rPr>
              <w:t>0-25 feet</w:t>
            </w:r>
            <w:r w:rsidRPr="006B4A66">
              <w:rPr>
                <w:rFonts w:ascii="Times New Roman" w:eastAsia="Calibri" w:hAnsi="Times New Roman" w:cs="Times New Roman"/>
                <w:color w:val="000000"/>
                <w:spacing w:val="-2"/>
                <w:kern w:val="0"/>
                <w:sz w:val="24"/>
                <w14:ligatures w14:val="none"/>
              </w:rPr>
              <w:t>))</w:t>
            </w:r>
          </w:p>
        </w:tc>
        <w:tc>
          <w:tcPr>
            <w:tcW w:w="4312" w:type="dxa"/>
            <w:tcBorders>
              <w:top w:val="nil"/>
              <w:left w:val="nil"/>
              <w:bottom w:val="single" w:sz="8" w:space="0" w:color="auto"/>
              <w:right w:val="single" w:sz="8" w:space="0" w:color="auto"/>
            </w:tcBorders>
            <w:tcMar>
              <w:top w:w="0" w:type="dxa"/>
              <w:left w:w="108" w:type="dxa"/>
              <w:bottom w:w="0" w:type="dxa"/>
              <w:right w:w="108" w:type="dxa"/>
            </w:tcMar>
            <w:hideMark/>
          </w:tcPr>
          <w:p w14:paraId="39428907" w14:textId="77777777" w:rsidR="006B4A66" w:rsidRPr="006B4A66" w:rsidRDefault="006B4A66" w:rsidP="0073496A">
            <w:pPr>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spacing w:val="-2"/>
                <w:kern w:val="0"/>
                <w:sz w:val="24"/>
                <w14:ligatures w14:val="none"/>
              </w:rPr>
              <w:t>((</w:t>
            </w:r>
            <w:r w:rsidRPr="006B4A66">
              <w:rPr>
                <w:rFonts w:ascii="Times New Roman" w:eastAsia="Calibri" w:hAnsi="Times New Roman" w:cs="Times New Roman"/>
                <w:strike/>
                <w:color w:val="000000"/>
                <w:spacing w:val="-2"/>
                <w:kern w:val="0"/>
                <w:sz w:val="24"/>
                <w14:ligatures w14:val="none"/>
              </w:rPr>
              <w:t>3 inches</w:t>
            </w:r>
            <w:r w:rsidRPr="006B4A66">
              <w:rPr>
                <w:rFonts w:ascii="Times New Roman" w:eastAsia="Calibri" w:hAnsi="Times New Roman" w:cs="Times New Roman"/>
                <w:color w:val="000000"/>
                <w:spacing w:val="-2"/>
                <w:kern w:val="0"/>
                <w:sz w:val="24"/>
                <w14:ligatures w14:val="none"/>
              </w:rPr>
              <w:t>))</w:t>
            </w:r>
          </w:p>
        </w:tc>
      </w:tr>
      <w:tr w:rsidR="006B4A66" w:rsidRPr="006B4A66" w14:paraId="1B9311CE" w14:textId="77777777">
        <w:tc>
          <w:tcPr>
            <w:tcW w:w="43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FCEAD2" w14:textId="3D440E70"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spacing w:val="-2"/>
                <w:kern w:val="0"/>
                <w:sz w:val="24"/>
                <w14:ligatures w14:val="none"/>
              </w:rPr>
              <w:t>((</w:t>
            </w:r>
            <w:r w:rsidRPr="006B4A66">
              <w:rPr>
                <w:rFonts w:ascii="Times New Roman" w:eastAsia="Calibri" w:hAnsi="Times New Roman" w:cs="Times New Roman"/>
                <w:strike/>
                <w:color w:val="000000"/>
                <w:spacing w:val="-2"/>
                <w:kern w:val="0"/>
                <w:sz w:val="24"/>
                <w14:ligatures w14:val="none"/>
              </w:rPr>
              <w:t>26</w:t>
            </w:r>
            <w:r w:rsidRPr="006B4A66">
              <w:rPr>
                <w:rFonts w:ascii="Times New Roman" w:eastAsia="Calibri" w:hAnsi="Times New Roman" w:cs="Times New Roman"/>
                <w:color w:val="000000"/>
                <w:spacing w:val="-2"/>
                <w:kern w:val="0"/>
                <w:sz w:val="24"/>
                <w14:ligatures w14:val="none"/>
              </w:rPr>
              <w:t xml:space="preserve">)) </w:t>
            </w:r>
            <w:r w:rsidRPr="006B4A66">
              <w:rPr>
                <w:rFonts w:ascii="Times New Roman" w:eastAsia="Calibri" w:hAnsi="Times New Roman" w:cs="Times New Roman"/>
                <w:color w:val="000000"/>
                <w:spacing w:val="-2"/>
                <w:kern w:val="0"/>
                <w:sz w:val="24"/>
                <w:u w:val="single"/>
                <w14:ligatures w14:val="none"/>
              </w:rPr>
              <w:t>0</w:t>
            </w:r>
            <w:r w:rsidRPr="006B4A66">
              <w:rPr>
                <w:rFonts w:ascii="Times New Roman" w:eastAsia="Calibri" w:hAnsi="Times New Roman" w:cs="Times New Roman"/>
                <w:color w:val="000000"/>
                <w:spacing w:val="-2"/>
                <w:kern w:val="0"/>
                <w:sz w:val="24"/>
                <w14:ligatures w14:val="none"/>
              </w:rPr>
              <w:t>-50 feet</w:t>
            </w:r>
          </w:p>
        </w:tc>
        <w:tc>
          <w:tcPr>
            <w:tcW w:w="4312" w:type="dxa"/>
            <w:tcBorders>
              <w:top w:val="nil"/>
              <w:left w:val="nil"/>
              <w:bottom w:val="single" w:sz="8" w:space="0" w:color="auto"/>
              <w:right w:val="single" w:sz="8" w:space="0" w:color="auto"/>
            </w:tcBorders>
            <w:tcMar>
              <w:top w:w="0" w:type="dxa"/>
              <w:left w:w="108" w:type="dxa"/>
              <w:bottom w:w="0" w:type="dxa"/>
              <w:right w:w="108" w:type="dxa"/>
            </w:tcMar>
            <w:hideMark/>
          </w:tcPr>
          <w:p w14:paraId="6FC960CA" w14:textId="0914A5A6"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spacing w:val="-2"/>
                <w:kern w:val="0"/>
                <w:sz w:val="24"/>
                <w14:ligatures w14:val="none"/>
              </w:rPr>
              <w:t>4 inches</w:t>
            </w:r>
          </w:p>
        </w:tc>
      </w:tr>
      <w:tr w:rsidR="006B4A66" w:rsidRPr="006B4A66" w14:paraId="5F9FDC0A" w14:textId="77777777">
        <w:tc>
          <w:tcPr>
            <w:tcW w:w="43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1EDF61" w14:textId="5D8102B9"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t>51-100 feet</w:t>
            </w:r>
          </w:p>
        </w:tc>
        <w:tc>
          <w:tcPr>
            <w:tcW w:w="4312" w:type="dxa"/>
            <w:tcBorders>
              <w:top w:val="nil"/>
              <w:left w:val="nil"/>
              <w:bottom w:val="single" w:sz="8" w:space="0" w:color="auto"/>
              <w:right w:val="single" w:sz="8" w:space="0" w:color="auto"/>
            </w:tcBorders>
            <w:tcMar>
              <w:top w:w="0" w:type="dxa"/>
              <w:left w:w="108" w:type="dxa"/>
              <w:bottom w:w="0" w:type="dxa"/>
              <w:right w:w="108" w:type="dxa"/>
            </w:tcMar>
            <w:hideMark/>
          </w:tcPr>
          <w:p w14:paraId="5F6C7A62" w14:textId="0B4371C1"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spacing w:val="-2"/>
                <w:kern w:val="0"/>
                <w:sz w:val="24"/>
                <w14:ligatures w14:val="none"/>
              </w:rPr>
              <w:t>6 inches</w:t>
            </w:r>
          </w:p>
        </w:tc>
      </w:tr>
      <w:tr w:rsidR="006B4A66" w:rsidRPr="006B4A66" w14:paraId="5C424E6E" w14:textId="77777777">
        <w:tc>
          <w:tcPr>
            <w:tcW w:w="43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C94EB1" w14:textId="4CDA21A8"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spacing w:val="-2"/>
                <w:kern w:val="0"/>
                <w:sz w:val="24"/>
                <w14:ligatures w14:val="none"/>
              </w:rPr>
              <w:t>101-150 feet</w:t>
            </w:r>
          </w:p>
        </w:tc>
        <w:tc>
          <w:tcPr>
            <w:tcW w:w="4312" w:type="dxa"/>
            <w:tcBorders>
              <w:top w:val="nil"/>
              <w:left w:val="nil"/>
              <w:bottom w:val="single" w:sz="8" w:space="0" w:color="auto"/>
              <w:right w:val="single" w:sz="8" w:space="0" w:color="auto"/>
            </w:tcBorders>
            <w:tcMar>
              <w:top w:w="0" w:type="dxa"/>
              <w:left w:w="108" w:type="dxa"/>
              <w:bottom w:w="0" w:type="dxa"/>
              <w:right w:w="108" w:type="dxa"/>
            </w:tcMar>
            <w:hideMark/>
          </w:tcPr>
          <w:p w14:paraId="4FDC94B9" w14:textId="3A054906"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spacing w:val="-2"/>
                <w:kern w:val="0"/>
                <w:sz w:val="24"/>
                <w14:ligatures w14:val="none"/>
              </w:rPr>
              <w:t>8 inches</w:t>
            </w:r>
          </w:p>
        </w:tc>
      </w:tr>
      <w:tr w:rsidR="006B4A66" w:rsidRPr="006B4A66" w14:paraId="4B1647AA" w14:textId="77777777">
        <w:tc>
          <w:tcPr>
            <w:tcW w:w="43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6C7A7E7" w14:textId="21574521"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spacing w:val="-2"/>
                <w:kern w:val="0"/>
                <w:sz w:val="24"/>
                <w14:ligatures w14:val="none"/>
              </w:rPr>
              <w:t>151-200 feet</w:t>
            </w:r>
          </w:p>
        </w:tc>
        <w:tc>
          <w:tcPr>
            <w:tcW w:w="4312" w:type="dxa"/>
            <w:tcBorders>
              <w:top w:val="nil"/>
              <w:left w:val="nil"/>
              <w:bottom w:val="single" w:sz="8" w:space="0" w:color="auto"/>
              <w:right w:val="single" w:sz="8" w:space="0" w:color="auto"/>
            </w:tcBorders>
            <w:tcMar>
              <w:top w:w="0" w:type="dxa"/>
              <w:left w:w="108" w:type="dxa"/>
              <w:bottom w:w="0" w:type="dxa"/>
              <w:right w:w="108" w:type="dxa"/>
            </w:tcMar>
            <w:hideMark/>
          </w:tcPr>
          <w:p w14:paraId="64812FDE" w14:textId="25AD04DD"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t>10 inches</w:t>
            </w:r>
          </w:p>
        </w:tc>
      </w:tr>
      <w:tr w:rsidR="006B4A66" w:rsidRPr="006B4A66" w14:paraId="1A899710" w14:textId="77777777">
        <w:tc>
          <w:tcPr>
            <w:tcW w:w="43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0C833CE" w14:textId="756024D3" w:rsidR="006B4A66" w:rsidRPr="006B4A66" w:rsidRDefault="006B4A66" w:rsidP="0073496A">
            <w:pPr>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spacing w:val="-2"/>
                <w:kern w:val="0"/>
                <w:sz w:val="24"/>
                <w14:ligatures w14:val="none"/>
              </w:rPr>
              <w:t>Over 200 feet</w:t>
            </w:r>
          </w:p>
        </w:tc>
        <w:tc>
          <w:tcPr>
            <w:tcW w:w="4312" w:type="dxa"/>
            <w:tcBorders>
              <w:top w:val="nil"/>
              <w:left w:val="nil"/>
              <w:bottom w:val="single" w:sz="8" w:space="0" w:color="auto"/>
              <w:right w:val="single" w:sz="8" w:space="0" w:color="auto"/>
            </w:tcBorders>
            <w:tcMar>
              <w:top w:w="0" w:type="dxa"/>
              <w:left w:w="108" w:type="dxa"/>
              <w:bottom w:w="0" w:type="dxa"/>
              <w:right w:w="108" w:type="dxa"/>
            </w:tcMar>
            <w:hideMark/>
          </w:tcPr>
          <w:p w14:paraId="0B7820A8" w14:textId="692E299A" w:rsidR="006B4A66" w:rsidRPr="006B4A66" w:rsidRDefault="006B4A66" w:rsidP="0073496A">
            <w:pPr>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t>12 inches</w:t>
            </w:r>
          </w:p>
        </w:tc>
      </w:tr>
    </w:tbl>
    <w:p w14:paraId="2B7505F9" w14:textId="28731BF6"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tab/>
        <w:t xml:space="preserve">  3.  Be not less than ((</w:t>
      </w:r>
      <w:r w:rsidRPr="006B4A66">
        <w:rPr>
          <w:rFonts w:ascii="Times New Roman" w:eastAsia="Calibri" w:hAnsi="Times New Roman" w:cs="Times New Roman"/>
          <w:strike/>
          <w:color w:val="000000"/>
          <w:spacing w:val="-2"/>
          <w:kern w:val="0"/>
          <w:sz w:val="24"/>
          <w14:ligatures w14:val="none"/>
        </w:rPr>
        <w:t>five</w:t>
      </w:r>
      <w:r w:rsidRPr="006B4A66">
        <w:rPr>
          <w:rFonts w:ascii="Times New Roman" w:eastAsia="Calibri" w:hAnsi="Times New Roman" w:cs="Times New Roman"/>
          <w:color w:val="000000"/>
          <w:spacing w:val="-2"/>
          <w:kern w:val="0"/>
          <w:sz w:val="24"/>
          <w14:ligatures w14:val="none"/>
        </w:rPr>
        <w:t xml:space="preserve">)) </w:t>
      </w:r>
      <w:r w:rsidRPr="006B4A66">
        <w:rPr>
          <w:rFonts w:ascii="Times New Roman" w:eastAsia="Calibri" w:hAnsi="Times New Roman" w:cs="Times New Roman"/>
          <w:color w:val="000000"/>
          <w:spacing w:val="-2"/>
          <w:kern w:val="0"/>
          <w:sz w:val="24"/>
          <w:u w:val="single"/>
          <w14:ligatures w14:val="none"/>
        </w:rPr>
        <w:t>four</w:t>
      </w:r>
      <w:r w:rsidRPr="006B4A66">
        <w:rPr>
          <w:rFonts w:ascii="Times New Roman" w:eastAsia="Calibri" w:hAnsi="Times New Roman" w:cs="Times New Roman"/>
          <w:color w:val="000000"/>
          <w:spacing w:val="-2"/>
          <w:kern w:val="0"/>
          <w:sz w:val="24"/>
          <w14:ligatures w14:val="none"/>
        </w:rPr>
        <w:t xml:space="preserve"> inches  high ((</w:t>
      </w:r>
      <w:r w:rsidRPr="006B4A66">
        <w:rPr>
          <w:rFonts w:ascii="Times New Roman" w:eastAsia="Calibri" w:hAnsi="Times New Roman" w:cs="Times New Roman"/>
          <w:strike/>
          <w:color w:val="000000"/>
          <w:spacing w:val="-2"/>
          <w:kern w:val="0"/>
          <w:sz w:val="24"/>
          <w14:ligatures w14:val="none"/>
        </w:rPr>
        <w:t>for a commercial use</w:t>
      </w:r>
      <w:r w:rsidRPr="006B4A66">
        <w:rPr>
          <w:rFonts w:ascii="Times New Roman" w:eastAsia="Calibri" w:hAnsi="Times New Roman" w:cs="Times New Roman"/>
          <w:color w:val="000000"/>
          <w:spacing w:val="-2"/>
          <w:kern w:val="0"/>
          <w:sz w:val="24"/>
          <w14:ligatures w14:val="none"/>
        </w:rPr>
        <w:t xml:space="preserve">)) </w:t>
      </w:r>
      <w:r w:rsidRPr="006B4A66">
        <w:rPr>
          <w:rFonts w:ascii="Times New Roman" w:eastAsia="Calibri" w:hAnsi="Times New Roman" w:cs="Times New Roman"/>
          <w:color w:val="000000"/>
          <w:spacing w:val="-2"/>
          <w:kern w:val="0"/>
          <w:sz w:val="24"/>
          <w:u w:val="single"/>
          <w14:ligatures w14:val="none"/>
        </w:rPr>
        <w:t xml:space="preserve">with a minimum stroke width of 0.5 inch </w:t>
      </w:r>
      <w:r w:rsidRPr="006B4A66">
        <w:rPr>
          <w:rFonts w:ascii="Times New Roman" w:eastAsia="Calibri" w:hAnsi="Times New Roman" w:cs="Times New Roman"/>
          <w:color w:val="000000"/>
          <w:spacing w:val="-2"/>
          <w:kern w:val="0"/>
          <w:sz w:val="24"/>
          <w14:ligatures w14:val="none"/>
        </w:rPr>
        <w:t>;</w:t>
      </w:r>
    </w:p>
    <w:p w14:paraId="4372EE0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spacing w:val="-2"/>
          <w:kern w:val="0"/>
          <w:sz w:val="24"/>
          <w14:ligatures w14:val="none"/>
        </w:rPr>
        <w:tab/>
        <w:t xml:space="preserve">  4.  Contrast with the color of the structure ((</w:t>
      </w:r>
      <w:r w:rsidRPr="006B4A66">
        <w:rPr>
          <w:rFonts w:ascii="Times New Roman" w:eastAsia="Calibri" w:hAnsi="Times New Roman" w:cs="Times New Roman"/>
          <w:strike/>
          <w:color w:val="000000"/>
          <w:spacing w:val="-2"/>
          <w:kern w:val="0"/>
          <w:sz w:val="24"/>
          <w14:ligatures w14:val="none"/>
        </w:rPr>
        <w:t>upon which</w:t>
      </w:r>
      <w:r w:rsidRPr="006B4A66">
        <w:rPr>
          <w:rFonts w:ascii="Times New Roman" w:eastAsia="Calibri" w:hAnsi="Times New Roman" w:cs="Times New Roman"/>
          <w:color w:val="000000"/>
          <w:spacing w:val="-2"/>
          <w:kern w:val="0"/>
          <w:sz w:val="24"/>
          <w14:ligatures w14:val="none"/>
        </w:rPr>
        <w:t xml:space="preserve">)) they are placed </w:t>
      </w:r>
      <w:r w:rsidRPr="006B4A66">
        <w:rPr>
          <w:rFonts w:ascii="Times New Roman" w:eastAsia="Calibri" w:hAnsi="Times New Roman" w:cs="Times New Roman"/>
          <w:color w:val="000000"/>
          <w:spacing w:val="-2"/>
          <w:kern w:val="0"/>
          <w:sz w:val="24"/>
          <w:u w:val="single"/>
          <w14:ligatures w14:val="none"/>
        </w:rPr>
        <w:t>on</w:t>
      </w:r>
      <w:r w:rsidRPr="006B4A66">
        <w:rPr>
          <w:rFonts w:ascii="Times New Roman" w:eastAsia="Calibri" w:hAnsi="Times New Roman" w:cs="Times New Roman"/>
          <w:color w:val="000000"/>
          <w:spacing w:val="-2"/>
          <w:kern w:val="0"/>
          <w:sz w:val="24"/>
          <w14:ligatures w14:val="none"/>
        </w:rPr>
        <w:t>;</w:t>
      </w:r>
    </w:p>
    <w:p w14:paraId="2B229B2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spacing w:val="-2"/>
          <w:kern w:val="0"/>
          <w:sz w:val="24"/>
          <w14:ligatures w14:val="none"/>
        </w:rPr>
      </w:pPr>
      <w:r w:rsidRPr="006B4A66">
        <w:rPr>
          <w:rFonts w:ascii="Times New Roman" w:eastAsia="Calibri" w:hAnsi="Times New Roman" w:cs="Times New Roman"/>
          <w:color w:val="000000"/>
          <w:spacing w:val="-2"/>
          <w:kern w:val="0"/>
          <w:sz w:val="24"/>
          <w14:ligatures w14:val="none"/>
        </w:rPr>
        <w:tab/>
        <w:t xml:space="preserve">  5.  ((</w:t>
      </w:r>
      <w:r w:rsidRPr="006B4A66">
        <w:rPr>
          <w:rFonts w:ascii="Times New Roman" w:eastAsia="Calibri" w:hAnsi="Times New Roman" w:cs="Times New Roman"/>
          <w:strike/>
          <w:color w:val="000000"/>
          <w:spacing w:val="-2"/>
          <w:kern w:val="0"/>
          <w:sz w:val="24"/>
          <w14:ligatures w14:val="none"/>
        </w:rPr>
        <w:t>Either b)</w:t>
      </w:r>
      <w:r w:rsidRPr="006B4A66">
        <w:rPr>
          <w:rFonts w:ascii="Times New Roman" w:eastAsia="Calibri" w:hAnsi="Times New Roman" w:cs="Times New Roman"/>
          <w:color w:val="000000"/>
          <w:spacing w:val="-2"/>
          <w:kern w:val="0"/>
          <w:sz w:val="24"/>
          <w14:ligatures w14:val="none"/>
        </w:rPr>
        <w:t xml:space="preserve">) </w:t>
      </w:r>
      <w:r w:rsidRPr="006B4A66">
        <w:rPr>
          <w:rFonts w:ascii="Times New Roman" w:eastAsia="Calibri" w:hAnsi="Times New Roman" w:cs="Times New Roman"/>
          <w:color w:val="000000"/>
          <w:spacing w:val="-2"/>
          <w:kern w:val="0"/>
          <w:sz w:val="24"/>
          <w:u w:val="single"/>
          <w14:ligatures w14:val="none"/>
        </w:rPr>
        <w:t>B</w:t>
      </w:r>
      <w:r w:rsidRPr="006B4A66">
        <w:rPr>
          <w:rFonts w:ascii="Times New Roman" w:eastAsia="Calibri" w:hAnsi="Times New Roman" w:cs="Times New Roman"/>
          <w:color w:val="000000"/>
          <w:spacing w:val="-2"/>
          <w:kern w:val="0"/>
          <w:sz w:val="24"/>
          <w14:ligatures w14:val="none"/>
        </w:rPr>
        <w:t>e illuminated ((</w:t>
      </w:r>
      <w:r w:rsidRPr="006B4A66">
        <w:rPr>
          <w:rFonts w:ascii="Times New Roman" w:eastAsia="Calibri" w:hAnsi="Times New Roman" w:cs="Times New Roman"/>
          <w:strike/>
          <w:color w:val="000000"/>
          <w:spacing w:val="-2"/>
          <w:kern w:val="0"/>
          <w:sz w:val="24"/>
          <w14:ligatures w14:val="none"/>
        </w:rPr>
        <w:t>during periods of darkness</w:t>
      </w:r>
      <w:r w:rsidRPr="006B4A66">
        <w:rPr>
          <w:rFonts w:ascii="Times New Roman" w:eastAsia="Calibri" w:hAnsi="Times New Roman" w:cs="Times New Roman"/>
          <w:color w:val="000000"/>
          <w:spacing w:val="-2"/>
          <w:kern w:val="0"/>
          <w:sz w:val="24"/>
          <w14:ligatures w14:val="none"/>
        </w:rPr>
        <w:t>)) or ((</w:t>
      </w:r>
      <w:r w:rsidRPr="006B4A66">
        <w:rPr>
          <w:rFonts w:ascii="Times New Roman" w:eastAsia="Calibri" w:hAnsi="Times New Roman" w:cs="Times New Roman"/>
          <w:strike/>
          <w:color w:val="000000"/>
          <w:spacing w:val="-2"/>
          <w:kern w:val="0"/>
          <w:sz w:val="24"/>
          <w14:ligatures w14:val="none"/>
        </w:rPr>
        <w:t>be</w:t>
      </w:r>
      <w:r w:rsidRPr="006B4A66">
        <w:rPr>
          <w:rFonts w:ascii="Times New Roman" w:eastAsia="Calibri" w:hAnsi="Times New Roman" w:cs="Times New Roman"/>
          <w:color w:val="000000"/>
          <w:spacing w:val="-2"/>
          <w:kern w:val="0"/>
          <w:sz w:val="24"/>
          <w14:ligatures w14:val="none"/>
        </w:rPr>
        <w:t>)) reflective, so they are easily seen ((</w:t>
      </w:r>
      <w:r w:rsidRPr="006B4A66">
        <w:rPr>
          <w:rFonts w:ascii="Times New Roman" w:eastAsia="Calibri" w:hAnsi="Times New Roman" w:cs="Times New Roman"/>
          <w:strike/>
          <w:color w:val="000000"/>
          <w:spacing w:val="-2"/>
          <w:kern w:val="0"/>
          <w:sz w:val="24"/>
          <w14:ligatures w14:val="none"/>
        </w:rPr>
        <w:t>at night</w:t>
      </w:r>
      <w:r w:rsidRPr="006B4A66">
        <w:rPr>
          <w:rFonts w:ascii="Times New Roman" w:eastAsia="Calibri" w:hAnsi="Times New Roman" w:cs="Times New Roman"/>
          <w:color w:val="000000"/>
          <w:spacing w:val="-2"/>
          <w:kern w:val="0"/>
          <w:sz w:val="24"/>
          <w14:ligatures w14:val="none"/>
        </w:rPr>
        <w:t xml:space="preserve">)) </w:t>
      </w:r>
      <w:r w:rsidRPr="006B4A66">
        <w:rPr>
          <w:rFonts w:ascii="Times New Roman" w:eastAsia="Calibri" w:hAnsi="Times New Roman" w:cs="Times New Roman"/>
          <w:color w:val="000000"/>
          <w:spacing w:val="-2"/>
          <w:kern w:val="0"/>
          <w:sz w:val="24"/>
          <w:u w:val="single"/>
          <w14:ligatures w14:val="none"/>
        </w:rPr>
        <w:t>during periods of darkness</w:t>
      </w:r>
      <w:r w:rsidRPr="006B4A66">
        <w:rPr>
          <w:rFonts w:ascii="Times New Roman" w:eastAsia="Calibri" w:hAnsi="Times New Roman" w:cs="Times New Roman"/>
          <w:color w:val="000000"/>
          <w:spacing w:val="-2"/>
          <w:kern w:val="0"/>
          <w:sz w:val="24"/>
          <w14:ligatures w14:val="none"/>
        </w:rPr>
        <w:t>.</w:t>
      </w:r>
    </w:p>
    <w:p w14:paraId="69A7C0E5" w14:textId="16722A9C"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155.</w:t>
      </w:r>
      <w:r w:rsidRPr="006B4A66">
        <w:rPr>
          <w:rFonts w:ascii="Times New Roman" w:eastAsia="Times New Roman" w:hAnsi="Times New Roman" w:cs="Times New Roman"/>
          <w:color w:val="000000"/>
          <w:kern w:val="0"/>
          <w:sz w:val="24"/>
          <w:szCs w:val="24"/>
          <w14:ligatures w14:val="none"/>
        </w:rPr>
        <w:t xml:space="preserve">  Ordinance 12560, Section 109, as amended, and K.C.C. 16.14.090 are hereby amended to read as follows:</w:t>
      </w:r>
    </w:p>
    <w:p w14:paraId="63A01031" w14:textId="77777777" w:rsidR="006B4A66" w:rsidRPr="006B4A66" w:rsidRDefault="006B4A66" w:rsidP="0073496A">
      <w:pPr>
        <w:tabs>
          <w:tab w:val="left" w:pos="720"/>
        </w:tabs>
        <w:suppressAutoHyphen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w:t>
      </w:r>
      <w:r w:rsidRPr="006B4A66">
        <w:rPr>
          <w:rFonts w:ascii="Times New Roman" w:eastAsia="Calibri" w:hAnsi="Times New Roman" w:cs="Times New Roman"/>
          <w:strike/>
          <w:color w:val="000000"/>
          <w:kern w:val="0"/>
          <w:sz w:val="24"/>
          <w14:ligatures w14:val="none"/>
        </w:rPr>
        <w:t>104.3</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105.3</w:t>
      </w:r>
      <w:r w:rsidRPr="006B4A66">
        <w:rPr>
          <w:rFonts w:ascii="Times New Roman" w:eastAsia="Calibri" w:hAnsi="Times New Roman" w:cs="Times New Roman"/>
          <w:color w:val="000000"/>
          <w:kern w:val="0"/>
          <w:sz w:val="24"/>
          <w14:ligatures w14:val="none"/>
        </w:rPr>
        <w:t xml:space="preserve"> of the International Property Maintenance Code is not adopted and the following is substituted:</w:t>
      </w:r>
    </w:p>
    <w:p w14:paraId="0E9A237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color w:val="000000"/>
          <w:kern w:val="0"/>
          <w:sz w:val="24"/>
          <w14:ligatures w14:val="none"/>
        </w:rPr>
        <w:t>Right of entry (IPMC ((</w:t>
      </w:r>
      <w:r w:rsidRPr="006B4A66">
        <w:rPr>
          <w:rFonts w:ascii="Times New Roman" w:eastAsia="Calibri" w:hAnsi="Times New Roman" w:cs="Times New Roman"/>
          <w:b/>
          <w:strike/>
          <w:color w:val="000000"/>
          <w:kern w:val="0"/>
          <w:sz w:val="24"/>
          <w14:ligatures w14:val="none"/>
        </w:rPr>
        <w:t>104.3</w:t>
      </w:r>
      <w:r w:rsidRPr="006B4A66">
        <w:rPr>
          <w:rFonts w:ascii="Times New Roman" w:eastAsia="Calibri" w:hAnsi="Times New Roman" w:cs="Times New Roman"/>
          <w:b/>
          <w:color w:val="000000"/>
          <w:kern w:val="0"/>
          <w:sz w:val="24"/>
          <w14:ligatures w14:val="none"/>
        </w:rPr>
        <w:t xml:space="preserve">)) </w:t>
      </w:r>
      <w:r w:rsidRPr="006B4A66">
        <w:rPr>
          <w:rFonts w:ascii="Times New Roman" w:eastAsia="Calibri" w:hAnsi="Times New Roman" w:cs="Times New Roman"/>
          <w:b/>
          <w:color w:val="000000"/>
          <w:kern w:val="0"/>
          <w:sz w:val="24"/>
          <w:u w:val="single"/>
          <w14:ligatures w14:val="none"/>
        </w:rPr>
        <w:t>105.3</w:t>
      </w:r>
      <w:r w:rsidRPr="006B4A66">
        <w:rPr>
          <w:rFonts w:ascii="Times New Roman" w:eastAsia="Calibri" w:hAnsi="Times New Roman" w:cs="Times New Roman"/>
          <w:b/>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The right of entry shall be in accordance with the procedures specified in K.C.C. Title 23.</w:t>
      </w:r>
    </w:p>
    <w:p w14:paraId="41F7C08D" w14:textId="31BA1CC3" w:rsidR="00F72CC7" w:rsidRDefault="006B4A66" w:rsidP="00F72CC7">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lastRenderedPageBreak/>
        <w:tab/>
      </w:r>
      <w:r w:rsidRPr="006B4A66">
        <w:rPr>
          <w:rFonts w:ascii="Times New Roman" w:eastAsia="Times New Roman" w:hAnsi="Times New Roman" w:cs="Times New Roman"/>
          <w:color w:val="000000"/>
          <w:kern w:val="0"/>
          <w:sz w:val="24"/>
          <w:szCs w:val="24"/>
          <w:u w:val="single"/>
          <w14:ligatures w14:val="none"/>
        </w:rPr>
        <w:t>SECTION 156.</w:t>
      </w:r>
      <w:r w:rsidRPr="006B4A66">
        <w:rPr>
          <w:rFonts w:ascii="Times New Roman" w:eastAsia="Times New Roman" w:hAnsi="Times New Roman" w:cs="Times New Roman"/>
          <w:color w:val="000000"/>
          <w:kern w:val="0"/>
          <w:sz w:val="24"/>
          <w:szCs w:val="24"/>
          <w14:ligatures w14:val="none"/>
        </w:rPr>
        <w:t xml:space="preserve">  </w:t>
      </w:r>
      <w:r w:rsidR="00F72CC7" w:rsidRPr="006672AD">
        <w:rPr>
          <w:rFonts w:ascii="Times New Roman" w:eastAsia="Times New Roman" w:hAnsi="Times New Roman" w:cs="Times New Roman"/>
          <w:color w:val="000000"/>
          <w:kern w:val="0"/>
          <w:sz w:val="24"/>
          <w:szCs w:val="24"/>
          <w14:ligatures w14:val="none"/>
        </w:rPr>
        <w:t xml:space="preserve">K.C.C. </w:t>
      </w:r>
      <w:r w:rsidR="00F72CC7" w:rsidRPr="006B4A66">
        <w:rPr>
          <w:rFonts w:ascii="Times New Roman" w:eastAsia="Times New Roman" w:hAnsi="Times New Roman" w:cs="Times New Roman"/>
          <w:color w:val="000000"/>
          <w:kern w:val="0"/>
          <w:sz w:val="24"/>
          <w:szCs w:val="24"/>
          <w14:ligatures w14:val="none"/>
        </w:rPr>
        <w:t>16.14.430</w:t>
      </w:r>
      <w:r w:rsidR="00F72CC7" w:rsidRPr="006672AD">
        <w:rPr>
          <w:rFonts w:ascii="Times New Roman" w:eastAsia="Times New Roman" w:hAnsi="Times New Roman" w:cs="Times New Roman"/>
          <w:color w:val="000000"/>
          <w:kern w:val="0"/>
          <w:sz w:val="24"/>
          <w:szCs w:val="24"/>
          <w14:ligatures w14:val="none"/>
        </w:rPr>
        <w:t xml:space="preserve">, as amended by this ordinance, is hereby recodified as a new section in K.C.C. chapter </w:t>
      </w:r>
      <w:r w:rsidR="00F72CC7">
        <w:rPr>
          <w:rFonts w:ascii="Times New Roman" w:eastAsia="Times New Roman" w:hAnsi="Times New Roman" w:cs="Times New Roman"/>
          <w:color w:val="000000"/>
          <w:kern w:val="0"/>
          <w:sz w:val="24"/>
          <w:szCs w:val="24"/>
          <w14:ligatures w14:val="none"/>
        </w:rPr>
        <w:t>16.14</w:t>
      </w:r>
      <w:r w:rsidR="00F72CC7" w:rsidRPr="006672AD">
        <w:rPr>
          <w:rFonts w:ascii="Times New Roman" w:eastAsia="Times New Roman" w:hAnsi="Times New Roman" w:cs="Times New Roman"/>
          <w:color w:val="000000"/>
          <w:kern w:val="0"/>
          <w:sz w:val="24"/>
          <w:szCs w:val="24"/>
          <w14:ligatures w14:val="none"/>
        </w:rPr>
        <w:t xml:space="preserve"> to follow K.C.C. </w:t>
      </w:r>
      <w:r w:rsidR="00F72CC7">
        <w:rPr>
          <w:rFonts w:ascii="Times New Roman" w:eastAsia="Times New Roman" w:hAnsi="Times New Roman" w:cs="Times New Roman"/>
          <w:color w:val="000000"/>
          <w:kern w:val="0"/>
          <w:sz w:val="24"/>
          <w:szCs w:val="24"/>
          <w14:ligatures w14:val="none"/>
        </w:rPr>
        <w:t>16.14.</w:t>
      </w:r>
      <w:r w:rsidR="00D33C40">
        <w:rPr>
          <w:rFonts w:ascii="Times New Roman" w:eastAsia="Times New Roman" w:hAnsi="Times New Roman" w:cs="Times New Roman"/>
          <w:color w:val="000000"/>
          <w:kern w:val="0"/>
          <w:sz w:val="24"/>
          <w:szCs w:val="24"/>
          <w14:ligatures w14:val="none"/>
        </w:rPr>
        <w:t>09</w:t>
      </w:r>
      <w:r w:rsidR="00F72CC7">
        <w:rPr>
          <w:rFonts w:ascii="Times New Roman" w:eastAsia="Times New Roman" w:hAnsi="Times New Roman" w:cs="Times New Roman"/>
          <w:color w:val="000000"/>
          <w:kern w:val="0"/>
          <w:sz w:val="24"/>
          <w:szCs w:val="24"/>
          <w14:ligatures w14:val="none"/>
        </w:rPr>
        <w:t>0</w:t>
      </w:r>
      <w:r w:rsidR="00F72CC7" w:rsidRPr="006672AD">
        <w:rPr>
          <w:rFonts w:ascii="Times New Roman" w:eastAsia="Times New Roman" w:hAnsi="Times New Roman" w:cs="Times New Roman"/>
          <w:color w:val="000000"/>
          <w:kern w:val="0"/>
          <w:sz w:val="24"/>
          <w:szCs w:val="24"/>
          <w14:ligatures w14:val="none"/>
        </w:rPr>
        <w:t>.</w:t>
      </w:r>
    </w:p>
    <w:p w14:paraId="12A872D1" w14:textId="77777777" w:rsidR="00B210D2" w:rsidRPr="006B4A66" w:rsidRDefault="00F72CC7" w:rsidP="00B210D2">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15</w:t>
      </w:r>
      <w:r>
        <w:rPr>
          <w:rFonts w:ascii="Times New Roman" w:eastAsia="Times New Roman" w:hAnsi="Times New Roman" w:cs="Times New Roman"/>
          <w:color w:val="000000"/>
          <w:kern w:val="0"/>
          <w:sz w:val="24"/>
          <w:szCs w:val="24"/>
          <w:u w:val="single"/>
          <w14:ligatures w14:val="none"/>
        </w:rPr>
        <w:t>7</w:t>
      </w:r>
      <w:r w:rsidRPr="006B4A66">
        <w:rPr>
          <w:rFonts w:ascii="Times New Roman" w:eastAsia="Times New Roman" w:hAnsi="Times New Roman" w:cs="Times New Roman"/>
          <w:color w:val="000000"/>
          <w:kern w:val="0"/>
          <w:sz w:val="24"/>
          <w:szCs w:val="24"/>
          <w:u w:val="single"/>
          <w14:ligatures w14:val="none"/>
        </w:rPr>
        <w:t>.</w:t>
      </w:r>
      <w:r w:rsidR="00B210D2" w:rsidRPr="006B4A66">
        <w:rPr>
          <w:rFonts w:ascii="Times New Roman" w:eastAsia="Times New Roman" w:hAnsi="Times New Roman" w:cs="Times New Roman"/>
          <w:color w:val="000000"/>
          <w:kern w:val="0"/>
          <w:sz w:val="24"/>
          <w:szCs w:val="24"/>
          <w14:ligatures w14:val="none"/>
        </w:rPr>
        <w:t xml:space="preserve">  Ordinance 12560, Section 121, as amended, and K.C.C. 16.14.430 are hereby amended to read as follows:</w:t>
      </w:r>
    </w:p>
    <w:p w14:paraId="63497877" w14:textId="77777777" w:rsidR="00B210D2" w:rsidRPr="006B4A66" w:rsidRDefault="00B210D2" w:rsidP="00B210D2">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w:t>
      </w:r>
      <w:r w:rsidRPr="006B4A66">
        <w:rPr>
          <w:rFonts w:ascii="Times New Roman" w:eastAsia="Calibri" w:hAnsi="Times New Roman" w:cs="Times New Roman"/>
          <w:strike/>
          <w:color w:val="000000"/>
          <w:kern w:val="0"/>
          <w:sz w:val="24"/>
          <w14:ligatures w14:val="none"/>
        </w:rPr>
        <w:t>111</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107</w:t>
      </w:r>
      <w:r w:rsidRPr="006B4A66">
        <w:rPr>
          <w:rFonts w:ascii="Times New Roman" w:eastAsia="Calibri" w:hAnsi="Times New Roman" w:cs="Times New Roman"/>
          <w:color w:val="000000"/>
          <w:kern w:val="0"/>
          <w:sz w:val="24"/>
          <w14:ligatures w14:val="none"/>
        </w:rPr>
        <w:t xml:space="preserve"> of the International Property Maintenance Code</w:t>
      </w:r>
      <w:r w:rsidRPr="006B4A66">
        <w:rPr>
          <w:rFonts w:ascii="Times New Roman" w:eastAsia="Calibri" w:hAnsi="Times New Roman" w:cs="Times New Roman"/>
          <w:b/>
          <w:color w:val="000000"/>
          <w:kern w:val="0"/>
          <w:sz w:val="24"/>
          <w14:ligatures w14:val="none"/>
        </w:rPr>
        <w:t xml:space="preserve"> </w:t>
      </w:r>
      <w:r w:rsidRPr="006B4A66">
        <w:rPr>
          <w:rFonts w:ascii="Times New Roman" w:eastAsia="Calibri" w:hAnsi="Times New Roman" w:cs="Times New Roman"/>
          <w:color w:val="000000"/>
          <w:kern w:val="0"/>
          <w:sz w:val="24"/>
          <w14:ligatures w14:val="none"/>
        </w:rPr>
        <w:t xml:space="preserve">is not adopted and </w:t>
      </w:r>
      <w:r>
        <w:rPr>
          <w:rFonts w:ascii="Times New Roman" w:eastAsia="Calibri" w:hAnsi="Times New Roman" w:cs="Times New Roman"/>
          <w:color w:val="000000"/>
          <w:kern w:val="0"/>
          <w:sz w:val="24"/>
          <w14:ligatures w14:val="none"/>
        </w:rPr>
        <w:t xml:space="preserve">the following </w:t>
      </w:r>
      <w:r w:rsidRPr="006B4A66">
        <w:rPr>
          <w:rFonts w:ascii="Times New Roman" w:eastAsia="Calibri" w:hAnsi="Times New Roman" w:cs="Times New Roman"/>
          <w:color w:val="000000"/>
          <w:kern w:val="0"/>
          <w:sz w:val="24"/>
          <w14:ligatures w14:val="none"/>
        </w:rPr>
        <w:t>is substituted:</w:t>
      </w:r>
    </w:p>
    <w:p w14:paraId="149F6472" w14:textId="77777777" w:rsidR="00B210D2" w:rsidRPr="006B4A66" w:rsidRDefault="00B210D2" w:rsidP="00B210D2">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Means of appeal (IPMC ((</w:t>
      </w:r>
      <w:r w:rsidRPr="006B4A66">
        <w:rPr>
          <w:rFonts w:ascii="Times New Roman" w:eastAsia="Calibri" w:hAnsi="Times New Roman" w:cs="Times New Roman"/>
          <w:b/>
          <w:bCs/>
          <w:strike/>
          <w:color w:val="000000"/>
          <w:kern w:val="0"/>
          <w:sz w:val="24"/>
          <w14:ligatures w14:val="none"/>
        </w:rPr>
        <w:t>111</w:t>
      </w:r>
      <w:r w:rsidRPr="006B4A66">
        <w:rPr>
          <w:rFonts w:ascii="Times New Roman" w:eastAsia="Calibri" w:hAnsi="Times New Roman" w:cs="Times New Roman"/>
          <w:b/>
          <w:bCs/>
          <w:color w:val="000000"/>
          <w:kern w:val="0"/>
          <w:sz w:val="24"/>
          <w14:ligatures w14:val="none"/>
        </w:rPr>
        <w:t xml:space="preserve">)) </w:t>
      </w:r>
      <w:r w:rsidRPr="006B4A66">
        <w:rPr>
          <w:rFonts w:ascii="Times New Roman" w:eastAsia="Calibri" w:hAnsi="Times New Roman" w:cs="Times New Roman"/>
          <w:b/>
          <w:bCs/>
          <w:color w:val="000000"/>
          <w:kern w:val="0"/>
          <w:sz w:val="24"/>
          <w:u w:val="single"/>
          <w14:ligatures w14:val="none"/>
        </w:rPr>
        <w:t>107</w:t>
      </w:r>
      <w:r w:rsidRPr="006B4A66">
        <w:rPr>
          <w:rFonts w:ascii="Times New Roman" w:eastAsia="Calibri" w:hAnsi="Times New Roman" w:cs="Times New Roman"/>
          <w:b/>
          <w:bCs/>
          <w:color w:val="000000"/>
          <w:kern w:val="0"/>
          <w:sz w:val="24"/>
          <w14:ligatures w14:val="none"/>
        </w:rPr>
        <w:t>)</w:t>
      </w:r>
      <w:r w:rsidRPr="006B4A66">
        <w:rPr>
          <w:rFonts w:ascii="Times New Roman" w:eastAsia="Calibri" w:hAnsi="Times New Roman" w:cs="Times New Roman"/>
          <w:color w:val="000000"/>
          <w:kern w:val="0"/>
          <w:sz w:val="24"/>
          <w14:ligatures w14:val="none"/>
        </w:rPr>
        <w:t>.  Appeals shall be in accordance with K.C.C. Titles 20 and 23.</w:t>
      </w:r>
    </w:p>
    <w:p w14:paraId="4A4E27EC" w14:textId="4987006E"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1</w:t>
      </w:r>
      <w:r w:rsidR="008E3F74">
        <w:rPr>
          <w:rFonts w:ascii="Times New Roman" w:eastAsia="Times New Roman" w:hAnsi="Times New Roman" w:cs="Times New Roman"/>
          <w:color w:val="000000"/>
          <w:kern w:val="0"/>
          <w:sz w:val="24"/>
          <w:szCs w:val="24"/>
          <w:u w:val="single"/>
          <w14:ligatures w14:val="none"/>
        </w:rPr>
        <w:t>5</w:t>
      </w:r>
      <w:r w:rsidR="00D87A0D">
        <w:rPr>
          <w:rFonts w:ascii="Times New Roman" w:eastAsia="Times New Roman" w:hAnsi="Times New Roman" w:cs="Times New Roman"/>
          <w:color w:val="000000"/>
          <w:kern w:val="0"/>
          <w:sz w:val="24"/>
          <w:szCs w:val="24"/>
          <w:u w:val="single"/>
          <w14:ligatures w14:val="none"/>
        </w:rPr>
        <w:t>8</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 xml:space="preserve">  Ordinance 12560, Section 112, as amended, and K.C.C. 16.14.100 are hereby amended to read as follows:</w:t>
      </w:r>
    </w:p>
    <w:p w14:paraId="335E775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w:t>
      </w:r>
      <w:r w:rsidRPr="006B4A66">
        <w:rPr>
          <w:rFonts w:ascii="Times New Roman" w:eastAsia="Calibri" w:hAnsi="Times New Roman" w:cs="Times New Roman"/>
          <w:strike/>
          <w:color w:val="000000"/>
          <w:kern w:val="0"/>
          <w:sz w:val="24"/>
          <w14:ligatures w14:val="none"/>
        </w:rPr>
        <w:t>106.1</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109.1</w:t>
      </w:r>
      <w:r w:rsidRPr="006B4A66">
        <w:rPr>
          <w:rFonts w:ascii="Times New Roman" w:eastAsia="Calibri" w:hAnsi="Times New Roman" w:cs="Times New Roman"/>
          <w:color w:val="000000"/>
          <w:kern w:val="0"/>
          <w:sz w:val="24"/>
          <w14:ligatures w14:val="none"/>
        </w:rPr>
        <w:t xml:space="preserve"> of the International Property Maintenance Code</w:t>
      </w:r>
      <w:r w:rsidRPr="006B4A66">
        <w:rPr>
          <w:rFonts w:ascii="Times New Roman" w:eastAsia="Calibri" w:hAnsi="Times New Roman" w:cs="Times New Roman"/>
          <w:b/>
          <w:color w:val="000000"/>
          <w:kern w:val="0"/>
          <w:sz w:val="24"/>
          <w14:ligatures w14:val="none"/>
        </w:rPr>
        <w:t xml:space="preserve"> </w:t>
      </w:r>
      <w:r w:rsidRPr="006B4A66">
        <w:rPr>
          <w:rFonts w:ascii="Times New Roman" w:eastAsia="Calibri" w:hAnsi="Times New Roman" w:cs="Times New Roman"/>
          <w:color w:val="000000"/>
          <w:kern w:val="0"/>
          <w:sz w:val="24"/>
          <w14:ligatures w14:val="none"/>
        </w:rPr>
        <w:t>is not adopted and the following is substituted:</w:t>
      </w:r>
    </w:p>
    <w:p w14:paraId="4A14AF4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Unlawful acts (IPMC ((</w:t>
      </w:r>
      <w:r w:rsidRPr="006B4A66">
        <w:rPr>
          <w:rFonts w:ascii="Times New Roman" w:eastAsia="Calibri" w:hAnsi="Times New Roman" w:cs="Times New Roman"/>
          <w:b/>
          <w:bCs/>
          <w:strike/>
          <w:color w:val="000000"/>
          <w:kern w:val="0"/>
          <w:sz w:val="24"/>
          <w14:ligatures w14:val="none"/>
        </w:rPr>
        <w:t>106.1</w:t>
      </w:r>
      <w:r w:rsidRPr="006B4A66">
        <w:rPr>
          <w:rFonts w:ascii="Times New Roman" w:eastAsia="Calibri" w:hAnsi="Times New Roman" w:cs="Times New Roman"/>
          <w:b/>
          <w:bCs/>
          <w:color w:val="000000"/>
          <w:kern w:val="0"/>
          <w:sz w:val="24"/>
          <w14:ligatures w14:val="none"/>
        </w:rPr>
        <w:t xml:space="preserve">)) </w:t>
      </w:r>
      <w:r w:rsidRPr="006B4A66">
        <w:rPr>
          <w:rFonts w:ascii="Times New Roman" w:eastAsia="Calibri" w:hAnsi="Times New Roman" w:cs="Times New Roman"/>
          <w:b/>
          <w:bCs/>
          <w:color w:val="000000"/>
          <w:kern w:val="0"/>
          <w:sz w:val="24"/>
          <w:u w:val="single"/>
          <w14:ligatures w14:val="none"/>
        </w:rPr>
        <w:t>109.1</w:t>
      </w:r>
      <w:r w:rsidRPr="006B4A66">
        <w:rPr>
          <w:rFonts w:ascii="Times New Roman" w:eastAsia="Calibri" w:hAnsi="Times New Roman" w:cs="Times New Roman"/>
          <w:b/>
          <w:bCs/>
          <w:color w:val="000000"/>
          <w:kern w:val="0"/>
          <w:sz w:val="24"/>
          <w14:ligatures w14:val="none"/>
        </w:rPr>
        <w:t xml:space="preserve">).  </w:t>
      </w:r>
      <w:r w:rsidRPr="006B4A66">
        <w:rPr>
          <w:rFonts w:ascii="Times New Roman" w:eastAsia="Calibri" w:hAnsi="Times New Roman" w:cs="Times New Roman"/>
          <w:color w:val="000000"/>
          <w:kern w:val="0"/>
          <w:sz w:val="24"/>
          <w14:ligatures w14:val="none"/>
        </w:rPr>
        <w:t>It shall be unlawful for any person, firm or corporation whether as owner, lessee, sublessee, or occupant, to erect, construct, enlarge, alter, repair, move, improve, remove, convert or demolish, equip, use, occupy</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maintain any building or structure or cause or permit the same to be done, contrary to or in violation of this code or any order issued by the code official ((</w:t>
      </w:r>
      <w:r w:rsidRPr="006B4A66">
        <w:rPr>
          <w:rFonts w:ascii="Times New Roman" w:eastAsia="Calibri" w:hAnsi="Times New Roman" w:cs="Times New Roman"/>
          <w:strike/>
          <w:color w:val="000000"/>
          <w:kern w:val="0"/>
          <w:sz w:val="24"/>
          <w14:ligatures w14:val="none"/>
        </w:rPr>
        <w:t>hereunder</w:t>
      </w:r>
      <w:r w:rsidRPr="006B4A66">
        <w:rPr>
          <w:rFonts w:ascii="Times New Roman" w:eastAsia="Calibri" w:hAnsi="Times New Roman" w:cs="Times New Roman"/>
          <w:color w:val="000000"/>
          <w:kern w:val="0"/>
          <w:sz w:val="24"/>
          <w14:ligatures w14:val="none"/>
        </w:rPr>
        <w:t>)).  This section shall be enforced in accordance with the procedures specified in K.C.C. Title 23.</w:t>
      </w:r>
    </w:p>
    <w:p w14:paraId="16940D02" w14:textId="73780A61" w:rsidR="006B4A66" w:rsidRPr="006B4A66" w:rsidRDefault="00B210D2"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 xml:space="preserve">SECTION </w:t>
      </w:r>
      <w:r w:rsidR="006B4A66" w:rsidRPr="006B4A66">
        <w:rPr>
          <w:rFonts w:ascii="Times New Roman" w:eastAsia="Times New Roman" w:hAnsi="Times New Roman" w:cs="Times New Roman"/>
          <w:color w:val="000000"/>
          <w:kern w:val="0"/>
          <w:sz w:val="24"/>
          <w:szCs w:val="24"/>
          <w:u w:val="single"/>
          <w14:ligatures w14:val="none"/>
        </w:rPr>
        <w:t>1</w:t>
      </w:r>
      <w:r w:rsidR="008E3F74">
        <w:rPr>
          <w:rFonts w:ascii="Times New Roman" w:eastAsia="Times New Roman" w:hAnsi="Times New Roman" w:cs="Times New Roman"/>
          <w:color w:val="000000"/>
          <w:kern w:val="0"/>
          <w:sz w:val="24"/>
          <w:szCs w:val="24"/>
          <w:u w:val="single"/>
          <w14:ligatures w14:val="none"/>
        </w:rPr>
        <w:t>5</w:t>
      </w:r>
      <w:r w:rsidR="00D87A0D">
        <w:rPr>
          <w:rFonts w:ascii="Times New Roman" w:eastAsia="Times New Roman" w:hAnsi="Times New Roman" w:cs="Times New Roman"/>
          <w:color w:val="000000"/>
          <w:kern w:val="0"/>
          <w:sz w:val="24"/>
          <w:szCs w:val="24"/>
          <w:u w:val="single"/>
          <w14:ligatures w14:val="none"/>
        </w:rPr>
        <w:t>9</w:t>
      </w:r>
      <w:r w:rsidR="006B4A66" w:rsidRPr="006B4A66">
        <w:rPr>
          <w:rFonts w:ascii="Times New Roman" w:eastAsia="Times New Roman" w:hAnsi="Times New Roman" w:cs="Times New Roman"/>
          <w:color w:val="000000"/>
          <w:kern w:val="0"/>
          <w:sz w:val="24"/>
          <w:szCs w:val="24"/>
          <w:u w:val="single"/>
          <w14:ligatures w14:val="none"/>
        </w:rPr>
        <w:t>.</w:t>
      </w:r>
      <w:r w:rsidR="006B4A66" w:rsidRPr="006B4A66">
        <w:rPr>
          <w:rFonts w:ascii="Times New Roman" w:eastAsia="Times New Roman" w:hAnsi="Times New Roman" w:cs="Times New Roman"/>
          <w:color w:val="000000"/>
          <w:kern w:val="0"/>
          <w:sz w:val="24"/>
          <w:szCs w:val="24"/>
          <w14:ligatures w14:val="none"/>
        </w:rPr>
        <w:t xml:space="preserve">  Ordinance 12560, Section 110, as amended and K.C.C. 16.14.110 are hereby amended to read as follows:</w:t>
      </w:r>
    </w:p>
    <w:p w14:paraId="48C3C8A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w:t>
      </w:r>
      <w:r w:rsidRPr="006B4A66">
        <w:rPr>
          <w:rFonts w:ascii="Times New Roman" w:eastAsia="Calibri" w:hAnsi="Times New Roman" w:cs="Times New Roman"/>
          <w:strike/>
          <w:color w:val="000000"/>
          <w:kern w:val="0"/>
          <w:sz w:val="24"/>
          <w14:ligatures w14:val="none"/>
        </w:rPr>
        <w:t>107</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110</w:t>
      </w:r>
      <w:r w:rsidRPr="006B4A66">
        <w:rPr>
          <w:rFonts w:ascii="Times New Roman" w:eastAsia="Calibri" w:hAnsi="Times New Roman" w:cs="Times New Roman"/>
          <w:color w:val="000000"/>
          <w:kern w:val="0"/>
          <w:sz w:val="24"/>
          <w14:ligatures w14:val="none"/>
        </w:rPr>
        <w:t xml:space="preserve"> of the International Property Maintenance Code</w:t>
      </w:r>
      <w:r w:rsidRPr="006B4A66">
        <w:rPr>
          <w:rFonts w:ascii="Times New Roman" w:eastAsia="Calibri" w:hAnsi="Times New Roman" w:cs="Times New Roman"/>
          <w:b/>
          <w:color w:val="000000"/>
          <w:kern w:val="0"/>
          <w:sz w:val="24"/>
          <w14:ligatures w14:val="none"/>
        </w:rPr>
        <w:t xml:space="preserve"> </w:t>
      </w:r>
      <w:r w:rsidRPr="006B4A66">
        <w:rPr>
          <w:rFonts w:ascii="Times New Roman" w:eastAsia="Calibri" w:hAnsi="Times New Roman" w:cs="Times New Roman"/>
          <w:color w:val="000000"/>
          <w:kern w:val="0"/>
          <w:sz w:val="24"/>
          <w14:ligatures w14:val="none"/>
        </w:rPr>
        <w:t>is ((</w:t>
      </w:r>
      <w:r w:rsidRPr="006B4A66">
        <w:rPr>
          <w:rFonts w:ascii="Times New Roman" w:eastAsia="Calibri" w:hAnsi="Times New Roman" w:cs="Times New Roman"/>
          <w:strike/>
          <w:color w:val="000000"/>
          <w:kern w:val="0"/>
          <w:sz w:val="24"/>
          <w14:ligatures w14:val="none"/>
        </w:rPr>
        <w:t>not adopted and the following is substituted</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supplemented with the following</w:t>
      </w:r>
      <w:r w:rsidRPr="006B4A66">
        <w:rPr>
          <w:rFonts w:ascii="Times New Roman" w:eastAsia="Calibri" w:hAnsi="Times New Roman" w:cs="Times New Roman"/>
          <w:color w:val="000000"/>
          <w:kern w:val="0"/>
          <w:sz w:val="24"/>
          <w14:ligatures w14:val="none"/>
        </w:rPr>
        <w:t>:</w:t>
      </w:r>
    </w:p>
    <w:p w14:paraId="19F4F6E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w:t>
      </w:r>
      <w:r w:rsidRPr="006B4A66">
        <w:rPr>
          <w:rFonts w:ascii="Times New Roman" w:eastAsia="Calibri" w:hAnsi="Times New Roman" w:cs="Times New Roman"/>
          <w:b/>
          <w:bCs/>
          <w:strike/>
          <w:color w:val="000000"/>
          <w:kern w:val="0"/>
          <w:sz w:val="24"/>
          <w14:ligatures w14:val="none"/>
        </w:rPr>
        <w:t>Notices and Orders (IPMC 107</w:t>
      </w:r>
      <w:r w:rsidRPr="006B4A66">
        <w:rPr>
          <w:rFonts w:ascii="Times New Roman" w:eastAsia="Calibri" w:hAnsi="Times New Roman" w:cs="Times New Roman"/>
          <w:b/>
          <w:bCs/>
          <w:color w:val="000000"/>
          <w:kern w:val="0"/>
          <w:sz w:val="24"/>
          <w14:ligatures w14:val="none"/>
        </w:rPr>
        <w:t xml:space="preserve">))) </w:t>
      </w:r>
      <w:r w:rsidRPr="006B4A66">
        <w:rPr>
          <w:rFonts w:ascii="Times New Roman" w:eastAsia="Calibri" w:hAnsi="Times New Roman" w:cs="Times New Roman"/>
          <w:b/>
          <w:bCs/>
          <w:color w:val="000000"/>
          <w:kern w:val="0"/>
          <w:sz w:val="24"/>
          <w:u w:val="single"/>
          <w14:ligatures w14:val="none"/>
        </w:rPr>
        <w:t>Stop work orders (IPMC 110.5</w:t>
      </w:r>
      <w:r w:rsidRPr="006B4A66">
        <w:rPr>
          <w:rFonts w:ascii="Times New Roman" w:eastAsia="Calibri" w:hAnsi="Times New Roman" w:cs="Times New Roman"/>
          <w:b/>
          <w:bCs/>
          <w:color w:val="000000"/>
          <w:kern w:val="0"/>
          <w:sz w:val="24"/>
          <w14:ligatures w14:val="none"/>
        </w:rPr>
        <w:t>)</w:t>
      </w:r>
      <w:r w:rsidRPr="006B4A66">
        <w:rPr>
          <w:rFonts w:ascii="Times New Roman" w:eastAsia="Calibri" w:hAnsi="Times New Roman" w:cs="Times New Roman"/>
          <w:b/>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All buildings, portions thereof</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premises ((</w:t>
      </w:r>
      <w:r w:rsidRPr="006B4A66">
        <w:rPr>
          <w:rFonts w:ascii="Times New Roman" w:eastAsia="Calibri" w:hAnsi="Times New Roman" w:cs="Times New Roman"/>
          <w:strike/>
          <w:color w:val="000000"/>
          <w:kern w:val="0"/>
          <w:sz w:val="24"/>
          <w14:ligatures w14:val="none"/>
        </w:rPr>
        <w:t>which are determined by</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that</w:t>
      </w:r>
      <w:r w:rsidRPr="006B4A66">
        <w:rPr>
          <w:rFonts w:ascii="Times New Roman" w:eastAsia="Calibri" w:hAnsi="Times New Roman" w:cs="Times New Roman"/>
          <w:color w:val="000000"/>
          <w:kern w:val="0"/>
          <w:sz w:val="24"/>
          <w14:ligatures w14:val="none"/>
        </w:rPr>
        <w:t xml:space="preserve"> the code official </w:t>
      </w:r>
      <w:r w:rsidRPr="006B4A66">
        <w:rPr>
          <w:rFonts w:ascii="Times New Roman" w:eastAsia="Calibri" w:hAnsi="Times New Roman" w:cs="Times New Roman"/>
          <w:color w:val="000000"/>
          <w:kern w:val="0"/>
          <w:sz w:val="24"/>
          <w:u w:val="single"/>
          <w14:ligatures w14:val="none"/>
        </w:rPr>
        <w:t>determines</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strike/>
          <w:color w:val="000000"/>
          <w:kern w:val="0"/>
          <w:sz w:val="24"/>
          <w14:ligatures w14:val="none"/>
        </w:rPr>
        <w:t>not to be in</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out of</w:t>
      </w:r>
      <w:r w:rsidRPr="006B4A66">
        <w:rPr>
          <w:rFonts w:ascii="Times New Roman" w:eastAsia="Calibri" w:hAnsi="Times New Roman" w:cs="Times New Roman"/>
          <w:color w:val="000000"/>
          <w:kern w:val="0"/>
          <w:sz w:val="24"/>
          <w14:ligatures w14:val="none"/>
        </w:rPr>
        <w:t xml:space="preserve"> compliance with this ((</w:t>
      </w:r>
      <w:r w:rsidRPr="006B4A66">
        <w:rPr>
          <w:rFonts w:ascii="Times New Roman" w:eastAsia="Calibri" w:hAnsi="Times New Roman" w:cs="Times New Roman"/>
          <w:strike/>
          <w:color w:val="000000"/>
          <w:kern w:val="0"/>
          <w:sz w:val="24"/>
          <w14:ligatures w14:val="none"/>
        </w:rPr>
        <w:t>C</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c</w:t>
      </w:r>
      <w:r w:rsidRPr="006B4A66">
        <w:rPr>
          <w:rFonts w:ascii="Times New Roman" w:eastAsia="Calibri" w:hAnsi="Times New Roman" w:cs="Times New Roman"/>
          <w:color w:val="000000"/>
          <w:kern w:val="0"/>
          <w:sz w:val="24"/>
          <w14:ligatures w14:val="none"/>
        </w:rPr>
        <w:t>ode are hereby declared to be a public nuisance and shall be abated by repair, rehabilitation, demolition</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removal in accordance with ((</w:t>
      </w:r>
      <w:r w:rsidRPr="006B4A66">
        <w:rPr>
          <w:rFonts w:ascii="Times New Roman" w:eastAsia="Calibri" w:hAnsi="Times New Roman" w:cs="Times New Roman"/>
          <w:strike/>
          <w:color w:val="000000"/>
          <w:kern w:val="0"/>
          <w:sz w:val="24"/>
          <w14:ligatures w14:val="none"/>
        </w:rPr>
        <w:t>the procedures specified in</w:t>
      </w:r>
      <w:r w:rsidRPr="006B4A66">
        <w:rPr>
          <w:rFonts w:ascii="Times New Roman" w:eastAsia="Calibri" w:hAnsi="Times New Roman" w:cs="Times New Roman"/>
          <w:color w:val="000000"/>
          <w:kern w:val="0"/>
          <w:sz w:val="24"/>
          <w14:ligatures w14:val="none"/>
        </w:rPr>
        <w:t>)) K.C.C. ((</w:t>
      </w:r>
      <w:r w:rsidRPr="006B4A66">
        <w:rPr>
          <w:rFonts w:ascii="Times New Roman" w:eastAsia="Calibri" w:hAnsi="Times New Roman" w:cs="Times New Roman"/>
          <w:strike/>
          <w:color w:val="000000"/>
          <w:kern w:val="0"/>
          <w:sz w:val="24"/>
          <w14:ligatures w14:val="none"/>
        </w:rPr>
        <w:t>Title 23</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chapter 23.28</w:t>
      </w:r>
      <w:r w:rsidRPr="006B4A66">
        <w:rPr>
          <w:rFonts w:ascii="Times New Roman" w:eastAsia="Calibri" w:hAnsi="Times New Roman" w:cs="Times New Roman"/>
          <w:color w:val="000000"/>
          <w:kern w:val="0"/>
          <w:sz w:val="24"/>
          <w14:ligatures w14:val="none"/>
        </w:rPr>
        <w:t>.</w:t>
      </w:r>
    </w:p>
    <w:p w14:paraId="65B1902D" w14:textId="104F270A"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160.</w:t>
      </w:r>
      <w:r w:rsidRPr="006B4A66">
        <w:rPr>
          <w:rFonts w:ascii="Times New Roman" w:eastAsia="Times New Roman" w:hAnsi="Times New Roman" w:cs="Times New Roman"/>
          <w:color w:val="000000"/>
          <w:kern w:val="0"/>
          <w:sz w:val="24"/>
          <w:szCs w:val="24"/>
          <w14:ligatures w14:val="none"/>
        </w:rPr>
        <w:t xml:space="preserve">  Ordinance 14914, Section 359, as amended, and K.C.C. 16.14.200 are hereby amended to read as follows:</w:t>
      </w:r>
    </w:p>
    <w:p w14:paraId="67F5036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w:t>
      </w:r>
      <w:r w:rsidRPr="006B4A66">
        <w:rPr>
          <w:rFonts w:ascii="Times New Roman" w:eastAsia="Calibri" w:hAnsi="Times New Roman" w:cs="Times New Roman"/>
          <w:strike/>
          <w:color w:val="000000"/>
          <w:kern w:val="0"/>
          <w:sz w:val="24"/>
          <w14:ligatures w14:val="none"/>
        </w:rPr>
        <w:t>108.2</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111.2</w:t>
      </w:r>
      <w:r w:rsidRPr="006B4A66">
        <w:rPr>
          <w:rFonts w:ascii="Times New Roman" w:eastAsia="Calibri" w:hAnsi="Times New Roman" w:cs="Times New Roman"/>
          <w:color w:val="000000"/>
          <w:kern w:val="0"/>
          <w:sz w:val="24"/>
          <w14:ligatures w14:val="none"/>
        </w:rPr>
        <w:t xml:space="preserve"> of the International Property Maintenance Code</w:t>
      </w:r>
      <w:r w:rsidRPr="006B4A66">
        <w:rPr>
          <w:rFonts w:ascii="Times New Roman" w:eastAsia="Calibri" w:hAnsi="Times New Roman" w:cs="Times New Roman"/>
          <w:b/>
          <w:color w:val="000000"/>
          <w:kern w:val="0"/>
          <w:sz w:val="24"/>
          <w14:ligatures w14:val="none"/>
        </w:rPr>
        <w:t xml:space="preserve"> </w:t>
      </w:r>
      <w:r w:rsidRPr="006B4A66">
        <w:rPr>
          <w:rFonts w:ascii="Times New Roman" w:eastAsia="Calibri" w:hAnsi="Times New Roman" w:cs="Times New Roman"/>
          <w:color w:val="000000"/>
          <w:kern w:val="0"/>
          <w:sz w:val="24"/>
          <w14:ligatures w14:val="none"/>
        </w:rPr>
        <w:t>is not adopted and the following is substituted:</w:t>
      </w:r>
    </w:p>
    <w:p w14:paraId="3D8FBC2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Closing of vacant structures (IPMC ((</w:t>
      </w:r>
      <w:r w:rsidRPr="006B4A66">
        <w:rPr>
          <w:rFonts w:ascii="Times New Roman" w:eastAsia="Calibri" w:hAnsi="Times New Roman" w:cs="Times New Roman"/>
          <w:b/>
          <w:bCs/>
          <w:strike/>
          <w:color w:val="000000"/>
          <w:kern w:val="0"/>
          <w:sz w:val="24"/>
          <w14:ligatures w14:val="none"/>
        </w:rPr>
        <w:t>108.2</w:t>
      </w:r>
      <w:r w:rsidRPr="006B4A66">
        <w:rPr>
          <w:rFonts w:ascii="Times New Roman" w:eastAsia="Calibri" w:hAnsi="Times New Roman" w:cs="Times New Roman"/>
          <w:b/>
          <w:bCs/>
          <w:color w:val="000000"/>
          <w:kern w:val="0"/>
          <w:sz w:val="24"/>
          <w14:ligatures w14:val="none"/>
        </w:rPr>
        <w:t xml:space="preserve">)) </w:t>
      </w:r>
      <w:r w:rsidRPr="006B4A66">
        <w:rPr>
          <w:rFonts w:ascii="Times New Roman" w:eastAsia="Calibri" w:hAnsi="Times New Roman" w:cs="Times New Roman"/>
          <w:b/>
          <w:bCs/>
          <w:color w:val="000000"/>
          <w:kern w:val="0"/>
          <w:sz w:val="24"/>
          <w:u w:val="single"/>
          <w14:ligatures w14:val="none"/>
        </w:rPr>
        <w:t>111.2</w:t>
      </w:r>
      <w:r w:rsidRPr="006B4A66">
        <w:rPr>
          <w:rFonts w:ascii="Times New Roman" w:eastAsia="Calibri" w:hAnsi="Times New Roman" w:cs="Times New Roman"/>
          <w:b/>
          <w:bCs/>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strike/>
          <w:color w:val="000000"/>
          <w:kern w:val="0"/>
          <w:sz w:val="24"/>
          <w14:ligatures w14:val="none"/>
        </w:rPr>
        <w:t>If the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Where a</w:t>
      </w:r>
      <w:r w:rsidRPr="006B4A66">
        <w:rPr>
          <w:rFonts w:ascii="Times New Roman" w:eastAsia="Calibri" w:hAnsi="Times New Roman" w:cs="Times New Roman"/>
          <w:color w:val="000000"/>
          <w:kern w:val="0"/>
          <w:sz w:val="24"/>
          <w14:ligatures w14:val="none"/>
        </w:rPr>
        <w:t xml:space="preserve"> structure is vacant and unfit for human habitation and occupancy((</w:t>
      </w:r>
      <w:r w:rsidRPr="006B4A66">
        <w:rPr>
          <w:rFonts w:ascii="Times New Roman" w:eastAsia="Calibri" w:hAnsi="Times New Roman" w:cs="Times New Roman"/>
          <w:strike/>
          <w:color w:val="000000"/>
          <w:kern w:val="0"/>
          <w:sz w:val="24"/>
          <w14:ligatures w14:val="none"/>
        </w:rPr>
        <w:t>,</w:t>
      </w:r>
      <w:r w:rsidRPr="006B4A66">
        <w:rPr>
          <w:rFonts w:ascii="Times New Roman" w:eastAsia="Calibri" w:hAnsi="Times New Roman" w:cs="Times New Roman"/>
          <w:color w:val="000000"/>
          <w:kern w:val="0"/>
          <w:sz w:val="24"/>
          <w14:ligatures w14:val="none"/>
        </w:rPr>
        <w:t>)) and ((</w:t>
      </w:r>
      <w:r w:rsidRPr="006B4A66">
        <w:rPr>
          <w:rFonts w:ascii="Times New Roman" w:eastAsia="Calibri" w:hAnsi="Times New Roman" w:cs="Times New Roman"/>
          <w:strike/>
          <w:color w:val="000000"/>
          <w:kern w:val="0"/>
          <w:sz w:val="24"/>
          <w14:ligatures w14:val="none"/>
        </w:rPr>
        <w:t>is</w:t>
      </w:r>
      <w:r w:rsidRPr="006B4A66">
        <w:rPr>
          <w:rFonts w:ascii="Times New Roman" w:eastAsia="Calibri" w:hAnsi="Times New Roman" w:cs="Times New Roman"/>
          <w:color w:val="000000"/>
          <w:kern w:val="0"/>
          <w:sz w:val="24"/>
          <w14:ligatures w14:val="none"/>
        </w:rPr>
        <w:t>)) not in danger of structural collapse, the code official is authorized to post a ((</w:t>
      </w:r>
      <w:r w:rsidRPr="006B4A66">
        <w:rPr>
          <w:rFonts w:ascii="Times New Roman" w:eastAsia="Calibri" w:hAnsi="Times New Roman" w:cs="Times New Roman"/>
          <w:strike/>
          <w:color w:val="000000"/>
          <w:kern w:val="0"/>
          <w:sz w:val="24"/>
          <w14:ligatures w14:val="none"/>
        </w:rPr>
        <w:t>placard of</w:t>
      </w:r>
      <w:r w:rsidRPr="006B4A66">
        <w:rPr>
          <w:rFonts w:ascii="Times New Roman" w:eastAsia="Calibri" w:hAnsi="Times New Roman" w:cs="Times New Roman"/>
          <w:color w:val="000000"/>
          <w:kern w:val="0"/>
          <w:sz w:val="24"/>
          <w14:ligatures w14:val="none"/>
        </w:rPr>
        <w:t xml:space="preserve">)) condemnation </w:t>
      </w:r>
      <w:r w:rsidRPr="006B4A66">
        <w:rPr>
          <w:rFonts w:ascii="Times New Roman" w:eastAsia="Calibri" w:hAnsi="Times New Roman" w:cs="Times New Roman"/>
          <w:color w:val="000000"/>
          <w:kern w:val="0"/>
          <w:sz w:val="24"/>
          <w:u w:val="single"/>
          <w14:ligatures w14:val="none"/>
        </w:rPr>
        <w:t>placard</w:t>
      </w:r>
      <w:r w:rsidRPr="006B4A66">
        <w:rPr>
          <w:rFonts w:ascii="Times New Roman" w:eastAsia="Calibri" w:hAnsi="Times New Roman" w:cs="Times New Roman"/>
          <w:color w:val="000000"/>
          <w:kern w:val="0"/>
          <w:sz w:val="24"/>
          <w14:ligatures w14:val="none"/>
        </w:rPr>
        <w:t xml:space="preserve"> on the premises and order the structure ((</w:t>
      </w:r>
      <w:r w:rsidRPr="006B4A66">
        <w:rPr>
          <w:rFonts w:ascii="Times New Roman" w:eastAsia="Calibri" w:hAnsi="Times New Roman" w:cs="Times New Roman"/>
          <w:strike/>
          <w:color w:val="000000"/>
          <w:kern w:val="0"/>
          <w:sz w:val="24"/>
          <w14:ligatures w14:val="none"/>
        </w:rPr>
        <w:t>closed up</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secured</w:t>
      </w:r>
      <w:r w:rsidRPr="006B4A66">
        <w:rPr>
          <w:rFonts w:ascii="Times New Roman" w:eastAsia="Calibri" w:hAnsi="Times New Roman" w:cs="Times New Roman"/>
          <w:color w:val="000000"/>
          <w:kern w:val="0"/>
          <w:sz w:val="24"/>
          <w14:ligatures w14:val="none"/>
        </w:rPr>
        <w:t xml:space="preserve"> so ((</w:t>
      </w:r>
      <w:r w:rsidRPr="006B4A66">
        <w:rPr>
          <w:rFonts w:ascii="Times New Roman" w:eastAsia="Calibri" w:hAnsi="Times New Roman" w:cs="Times New Roman"/>
          <w:strike/>
          <w:color w:val="000000"/>
          <w:kern w:val="0"/>
          <w:sz w:val="24"/>
          <w14:ligatures w14:val="none"/>
        </w:rPr>
        <w:t>as not to be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it does not become</w:t>
      </w:r>
      <w:r w:rsidRPr="006B4A66">
        <w:rPr>
          <w:rFonts w:ascii="Times New Roman" w:eastAsia="Calibri" w:hAnsi="Times New Roman" w:cs="Times New Roman"/>
          <w:color w:val="000000"/>
          <w:kern w:val="0"/>
          <w:sz w:val="24"/>
          <w14:ligatures w14:val="none"/>
        </w:rPr>
        <w:t xml:space="preserve"> an attractive nuisance.  Upon failure of the owner or the owner's agent to ((</w:t>
      </w:r>
      <w:r w:rsidRPr="006B4A66">
        <w:rPr>
          <w:rFonts w:ascii="Times New Roman" w:eastAsia="Calibri" w:hAnsi="Times New Roman" w:cs="Times New Roman"/>
          <w:strike/>
          <w:color w:val="000000"/>
          <w:kern w:val="0"/>
          <w:sz w:val="24"/>
          <w14:ligatures w14:val="none"/>
        </w:rPr>
        <w:t>close up</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secure</w:t>
      </w:r>
      <w:r w:rsidRPr="006B4A66">
        <w:rPr>
          <w:rFonts w:ascii="Times New Roman" w:eastAsia="Calibri" w:hAnsi="Times New Roman" w:cs="Times New Roman"/>
          <w:color w:val="000000"/>
          <w:kern w:val="0"/>
          <w:sz w:val="24"/>
          <w14:ligatures w14:val="none"/>
        </w:rPr>
        <w:t xml:space="preserve"> the ((</w:t>
      </w:r>
      <w:r w:rsidRPr="006B4A66">
        <w:rPr>
          <w:rFonts w:ascii="Times New Roman" w:eastAsia="Calibri" w:hAnsi="Times New Roman" w:cs="Times New Roman"/>
          <w:strike/>
          <w:color w:val="000000"/>
          <w:kern w:val="0"/>
          <w:sz w:val="24"/>
          <w14:ligatures w14:val="none"/>
        </w:rPr>
        <w:t>premises</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structure</w:t>
      </w:r>
      <w:r w:rsidRPr="006B4A66">
        <w:rPr>
          <w:rFonts w:ascii="Times New Roman" w:eastAsia="Calibri" w:hAnsi="Times New Roman" w:cs="Times New Roman"/>
          <w:color w:val="000000"/>
          <w:kern w:val="0"/>
          <w:sz w:val="24"/>
          <w14:ligatures w14:val="none"/>
        </w:rPr>
        <w:t xml:space="preserve"> within the time specified</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enforcement action may be taken ((</w:t>
      </w:r>
      <w:r w:rsidRPr="006B4A66">
        <w:rPr>
          <w:rFonts w:ascii="Times New Roman" w:eastAsia="Calibri" w:hAnsi="Times New Roman" w:cs="Times New Roman"/>
          <w:strike/>
          <w:color w:val="000000"/>
          <w:kern w:val="0"/>
          <w:sz w:val="24"/>
          <w14:ligatures w14:val="none"/>
        </w:rPr>
        <w:t>using the procedures of)</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through</w:t>
      </w:r>
      <w:r w:rsidRPr="006B4A66">
        <w:rPr>
          <w:rFonts w:ascii="Times New Roman" w:eastAsia="Calibri" w:hAnsi="Times New Roman" w:cs="Times New Roman"/>
          <w:color w:val="000000"/>
          <w:kern w:val="0"/>
          <w:sz w:val="24"/>
          <w14:ligatures w14:val="none"/>
        </w:rPr>
        <w:t xml:space="preserve"> K.C.C. Title 23.</w:t>
      </w:r>
    </w:p>
    <w:p w14:paraId="4E3270DF" w14:textId="653A219F"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161.</w:t>
      </w:r>
      <w:r w:rsidRPr="006B4A66">
        <w:rPr>
          <w:rFonts w:ascii="Times New Roman" w:eastAsia="Times New Roman" w:hAnsi="Times New Roman" w:cs="Times New Roman"/>
          <w:color w:val="000000"/>
          <w:kern w:val="0"/>
          <w:sz w:val="24"/>
          <w:szCs w:val="24"/>
          <w14:ligatures w14:val="none"/>
        </w:rPr>
        <w:t xml:space="preserve">  Ordinance 14914, Section 360, and K.C.C. 16.14.210 are hereby amended to read as follows:</w:t>
      </w:r>
    </w:p>
    <w:p w14:paraId="0020FE2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w:t>
      </w:r>
      <w:r w:rsidRPr="006B4A66">
        <w:rPr>
          <w:rFonts w:ascii="Times New Roman" w:eastAsia="Calibri" w:hAnsi="Times New Roman" w:cs="Times New Roman"/>
          <w:strike/>
          <w:color w:val="000000"/>
          <w:kern w:val="0"/>
          <w:sz w:val="24"/>
          <w14:ligatures w14:val="none"/>
        </w:rPr>
        <w:t>108.3</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111.4</w:t>
      </w:r>
      <w:r w:rsidRPr="006B4A66">
        <w:rPr>
          <w:rFonts w:ascii="Times New Roman" w:eastAsia="Calibri" w:hAnsi="Times New Roman" w:cs="Times New Roman"/>
          <w:color w:val="000000"/>
          <w:kern w:val="0"/>
          <w:sz w:val="24"/>
          <w14:ligatures w14:val="none"/>
        </w:rPr>
        <w:t xml:space="preserve"> of the International Property Maintenance Code</w:t>
      </w:r>
      <w:r w:rsidRPr="006B4A66">
        <w:rPr>
          <w:rFonts w:ascii="Times New Roman" w:eastAsia="Calibri" w:hAnsi="Times New Roman" w:cs="Times New Roman"/>
          <w:b/>
          <w:color w:val="000000"/>
          <w:kern w:val="0"/>
          <w:sz w:val="24"/>
          <w14:ligatures w14:val="none"/>
        </w:rPr>
        <w:t xml:space="preserve"> </w:t>
      </w:r>
      <w:r w:rsidRPr="006B4A66">
        <w:rPr>
          <w:rFonts w:ascii="Times New Roman" w:eastAsia="Calibri" w:hAnsi="Times New Roman" w:cs="Times New Roman"/>
          <w:color w:val="000000"/>
          <w:kern w:val="0"/>
          <w:sz w:val="24"/>
          <w14:ligatures w14:val="none"/>
        </w:rPr>
        <w:t>is not adopted and the following is substituted:</w:t>
      </w:r>
    </w:p>
    <w:p w14:paraId="0CC290D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b/>
          <w:bCs/>
          <w:color w:val="000000"/>
          <w:kern w:val="0"/>
          <w:sz w:val="24"/>
          <w14:ligatures w14:val="none"/>
        </w:rPr>
        <w:t>Notice (IPMC ((</w:t>
      </w:r>
      <w:r w:rsidRPr="006B4A66">
        <w:rPr>
          <w:rFonts w:ascii="Times New Roman" w:eastAsia="Calibri" w:hAnsi="Times New Roman" w:cs="Times New Roman"/>
          <w:b/>
          <w:bCs/>
          <w:strike/>
          <w:color w:val="000000"/>
          <w:kern w:val="0"/>
          <w:sz w:val="24"/>
          <w14:ligatures w14:val="none"/>
        </w:rPr>
        <w:t>108.3</w:t>
      </w:r>
      <w:r w:rsidRPr="006B4A66">
        <w:rPr>
          <w:rFonts w:ascii="Times New Roman" w:eastAsia="Calibri" w:hAnsi="Times New Roman" w:cs="Times New Roman"/>
          <w:b/>
          <w:bCs/>
          <w:color w:val="000000"/>
          <w:kern w:val="0"/>
          <w:sz w:val="24"/>
          <w14:ligatures w14:val="none"/>
        </w:rPr>
        <w:t xml:space="preserve">)) </w:t>
      </w:r>
      <w:r w:rsidRPr="006B4A66">
        <w:rPr>
          <w:rFonts w:ascii="Times New Roman" w:eastAsia="Calibri" w:hAnsi="Times New Roman" w:cs="Times New Roman"/>
          <w:b/>
          <w:bCs/>
          <w:color w:val="000000"/>
          <w:kern w:val="0"/>
          <w:sz w:val="24"/>
          <w:u w:val="single"/>
          <w14:ligatures w14:val="none"/>
        </w:rPr>
        <w:t>111.4</w:t>
      </w:r>
      <w:r w:rsidRPr="006B4A66">
        <w:rPr>
          <w:rFonts w:ascii="Times New Roman" w:eastAsia="Calibri" w:hAnsi="Times New Roman" w:cs="Times New Roman"/>
          <w:b/>
          <w:bCs/>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Whenever the director has determined a structure, premises</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equipment ((</w:t>
      </w:r>
      <w:r w:rsidRPr="006B4A66">
        <w:rPr>
          <w:rFonts w:ascii="Times New Roman" w:eastAsia="Calibri" w:hAnsi="Times New Roman" w:cs="Times New Roman"/>
          <w:strike/>
          <w:color w:val="000000"/>
          <w:kern w:val="0"/>
          <w:sz w:val="24"/>
          <w14:ligatures w14:val="none"/>
        </w:rPr>
        <w:t>are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is</w:t>
      </w:r>
      <w:r w:rsidRPr="006B4A66">
        <w:rPr>
          <w:rFonts w:ascii="Times New Roman" w:eastAsia="Calibri" w:hAnsi="Times New Roman" w:cs="Times New Roman"/>
          <w:color w:val="000000"/>
          <w:kern w:val="0"/>
          <w:sz w:val="24"/>
          <w14:ligatures w14:val="none"/>
        </w:rPr>
        <w:t xml:space="preserve"> unsafe under (</w:t>
      </w:r>
      <w:r w:rsidRPr="006B4A66">
        <w:rPr>
          <w:rFonts w:ascii="Times New Roman" w:eastAsia="Calibri" w:hAnsi="Times New Roman" w:cs="Times New Roman"/>
          <w:strike/>
          <w:color w:val="000000"/>
          <w:kern w:val="0"/>
          <w:sz w:val="24"/>
          <w14:ligatures w14:val="none"/>
        </w:rPr>
        <w:t>(the provisions of</w:t>
      </w:r>
      <w:r w:rsidRPr="006B4A66">
        <w:rPr>
          <w:rFonts w:ascii="Times New Roman" w:eastAsia="Calibri" w:hAnsi="Times New Roman" w:cs="Times New Roman"/>
          <w:color w:val="000000"/>
          <w:kern w:val="0"/>
          <w:sz w:val="24"/>
          <w14:ligatures w14:val="none"/>
        </w:rPr>
        <w:t>)) this section, notice shall be provided in ((</w:t>
      </w:r>
      <w:r w:rsidRPr="006B4A66">
        <w:rPr>
          <w:rFonts w:ascii="Times New Roman" w:eastAsia="Calibri" w:hAnsi="Times New Roman" w:cs="Times New Roman"/>
          <w:strike/>
          <w:color w:val="000000"/>
          <w:kern w:val="0"/>
          <w:sz w:val="24"/>
          <w14:ligatures w14:val="none"/>
        </w:rPr>
        <w:t>the procures contained in</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accordance with</w:t>
      </w:r>
      <w:r w:rsidRPr="006B4A66">
        <w:rPr>
          <w:rFonts w:ascii="Times New Roman" w:eastAsia="Calibri" w:hAnsi="Times New Roman" w:cs="Times New Roman"/>
          <w:color w:val="000000"/>
          <w:kern w:val="0"/>
          <w:sz w:val="24"/>
          <w14:ligatures w14:val="none"/>
        </w:rPr>
        <w:t xml:space="preserve"> K.C.C. Title 23.</w:t>
      </w:r>
    </w:p>
    <w:p w14:paraId="1F3B087C" w14:textId="707B6134"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162.</w:t>
      </w:r>
      <w:r w:rsidRPr="006B4A66">
        <w:rPr>
          <w:rFonts w:ascii="Times New Roman" w:eastAsia="Times New Roman" w:hAnsi="Times New Roman" w:cs="Times New Roman"/>
          <w:color w:val="000000"/>
          <w:kern w:val="0"/>
          <w:sz w:val="24"/>
          <w:szCs w:val="24"/>
          <w14:ligatures w14:val="none"/>
        </w:rPr>
        <w:t xml:space="preserve">  Ordinance 12560, Section 120, and K.C.C. 16.14.220 are hereby amended to read as follows:</w:t>
      </w:r>
    </w:p>
    <w:p w14:paraId="36C13B6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w:t>
      </w:r>
      <w:r w:rsidRPr="006B4A66">
        <w:rPr>
          <w:rFonts w:ascii="Times New Roman" w:eastAsia="Calibri" w:hAnsi="Times New Roman" w:cs="Times New Roman"/>
          <w:strike/>
          <w:color w:val="000000"/>
          <w:kern w:val="0"/>
          <w:sz w:val="24"/>
          <w14:ligatures w14:val="none"/>
        </w:rPr>
        <w:t>108.4</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111.7</w:t>
      </w:r>
      <w:r w:rsidRPr="006B4A66">
        <w:rPr>
          <w:rFonts w:ascii="Times New Roman" w:eastAsia="Calibri" w:hAnsi="Times New Roman" w:cs="Times New Roman"/>
          <w:color w:val="000000"/>
          <w:kern w:val="0"/>
          <w:sz w:val="24"/>
          <w14:ligatures w14:val="none"/>
        </w:rPr>
        <w:t xml:space="preserve"> of the International Property Maintenance Code</w:t>
      </w:r>
      <w:r w:rsidRPr="006B4A66">
        <w:rPr>
          <w:rFonts w:ascii="Times New Roman" w:eastAsia="Calibri" w:hAnsi="Times New Roman" w:cs="Times New Roman"/>
          <w:b/>
          <w:color w:val="000000"/>
          <w:kern w:val="0"/>
          <w:sz w:val="24"/>
          <w14:ligatures w14:val="none"/>
        </w:rPr>
        <w:t xml:space="preserve"> </w:t>
      </w:r>
      <w:r w:rsidRPr="006B4A66">
        <w:rPr>
          <w:rFonts w:ascii="Times New Roman" w:eastAsia="Calibri" w:hAnsi="Times New Roman" w:cs="Times New Roman"/>
          <w:color w:val="000000"/>
          <w:kern w:val="0"/>
          <w:sz w:val="24"/>
          <w14:ligatures w14:val="none"/>
        </w:rPr>
        <w:t>is not adopted and the following is substituted:</w:t>
      </w:r>
    </w:p>
    <w:p w14:paraId="2E0FC7A0" w14:textId="0F370FB4"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w:t>
      </w:r>
      <w:r w:rsidRPr="006B4A66">
        <w:rPr>
          <w:rFonts w:ascii="Times New Roman" w:eastAsia="Calibri" w:hAnsi="Times New Roman" w:cs="Times New Roman"/>
          <w:b/>
          <w:bCs/>
          <w:strike/>
          <w:color w:val="000000"/>
          <w:kern w:val="0"/>
          <w:sz w:val="24"/>
          <w14:ligatures w14:val="none"/>
        </w:rPr>
        <w:t>Placard to vacate (IPMC 108.4)</w:t>
      </w:r>
      <w:r w:rsidRPr="006B4A66">
        <w:rPr>
          <w:rFonts w:ascii="Times New Roman" w:eastAsia="Calibri" w:hAnsi="Times New Roman" w:cs="Times New Roman"/>
          <w:b/>
          <w:bCs/>
          <w:color w:val="000000"/>
          <w:kern w:val="0"/>
          <w:sz w:val="24"/>
          <w14:ligatures w14:val="none"/>
        </w:rPr>
        <w:t xml:space="preserve">)) </w:t>
      </w:r>
      <w:r w:rsidRPr="006B4A66">
        <w:rPr>
          <w:rFonts w:ascii="Times New Roman" w:eastAsia="Calibri" w:hAnsi="Times New Roman" w:cs="Times New Roman"/>
          <w:b/>
          <w:bCs/>
          <w:color w:val="000000"/>
          <w:kern w:val="0"/>
          <w:sz w:val="24"/>
          <w:u w:val="single"/>
          <w14:ligatures w14:val="none"/>
        </w:rPr>
        <w:t>Placarding to vacate (IPMC 111.7)</w:t>
      </w:r>
      <w:r w:rsidRPr="006B4A66">
        <w:rPr>
          <w:rFonts w:ascii="Times New Roman" w:eastAsia="Calibri" w:hAnsi="Times New Roman" w:cs="Times New Roman"/>
          <w:b/>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Whenever ((</w:t>
      </w:r>
      <w:r w:rsidRPr="006B4A66">
        <w:rPr>
          <w:rFonts w:ascii="Times New Roman" w:eastAsia="Calibri" w:hAnsi="Times New Roman" w:cs="Times New Roman"/>
          <w:strike/>
          <w:color w:val="000000"/>
          <w:kern w:val="0"/>
          <w:sz w:val="24"/>
          <w14:ligatures w14:val="none"/>
        </w:rPr>
        <w:t>such notice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a placard restricting occupancy of a building</w:t>
      </w:r>
      <w:r w:rsidRPr="006B4A66">
        <w:rPr>
          <w:rFonts w:ascii="Times New Roman" w:eastAsia="Calibri" w:hAnsi="Times New Roman" w:cs="Times New Roman"/>
          <w:color w:val="000000"/>
          <w:kern w:val="0"/>
          <w:sz w:val="24"/>
          <w14:ligatures w14:val="none"/>
        </w:rPr>
        <w:t xml:space="preserve"> is posted, the code official shall include a notification (</w:t>
      </w:r>
      <w:r w:rsidRPr="006B4A66">
        <w:rPr>
          <w:rFonts w:ascii="Times New Roman" w:eastAsia="Calibri" w:hAnsi="Times New Roman" w:cs="Times New Roman"/>
          <w:strike/>
          <w:color w:val="000000"/>
          <w:kern w:val="0"/>
          <w:sz w:val="24"/>
          <w14:ligatures w14:val="none"/>
        </w:rPr>
        <w:t>(thereof</w:t>
      </w:r>
      <w:r w:rsidRPr="006B4A66">
        <w:rPr>
          <w:rFonts w:ascii="Times New Roman" w:eastAsia="Calibri" w:hAnsi="Times New Roman" w:cs="Times New Roman"/>
          <w:color w:val="000000"/>
          <w:kern w:val="0"/>
          <w:sz w:val="24"/>
          <w14:ligatures w14:val="none"/>
        </w:rPr>
        <w:t>)) in the notice and order issued under K.C.C. Title 23, ((</w:t>
      </w:r>
      <w:r w:rsidRPr="006B4A66">
        <w:rPr>
          <w:rFonts w:ascii="Times New Roman" w:eastAsia="Calibri" w:hAnsi="Times New Roman" w:cs="Times New Roman"/>
          <w:strike/>
          <w:color w:val="000000"/>
          <w:kern w:val="0"/>
          <w:sz w:val="24"/>
          <w14:ligatures w14:val="none"/>
        </w:rPr>
        <w:t>reciting</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specifying</w:t>
      </w:r>
      <w:r w:rsidRPr="006B4A66">
        <w:rPr>
          <w:rFonts w:ascii="Times New Roman" w:eastAsia="Calibri" w:hAnsi="Times New Roman" w:cs="Times New Roman"/>
          <w:color w:val="000000"/>
          <w:kern w:val="0"/>
          <w:sz w:val="24"/>
          <w14:ligatures w14:val="none"/>
        </w:rPr>
        <w:t xml:space="preserve"> the emergency and ((</w:t>
      </w:r>
      <w:r w:rsidRPr="006B4A66">
        <w:rPr>
          <w:rFonts w:ascii="Times New Roman" w:eastAsia="Calibri" w:hAnsi="Times New Roman" w:cs="Times New Roman"/>
          <w:strike/>
          <w:color w:val="000000"/>
          <w:kern w:val="0"/>
          <w:sz w:val="24"/>
          <w14:ligatures w14:val="none"/>
        </w:rPr>
        <w:t>specifying</w:t>
      </w:r>
      <w:r w:rsidRPr="006B4A66">
        <w:rPr>
          <w:rFonts w:ascii="Times New Roman" w:eastAsia="Calibri" w:hAnsi="Times New Roman" w:cs="Times New Roman"/>
          <w:color w:val="000000"/>
          <w:kern w:val="0"/>
          <w:sz w:val="24"/>
          <w14:ligatures w14:val="none"/>
        </w:rPr>
        <w:t>)) the conditions ((</w:t>
      </w:r>
      <w:r w:rsidRPr="006B4A66">
        <w:rPr>
          <w:rFonts w:ascii="Times New Roman" w:eastAsia="Calibri" w:hAnsi="Times New Roman" w:cs="Times New Roman"/>
          <w:strike/>
          <w:color w:val="000000"/>
          <w:kern w:val="0"/>
          <w:sz w:val="24"/>
          <w14:ligatures w14:val="none"/>
        </w:rPr>
        <w:t>which necessitate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necessitating</w:t>
      </w:r>
      <w:r w:rsidRPr="006B4A66">
        <w:rPr>
          <w:rFonts w:ascii="Times New Roman" w:eastAsia="Calibri" w:hAnsi="Times New Roman" w:cs="Times New Roman"/>
          <w:color w:val="000000"/>
          <w:kern w:val="0"/>
          <w:sz w:val="24"/>
          <w14:ligatures w14:val="none"/>
        </w:rPr>
        <w:t xml:space="preserve"> the posting.  No person shall remain in or enter any building which has been so posted, except ((t</w:t>
      </w:r>
      <w:r w:rsidRPr="006B4A66">
        <w:rPr>
          <w:rFonts w:ascii="Times New Roman" w:eastAsia="Calibri" w:hAnsi="Times New Roman" w:cs="Times New Roman"/>
          <w:strike/>
          <w:color w:val="000000"/>
          <w:kern w:val="0"/>
          <w:sz w:val="24"/>
          <w14:ligatures w14:val="none"/>
        </w:rPr>
        <w:t>hat entry may be made</w:t>
      </w:r>
      <w:r w:rsidRPr="006B4A66">
        <w:rPr>
          <w:rFonts w:ascii="Times New Roman" w:eastAsia="Calibri" w:hAnsi="Times New Roman" w:cs="Times New Roman"/>
          <w:color w:val="000000"/>
          <w:kern w:val="0"/>
          <w:sz w:val="24"/>
          <w14:ligatures w14:val="none"/>
        </w:rPr>
        <w:t>)) to repair, demolish</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remove such building under permit.  No person shall remove or deface any such notice after it is posted until the required repairs, demolition, or removal have been completed and a certificate of occupancy is issued pursuant to ((</w:t>
      </w:r>
      <w:r w:rsidRPr="006B4A66">
        <w:rPr>
          <w:rFonts w:ascii="Times New Roman" w:eastAsia="Calibri" w:hAnsi="Times New Roman" w:cs="Times New Roman"/>
          <w:strike/>
          <w:color w:val="000000"/>
          <w:kern w:val="0"/>
          <w:sz w:val="24"/>
          <w14:ligatures w14:val="none"/>
        </w:rPr>
        <w:t>the provisions of the Building Code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this title</w:t>
      </w:r>
      <w:r w:rsidRPr="006B4A66">
        <w:rPr>
          <w:rFonts w:ascii="Times New Roman" w:eastAsia="Calibri" w:hAnsi="Times New Roman" w:cs="Times New Roman"/>
          <w:color w:val="000000"/>
          <w:kern w:val="0"/>
          <w:sz w:val="24"/>
          <w14:ligatures w14:val="none"/>
        </w:rPr>
        <w:t>.  Any ((</w:t>
      </w:r>
      <w:r w:rsidRPr="006B4A66">
        <w:rPr>
          <w:rFonts w:ascii="Times New Roman" w:eastAsia="Calibri" w:hAnsi="Times New Roman" w:cs="Times New Roman"/>
          <w:strike/>
          <w:color w:val="000000"/>
          <w:kern w:val="0"/>
          <w:sz w:val="24"/>
          <w14:ligatures w14:val="none"/>
        </w:rPr>
        <w:t>person violating this section shall be guilty of a misdemeanor</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violation may be enforced through K.C.C. Title 23</w:t>
      </w:r>
      <w:r w:rsidRPr="006B4A66">
        <w:rPr>
          <w:rFonts w:ascii="Times New Roman" w:eastAsia="Calibri" w:hAnsi="Times New Roman" w:cs="Times New Roman"/>
          <w:color w:val="000000"/>
          <w:kern w:val="0"/>
          <w:sz w:val="24"/>
          <w14:ligatures w14:val="none"/>
        </w:rPr>
        <w:t>.</w:t>
      </w:r>
    </w:p>
    <w:p w14:paraId="2E6A1CF1" w14:textId="4EB803E8"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163.</w:t>
      </w:r>
      <w:r w:rsidRPr="006B4A66">
        <w:rPr>
          <w:rFonts w:ascii="Times New Roman" w:eastAsia="Times New Roman" w:hAnsi="Times New Roman" w:cs="Times New Roman"/>
          <w:color w:val="000000"/>
          <w:kern w:val="0"/>
          <w:sz w:val="24"/>
          <w:szCs w:val="24"/>
          <w14:ligatures w14:val="none"/>
        </w:rPr>
        <w:t xml:space="preserve">  Ordinance 14914, Section 370, and K.C.C. 16.14.280 are hereby amended to read as follows:</w:t>
      </w:r>
    </w:p>
    <w:p w14:paraId="37E51EE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w:t>
      </w:r>
      <w:r w:rsidRPr="006B4A66">
        <w:rPr>
          <w:rFonts w:ascii="Times New Roman" w:eastAsia="Calibri" w:hAnsi="Times New Roman" w:cs="Times New Roman"/>
          <w:strike/>
          <w:color w:val="000000"/>
          <w:kern w:val="0"/>
          <w:sz w:val="24"/>
          <w14:ligatures w14:val="none"/>
        </w:rPr>
        <w:t>109.4</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112.4</w:t>
      </w:r>
      <w:r w:rsidRPr="006B4A66">
        <w:rPr>
          <w:rFonts w:ascii="Times New Roman" w:eastAsia="Calibri" w:hAnsi="Times New Roman" w:cs="Times New Roman"/>
          <w:color w:val="000000"/>
          <w:kern w:val="0"/>
          <w:sz w:val="24"/>
          <w14:ligatures w14:val="none"/>
        </w:rPr>
        <w:t xml:space="preserve"> of the International Property Maintenance Code</w:t>
      </w:r>
      <w:r w:rsidRPr="006B4A66">
        <w:rPr>
          <w:rFonts w:ascii="Times New Roman" w:eastAsia="Calibri" w:hAnsi="Times New Roman" w:cs="Times New Roman"/>
          <w:b/>
          <w:color w:val="000000"/>
          <w:kern w:val="0"/>
          <w:sz w:val="24"/>
          <w14:ligatures w14:val="none"/>
        </w:rPr>
        <w:t xml:space="preserve"> </w:t>
      </w:r>
      <w:r w:rsidRPr="006B4A66">
        <w:rPr>
          <w:rFonts w:ascii="Times New Roman" w:eastAsia="Calibri" w:hAnsi="Times New Roman" w:cs="Times New Roman"/>
          <w:color w:val="000000"/>
          <w:kern w:val="0"/>
          <w:sz w:val="24"/>
          <w14:ligatures w14:val="none"/>
        </w:rPr>
        <w:t>is not adopted and the following is substituted:</w:t>
      </w:r>
    </w:p>
    <w:p w14:paraId="6BDF0CC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b/>
          <w:bCs/>
          <w:color w:val="000000"/>
          <w:kern w:val="0"/>
          <w:sz w:val="24"/>
          <w14:ligatures w14:val="none"/>
        </w:rPr>
        <w:t>Emergency repairs (IPMC ((</w:t>
      </w:r>
      <w:r w:rsidRPr="006B4A66">
        <w:rPr>
          <w:rFonts w:ascii="Times New Roman" w:eastAsia="Calibri" w:hAnsi="Times New Roman" w:cs="Times New Roman"/>
          <w:b/>
          <w:bCs/>
          <w:strike/>
          <w:color w:val="000000"/>
          <w:kern w:val="0"/>
          <w:sz w:val="24"/>
          <w14:ligatures w14:val="none"/>
        </w:rPr>
        <w:t>109.4</w:t>
      </w:r>
      <w:r w:rsidRPr="006B4A66">
        <w:rPr>
          <w:rFonts w:ascii="Times New Roman" w:eastAsia="Calibri" w:hAnsi="Times New Roman" w:cs="Times New Roman"/>
          <w:b/>
          <w:bCs/>
          <w:color w:val="000000"/>
          <w:kern w:val="0"/>
          <w:sz w:val="24"/>
          <w14:ligatures w14:val="none"/>
        </w:rPr>
        <w:t xml:space="preserve">)) </w:t>
      </w:r>
      <w:r w:rsidRPr="006B4A66">
        <w:rPr>
          <w:rFonts w:ascii="Times New Roman" w:eastAsia="Calibri" w:hAnsi="Times New Roman" w:cs="Times New Roman"/>
          <w:b/>
          <w:bCs/>
          <w:color w:val="000000"/>
          <w:kern w:val="0"/>
          <w:sz w:val="24"/>
          <w:u w:val="single"/>
          <w14:ligatures w14:val="none"/>
        </w:rPr>
        <w:t>112.4</w:t>
      </w:r>
      <w:r w:rsidRPr="006B4A66">
        <w:rPr>
          <w:rFonts w:ascii="Times New Roman" w:eastAsia="Calibri" w:hAnsi="Times New Roman" w:cs="Times New Roman"/>
          <w:b/>
          <w:bCs/>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For the purposes of this section, the code official shall employ the necessary labor and materials to perform the required work as expeditiously as possible as authorized in K.C.C. Title 23.</w:t>
      </w:r>
    </w:p>
    <w:p w14:paraId="66F958F3" w14:textId="7452031C"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164.</w:t>
      </w:r>
      <w:r w:rsidRPr="006B4A66">
        <w:rPr>
          <w:rFonts w:ascii="Times New Roman" w:eastAsia="Times New Roman" w:hAnsi="Times New Roman" w:cs="Times New Roman"/>
          <w:color w:val="000000"/>
          <w:kern w:val="0"/>
          <w:sz w:val="24"/>
          <w:szCs w:val="24"/>
          <w14:ligatures w14:val="none"/>
        </w:rPr>
        <w:t xml:space="preserve">  Ordinance 14914, Section 370, and K.C.C. 16.14.290 are hereby amended to read as follows:</w:t>
      </w:r>
    </w:p>
    <w:p w14:paraId="06D6407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Sections ((</w:t>
      </w:r>
      <w:r w:rsidRPr="006B4A66">
        <w:rPr>
          <w:rFonts w:ascii="Times New Roman" w:eastAsia="Calibri" w:hAnsi="Times New Roman" w:cs="Times New Roman"/>
          <w:strike/>
          <w:color w:val="000000"/>
          <w:kern w:val="0"/>
          <w:sz w:val="24"/>
          <w14:ligatures w14:val="none"/>
        </w:rPr>
        <w:t>109.5 and 109.6</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112.5 and 112.6</w:t>
      </w:r>
      <w:r w:rsidRPr="006B4A66">
        <w:rPr>
          <w:rFonts w:ascii="Times New Roman" w:eastAsia="Calibri" w:hAnsi="Times New Roman" w:cs="Times New Roman"/>
          <w:color w:val="000000"/>
          <w:kern w:val="0"/>
          <w:sz w:val="24"/>
          <w14:ligatures w14:val="none"/>
        </w:rPr>
        <w:t xml:space="preserve"> of the International Property Maintenance Code</w:t>
      </w:r>
      <w:r w:rsidRPr="006B4A66">
        <w:rPr>
          <w:rFonts w:ascii="Times New Roman" w:eastAsia="Calibri" w:hAnsi="Times New Roman" w:cs="Times New Roman"/>
          <w:b/>
          <w:color w:val="000000"/>
          <w:kern w:val="0"/>
          <w:sz w:val="24"/>
          <w14:ligatures w14:val="none"/>
        </w:rPr>
        <w:t xml:space="preserve"> </w:t>
      </w:r>
      <w:r w:rsidRPr="006B4A66">
        <w:rPr>
          <w:rFonts w:ascii="Times New Roman" w:eastAsia="Calibri" w:hAnsi="Times New Roman" w:cs="Times New Roman"/>
          <w:color w:val="000000"/>
          <w:kern w:val="0"/>
          <w:sz w:val="24"/>
          <w14:ligatures w14:val="none"/>
        </w:rPr>
        <w:t>are not adopted.</w:t>
      </w:r>
    </w:p>
    <w:p w14:paraId="4A9C4097" w14:textId="199E6E01"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165.</w:t>
      </w:r>
      <w:r w:rsidRPr="006B4A66">
        <w:rPr>
          <w:rFonts w:ascii="Times New Roman" w:eastAsia="Times New Roman" w:hAnsi="Times New Roman" w:cs="Times New Roman"/>
          <w:color w:val="000000"/>
          <w:kern w:val="0"/>
          <w:sz w:val="24"/>
          <w:szCs w:val="24"/>
          <w14:ligatures w14:val="none"/>
        </w:rPr>
        <w:t xml:space="preserve">  Ordinance 14111, Section 131, as amended, and K.C.C. 16.14.450 are hereby amended to read as follows:</w:t>
      </w:r>
    </w:p>
    <w:p w14:paraId="6766CD5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301.2 of the International Property Maintenance Code</w:t>
      </w:r>
      <w:r w:rsidRPr="006B4A66">
        <w:rPr>
          <w:rFonts w:ascii="Times New Roman" w:eastAsia="Calibri" w:hAnsi="Times New Roman" w:cs="Times New Roman"/>
          <w:b/>
          <w:color w:val="000000"/>
          <w:kern w:val="0"/>
          <w:sz w:val="24"/>
          <w14:ligatures w14:val="none"/>
        </w:rPr>
        <w:t xml:space="preserve"> </w:t>
      </w:r>
      <w:r w:rsidRPr="006B4A66">
        <w:rPr>
          <w:rFonts w:ascii="Times New Roman" w:eastAsia="Calibri" w:hAnsi="Times New Roman" w:cs="Times New Roman"/>
          <w:color w:val="000000"/>
          <w:kern w:val="0"/>
          <w:sz w:val="24"/>
          <w14:ligatures w14:val="none"/>
        </w:rPr>
        <w:t>is not adopted and the following is substituted:</w:t>
      </w:r>
    </w:p>
    <w:p w14:paraId="6DE0D02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b/>
          <w:bCs/>
          <w:color w:val="000000"/>
          <w:kern w:val="0"/>
          <w:sz w:val="24"/>
          <w14:ligatures w14:val="none"/>
        </w:rPr>
        <w:tab/>
        <w:t>Responsibilities defined (IPMC 301.2).</w:t>
      </w:r>
      <w:r w:rsidRPr="006B4A66">
        <w:rPr>
          <w:rFonts w:ascii="Times New Roman" w:eastAsia="Calibri" w:hAnsi="Times New Roman" w:cs="Times New Roman"/>
          <w:color w:val="000000"/>
          <w:kern w:val="0"/>
          <w:sz w:val="24"/>
          <w14:ligatures w14:val="none"/>
        </w:rPr>
        <w:t xml:space="preserve">  Owners ((</w:t>
      </w:r>
      <w:r w:rsidRPr="006B4A66">
        <w:rPr>
          <w:rFonts w:ascii="Times New Roman" w:eastAsia="Calibri" w:hAnsi="Times New Roman" w:cs="Times New Roman"/>
          <w:strike/>
          <w:color w:val="000000"/>
          <w:kern w:val="0"/>
          <w:sz w:val="24"/>
          <w14:ligatures w14:val="none"/>
        </w:rPr>
        <w:t>remain</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may be</w:t>
      </w:r>
      <w:r w:rsidRPr="006B4A66">
        <w:rPr>
          <w:rFonts w:ascii="Times New Roman" w:eastAsia="Calibri" w:hAnsi="Times New Roman" w:cs="Times New Roman"/>
          <w:color w:val="000000"/>
          <w:kern w:val="0"/>
          <w:sz w:val="24"/>
          <w14:ligatures w14:val="none"/>
        </w:rPr>
        <w:t xml:space="preserve"> liable for ((</w:t>
      </w:r>
      <w:r w:rsidRPr="006B4A66">
        <w:rPr>
          <w:rFonts w:ascii="Times New Roman" w:eastAsia="Calibri" w:hAnsi="Times New Roman" w:cs="Times New Roman"/>
          <w:strike/>
          <w:color w:val="000000"/>
          <w:kern w:val="0"/>
          <w:sz w:val="24"/>
          <w14:ligatures w14:val="none"/>
        </w:rPr>
        <w:t>violations of duties imposed by</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violating</w:t>
      </w:r>
      <w:r w:rsidRPr="006B4A66">
        <w:rPr>
          <w:rFonts w:ascii="Times New Roman" w:eastAsia="Calibri" w:hAnsi="Times New Roman" w:cs="Times New Roman"/>
          <w:color w:val="000000"/>
          <w:kern w:val="0"/>
          <w:sz w:val="24"/>
          <w14:ligatures w14:val="none"/>
        </w:rPr>
        <w:t xml:space="preserve"> this code ((</w:t>
      </w:r>
      <w:r w:rsidRPr="006B4A66">
        <w:rPr>
          <w:rFonts w:ascii="Times New Roman" w:eastAsia="Calibri" w:hAnsi="Times New Roman" w:cs="Times New Roman"/>
          <w:strike/>
          <w:color w:val="000000"/>
          <w:kern w:val="0"/>
          <w:sz w:val="24"/>
          <w14:ligatures w14:val="none"/>
        </w:rPr>
        <w:t>even though an obligation is also imposed on</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where</w:t>
      </w:r>
      <w:r w:rsidRPr="006B4A66">
        <w:rPr>
          <w:rFonts w:ascii="Times New Roman" w:eastAsia="Calibri" w:hAnsi="Times New Roman" w:cs="Times New Roman"/>
          <w:color w:val="000000"/>
          <w:kern w:val="0"/>
          <w:sz w:val="24"/>
          <w14:ligatures w14:val="none"/>
        </w:rPr>
        <w:t xml:space="preserve"> the </w:t>
      </w:r>
      <w:r w:rsidRPr="006B4A66">
        <w:rPr>
          <w:rFonts w:ascii="Times New Roman" w:eastAsia="Calibri" w:hAnsi="Times New Roman" w:cs="Times New Roman"/>
          <w:color w:val="000000"/>
          <w:kern w:val="0"/>
          <w:sz w:val="24"/>
          <w:u w:val="single"/>
          <w14:ligatures w14:val="none"/>
        </w:rPr>
        <w:t>building's</w:t>
      </w:r>
      <w:r w:rsidRPr="006B4A66">
        <w:rPr>
          <w:rFonts w:ascii="Times New Roman" w:eastAsia="Calibri" w:hAnsi="Times New Roman" w:cs="Times New Roman"/>
          <w:color w:val="000000"/>
          <w:kern w:val="0"/>
          <w:sz w:val="24"/>
          <w14:ligatures w14:val="none"/>
        </w:rPr>
        <w:t xml:space="preserve"> occupants ((</w:t>
      </w:r>
      <w:r w:rsidRPr="006B4A66">
        <w:rPr>
          <w:rFonts w:ascii="Times New Roman" w:eastAsia="Calibri" w:hAnsi="Times New Roman" w:cs="Times New Roman"/>
          <w:strike/>
          <w:color w:val="000000"/>
          <w:kern w:val="0"/>
          <w:sz w:val="24"/>
          <w14:ligatures w14:val="none"/>
        </w:rPr>
        <w:t>of the building</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are also responsible for code compliance</w:t>
      </w:r>
      <w:r w:rsidRPr="006B4A66">
        <w:rPr>
          <w:rFonts w:ascii="Times New Roman" w:eastAsia="Calibri" w:hAnsi="Times New Roman" w:cs="Times New Roman"/>
          <w:color w:val="000000"/>
          <w:kern w:val="0"/>
          <w:sz w:val="24"/>
          <w14:ligatures w14:val="none"/>
        </w:rPr>
        <w:t>, and ((</w:t>
      </w:r>
      <w:r w:rsidRPr="006B4A66">
        <w:rPr>
          <w:rFonts w:ascii="Times New Roman" w:eastAsia="Calibri" w:hAnsi="Times New Roman" w:cs="Times New Roman"/>
          <w:strike/>
          <w:color w:val="000000"/>
          <w:kern w:val="0"/>
          <w:sz w:val="24"/>
          <w14:ligatures w14:val="none"/>
        </w:rPr>
        <w:t>even though</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where</w:t>
      </w:r>
      <w:r w:rsidRPr="006B4A66">
        <w:rPr>
          <w:rFonts w:ascii="Times New Roman" w:eastAsia="Calibri" w:hAnsi="Times New Roman" w:cs="Times New Roman"/>
          <w:color w:val="000000"/>
          <w:kern w:val="0"/>
          <w:sz w:val="24"/>
          <w14:ligatures w14:val="none"/>
        </w:rPr>
        <w:t xml:space="preserve"> the owner ((</w:t>
      </w:r>
      <w:r w:rsidRPr="006B4A66">
        <w:rPr>
          <w:rFonts w:ascii="Times New Roman" w:eastAsia="Calibri" w:hAnsi="Times New Roman" w:cs="Times New Roman"/>
          <w:strike/>
          <w:color w:val="000000"/>
          <w:kern w:val="0"/>
          <w:sz w:val="24"/>
          <w14:ligatures w14:val="none"/>
        </w:rPr>
        <w:t>has,</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imposes</w:t>
      </w:r>
      <w:r w:rsidRPr="006B4A66">
        <w:rPr>
          <w:rFonts w:ascii="Times New Roman" w:eastAsia="Calibri" w:hAnsi="Times New Roman" w:cs="Times New Roman"/>
          <w:color w:val="000000"/>
          <w:kern w:val="0"/>
          <w:sz w:val="24"/>
          <w14:ligatures w14:val="none"/>
        </w:rPr>
        <w:t xml:space="preserve"> by agreement, ((</w:t>
      </w:r>
      <w:r w:rsidRPr="006B4A66">
        <w:rPr>
          <w:rFonts w:ascii="Times New Roman" w:eastAsia="Calibri" w:hAnsi="Times New Roman" w:cs="Times New Roman"/>
          <w:strike/>
          <w:color w:val="000000"/>
          <w:kern w:val="0"/>
          <w:sz w:val="24"/>
          <w14:ligatures w14:val="none"/>
        </w:rPr>
        <w:t>imposed on the occupant</w:t>
      </w:r>
      <w:r w:rsidRPr="006B4A66">
        <w:rPr>
          <w:rFonts w:ascii="Times New Roman" w:eastAsia="Calibri" w:hAnsi="Times New Roman" w:cs="Times New Roman"/>
          <w:color w:val="000000"/>
          <w:kern w:val="0"/>
          <w:sz w:val="24"/>
          <w14:ligatures w14:val="none"/>
        </w:rPr>
        <w:t>)) the duty of furnishing required equipment or ((</w:t>
      </w:r>
      <w:r w:rsidRPr="006B4A66">
        <w:rPr>
          <w:rFonts w:ascii="Times New Roman" w:eastAsia="Calibri" w:hAnsi="Times New Roman" w:cs="Times New Roman"/>
          <w:strike/>
          <w:color w:val="000000"/>
          <w:kern w:val="0"/>
          <w:sz w:val="24"/>
          <w14:ligatures w14:val="none"/>
        </w:rPr>
        <w:t>of complying</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compliance</w:t>
      </w:r>
      <w:r w:rsidRPr="006B4A66">
        <w:rPr>
          <w:rFonts w:ascii="Times New Roman" w:eastAsia="Calibri" w:hAnsi="Times New Roman" w:cs="Times New Roman"/>
          <w:color w:val="000000"/>
          <w:kern w:val="0"/>
          <w:sz w:val="24"/>
          <w14:ligatures w14:val="none"/>
        </w:rPr>
        <w:t xml:space="preserve"> with this code </w:t>
      </w:r>
      <w:r w:rsidRPr="006B4A66">
        <w:rPr>
          <w:rFonts w:ascii="Times New Roman" w:eastAsia="Calibri" w:hAnsi="Times New Roman" w:cs="Times New Roman"/>
          <w:color w:val="000000"/>
          <w:kern w:val="0"/>
          <w:sz w:val="24"/>
          <w:u w:val="single"/>
          <w14:ligatures w14:val="none"/>
        </w:rPr>
        <w:t>on the occupants</w:t>
      </w:r>
      <w:r w:rsidRPr="006B4A66">
        <w:rPr>
          <w:rFonts w:ascii="Times New Roman" w:eastAsia="Calibri" w:hAnsi="Times New Roman" w:cs="Times New Roman"/>
          <w:color w:val="000000"/>
          <w:kern w:val="0"/>
          <w:sz w:val="24"/>
          <w14:ligatures w14:val="none"/>
        </w:rPr>
        <w:t>.</w:t>
      </w:r>
    </w:p>
    <w:p w14:paraId="649D8B6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Buildings and structures and parts thereof shall be maintained in a safe and sanitary condition.  The owner or the owner's designated agent shall be responsible for such maintenance.  </w:t>
      </w:r>
      <w:r w:rsidRPr="006B4A66">
        <w:rPr>
          <w:rFonts w:ascii="Times New Roman" w:eastAsia="Calibri" w:hAnsi="Times New Roman" w:cs="Times New Roman"/>
          <w:color w:val="000000"/>
          <w:kern w:val="0"/>
          <w:sz w:val="24"/>
          <w:u w:val="single"/>
          <w14:ligatures w14:val="none"/>
        </w:rPr>
        <w:t>Buildings may be inspected</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strike/>
          <w:color w:val="000000"/>
          <w:kern w:val="0"/>
          <w:sz w:val="24"/>
          <w14:ligatures w14:val="none"/>
        </w:rPr>
        <w:t>T</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u w:val="single"/>
          <w14:ligatures w14:val="none"/>
        </w:rPr>
        <w:t>t</w:t>
      </w:r>
      <w:r w:rsidRPr="006B4A66">
        <w:rPr>
          <w:rFonts w:ascii="Times New Roman" w:eastAsia="Calibri" w:hAnsi="Times New Roman" w:cs="Times New Roman"/>
          <w:color w:val="000000"/>
          <w:kern w:val="0"/>
          <w:sz w:val="24"/>
          <w14:ligatures w14:val="none"/>
        </w:rPr>
        <w:t>o determine compliance ((</w:t>
      </w:r>
      <w:r w:rsidRPr="006B4A66">
        <w:rPr>
          <w:rFonts w:ascii="Times New Roman" w:eastAsia="Calibri" w:hAnsi="Times New Roman" w:cs="Times New Roman"/>
          <w:strike/>
          <w:color w:val="000000"/>
          <w:kern w:val="0"/>
          <w:sz w:val="24"/>
          <w14:ligatures w14:val="none"/>
        </w:rPr>
        <w:t>with this subsection, the building may be reinspected</w:t>
      </w:r>
      <w:r w:rsidRPr="006B4A66">
        <w:rPr>
          <w:rFonts w:ascii="Times New Roman" w:eastAsia="Calibri" w:hAnsi="Times New Roman" w:cs="Times New Roman"/>
          <w:color w:val="000000"/>
          <w:kern w:val="0"/>
          <w:sz w:val="24"/>
          <w14:ligatures w14:val="none"/>
        </w:rPr>
        <w:t>)).</w:t>
      </w:r>
    </w:p>
    <w:p w14:paraId="0AF9F3B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Owners, in addition to being responsible for maintaining buildings in a sound structural condition, shall be responsible for keeping that part of the building or premises </w:t>
      </w:r>
      <w:r w:rsidRPr="006B4A66">
        <w:rPr>
          <w:rFonts w:ascii="Times New Roman" w:eastAsia="Calibri" w:hAnsi="Times New Roman" w:cs="Times New Roman"/>
          <w:color w:val="000000"/>
          <w:kern w:val="0"/>
          <w:sz w:val="24"/>
          <w14:ligatures w14:val="none"/>
        </w:rPr>
        <w:lastRenderedPageBreak/>
        <w:t>which the owner occupies or controls in a clean, sanitary</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and safe condition, including the </w:t>
      </w:r>
      <w:r w:rsidRPr="006B4A66">
        <w:rPr>
          <w:rFonts w:ascii="Times New Roman" w:eastAsia="Calibri" w:hAnsi="Times New Roman" w:cs="Times New Roman"/>
          <w:color w:val="000000"/>
          <w:kern w:val="0"/>
          <w:sz w:val="24"/>
          <w:u w:val="single"/>
          <w14:ligatures w14:val="none"/>
        </w:rPr>
        <w:t>building's</w:t>
      </w:r>
      <w:r w:rsidRPr="006B4A66">
        <w:rPr>
          <w:rFonts w:ascii="Times New Roman" w:eastAsia="Calibri" w:hAnsi="Times New Roman" w:cs="Times New Roman"/>
          <w:color w:val="000000"/>
          <w:kern w:val="0"/>
          <w:sz w:val="24"/>
          <w14:ligatures w14:val="none"/>
        </w:rPr>
        <w:t xml:space="preserve"> shared or public areas ((</w:t>
      </w:r>
      <w:r w:rsidRPr="006B4A66">
        <w:rPr>
          <w:rFonts w:ascii="Times New Roman" w:eastAsia="Calibri" w:hAnsi="Times New Roman" w:cs="Times New Roman"/>
          <w:strike/>
          <w:color w:val="000000"/>
          <w:kern w:val="0"/>
          <w:sz w:val="24"/>
          <w14:ligatures w14:val="none"/>
        </w:rPr>
        <w:t>in a building containing</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with</w:t>
      </w:r>
      <w:r w:rsidRPr="006B4A66">
        <w:rPr>
          <w:rFonts w:ascii="Times New Roman" w:eastAsia="Calibri" w:hAnsi="Times New Roman" w:cs="Times New Roman"/>
          <w:color w:val="000000"/>
          <w:kern w:val="0"/>
          <w:sz w:val="24"/>
          <w14:ligatures w14:val="none"/>
        </w:rPr>
        <w:t xml:space="preserve"> two or more dwelling units.</w:t>
      </w:r>
    </w:p>
    <w:p w14:paraId="320792A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Owners shall, w</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u w:val="single"/>
          <w14:ligatures w14:val="none"/>
        </w:rPr>
        <w:t>W</w:t>
      </w:r>
      <w:r w:rsidRPr="006B4A66">
        <w:rPr>
          <w:rFonts w:ascii="Times New Roman" w:eastAsia="Calibri" w:hAnsi="Times New Roman" w:cs="Times New Roman"/>
          <w:color w:val="000000"/>
          <w:kern w:val="0"/>
          <w:sz w:val="24"/>
          <w14:ligatures w14:val="none"/>
        </w:rPr>
        <w:t>hen required by this code or the code official or the ((</w:t>
      </w:r>
      <w:r w:rsidRPr="006B4A66">
        <w:rPr>
          <w:rFonts w:ascii="Times New Roman" w:eastAsia="Calibri" w:hAnsi="Times New Roman" w:cs="Times New Roman"/>
          <w:strike/>
          <w:color w:val="000000"/>
          <w:kern w:val="0"/>
          <w:sz w:val="24"/>
          <w14:ligatures w14:val="none"/>
        </w:rPr>
        <w:t>health ordinance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King County Board of Health Code</w:t>
      </w:r>
      <w:r w:rsidRPr="006B4A66">
        <w:rPr>
          <w:rFonts w:ascii="Times New Roman" w:eastAsia="Calibri" w:hAnsi="Times New Roman" w:cs="Times New Roman"/>
          <w:color w:val="000000"/>
          <w:kern w:val="0"/>
          <w:sz w:val="24"/>
          <w14:ligatures w14:val="none"/>
        </w:rPr>
        <w:t xml:space="preserve"> or the health officer, </w:t>
      </w:r>
      <w:r w:rsidRPr="006B4A66">
        <w:rPr>
          <w:rFonts w:ascii="Times New Roman" w:eastAsia="Calibri" w:hAnsi="Times New Roman" w:cs="Times New Roman"/>
          <w:color w:val="000000"/>
          <w:kern w:val="0"/>
          <w:sz w:val="24"/>
          <w:u w:val="single"/>
          <w14:ligatures w14:val="none"/>
        </w:rPr>
        <w:t>owners shall</w:t>
      </w:r>
      <w:r w:rsidRPr="006B4A66">
        <w:rPr>
          <w:rFonts w:ascii="Times New Roman" w:eastAsia="Calibri" w:hAnsi="Times New Roman" w:cs="Times New Roman"/>
          <w:color w:val="000000"/>
          <w:kern w:val="0"/>
          <w:sz w:val="24"/>
          <w14:ligatures w14:val="none"/>
        </w:rPr>
        <w:t xml:space="preserve"> furnish and maintain such approved sanitary facilities as required, and shall furnish and maintain approved devices, equipment, or facilities ((</w:t>
      </w:r>
      <w:r w:rsidRPr="006B4A66">
        <w:rPr>
          <w:rFonts w:ascii="Times New Roman" w:eastAsia="Calibri" w:hAnsi="Times New Roman" w:cs="Times New Roman"/>
          <w:strike/>
          <w:color w:val="000000"/>
          <w:kern w:val="0"/>
          <w:sz w:val="24"/>
          <w14:ligatures w14:val="none"/>
        </w:rPr>
        <w:t>for the prevention of</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to prevent</w:t>
      </w:r>
      <w:r w:rsidRPr="006B4A66">
        <w:rPr>
          <w:rFonts w:ascii="Times New Roman" w:eastAsia="Calibri" w:hAnsi="Times New Roman" w:cs="Times New Roman"/>
          <w:color w:val="000000"/>
          <w:kern w:val="0"/>
          <w:sz w:val="24"/>
          <w14:ligatures w14:val="none"/>
        </w:rPr>
        <w:t xml:space="preserve"> insect and rodent infestation, and when infestation ((</w:t>
      </w:r>
      <w:r w:rsidRPr="006B4A66">
        <w:rPr>
          <w:rFonts w:ascii="Times New Roman" w:eastAsia="Calibri" w:hAnsi="Times New Roman" w:cs="Times New Roman"/>
          <w:strike/>
          <w:color w:val="000000"/>
          <w:kern w:val="0"/>
          <w:sz w:val="24"/>
          <w14:ligatures w14:val="none"/>
        </w:rPr>
        <w:t>has taken place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occurs</w:t>
      </w:r>
      <w:r w:rsidRPr="006B4A66">
        <w:rPr>
          <w:rFonts w:ascii="Times New Roman" w:eastAsia="Calibri" w:hAnsi="Times New Roman" w:cs="Times New Roman"/>
          <w:color w:val="000000"/>
          <w:kern w:val="0"/>
          <w:sz w:val="24"/>
          <w14:ligatures w14:val="none"/>
        </w:rPr>
        <w:t>, shall be responsible for ((</w:t>
      </w:r>
      <w:r w:rsidRPr="006B4A66">
        <w:rPr>
          <w:rFonts w:ascii="Times New Roman" w:eastAsia="Calibri" w:hAnsi="Times New Roman" w:cs="Times New Roman"/>
          <w:strike/>
          <w:color w:val="000000"/>
          <w:kern w:val="0"/>
          <w:sz w:val="24"/>
          <w14:ligatures w14:val="none"/>
        </w:rPr>
        <w:t>the extermination of</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exterminating</w:t>
      </w:r>
      <w:r w:rsidRPr="006B4A66">
        <w:rPr>
          <w:rFonts w:ascii="Times New Roman" w:eastAsia="Calibri" w:hAnsi="Times New Roman" w:cs="Times New Roman"/>
          <w:color w:val="000000"/>
          <w:kern w:val="0"/>
          <w:sz w:val="24"/>
          <w14:ligatures w14:val="none"/>
        </w:rPr>
        <w:t xml:space="preserve"> any insects, rodents, or other pests ((</w:t>
      </w:r>
      <w:r w:rsidRPr="006B4A66">
        <w:rPr>
          <w:rFonts w:ascii="Times New Roman" w:eastAsia="Calibri" w:hAnsi="Times New Roman" w:cs="Times New Roman"/>
          <w:strike/>
          <w:color w:val="000000"/>
          <w:kern w:val="0"/>
          <w:sz w:val="24"/>
          <w14:ligatures w14:val="none"/>
        </w:rPr>
        <w:t>when</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unless</w:t>
      </w:r>
      <w:r w:rsidRPr="006B4A66">
        <w:rPr>
          <w:rFonts w:ascii="Times New Roman" w:eastAsia="Calibri" w:hAnsi="Times New Roman" w:cs="Times New Roman"/>
          <w:color w:val="000000"/>
          <w:kern w:val="0"/>
          <w:sz w:val="24"/>
          <w14:ligatures w14:val="none"/>
        </w:rPr>
        <w:t xml:space="preserve"> such extermination is ((</w:t>
      </w:r>
      <w:r w:rsidRPr="006B4A66">
        <w:rPr>
          <w:rFonts w:ascii="Times New Roman" w:eastAsia="Calibri" w:hAnsi="Times New Roman" w:cs="Times New Roman"/>
          <w:strike/>
          <w:color w:val="000000"/>
          <w:kern w:val="0"/>
          <w:sz w:val="24"/>
          <w14:ligatures w14:val="none"/>
        </w:rPr>
        <w:t>not</w:t>
      </w:r>
      <w:r w:rsidRPr="006B4A66">
        <w:rPr>
          <w:rFonts w:ascii="Times New Roman" w:eastAsia="Calibri" w:hAnsi="Times New Roman" w:cs="Times New Roman"/>
          <w:color w:val="000000"/>
          <w:kern w:val="0"/>
          <w:sz w:val="24"/>
          <w14:ligatures w14:val="none"/>
        </w:rPr>
        <w:t xml:space="preserve">)) specifically made the </w:t>
      </w:r>
      <w:r w:rsidRPr="006B4A66">
        <w:rPr>
          <w:rFonts w:ascii="Times New Roman" w:eastAsia="Calibri" w:hAnsi="Times New Roman" w:cs="Times New Roman"/>
          <w:color w:val="000000"/>
          <w:kern w:val="0"/>
          <w:sz w:val="24"/>
          <w:u w:val="single"/>
          <w14:ligatures w14:val="none"/>
        </w:rPr>
        <w:t>occupant's</w:t>
      </w:r>
      <w:r w:rsidRPr="006B4A66">
        <w:rPr>
          <w:rFonts w:ascii="Times New Roman" w:eastAsia="Calibri" w:hAnsi="Times New Roman" w:cs="Times New Roman"/>
          <w:color w:val="000000"/>
          <w:kern w:val="0"/>
          <w:sz w:val="24"/>
          <w14:ligatures w14:val="none"/>
        </w:rPr>
        <w:t xml:space="preserve"> responsibility ((</w:t>
      </w:r>
      <w:r w:rsidRPr="006B4A66">
        <w:rPr>
          <w:rFonts w:ascii="Times New Roman" w:eastAsia="Calibri" w:hAnsi="Times New Roman" w:cs="Times New Roman"/>
          <w:strike/>
          <w:color w:val="000000"/>
          <w:kern w:val="0"/>
          <w:sz w:val="24"/>
          <w14:ligatures w14:val="none"/>
        </w:rPr>
        <w:t>of the occupant</w:t>
      </w:r>
      <w:r w:rsidRPr="006B4A66">
        <w:rPr>
          <w:rFonts w:ascii="Times New Roman" w:eastAsia="Calibri" w:hAnsi="Times New Roman" w:cs="Times New Roman"/>
          <w:color w:val="000000"/>
          <w:kern w:val="0"/>
          <w:sz w:val="24"/>
          <w14:ligatures w14:val="none"/>
        </w:rPr>
        <w:t>)) by law or (</w:t>
      </w:r>
      <w:r w:rsidRPr="006B4A66">
        <w:rPr>
          <w:rFonts w:ascii="Times New Roman" w:eastAsia="Calibri" w:hAnsi="Times New Roman" w:cs="Times New Roman"/>
          <w:strike/>
          <w:color w:val="000000"/>
          <w:kern w:val="0"/>
          <w:sz w:val="24"/>
          <w14:ligatures w14:val="none"/>
        </w:rPr>
        <w:t>(ruling</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rule</w:t>
      </w:r>
      <w:r w:rsidRPr="006B4A66">
        <w:rPr>
          <w:rFonts w:ascii="Times New Roman" w:eastAsia="Calibri" w:hAnsi="Times New Roman" w:cs="Times New Roman"/>
          <w:color w:val="000000"/>
          <w:kern w:val="0"/>
          <w:sz w:val="24"/>
          <w14:ligatures w14:val="none"/>
        </w:rPr>
        <w:t>.</w:t>
      </w:r>
    </w:p>
    <w:p w14:paraId="67916B4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Occupants of a dwelling unit, in addition to being responsible for keeping in a clean, sanitary</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and safe condition that part of the ((</w:t>
      </w:r>
      <w:r w:rsidRPr="006B4A66">
        <w:rPr>
          <w:rFonts w:ascii="Times New Roman" w:eastAsia="Calibri" w:hAnsi="Times New Roman" w:cs="Times New Roman"/>
          <w:strike/>
          <w:color w:val="000000"/>
          <w:kern w:val="0"/>
          <w:sz w:val="24"/>
          <w14:ligatures w14:val="none"/>
        </w:rPr>
        <w:t>dwelling or</w:t>
      </w:r>
      <w:r w:rsidRPr="006B4A66">
        <w:rPr>
          <w:rFonts w:ascii="Times New Roman" w:eastAsia="Calibri" w:hAnsi="Times New Roman" w:cs="Times New Roman"/>
          <w:color w:val="000000"/>
          <w:kern w:val="0"/>
          <w:sz w:val="24"/>
          <w14:ligatures w14:val="none"/>
        </w:rPr>
        <w:t>)) dwelling unit or premises which they occupy and control, shall dispose of their rubbish, garbage</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and other organic waste in a manner required by the ((</w:t>
      </w:r>
      <w:r w:rsidRPr="006B4A66">
        <w:rPr>
          <w:rFonts w:ascii="Times New Roman" w:eastAsia="Calibri" w:hAnsi="Times New Roman" w:cs="Times New Roman"/>
          <w:strike/>
          <w:color w:val="000000"/>
          <w:kern w:val="0"/>
          <w:sz w:val="24"/>
          <w14:ligatures w14:val="none"/>
        </w:rPr>
        <w:t>health ordinance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King County Board of Health Code</w:t>
      </w:r>
      <w:r w:rsidRPr="006B4A66">
        <w:rPr>
          <w:rFonts w:ascii="Times New Roman" w:eastAsia="Calibri" w:hAnsi="Times New Roman" w:cs="Times New Roman"/>
          <w:color w:val="000000"/>
          <w:kern w:val="0"/>
          <w:sz w:val="24"/>
          <w14:ligatures w14:val="none"/>
        </w:rPr>
        <w:t xml:space="preserve"> and approved by the health officer or the code official.</w:t>
      </w:r>
    </w:p>
    <w:p w14:paraId="50CD6A7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Occupants shall, w</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u w:val="single"/>
          <w14:ligatures w14:val="none"/>
        </w:rPr>
        <w:t>W</w:t>
      </w:r>
      <w:r w:rsidRPr="006B4A66">
        <w:rPr>
          <w:rFonts w:ascii="Times New Roman" w:eastAsia="Calibri" w:hAnsi="Times New Roman" w:cs="Times New Roman"/>
          <w:color w:val="000000"/>
          <w:kern w:val="0"/>
          <w:sz w:val="24"/>
          <w14:ligatures w14:val="none"/>
        </w:rPr>
        <w:t xml:space="preserve">hen required by this code </w:t>
      </w:r>
      <w:r w:rsidRPr="006B4A66">
        <w:rPr>
          <w:rFonts w:ascii="Times New Roman" w:eastAsia="Calibri" w:hAnsi="Times New Roman" w:cs="Times New Roman"/>
          <w:color w:val="000000"/>
          <w:kern w:val="0"/>
          <w:sz w:val="24"/>
          <w:u w:val="single"/>
          <w14:ligatures w14:val="none"/>
        </w:rPr>
        <w:t>or the code official</w:t>
      </w:r>
      <w:r w:rsidRPr="006B4A66">
        <w:rPr>
          <w:rFonts w:ascii="Times New Roman" w:eastAsia="Calibri" w:hAnsi="Times New Roman" w:cs="Times New Roman"/>
          <w:color w:val="000000"/>
          <w:kern w:val="0"/>
          <w:sz w:val="24"/>
          <w14:ligatures w14:val="none"/>
        </w:rPr>
        <w:t>, the ((</w:t>
      </w:r>
      <w:r w:rsidRPr="006B4A66">
        <w:rPr>
          <w:rFonts w:ascii="Times New Roman" w:eastAsia="Calibri" w:hAnsi="Times New Roman" w:cs="Times New Roman"/>
          <w:strike/>
          <w:color w:val="000000"/>
          <w:kern w:val="0"/>
          <w:sz w:val="24"/>
          <w14:ligatures w14:val="none"/>
        </w:rPr>
        <w:t>health ordinance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King County Board of Health Code,</w:t>
      </w:r>
      <w:r w:rsidRPr="006B4A66">
        <w:rPr>
          <w:rFonts w:ascii="Times New Roman" w:eastAsia="Calibri" w:hAnsi="Times New Roman" w:cs="Times New Roman"/>
          <w:color w:val="000000"/>
          <w:kern w:val="0"/>
          <w:sz w:val="24"/>
          <w14:ligatures w14:val="none"/>
        </w:rPr>
        <w:t xml:space="preserve"> or the health officer, </w:t>
      </w:r>
      <w:r w:rsidRPr="006B4A66">
        <w:rPr>
          <w:rFonts w:ascii="Times New Roman" w:eastAsia="Calibri" w:hAnsi="Times New Roman" w:cs="Times New Roman"/>
          <w:color w:val="000000"/>
          <w:kern w:val="0"/>
          <w:sz w:val="24"/>
          <w:u w:val="single"/>
          <w14:ligatures w14:val="none"/>
        </w:rPr>
        <w:t>occupants shall</w:t>
      </w:r>
      <w:r w:rsidRPr="006B4A66">
        <w:rPr>
          <w:rFonts w:ascii="Times New Roman" w:eastAsia="Calibri" w:hAnsi="Times New Roman" w:cs="Times New Roman"/>
          <w:color w:val="000000"/>
          <w:kern w:val="0"/>
          <w:sz w:val="24"/>
          <w14:ligatures w14:val="none"/>
        </w:rPr>
        <w:t xml:space="preserve"> furnish and maintain approved devices, equipment</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facilities necessary to keep their premises safe and sanitary.</w:t>
      </w:r>
    </w:p>
    <w:p w14:paraId="737B4C98" w14:textId="7EE74E6B"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166.</w:t>
      </w:r>
      <w:r w:rsidRPr="006B4A66">
        <w:rPr>
          <w:rFonts w:ascii="Times New Roman" w:eastAsia="Times New Roman" w:hAnsi="Times New Roman" w:cs="Times New Roman"/>
          <w:color w:val="000000"/>
          <w:kern w:val="0"/>
          <w:sz w:val="24"/>
          <w:szCs w:val="24"/>
          <w14:ligatures w14:val="none"/>
        </w:rPr>
        <w:t xml:space="preserve">  Ordinance 14111, Section 131, as amended, and K.C.C. 16.14.460 are hereby amended to read as follows:</w:t>
      </w:r>
    </w:p>
    <w:p w14:paraId="5C3667D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Section 302.4 of the International Property Maintenance Code</w:t>
      </w:r>
      <w:r w:rsidRPr="006B4A66">
        <w:rPr>
          <w:rFonts w:ascii="Times New Roman" w:eastAsia="Calibri" w:hAnsi="Times New Roman" w:cs="Times New Roman"/>
          <w:b/>
          <w:color w:val="000000"/>
          <w:kern w:val="0"/>
          <w:sz w:val="24"/>
          <w14:ligatures w14:val="none"/>
        </w:rPr>
        <w:t xml:space="preserve"> </w:t>
      </w:r>
      <w:r w:rsidRPr="006B4A66">
        <w:rPr>
          <w:rFonts w:ascii="Times New Roman" w:eastAsia="Calibri" w:hAnsi="Times New Roman" w:cs="Times New Roman"/>
          <w:color w:val="000000"/>
          <w:kern w:val="0"/>
          <w:sz w:val="24"/>
          <w14:ligatures w14:val="none"/>
        </w:rPr>
        <w:t>is not adopted and the following is substituted:</w:t>
      </w:r>
    </w:p>
    <w:p w14:paraId="2E3A906D" w14:textId="08D40FF1" w:rsidR="006B4A66" w:rsidRPr="006B4A66" w:rsidRDefault="006B4A66" w:rsidP="00BD15DC">
      <w:pPr>
        <w:tabs>
          <w:tab w:val="left" w:pos="720"/>
        </w:tabs>
        <w:spacing w:after="0" w:line="480" w:lineRule="auto"/>
        <w:rPr>
          <w:rFonts w:ascii="Times New Roman" w:eastAsia="Times New Roman" w:hAnsi="Times New Roman" w:cs="Times New Roman"/>
          <w:color w:val="000000"/>
          <w:kern w:val="0"/>
          <w:sz w:val="24"/>
          <w:szCs w:val="24"/>
          <w:u w:val="single"/>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b/>
          <w:bCs/>
          <w:color w:val="000000"/>
          <w:kern w:val="0"/>
          <w:sz w:val="24"/>
          <w:szCs w:val="24"/>
          <w14:ligatures w14:val="none"/>
        </w:rPr>
        <w:t>((</w:t>
      </w:r>
      <w:r w:rsidRPr="006B4A66">
        <w:rPr>
          <w:rFonts w:ascii="Times New Roman" w:eastAsia="Times New Roman" w:hAnsi="Times New Roman" w:cs="Times New Roman"/>
          <w:b/>
          <w:bCs/>
          <w:strike/>
          <w:color w:val="000000"/>
          <w:kern w:val="0"/>
          <w:sz w:val="24"/>
          <w:szCs w:val="24"/>
          <w14:ligatures w14:val="none"/>
        </w:rPr>
        <w:t>Fire hazard</w:t>
      </w:r>
      <w:r w:rsidRPr="006B4A66">
        <w:rPr>
          <w:rFonts w:ascii="Times New Roman" w:eastAsia="Times New Roman" w:hAnsi="Times New Roman" w:cs="Times New Roman"/>
          <w:b/>
          <w:bCs/>
          <w:color w:val="000000"/>
          <w:kern w:val="0"/>
          <w:sz w:val="24"/>
          <w:szCs w:val="24"/>
          <w14:ligatures w14:val="none"/>
        </w:rPr>
        <w:t xml:space="preserve">)) </w:t>
      </w:r>
      <w:r w:rsidRPr="006B4A66">
        <w:rPr>
          <w:rFonts w:ascii="Times New Roman" w:eastAsia="Times New Roman" w:hAnsi="Times New Roman" w:cs="Times New Roman"/>
          <w:b/>
          <w:bCs/>
          <w:color w:val="000000"/>
          <w:kern w:val="0"/>
          <w:sz w:val="24"/>
          <w:szCs w:val="24"/>
          <w:u w:val="single"/>
          <w14:ligatures w14:val="none"/>
        </w:rPr>
        <w:t>Weeds</w:t>
      </w:r>
      <w:r w:rsidRPr="006B4A66">
        <w:rPr>
          <w:rFonts w:ascii="Times New Roman" w:eastAsia="Times New Roman" w:hAnsi="Times New Roman" w:cs="Times New Roman"/>
          <w:b/>
          <w:bCs/>
          <w:color w:val="000000"/>
          <w:kern w:val="0"/>
          <w:sz w:val="24"/>
          <w:szCs w:val="24"/>
          <w14:ligatures w14:val="none"/>
        </w:rPr>
        <w:t xml:space="preserve"> (IPMC 302.4).</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strike/>
          <w:color w:val="000000"/>
          <w:kern w:val="0"/>
          <w:sz w:val="24"/>
          <w:szCs w:val="24"/>
          <w14:ligatures w14:val="none"/>
        </w:rPr>
        <w:t>Any building or portion thereof, device, apparatus, equipment, combustible waste, or vegetation that, in the opinion Fire Marshal or the Code Official, is in such a condition as to cause a fire or explosion or provide a ready fuel to augment the spread and intensity of fire or explosion arising from any cause shall be considered substandard.  Upon failure of the owner or agent having charge of a property to cut and destroy weeds after notice violation, they shall be subject to prosecution in accordance with the provisions of K.C.C. Title 23.</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 xml:space="preserve">The exterior of premises and property shall be maintained free from </w:t>
      </w:r>
      <w:r w:rsidR="009C70E0">
        <w:rPr>
          <w:rFonts w:ascii="Times New Roman" w:eastAsia="Times New Roman" w:hAnsi="Times New Roman" w:cs="Times New Roman"/>
          <w:color w:val="000000"/>
          <w:kern w:val="0"/>
          <w:sz w:val="24"/>
          <w:szCs w:val="24"/>
          <w:u w:val="single"/>
          <w14:ligatures w14:val="none"/>
        </w:rPr>
        <w:t xml:space="preserve">any </w:t>
      </w:r>
      <w:r w:rsidRPr="006B4A66">
        <w:rPr>
          <w:rFonts w:ascii="Times New Roman" w:eastAsia="Times New Roman" w:hAnsi="Times New Roman" w:cs="Times New Roman"/>
          <w:color w:val="000000"/>
          <w:kern w:val="0"/>
          <w:sz w:val="24"/>
          <w:szCs w:val="24"/>
          <w:u w:val="single"/>
          <w14:ligatures w14:val="none"/>
        </w:rPr>
        <w:t>noxious weeds included on the King County Noxious Weeds list</w:t>
      </w:r>
      <w:r w:rsidR="009C70E0">
        <w:rPr>
          <w:rFonts w:ascii="Times New Roman" w:eastAsia="Times New Roman" w:hAnsi="Times New Roman" w:cs="Times New Roman"/>
          <w:color w:val="000000"/>
          <w:kern w:val="0"/>
          <w:sz w:val="24"/>
          <w:szCs w:val="24"/>
          <w:u w:val="single"/>
          <w14:ligatures w14:val="none"/>
        </w:rPr>
        <w:t xml:space="preserve"> and</w:t>
      </w:r>
      <w:r w:rsidRPr="006B4A66">
        <w:rPr>
          <w:rFonts w:ascii="Times New Roman" w:eastAsia="Times New Roman" w:hAnsi="Times New Roman" w:cs="Times New Roman"/>
          <w:color w:val="000000"/>
          <w:kern w:val="0"/>
          <w:sz w:val="24"/>
          <w:szCs w:val="24"/>
          <w:u w:val="single"/>
          <w14:ligatures w14:val="none"/>
        </w:rPr>
        <w:t xml:space="preserve"> </w:t>
      </w:r>
      <w:r w:rsidR="006D7FBA">
        <w:rPr>
          <w:rFonts w:ascii="Times New Roman" w:eastAsia="Times New Roman" w:hAnsi="Times New Roman" w:cs="Times New Roman"/>
          <w:color w:val="000000"/>
          <w:kern w:val="0"/>
          <w:sz w:val="24"/>
          <w:szCs w:val="24"/>
          <w:u w:val="single"/>
          <w14:ligatures w14:val="none"/>
        </w:rPr>
        <w:t xml:space="preserve">any </w:t>
      </w:r>
      <w:r w:rsidRPr="006B4A66">
        <w:rPr>
          <w:rFonts w:ascii="Times New Roman" w:eastAsia="Times New Roman" w:hAnsi="Times New Roman" w:cs="Times New Roman"/>
          <w:color w:val="000000"/>
          <w:kern w:val="0"/>
          <w:sz w:val="24"/>
          <w:szCs w:val="24"/>
          <w:u w:val="single"/>
          <w14:ligatures w14:val="none"/>
        </w:rPr>
        <w:t>excessive growth of dry or dead vegetation that constitutes a potential fire hazard in the opinion of the fire marshal or code official.</w:t>
      </w:r>
    </w:p>
    <w:p w14:paraId="17C37FF7" w14:textId="5E85E940"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167.</w:t>
      </w:r>
      <w:r w:rsidRPr="006B4A66">
        <w:rPr>
          <w:rFonts w:ascii="Times New Roman" w:eastAsia="Times New Roman" w:hAnsi="Times New Roman" w:cs="Times New Roman"/>
          <w:color w:val="000000"/>
          <w:kern w:val="0"/>
          <w:sz w:val="24"/>
          <w:szCs w:val="24"/>
          <w14:ligatures w14:val="none"/>
        </w:rPr>
        <w:t xml:space="preserve">  Ordinance 14914, Section 408, and K.C.C. 16.14.490 are hereby amended to read as follows:</w:t>
      </w:r>
    </w:p>
    <w:p w14:paraId="4210DC7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304.3 of the International Property Maintenance Code</w:t>
      </w:r>
      <w:r w:rsidRPr="006B4A66">
        <w:rPr>
          <w:rFonts w:ascii="Times New Roman" w:eastAsia="Calibri" w:hAnsi="Times New Roman" w:cs="Times New Roman"/>
          <w:b/>
          <w:color w:val="000000"/>
          <w:kern w:val="0"/>
          <w:sz w:val="24"/>
          <w14:ligatures w14:val="none"/>
        </w:rPr>
        <w:t xml:space="preserve"> </w:t>
      </w:r>
      <w:r w:rsidRPr="006B4A66">
        <w:rPr>
          <w:rFonts w:ascii="Times New Roman" w:eastAsia="Calibri" w:hAnsi="Times New Roman" w:cs="Times New Roman"/>
          <w:color w:val="000000"/>
          <w:kern w:val="0"/>
          <w:sz w:val="24"/>
          <w14:ligatures w14:val="none"/>
        </w:rPr>
        <w:t>is not adopted and the following is substituted:</w:t>
      </w:r>
    </w:p>
    <w:p w14:paraId="1BE6310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Premises identification.  (IPMC 304.3).</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strike/>
          <w:color w:val="000000"/>
          <w:kern w:val="0"/>
          <w:sz w:val="24"/>
          <w14:ligatures w14:val="none"/>
        </w:rPr>
        <w:t>Approved numbers or addresses shall be provided for all new buildings</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Buildings shall have approved address numbers placed</w:t>
      </w:r>
      <w:r w:rsidRPr="006B4A66">
        <w:rPr>
          <w:rFonts w:ascii="Times New Roman" w:eastAsia="Calibri" w:hAnsi="Times New Roman" w:cs="Times New Roman"/>
          <w:color w:val="000000"/>
          <w:kern w:val="0"/>
          <w:sz w:val="24"/>
          <w14:ligatures w14:val="none"/>
        </w:rPr>
        <w:t xml:space="preserve"> in ((</w:t>
      </w:r>
      <w:r w:rsidRPr="006B4A66">
        <w:rPr>
          <w:rFonts w:ascii="Times New Roman" w:eastAsia="Calibri" w:hAnsi="Times New Roman" w:cs="Times New Roman"/>
          <w:strike/>
          <w:color w:val="000000"/>
          <w:kern w:val="0"/>
          <w:sz w:val="24"/>
          <w14:ligatures w14:val="none"/>
        </w:rPr>
        <w:t>such</w:t>
      </w:r>
      <w:r w:rsidRPr="006B4A66">
        <w:rPr>
          <w:rFonts w:ascii="Times New Roman" w:eastAsia="Calibri" w:hAnsi="Times New Roman" w:cs="Times New Roman"/>
          <w:color w:val="000000"/>
          <w:kern w:val="0"/>
          <w:sz w:val="24"/>
          <w14:ligatures w14:val="none"/>
        </w:rPr>
        <w:t>)) a position ((</w:t>
      </w:r>
      <w:r w:rsidRPr="006B4A66">
        <w:rPr>
          <w:rFonts w:ascii="Times New Roman" w:eastAsia="Calibri" w:hAnsi="Times New Roman" w:cs="Times New Roman"/>
          <w:strike/>
          <w:color w:val="000000"/>
          <w:kern w:val="0"/>
          <w:sz w:val="24"/>
          <w14:ligatures w14:val="none"/>
        </w:rPr>
        <w:t>as to be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that is</w:t>
      </w:r>
      <w:r w:rsidRPr="006B4A66">
        <w:rPr>
          <w:rFonts w:ascii="Times New Roman" w:eastAsia="Calibri" w:hAnsi="Times New Roman" w:cs="Times New Roman"/>
          <w:color w:val="000000"/>
          <w:kern w:val="0"/>
          <w:sz w:val="24"/>
          <w14:ligatures w14:val="none"/>
        </w:rPr>
        <w:t xml:space="preserve"> plainly visible and legible from the street or road fronting the property ((</w:t>
      </w:r>
      <w:r w:rsidRPr="006B4A66">
        <w:rPr>
          <w:rFonts w:ascii="Times New Roman" w:eastAsia="Calibri" w:hAnsi="Times New Roman" w:cs="Times New Roman"/>
          <w:strike/>
          <w:color w:val="000000"/>
          <w:kern w:val="0"/>
          <w:sz w:val="24"/>
          <w14:ligatures w14:val="none"/>
        </w:rPr>
        <w:t>as specified by the department</w:t>
      </w:r>
      <w:r w:rsidRPr="006B4A66">
        <w:rPr>
          <w:rFonts w:ascii="Times New Roman" w:eastAsia="Calibri" w:hAnsi="Times New Roman" w:cs="Times New Roman"/>
          <w:color w:val="000000"/>
          <w:kern w:val="0"/>
          <w:sz w:val="24"/>
          <w14:ligatures w14:val="none"/>
        </w:rPr>
        <w:t>)).</w:t>
      </w:r>
    </w:p>
    <w:p w14:paraId="68F46A34" w14:textId="351FFFC2"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168.</w:t>
      </w:r>
      <w:r w:rsidRPr="006B4A66">
        <w:rPr>
          <w:rFonts w:ascii="Times New Roman" w:eastAsia="Times New Roman" w:hAnsi="Times New Roman" w:cs="Times New Roman"/>
          <w:color w:val="000000"/>
          <w:kern w:val="0"/>
          <w:sz w:val="24"/>
          <w:szCs w:val="24"/>
          <w14:ligatures w14:val="none"/>
        </w:rPr>
        <w:t xml:space="preserve">  Ordinance 12560, Section 115, as amended, and K.C.C. 16.14.540 are hereby amended to read as follows:</w:t>
      </w:r>
    </w:p>
    <w:p w14:paraId="039B4CB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Section 602.3 of the International Property Maintenance Code</w:t>
      </w:r>
      <w:r w:rsidRPr="006B4A66">
        <w:rPr>
          <w:rFonts w:ascii="Times New Roman" w:eastAsia="Calibri" w:hAnsi="Times New Roman" w:cs="Times New Roman"/>
          <w:b/>
          <w:color w:val="000000"/>
          <w:kern w:val="0"/>
          <w:sz w:val="24"/>
          <w14:ligatures w14:val="none"/>
        </w:rPr>
        <w:t xml:space="preserve"> </w:t>
      </w:r>
      <w:r w:rsidRPr="006B4A66">
        <w:rPr>
          <w:rFonts w:ascii="Times New Roman" w:eastAsia="Calibri" w:hAnsi="Times New Roman" w:cs="Times New Roman"/>
          <w:color w:val="000000"/>
          <w:kern w:val="0"/>
          <w:sz w:val="24"/>
          <w14:ligatures w14:val="none"/>
        </w:rPr>
        <w:t>is not adopted and the following is substituted:</w:t>
      </w:r>
    </w:p>
    <w:p w14:paraId="77DB040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u w:val="single"/>
          <w14:ligatures w14:val="none"/>
        </w:rPr>
        <w:t>Heating facilities -</w:t>
      </w:r>
      <w:r w:rsidRPr="001216D4">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b/>
          <w:bCs/>
          <w:color w:val="000000"/>
          <w:kern w:val="0"/>
          <w:sz w:val="24"/>
          <w14:ligatures w14:val="none"/>
        </w:rPr>
        <w:t>Heat supply (IPMC 602.3).</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strike/>
          <w:color w:val="000000"/>
          <w:kern w:val="0"/>
          <w:sz w:val="24"/>
          <w14:ligatures w14:val="none"/>
        </w:rPr>
        <w:t>Dwellings units and guest rooms shall be provided with heating facilities capable of maintaining a room temperature of 70° F. (21.1° C), bathrooms and toilet rooms.  Cooking appliances shall not be used to provide space heating to meet the requirements of this section</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Every owner and operator of any building who rents, leases, or lets one or more dwelling units or sleeping units on terms, either expressed or implied, to furnish heat to the occupants shall supply heat to maintain a minimum temperature of 68° Fahrenheit (20° Celsius) in all habitable rooms, bathrooms, and other toilet rooms</w:t>
      </w:r>
      <w:r w:rsidRPr="006B4A66">
        <w:rPr>
          <w:rFonts w:ascii="Times New Roman" w:eastAsia="Calibri" w:hAnsi="Times New Roman" w:cs="Times New Roman"/>
          <w:color w:val="000000"/>
          <w:kern w:val="0"/>
          <w:sz w:val="24"/>
          <w14:ligatures w14:val="none"/>
        </w:rPr>
        <w:t>.</w:t>
      </w:r>
    </w:p>
    <w:p w14:paraId="2836BB44" w14:textId="77777777" w:rsidR="006B4A66" w:rsidRPr="006B4A66" w:rsidRDefault="006B4A66" w:rsidP="0073496A">
      <w:pPr>
        <w:tabs>
          <w:tab w:val="left" w:pos="720"/>
        </w:tabs>
        <w:spacing w:after="0" w:line="480" w:lineRule="auto"/>
        <w:rPr>
          <w:rFonts w:ascii="Times New Roman" w:eastAsia="Calibri" w:hAnsi="Times New Roman" w:cs="Times New Roman"/>
          <w:b/>
          <w:bCs/>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u w:val="single"/>
          <w14:ligatures w14:val="none"/>
        </w:rPr>
        <w:t>EXCEPTIONS:</w:t>
      </w:r>
    </w:p>
    <w:p w14:paraId="56BAEC0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1.  When the outdoor temperature is below the winter outdoor design temperature for the locality, maintenance of the minimum room temperature shall not be required provided that the heating system is operating at its full design capacity.  The winter outdoor design temperature for the locality shall be as indicated in Appendix C of the Washington State Energy Code.</w:t>
      </w:r>
    </w:p>
    <w:p w14:paraId="5BFEB27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2.  In areas where the average monthly temperature is above 30° Fahrenheit (-1° Celsius), a minimum temperature of 65° Fahrenheit (18° Celsius) shall be maintained.</w:t>
      </w:r>
    </w:p>
    <w:p w14:paraId="5510A5B1" w14:textId="45FDA7C8"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169.</w:t>
      </w:r>
      <w:r w:rsidRPr="006B4A66">
        <w:rPr>
          <w:rFonts w:ascii="Times New Roman" w:eastAsia="Times New Roman" w:hAnsi="Times New Roman" w:cs="Times New Roman"/>
          <w:color w:val="000000"/>
          <w:kern w:val="0"/>
          <w:sz w:val="24"/>
          <w:szCs w:val="24"/>
          <w14:ligatures w14:val="none"/>
        </w:rPr>
        <w:t xml:space="preserve">  Ordinance 14914, Section 416, and K.C.C. 16.14.550 are hereby amended to read as follows:</w:t>
      </w:r>
    </w:p>
    <w:p w14:paraId="7AB14ED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Section 602.4 of the International Property Maintenance Code is not adopted((</w:t>
      </w:r>
      <w:r w:rsidRPr="006B4A66">
        <w:rPr>
          <w:rFonts w:ascii="Times New Roman" w:eastAsia="Calibri" w:hAnsi="Times New Roman" w:cs="Times New Roman"/>
          <w:strike/>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and the following is substituted:</w:t>
      </w:r>
    </w:p>
    <w:p w14:paraId="7F2987C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b/>
          <w:bCs/>
          <w:color w:val="000000"/>
          <w:kern w:val="0"/>
          <w:sz w:val="24"/>
          <w:u w:val="single"/>
          <w14:ligatures w14:val="none"/>
        </w:rPr>
        <w:t>Occupiable work spaces (IPMC 602.4).</w:t>
      </w:r>
      <w:r w:rsidRPr="006B4A66">
        <w:rPr>
          <w:rFonts w:ascii="Times New Roman" w:eastAsia="Calibri" w:hAnsi="Times New Roman" w:cs="Times New Roman"/>
          <w:color w:val="000000"/>
          <w:kern w:val="0"/>
          <w:sz w:val="24"/>
          <w:u w:val="single"/>
          <w14:ligatures w14:val="none"/>
        </w:rPr>
        <w:t xml:space="preserve">  Indoor occupiable work spaces shall be supplied with heat to maintain a minimum temperature of 65° Fahrenheit (18° Celsius)  when the spaces are occupied.</w:t>
      </w:r>
    </w:p>
    <w:p w14:paraId="774A039A" w14:textId="77777777" w:rsidR="006B4A66" w:rsidRPr="006B4A66" w:rsidRDefault="006B4A66" w:rsidP="0073496A">
      <w:pPr>
        <w:tabs>
          <w:tab w:val="left" w:pos="720"/>
        </w:tabs>
        <w:spacing w:after="0" w:line="480" w:lineRule="auto"/>
        <w:rPr>
          <w:rFonts w:ascii="Times New Roman" w:eastAsia="Calibri" w:hAnsi="Times New Roman" w:cs="Times New Roman"/>
          <w:b/>
          <w:bCs/>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u w:val="single"/>
          <w14:ligatures w14:val="none"/>
        </w:rPr>
        <w:t>EXCEPTIONS:</w:t>
      </w:r>
    </w:p>
    <w:p w14:paraId="6D791AF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1.  Processing, storage, and operation areas that require cooling or special temperature conditions.</w:t>
      </w:r>
    </w:p>
    <w:p w14:paraId="5A0C3E7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2.  Areas in which persons are primarily engaged in vigorous physical activities.</w:t>
      </w:r>
    </w:p>
    <w:p w14:paraId="22C60346" w14:textId="28108E82"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bookmarkStart w:id="12" w:name="_Hlk172033793"/>
      <w:r w:rsidRPr="006B4A66">
        <w:rPr>
          <w:rFonts w:ascii="Times New Roman" w:eastAsia="Calibri" w:hAnsi="Times New Roman" w:cs="Times New Roman"/>
          <w:color w:val="000000"/>
          <w:kern w:val="0"/>
          <w:sz w:val="24"/>
          <w:u w:val="single"/>
          <w14:ligatures w14:val="none"/>
        </w:rPr>
        <w:t>SECTION 170.</w:t>
      </w:r>
      <w:r w:rsidRPr="006B4A66">
        <w:rPr>
          <w:rFonts w:ascii="Times New Roman" w:eastAsia="Calibri" w:hAnsi="Times New Roman" w:cs="Times New Roman"/>
          <w:color w:val="000000"/>
          <w:kern w:val="0"/>
          <w:sz w:val="24"/>
          <w14:ligatures w14:val="none"/>
        </w:rPr>
        <w:t xml:space="preserve">  Ordinance 6746, Section 5, as amended, and K.C.C. 16.32.030 are each hereby amended to read as follows:</w:t>
      </w:r>
    </w:p>
    <w:p w14:paraId="2178614F" w14:textId="2A6365AC"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A.  Chapters 1, 2, 3, 4, 5, 6, 7, 8, 9, 10, 11, 13, 15, 16</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and 17 and Appendices A (Recommended Rules for Sizing the Water Supply System), B (Explanatory Notes on Combination Waste and Vent Systems), I (Installation Standard for PEX Tubing Systems for Hot- and Cold-Water Distribution)</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and M (Peak Water Demand Calculator) of the </w:t>
      </w:r>
      <w:r w:rsidRPr="006B4A66">
        <w:rPr>
          <w:rFonts w:ascii="Times New Roman" w:eastAsia="Calibri" w:hAnsi="Times New Roman" w:cs="Times New Roman"/>
          <w:color w:val="000000"/>
          <w:kern w:val="0"/>
          <w:sz w:val="24"/>
          <w:u w:val="single"/>
          <w14:ligatures w14:val="none"/>
        </w:rPr>
        <w:t>2021 edition of the</w:t>
      </w:r>
      <w:r w:rsidRPr="006B4A66">
        <w:rPr>
          <w:rFonts w:ascii="Times New Roman" w:eastAsia="Calibri" w:hAnsi="Times New Roman" w:cs="Times New Roman"/>
          <w:color w:val="000000"/>
          <w:kern w:val="0"/>
          <w:sz w:val="24"/>
          <w14:ligatures w14:val="none"/>
        </w:rPr>
        <w:t xml:space="preserve"> Uniform Plumbing Code </w:t>
      </w:r>
      <w:r w:rsidR="004415A7">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 xml:space="preserve">, </w:t>
      </w:r>
      <w:r w:rsidRPr="006B4A66">
        <w:rPr>
          <w:rFonts w:ascii="Times New Roman" w:eastAsia="Calibri" w:hAnsi="Times New Roman" w:cs="Times New Roman"/>
          <w:strike/>
          <w:color w:val="000000"/>
          <w:kern w:val="0"/>
          <w:sz w:val="24"/>
          <w14:ligatures w14:val="none"/>
        </w:rPr>
        <w:t>2018 Edition,</w:t>
      </w:r>
      <w:r w:rsidRPr="001216D4">
        <w:rPr>
          <w:rFonts w:ascii="Times New Roman" w:eastAsia="Calibri" w:hAnsi="Times New Roman" w:cs="Times New Roman"/>
          <w:strike/>
          <w:color w:val="000000"/>
          <w:kern w:val="0"/>
          <w:sz w:val="24"/>
          <w14:ligatures w14:val="none"/>
        </w:rPr>
        <w:t xml:space="preserve"> as published by or jointly with the International Association of Plumbing and Mechanical Officials</w:t>
      </w:r>
      <w:r w:rsidR="00D42423" w:rsidRPr="00BD15DC">
        <w:rPr>
          <w:rFonts w:ascii="Times New Roman" w:eastAsia="Calibri" w:hAnsi="Times New Roman" w:cs="Times New Roman"/>
          <w:color w:val="000000"/>
          <w:kern w:val="0"/>
          <w:sz w:val="24"/>
          <w14:ligatures w14:val="none"/>
        </w:rPr>
        <w:t>))</w:t>
      </w:r>
      <w:r w:rsidR="00D42423">
        <w:rPr>
          <w:rFonts w:ascii="Times New Roman" w:eastAsia="Calibri" w:hAnsi="Times New Roman" w:cs="Times New Roman"/>
          <w:color w:val="000000"/>
          <w:kern w:val="0"/>
          <w:sz w:val="24"/>
          <w14:ligatures w14:val="none"/>
        </w:rPr>
        <w:t xml:space="preserve"> </w:t>
      </w:r>
      <w:r w:rsidR="00D42423">
        <w:rPr>
          <w:rFonts w:ascii="Times New Roman" w:eastAsia="Calibri" w:hAnsi="Times New Roman" w:cs="Times New Roman"/>
          <w:color w:val="000000"/>
          <w:kern w:val="0"/>
          <w:sz w:val="24"/>
          <w:u w:val="single"/>
          <w14:ligatures w14:val="none"/>
        </w:rPr>
        <w:t>as adopted</w:t>
      </w:r>
      <w:r w:rsidRPr="00BD15DC">
        <w:rPr>
          <w:rFonts w:ascii="Times New Roman" w:eastAsia="Calibri" w:hAnsi="Times New Roman" w:cs="Times New Roman"/>
          <w:color w:val="000000"/>
          <w:kern w:val="0"/>
          <w:sz w:val="24"/>
          <w14:ligatures w14:val="none"/>
        </w:rPr>
        <w:t xml:space="preserve"> and</w:t>
      </w:r>
      <w:r w:rsidRPr="006B4A66">
        <w:rPr>
          <w:rFonts w:ascii="Times New Roman" w:eastAsia="Calibri" w:hAnsi="Times New Roman" w:cs="Times New Roman"/>
          <w:color w:val="000000"/>
          <w:kern w:val="0"/>
          <w:sz w:val="24"/>
          <w14:ligatures w14:val="none"/>
        </w:rPr>
        <w:t xml:space="preserve"> amended in chapter 51-56 WAC</w:t>
      </w:r>
      <w:r w:rsidR="006459A9">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and the gas piping provisions of </w:t>
      </w:r>
      <w:r w:rsidRPr="006B4A66">
        <w:rPr>
          <w:rFonts w:ascii="Times New Roman" w:eastAsia="Calibri" w:hAnsi="Times New Roman" w:cs="Times New Roman"/>
          <w:color w:val="000000"/>
          <w:kern w:val="0"/>
          <w:sz w:val="24"/>
          <w:u w:val="single"/>
          <w14:ligatures w14:val="none"/>
        </w:rPr>
        <w:t>the 2021 edition of</w:t>
      </w:r>
      <w:r w:rsidRPr="006B4A66">
        <w:rPr>
          <w:rFonts w:ascii="Times New Roman" w:eastAsia="Calibri" w:hAnsi="Times New Roman" w:cs="Times New Roman"/>
          <w:color w:val="000000"/>
          <w:kern w:val="0"/>
          <w:sz w:val="24"/>
          <w14:ligatures w14:val="none"/>
        </w:rPr>
        <w:t xml:space="preserve"> the International Fuel Gas Code </w:t>
      </w:r>
      <w:r w:rsidR="00920C5C">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 xml:space="preserve">, </w:t>
      </w:r>
      <w:r w:rsidRPr="006B4A66">
        <w:rPr>
          <w:rFonts w:ascii="Times New Roman" w:eastAsia="Calibri" w:hAnsi="Times New Roman" w:cs="Times New Roman"/>
          <w:strike/>
          <w:color w:val="000000"/>
          <w:kern w:val="0"/>
          <w:sz w:val="24"/>
          <w14:ligatures w14:val="none"/>
        </w:rPr>
        <w:t>2018 Edition</w:t>
      </w:r>
      <w:r w:rsidRPr="006B4A66">
        <w:rPr>
          <w:rFonts w:ascii="Times New Roman" w:eastAsia="Calibri" w:hAnsi="Times New Roman" w:cs="Times New Roman"/>
          <w:color w:val="000000"/>
          <w:kern w:val="0"/>
          <w:sz w:val="24"/>
          <w14:ligatures w14:val="none"/>
        </w:rPr>
        <w:t xml:space="preserve">)), the </w:t>
      </w:r>
      <w:r w:rsidRPr="006B4A66">
        <w:rPr>
          <w:rFonts w:ascii="Times New Roman" w:eastAsia="Calibri" w:hAnsi="Times New Roman" w:cs="Times New Roman"/>
          <w:color w:val="000000"/>
          <w:kern w:val="0"/>
          <w:sz w:val="24"/>
          <w:u w:val="single"/>
          <w14:ligatures w14:val="none"/>
        </w:rPr>
        <w:t>2021 edition of the</w:t>
      </w:r>
      <w:r w:rsidRPr="006B4A66">
        <w:rPr>
          <w:rFonts w:ascii="Times New Roman" w:eastAsia="Calibri" w:hAnsi="Times New Roman" w:cs="Times New Roman"/>
          <w:color w:val="000000"/>
          <w:kern w:val="0"/>
          <w:sz w:val="24"/>
          <w14:ligatures w14:val="none"/>
        </w:rPr>
        <w:t xml:space="preserve"> National Fuel Gas Code </w:t>
      </w:r>
      <w:bookmarkStart w:id="13" w:name="_Hlk170808710"/>
      <w:r w:rsidR="00920C5C">
        <w:rPr>
          <w:rFonts w:ascii="Times New Roman" w:eastAsia="Calibri" w:hAnsi="Times New Roman" w:cs="Times New Roman"/>
          <w:color w:val="000000"/>
          <w:kern w:val="0"/>
          <w:sz w:val="24"/>
          <w14:ligatures w14:val="none"/>
        </w:rPr>
        <w:t>((</w:t>
      </w:r>
      <w:bookmarkEnd w:id="13"/>
      <w:r w:rsidRPr="001216D4">
        <w:rPr>
          <w:rFonts w:ascii="Times New Roman" w:eastAsia="Calibri" w:hAnsi="Times New Roman" w:cs="Times New Roman"/>
          <w:strike/>
          <w:color w:val="000000"/>
          <w:kern w:val="0"/>
          <w:sz w:val="24"/>
          <w14:ligatures w14:val="none"/>
        </w:rPr>
        <w:t xml:space="preserve">, </w:t>
      </w:r>
      <w:r w:rsidRPr="006B4A66">
        <w:rPr>
          <w:rFonts w:ascii="Times New Roman" w:eastAsia="Calibri" w:hAnsi="Times New Roman" w:cs="Times New Roman"/>
          <w:strike/>
          <w:color w:val="000000"/>
          <w:kern w:val="0"/>
          <w:sz w:val="24"/>
          <w14:ligatures w14:val="none"/>
        </w:rPr>
        <w:t>2018 Edition</w:t>
      </w:r>
      <w:r w:rsidRPr="001216D4">
        <w:rPr>
          <w:rFonts w:ascii="Times New Roman" w:eastAsia="Calibri" w:hAnsi="Times New Roman" w:cs="Times New Roman"/>
          <w:strike/>
          <w:color w:val="000000"/>
          <w:kern w:val="0"/>
          <w:sz w:val="24"/>
          <w14:ligatures w14:val="none"/>
        </w:rPr>
        <w:t xml:space="preserve"> </w:t>
      </w:r>
      <w:r w:rsidRPr="006B4A66">
        <w:rPr>
          <w:rFonts w:ascii="Times New Roman" w:eastAsia="Calibri" w:hAnsi="Times New Roman" w:cs="Times New Roman"/>
          <w:strike/>
          <w:color w:val="000000"/>
          <w:kern w:val="0"/>
          <w:sz w:val="24"/>
          <w14:ligatures w14:val="none"/>
        </w:rPr>
        <w:t>(2018 ANSI Z223.1/NFPA 54),</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 xml:space="preserve">the 2021 edition of </w:t>
      </w:r>
      <w:r w:rsidRPr="006B4A66">
        <w:rPr>
          <w:rFonts w:ascii="Times New Roman" w:eastAsia="Calibri" w:hAnsi="Times New Roman" w:cs="Times New Roman"/>
          <w:color w:val="000000"/>
          <w:kern w:val="0"/>
          <w:sz w:val="24"/>
          <w14:ligatures w14:val="none"/>
        </w:rPr>
        <w:t xml:space="preserve">the Liquefied Petroleum Gas Code </w:t>
      </w:r>
      <w:r w:rsidR="00920C5C">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 xml:space="preserve">, </w:t>
      </w:r>
      <w:r w:rsidRPr="006B4A66">
        <w:rPr>
          <w:rFonts w:ascii="Times New Roman" w:eastAsia="Calibri" w:hAnsi="Times New Roman" w:cs="Times New Roman"/>
          <w:strike/>
          <w:color w:val="000000"/>
          <w:kern w:val="0"/>
          <w:sz w:val="24"/>
          <w14:ligatures w14:val="none"/>
        </w:rPr>
        <w:t>2017 Edition</w:t>
      </w:r>
      <w:r w:rsidRPr="001216D4">
        <w:rPr>
          <w:rFonts w:ascii="Times New Roman" w:eastAsia="Calibri" w:hAnsi="Times New Roman" w:cs="Times New Roman"/>
          <w:strike/>
          <w:color w:val="000000"/>
          <w:kern w:val="0"/>
          <w:sz w:val="24"/>
          <w14:ligatures w14:val="none"/>
        </w:rPr>
        <w:t xml:space="preserve"> </w:t>
      </w:r>
      <w:r w:rsidRPr="006B4A66">
        <w:rPr>
          <w:rFonts w:ascii="Times New Roman" w:eastAsia="Calibri" w:hAnsi="Times New Roman" w:cs="Times New Roman"/>
          <w:strike/>
          <w:color w:val="000000"/>
          <w:kern w:val="0"/>
          <w:sz w:val="24"/>
          <w14:ligatures w14:val="none"/>
        </w:rPr>
        <w:t>(2017 NFPA 58)</w:t>
      </w:r>
      <w:r w:rsidRPr="006B4A66">
        <w:rPr>
          <w:rFonts w:ascii="Times New Roman" w:eastAsia="Calibri" w:hAnsi="Times New Roman" w:cs="Times New Roman"/>
          <w:color w:val="000000"/>
          <w:kern w:val="0"/>
          <w:sz w:val="24"/>
          <w14:ligatures w14:val="none"/>
        </w:rPr>
        <w:t>)) as amended in chapter 51-52 WAC</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and the International Residential Code </w:t>
      </w:r>
      <w:r w:rsidRPr="006B4A66">
        <w:rPr>
          <w:rFonts w:ascii="Times New Roman" w:eastAsia="Calibri" w:hAnsi="Times New Roman" w:cs="Times New Roman"/>
          <w:color w:val="000000"/>
          <w:kern w:val="0"/>
          <w:sz w:val="24"/>
          <w:u w:val="single"/>
          <w14:ligatures w14:val="none"/>
        </w:rPr>
        <w:t>as adopted</w:t>
      </w:r>
      <w:r w:rsidR="00737B4B">
        <w:rPr>
          <w:rFonts w:ascii="Times New Roman" w:eastAsia="Calibri" w:hAnsi="Times New Roman" w:cs="Times New Roman"/>
          <w:color w:val="000000"/>
          <w:kern w:val="0"/>
          <w:sz w:val="24"/>
          <w:u w:val="single"/>
          <w14:ligatures w14:val="none"/>
        </w:rPr>
        <w:t xml:space="preserve"> </w:t>
      </w:r>
      <w:r w:rsidR="000938AC">
        <w:rPr>
          <w:rFonts w:ascii="Times New Roman" w:eastAsia="Calibri" w:hAnsi="Times New Roman" w:cs="Times New Roman"/>
          <w:color w:val="000000"/>
          <w:kern w:val="0"/>
          <w:sz w:val="24"/>
          <w:u w:val="single"/>
          <w14:ligatures w14:val="none"/>
        </w:rPr>
        <w:t>by</w:t>
      </w:r>
      <w:r w:rsidR="00424AE9">
        <w:rPr>
          <w:rFonts w:ascii="Times New Roman" w:eastAsia="Calibri" w:hAnsi="Times New Roman" w:cs="Times New Roman"/>
          <w:color w:val="000000"/>
          <w:kern w:val="0"/>
          <w:sz w:val="24"/>
          <w:u w:val="single"/>
          <w14:ligatures w14:val="none"/>
        </w:rPr>
        <w:t xml:space="preserve"> </w:t>
      </w:r>
      <w:r w:rsidR="00737B4B">
        <w:rPr>
          <w:rFonts w:ascii="Times New Roman" w:eastAsia="Calibri" w:hAnsi="Times New Roman" w:cs="Times New Roman"/>
          <w:color w:val="000000"/>
          <w:kern w:val="0"/>
          <w:sz w:val="24"/>
          <w:u w:val="single"/>
          <w14:ligatures w14:val="none"/>
        </w:rPr>
        <w:t>K.C.C. 16.02.110</w:t>
      </w:r>
      <w:r w:rsidRPr="006B4A66">
        <w:rPr>
          <w:rFonts w:ascii="Times New Roman" w:eastAsia="Calibri" w:hAnsi="Times New Roman" w:cs="Times New Roman"/>
          <w:color w:val="000000"/>
          <w:kern w:val="0"/>
          <w:sz w:val="24"/>
          <w14:ligatures w14:val="none"/>
        </w:rPr>
        <w:t>, ((</w:t>
      </w:r>
      <w:r w:rsidRPr="006B4A66">
        <w:rPr>
          <w:rFonts w:ascii="Times New Roman" w:eastAsia="Calibri" w:hAnsi="Times New Roman" w:cs="Times New Roman"/>
          <w:strike/>
          <w:color w:val="000000"/>
          <w:kern w:val="0"/>
          <w:sz w:val="24"/>
          <w14:ligatures w14:val="none"/>
        </w:rPr>
        <w:t>2018 Edition,</w:t>
      </w:r>
      <w:r w:rsidRPr="001216D4">
        <w:rPr>
          <w:rFonts w:ascii="Times New Roman" w:eastAsia="Calibri" w:hAnsi="Times New Roman" w:cs="Times New Roman"/>
          <w:strike/>
          <w:color w:val="000000"/>
          <w:kern w:val="0"/>
          <w:sz w:val="24"/>
          <w14:ligatures w14:val="none"/>
        </w:rPr>
        <w:t xml:space="preserve"> as amended in chapter 51-51 WAC,</w:t>
      </w:r>
      <w:r w:rsidR="00737B4B">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are hereby adopted and together with King County amendments, additions, exceptions</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and deletions adopted in this chapter are adopted as the King County Plumbing Code and may be cited as such and </w:t>
      </w:r>
      <w:r w:rsidRPr="006B4A66">
        <w:rPr>
          <w:rFonts w:ascii="Times New Roman" w:eastAsia="Calibri" w:hAnsi="Times New Roman" w:cs="Times New Roman"/>
          <w:color w:val="000000"/>
          <w:kern w:val="0"/>
          <w:sz w:val="24"/>
          <w14:ligatures w14:val="none"/>
        </w:rPr>
        <w:lastRenderedPageBreak/>
        <w:t>referred to in this chapter as "this code."  This code shall have precedence over documents adopted by reference.</w:t>
      </w:r>
    </w:p>
    <w:p w14:paraId="2239D51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B.  This code also may be further clarified and implemented by administrative rules adopted in accordance with K.C.C. chapter 2.98.</w:t>
      </w:r>
    </w:p>
    <w:p w14:paraId="1FB182F8" w14:textId="5D3716EA"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171.</w:t>
      </w:r>
      <w:r w:rsidRPr="006B4A66">
        <w:rPr>
          <w:rFonts w:ascii="Times New Roman" w:eastAsia="Calibri" w:hAnsi="Times New Roman" w:cs="Times New Roman"/>
          <w:color w:val="000000"/>
          <w:kern w:val="0"/>
          <w:sz w:val="24"/>
          <w14:ligatures w14:val="none"/>
        </w:rPr>
        <w:t xml:space="preserve">  Ordinance 6746, Section 7, as amended, and K.C.C. 16.32.050 are each hereby amended to read as follows:</w:t>
      </w:r>
    </w:p>
    <w:p w14:paraId="77FA17D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spacing w:val="-2"/>
          <w:kern w:val="0"/>
          <w:sz w:val="24"/>
          <w14:ligatures w14:val="none"/>
        </w:rPr>
      </w:pPr>
      <w:r w:rsidRPr="006B4A66">
        <w:rPr>
          <w:rFonts w:ascii="Times New Roman" w:eastAsia="Calibri" w:hAnsi="Times New Roman" w:cs="Times New Roman"/>
          <w:b/>
          <w:bCs/>
          <w:color w:val="000000"/>
          <w:spacing w:val="-2"/>
          <w:kern w:val="0"/>
          <w:sz w:val="24"/>
          <w14:ligatures w14:val="none"/>
        </w:rPr>
        <w:tab/>
      </w:r>
      <w:r w:rsidRPr="006B4A66">
        <w:rPr>
          <w:rFonts w:ascii="Times New Roman" w:eastAsia="Calibri" w:hAnsi="Times New Roman" w:cs="Times New Roman"/>
          <w:color w:val="000000"/>
          <w:spacing w:val="-2"/>
          <w:kern w:val="0"/>
          <w:sz w:val="24"/>
          <w14:ligatures w14:val="none"/>
        </w:rPr>
        <w:t xml:space="preserve">The authority having jurisdiction is authorized to enforce this code </w:t>
      </w:r>
      <w:r w:rsidRPr="006B4A66">
        <w:rPr>
          <w:rFonts w:ascii="Times New Roman" w:eastAsia="Calibri" w:hAnsi="Times New Roman" w:cs="Times New Roman"/>
          <w:color w:val="000000"/>
          <w:spacing w:val="-2"/>
          <w:kern w:val="0"/>
          <w:sz w:val="24"/>
          <w:u w:val="single"/>
          <w14:ligatures w14:val="none"/>
        </w:rPr>
        <w:t>in</w:t>
      </w:r>
      <w:r w:rsidRPr="006B4A66">
        <w:rPr>
          <w:rFonts w:ascii="Times New Roman" w:eastAsia="Calibri" w:hAnsi="Times New Roman" w:cs="Times New Roman"/>
          <w:color w:val="000000"/>
          <w:spacing w:val="-2"/>
          <w:kern w:val="0"/>
          <w:sz w:val="24"/>
          <w14:ligatures w14:val="none"/>
        </w:rPr>
        <w:t xml:space="preserve"> accordance with K.C.C. Title 23 except as specifically otherwise provided in this code.</w:t>
      </w:r>
    </w:p>
    <w:p w14:paraId="50728D31" w14:textId="5F146FE3"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172.</w:t>
      </w:r>
      <w:r w:rsidRPr="006B4A66">
        <w:rPr>
          <w:rFonts w:ascii="Times New Roman" w:eastAsia="Calibri" w:hAnsi="Times New Roman" w:cs="Times New Roman"/>
          <w:color w:val="000000"/>
          <w:kern w:val="0"/>
          <w:sz w:val="24"/>
          <w14:ligatures w14:val="none"/>
        </w:rPr>
        <w:t xml:space="preserve">  Ordinance 6746, Section 10, as amended, and K.C.C. 16.32.080 are each hereby amended to read as follows:</w:t>
      </w:r>
    </w:p>
    <w:p w14:paraId="559F803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104.5 of the Uniform Plumbing Code is not adopted and the following is substituted:</w:t>
      </w:r>
    </w:p>
    <w:p w14:paraId="6306C20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tab/>
        <w:t>Fees.  A.</w:t>
      </w:r>
      <w:r w:rsidRPr="006B4A66">
        <w:rPr>
          <w:rFonts w:ascii="Times New Roman" w:eastAsia="Calibri" w:hAnsi="Times New Roman" w:cs="Times New Roman"/>
          <w:color w:val="000000"/>
          <w:kern w:val="0"/>
          <w:sz w:val="24"/>
          <w14:ligatures w14:val="none"/>
        </w:rPr>
        <w:t xml:space="preserve">  An applicant for a permit to do work under this chapter shall pay at the time of permit issuance, the following fees according to the fee schedule:</w:t>
      </w:r>
    </w:p>
    <w:p w14:paraId="154D7C27" w14:textId="77777777" w:rsidR="006B4A66" w:rsidRPr="006B4A66" w:rsidRDefault="006B4A66" w:rsidP="0073496A">
      <w:pPr>
        <w:tabs>
          <w:tab w:val="left" w:pos="720"/>
        </w:tabs>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FEE SCHEDULE</w:t>
      </w:r>
    </w:p>
    <w:tbl>
      <w:tblPr>
        <w:tblStyle w:val="TableGrid"/>
        <w:tblW w:w="0" w:type="auto"/>
        <w:tblLook w:val="04A0" w:firstRow="1" w:lastRow="0" w:firstColumn="1" w:lastColumn="0" w:noHBand="0" w:noVBand="1"/>
      </w:tblPr>
      <w:tblGrid>
        <w:gridCol w:w="6295"/>
        <w:gridCol w:w="2335"/>
      </w:tblGrid>
      <w:tr w:rsidR="006B4A66" w:rsidRPr="006B4A66" w14:paraId="46C563E3" w14:textId="77777777">
        <w:tc>
          <w:tcPr>
            <w:tcW w:w="6295" w:type="dxa"/>
            <w:vAlign w:val="bottom"/>
          </w:tcPr>
          <w:p w14:paraId="58A0AB33" w14:textId="77777777" w:rsidR="006B4A66" w:rsidRPr="006B4A66" w:rsidRDefault="006B4A66" w:rsidP="0073496A">
            <w:pPr>
              <w:spacing w:line="480" w:lineRule="auto"/>
              <w:rPr>
                <w:rFonts w:eastAsia="Calibri"/>
                <w:b/>
                <w:color w:val="000000"/>
                <w:sz w:val="24"/>
              </w:rPr>
            </w:pPr>
            <w:r w:rsidRPr="006B4A66">
              <w:rPr>
                <w:rFonts w:eastAsia="Calibri"/>
                <w:b/>
                <w:color w:val="000000"/>
                <w:sz w:val="24"/>
              </w:rPr>
              <w:t>Fee Type</w:t>
            </w:r>
          </w:p>
        </w:tc>
        <w:tc>
          <w:tcPr>
            <w:tcW w:w="2335" w:type="dxa"/>
          </w:tcPr>
          <w:p w14:paraId="26D4A4DC" w14:textId="77777777" w:rsidR="006B4A66" w:rsidRPr="006B4A66" w:rsidRDefault="006B4A66" w:rsidP="0073496A">
            <w:pPr>
              <w:spacing w:line="480" w:lineRule="auto"/>
              <w:rPr>
                <w:rFonts w:eastAsia="Calibri"/>
                <w:b/>
                <w:color w:val="000000"/>
                <w:sz w:val="24"/>
              </w:rPr>
            </w:pPr>
            <w:r w:rsidRPr="006B4A66">
              <w:rPr>
                <w:rFonts w:eastAsia="Calibri"/>
                <w:b/>
                <w:color w:val="000000"/>
                <w:sz w:val="24"/>
              </w:rPr>
              <w:t>Cost</w:t>
            </w:r>
          </w:p>
        </w:tc>
      </w:tr>
      <w:tr w:rsidR="006B4A66" w:rsidRPr="006B4A66" w14:paraId="20CDBB58" w14:textId="77777777">
        <w:tc>
          <w:tcPr>
            <w:tcW w:w="6295" w:type="dxa"/>
          </w:tcPr>
          <w:p w14:paraId="1D95DEBF" w14:textId="77777777" w:rsidR="006B4A66" w:rsidRPr="006B4A66" w:rsidRDefault="006B4A66" w:rsidP="00BD15DC">
            <w:pPr>
              <w:spacing w:line="480" w:lineRule="auto"/>
              <w:rPr>
                <w:rFonts w:eastAsia="Calibri"/>
                <w:bCs/>
                <w:color w:val="000000"/>
                <w:sz w:val="24"/>
              </w:rPr>
            </w:pPr>
            <w:r w:rsidRPr="006B4A66">
              <w:rPr>
                <w:rFonts w:eastAsia="Calibri"/>
                <w:bCs/>
                <w:color w:val="000000"/>
                <w:sz w:val="24"/>
              </w:rPr>
              <w:t>Note: The fees in this table may be adjusted annually in accordance with subsection D. of this section.  Contact public health – Seattle &amp; King County for the most current fee schedule.</w:t>
            </w:r>
          </w:p>
        </w:tc>
        <w:tc>
          <w:tcPr>
            <w:tcW w:w="2335" w:type="dxa"/>
          </w:tcPr>
          <w:p w14:paraId="198F12B7" w14:textId="77777777" w:rsidR="006B4A66" w:rsidRPr="006B4A66" w:rsidRDefault="006B4A66" w:rsidP="0073496A">
            <w:pPr>
              <w:spacing w:line="480" w:lineRule="auto"/>
              <w:rPr>
                <w:rFonts w:eastAsia="Calibri"/>
                <w:bCs/>
                <w:color w:val="000000"/>
                <w:sz w:val="24"/>
              </w:rPr>
            </w:pPr>
          </w:p>
        </w:tc>
      </w:tr>
      <w:tr w:rsidR="006B4A66" w:rsidRPr="006B4A66" w14:paraId="3510A46E" w14:textId="77777777">
        <w:tc>
          <w:tcPr>
            <w:tcW w:w="6295" w:type="dxa"/>
          </w:tcPr>
          <w:p w14:paraId="0F98CFAD" w14:textId="77777777" w:rsidR="006B4A66" w:rsidRPr="006B4A66" w:rsidRDefault="006B4A66" w:rsidP="00BD15DC">
            <w:pPr>
              <w:spacing w:line="480" w:lineRule="auto"/>
              <w:rPr>
                <w:rFonts w:eastAsia="Calibri"/>
                <w:bCs/>
                <w:color w:val="000000"/>
                <w:sz w:val="24"/>
              </w:rPr>
            </w:pPr>
            <w:r w:rsidRPr="006B4A66">
              <w:rPr>
                <w:rFonts w:eastAsia="Calibri"/>
                <w:b/>
                <w:color w:val="000000"/>
                <w:sz w:val="24"/>
              </w:rPr>
              <w:t>Base permit fee</w:t>
            </w:r>
            <w:r w:rsidRPr="006B4A66">
              <w:rPr>
                <w:rFonts w:eastAsia="Calibri"/>
                <w:bCs/>
                <w:color w:val="000000"/>
                <w:sz w:val="24"/>
              </w:rPr>
              <w:t>, which is for a plumbing, gas, or backflow permit</w:t>
            </w:r>
          </w:p>
        </w:tc>
        <w:tc>
          <w:tcPr>
            <w:tcW w:w="2335" w:type="dxa"/>
          </w:tcPr>
          <w:p w14:paraId="7463D5DE" w14:textId="329AD484" w:rsidR="006B4A66" w:rsidRPr="00BD15DC" w:rsidRDefault="006B4A66" w:rsidP="0073496A">
            <w:pPr>
              <w:spacing w:line="480" w:lineRule="auto"/>
              <w:rPr>
                <w:rFonts w:eastAsia="Calibri"/>
                <w:bCs/>
                <w:color w:val="000000"/>
                <w:sz w:val="24"/>
                <w:u w:val="single"/>
              </w:rPr>
            </w:pPr>
            <w:r w:rsidRPr="006B4A66">
              <w:rPr>
                <w:rFonts w:eastAsia="Calibri"/>
                <w:bCs/>
                <w:color w:val="000000"/>
                <w:sz w:val="24"/>
              </w:rPr>
              <w:t>$</w:t>
            </w:r>
            <w:r w:rsidR="00504850">
              <w:rPr>
                <w:rFonts w:eastAsia="Calibri"/>
                <w:bCs/>
                <w:color w:val="000000"/>
                <w:sz w:val="24"/>
              </w:rPr>
              <w:t>((</w:t>
            </w:r>
            <w:r w:rsidRPr="00BD15DC">
              <w:rPr>
                <w:rFonts w:eastAsia="Calibri"/>
                <w:bCs/>
                <w:strike/>
                <w:color w:val="000000"/>
                <w:sz w:val="24"/>
              </w:rPr>
              <w:t>13</w:t>
            </w:r>
            <w:r w:rsidRPr="00504850">
              <w:rPr>
                <w:rFonts w:eastAsia="Calibri"/>
                <w:bCs/>
                <w:strike/>
                <w:color w:val="000000"/>
                <w:sz w:val="24"/>
              </w:rPr>
              <w:t>2</w:t>
            </w:r>
            <w:r w:rsidRPr="00BD15DC">
              <w:rPr>
                <w:rFonts w:eastAsia="Calibri"/>
                <w:bCs/>
                <w:strike/>
                <w:color w:val="000000"/>
                <w:sz w:val="24"/>
              </w:rPr>
              <w:t>.00</w:t>
            </w:r>
            <w:r w:rsidR="00504850">
              <w:rPr>
                <w:rFonts w:eastAsia="Calibri"/>
                <w:bCs/>
                <w:color w:val="000000"/>
                <w:sz w:val="24"/>
              </w:rPr>
              <w:t xml:space="preserve">)) </w:t>
            </w:r>
            <w:r w:rsidR="00504850">
              <w:rPr>
                <w:rFonts w:eastAsia="Calibri"/>
                <w:bCs/>
                <w:color w:val="000000"/>
                <w:sz w:val="24"/>
                <w:u w:val="single"/>
              </w:rPr>
              <w:t>137.00</w:t>
            </w:r>
          </w:p>
        </w:tc>
      </w:tr>
      <w:tr w:rsidR="006B4A66" w:rsidRPr="006B4A66" w14:paraId="0D16D502" w14:textId="77777777">
        <w:tc>
          <w:tcPr>
            <w:tcW w:w="6295" w:type="dxa"/>
          </w:tcPr>
          <w:p w14:paraId="5A80D053" w14:textId="77777777" w:rsidR="006B4A66" w:rsidRPr="006B4A66" w:rsidRDefault="006B4A66" w:rsidP="00BD15DC">
            <w:pPr>
              <w:spacing w:line="480" w:lineRule="auto"/>
              <w:rPr>
                <w:rFonts w:eastAsia="Calibri"/>
                <w:bCs/>
                <w:color w:val="000000"/>
                <w:sz w:val="24"/>
              </w:rPr>
            </w:pPr>
            <w:r w:rsidRPr="006B4A66">
              <w:rPr>
                <w:rFonts w:eastAsia="Calibri"/>
                <w:b/>
                <w:color w:val="000000"/>
                <w:sz w:val="24"/>
              </w:rPr>
              <w:lastRenderedPageBreak/>
              <w:t>Fixture fee</w:t>
            </w:r>
            <w:r w:rsidRPr="006B4A66">
              <w:rPr>
                <w:rFonts w:eastAsia="Calibri"/>
                <w:bCs/>
                <w:color w:val="000000"/>
                <w:sz w:val="24"/>
              </w:rPr>
              <w:t>, which is assessed per each plumbing, medical or dental gas, fuel gas, laboratory gas, or repipe fixture, or backflow assembly, or any combination thereof, in addition to the base permit fee</w:t>
            </w:r>
          </w:p>
        </w:tc>
        <w:tc>
          <w:tcPr>
            <w:tcW w:w="2335" w:type="dxa"/>
          </w:tcPr>
          <w:p w14:paraId="1AC4DB1E" w14:textId="496693C8" w:rsidR="006B4A66" w:rsidRPr="00BD15DC" w:rsidRDefault="006B4A66" w:rsidP="0073496A">
            <w:pPr>
              <w:spacing w:line="480" w:lineRule="auto"/>
              <w:rPr>
                <w:rFonts w:eastAsia="Calibri"/>
                <w:bCs/>
                <w:color w:val="000000"/>
                <w:sz w:val="24"/>
                <w:u w:val="single"/>
              </w:rPr>
            </w:pPr>
            <w:r w:rsidRPr="006B4A66">
              <w:rPr>
                <w:rFonts w:eastAsia="Calibri"/>
                <w:bCs/>
                <w:color w:val="000000"/>
                <w:sz w:val="24"/>
              </w:rPr>
              <w:t>$</w:t>
            </w:r>
            <w:r w:rsidR="00504850">
              <w:rPr>
                <w:rFonts w:eastAsia="Calibri"/>
                <w:bCs/>
                <w:color w:val="000000"/>
                <w:sz w:val="24"/>
              </w:rPr>
              <w:t>((</w:t>
            </w:r>
            <w:r w:rsidRPr="00BD15DC">
              <w:rPr>
                <w:rFonts w:eastAsia="Calibri"/>
                <w:bCs/>
                <w:strike/>
                <w:color w:val="000000"/>
                <w:sz w:val="24"/>
              </w:rPr>
              <w:t>2</w:t>
            </w:r>
            <w:r w:rsidRPr="00504850">
              <w:rPr>
                <w:rFonts w:eastAsia="Calibri"/>
                <w:bCs/>
                <w:strike/>
                <w:color w:val="000000"/>
                <w:sz w:val="24"/>
              </w:rPr>
              <w:t>6</w:t>
            </w:r>
            <w:r w:rsidRPr="00BD15DC">
              <w:rPr>
                <w:rFonts w:eastAsia="Calibri"/>
                <w:bCs/>
                <w:strike/>
                <w:color w:val="000000"/>
                <w:sz w:val="24"/>
              </w:rPr>
              <w:t>.00</w:t>
            </w:r>
            <w:r w:rsidR="00504850">
              <w:rPr>
                <w:rFonts w:eastAsia="Calibri"/>
                <w:bCs/>
                <w:color w:val="000000"/>
                <w:sz w:val="24"/>
              </w:rPr>
              <w:t xml:space="preserve">)) </w:t>
            </w:r>
            <w:r w:rsidR="00504850">
              <w:rPr>
                <w:rFonts w:eastAsia="Calibri"/>
                <w:bCs/>
                <w:color w:val="000000"/>
                <w:sz w:val="24"/>
                <w:u w:val="single"/>
              </w:rPr>
              <w:t>27.00</w:t>
            </w:r>
          </w:p>
        </w:tc>
      </w:tr>
      <w:tr w:rsidR="006B4A66" w:rsidRPr="006B4A66" w14:paraId="20EC179A" w14:textId="77777777">
        <w:tc>
          <w:tcPr>
            <w:tcW w:w="6295" w:type="dxa"/>
          </w:tcPr>
          <w:p w14:paraId="3FF66FAA" w14:textId="77777777" w:rsidR="006B4A66" w:rsidRPr="006B4A66" w:rsidRDefault="006B4A66" w:rsidP="00BD15DC">
            <w:pPr>
              <w:spacing w:line="480" w:lineRule="auto"/>
              <w:rPr>
                <w:rFonts w:eastAsia="Calibri"/>
                <w:bCs/>
                <w:color w:val="000000"/>
                <w:sz w:val="24"/>
              </w:rPr>
            </w:pPr>
            <w:r w:rsidRPr="006B4A66">
              <w:rPr>
                <w:rFonts w:eastAsia="Calibri"/>
                <w:b/>
                <w:color w:val="000000"/>
                <w:sz w:val="24"/>
              </w:rPr>
              <w:t>Administrative fee</w:t>
            </w:r>
            <w:r w:rsidRPr="006B4A66">
              <w:rPr>
                <w:rFonts w:eastAsia="Calibri"/>
                <w:bCs/>
                <w:color w:val="000000"/>
                <w:sz w:val="24"/>
              </w:rPr>
              <w:t>, which is the fee assessed to modify a permit or issue a refund</w:t>
            </w:r>
          </w:p>
        </w:tc>
        <w:tc>
          <w:tcPr>
            <w:tcW w:w="2335" w:type="dxa"/>
          </w:tcPr>
          <w:p w14:paraId="6C26A09A" w14:textId="763B705E" w:rsidR="006B4A66" w:rsidRPr="00BD15DC" w:rsidRDefault="006B4A66" w:rsidP="0073496A">
            <w:pPr>
              <w:spacing w:line="480" w:lineRule="auto"/>
              <w:rPr>
                <w:rFonts w:eastAsia="Calibri"/>
                <w:bCs/>
                <w:color w:val="000000"/>
                <w:sz w:val="24"/>
                <w:u w:val="single"/>
              </w:rPr>
            </w:pPr>
            <w:r w:rsidRPr="006B4A66">
              <w:rPr>
                <w:rFonts w:eastAsia="Calibri"/>
                <w:bCs/>
                <w:color w:val="000000"/>
                <w:sz w:val="24"/>
              </w:rPr>
              <w:t>$</w:t>
            </w:r>
            <w:r w:rsidR="00504850">
              <w:rPr>
                <w:rFonts w:eastAsia="Calibri"/>
                <w:bCs/>
                <w:color w:val="000000"/>
                <w:sz w:val="24"/>
              </w:rPr>
              <w:t>((</w:t>
            </w:r>
            <w:r w:rsidRPr="00BD15DC">
              <w:rPr>
                <w:rFonts w:eastAsia="Calibri"/>
                <w:bCs/>
                <w:strike/>
                <w:color w:val="000000"/>
                <w:sz w:val="24"/>
              </w:rPr>
              <w:t>4</w:t>
            </w:r>
            <w:r w:rsidRPr="004B0834">
              <w:rPr>
                <w:rFonts w:eastAsia="Calibri"/>
                <w:bCs/>
                <w:strike/>
                <w:color w:val="000000"/>
                <w:sz w:val="24"/>
              </w:rPr>
              <w:t>0</w:t>
            </w:r>
            <w:r w:rsidRPr="00BD15DC">
              <w:rPr>
                <w:rFonts w:eastAsia="Calibri"/>
                <w:bCs/>
                <w:strike/>
                <w:color w:val="000000"/>
                <w:sz w:val="24"/>
              </w:rPr>
              <w:t>.00</w:t>
            </w:r>
            <w:r w:rsidR="00504850">
              <w:rPr>
                <w:rFonts w:eastAsia="Calibri"/>
                <w:bCs/>
                <w:color w:val="000000"/>
                <w:sz w:val="24"/>
              </w:rPr>
              <w:t xml:space="preserve">)) </w:t>
            </w:r>
            <w:r w:rsidR="004B0834">
              <w:rPr>
                <w:rFonts w:eastAsia="Calibri"/>
                <w:bCs/>
                <w:color w:val="000000"/>
                <w:sz w:val="24"/>
                <w:u w:val="single"/>
              </w:rPr>
              <w:t>41.00</w:t>
            </w:r>
          </w:p>
        </w:tc>
      </w:tr>
      <w:tr w:rsidR="006B4A66" w:rsidRPr="006B4A66" w14:paraId="3AD366DF" w14:textId="77777777">
        <w:tc>
          <w:tcPr>
            <w:tcW w:w="6295" w:type="dxa"/>
          </w:tcPr>
          <w:p w14:paraId="1C5238E7" w14:textId="77777777" w:rsidR="006B4A66" w:rsidRPr="006B4A66" w:rsidRDefault="006B4A66" w:rsidP="00BD15DC">
            <w:pPr>
              <w:spacing w:line="480" w:lineRule="auto"/>
              <w:rPr>
                <w:rFonts w:eastAsia="Calibri"/>
                <w:b/>
                <w:color w:val="000000"/>
                <w:sz w:val="24"/>
              </w:rPr>
            </w:pPr>
            <w:r w:rsidRPr="006B4A66">
              <w:rPr>
                <w:rFonts w:eastAsia="Calibri"/>
                <w:b/>
                <w:color w:val="000000"/>
                <w:sz w:val="24"/>
              </w:rPr>
              <w:t>Permit renewal fee</w:t>
            </w:r>
            <w:r w:rsidRPr="006B4A66">
              <w:rPr>
                <w:rFonts w:eastAsia="Calibri"/>
                <w:bCs/>
                <w:color w:val="000000"/>
                <w:sz w:val="24"/>
              </w:rPr>
              <w:t>, which is the fee assessed to renew a permit</w:t>
            </w:r>
          </w:p>
        </w:tc>
        <w:tc>
          <w:tcPr>
            <w:tcW w:w="2335" w:type="dxa"/>
          </w:tcPr>
          <w:p w14:paraId="195DB41C" w14:textId="1D747C74" w:rsidR="006B4A66" w:rsidRPr="00BD15DC" w:rsidRDefault="006B4A66" w:rsidP="0073496A">
            <w:pPr>
              <w:spacing w:line="480" w:lineRule="auto"/>
              <w:rPr>
                <w:rFonts w:eastAsia="Calibri"/>
                <w:bCs/>
                <w:color w:val="000000"/>
                <w:sz w:val="24"/>
                <w:u w:val="single"/>
              </w:rPr>
            </w:pPr>
            <w:r w:rsidRPr="006B4A66">
              <w:rPr>
                <w:rFonts w:eastAsia="Calibri"/>
                <w:bCs/>
                <w:color w:val="000000"/>
                <w:sz w:val="24"/>
              </w:rPr>
              <w:t>$</w:t>
            </w:r>
            <w:r w:rsidR="004B0834">
              <w:rPr>
                <w:rFonts w:eastAsia="Calibri"/>
                <w:bCs/>
                <w:color w:val="000000"/>
                <w:sz w:val="24"/>
              </w:rPr>
              <w:t>((</w:t>
            </w:r>
            <w:r w:rsidRPr="00BD15DC">
              <w:rPr>
                <w:rFonts w:eastAsia="Calibri"/>
                <w:bCs/>
                <w:strike/>
                <w:color w:val="000000"/>
                <w:sz w:val="24"/>
              </w:rPr>
              <w:t>6</w:t>
            </w:r>
            <w:r w:rsidRPr="004B0834">
              <w:rPr>
                <w:rFonts w:eastAsia="Calibri"/>
                <w:bCs/>
                <w:strike/>
                <w:color w:val="000000"/>
                <w:sz w:val="24"/>
              </w:rPr>
              <w:t>6</w:t>
            </w:r>
            <w:r w:rsidRPr="00BD15DC">
              <w:rPr>
                <w:rFonts w:eastAsia="Calibri"/>
                <w:bCs/>
                <w:strike/>
                <w:color w:val="000000"/>
                <w:sz w:val="24"/>
              </w:rPr>
              <w:t>.00</w:t>
            </w:r>
            <w:r w:rsidR="004B0834">
              <w:rPr>
                <w:rFonts w:eastAsia="Calibri"/>
                <w:bCs/>
                <w:color w:val="000000"/>
                <w:sz w:val="24"/>
              </w:rPr>
              <w:t xml:space="preserve">)) </w:t>
            </w:r>
            <w:r w:rsidR="004B0834" w:rsidRPr="00BD15DC">
              <w:rPr>
                <w:rFonts w:eastAsia="Calibri"/>
                <w:bCs/>
                <w:color w:val="000000"/>
                <w:sz w:val="24"/>
                <w:u w:val="single"/>
              </w:rPr>
              <w:t>68.00</w:t>
            </w:r>
          </w:p>
        </w:tc>
      </w:tr>
      <w:tr w:rsidR="006B4A66" w:rsidRPr="006B4A66" w14:paraId="0FEB8AED" w14:textId="77777777">
        <w:tc>
          <w:tcPr>
            <w:tcW w:w="6295" w:type="dxa"/>
          </w:tcPr>
          <w:p w14:paraId="5B1E448A" w14:textId="77777777" w:rsidR="006B4A66" w:rsidRPr="006B4A66" w:rsidRDefault="006B4A66" w:rsidP="00BD15DC">
            <w:pPr>
              <w:spacing w:line="480" w:lineRule="auto"/>
              <w:rPr>
                <w:rFonts w:eastAsia="Calibri"/>
                <w:bCs/>
                <w:color w:val="000000"/>
                <w:sz w:val="24"/>
              </w:rPr>
            </w:pPr>
            <w:r w:rsidRPr="006B4A66">
              <w:rPr>
                <w:rFonts w:eastAsia="Calibri"/>
                <w:b/>
                <w:color w:val="000000"/>
                <w:sz w:val="24"/>
              </w:rPr>
              <w:t>Repipe permit fee</w:t>
            </w:r>
            <w:r w:rsidRPr="006B4A66">
              <w:rPr>
                <w:rFonts w:eastAsia="Calibri"/>
                <w:bCs/>
                <w:color w:val="000000"/>
                <w:sz w:val="24"/>
              </w:rPr>
              <w:t>, which is a project specific fee, and which is the base permit fee plus repipe fixture fee or fees plus the total number of anticipated inspections times the hourly operating rate, unless the number of actual inspections exceed the number of anticipated inspections, in which case the applicant will be charged the hourly operating rate for each additional inspection.  Contact public health– Seattle &amp; King County for fee estimate</w:t>
            </w:r>
          </w:p>
        </w:tc>
        <w:tc>
          <w:tcPr>
            <w:tcW w:w="2335" w:type="dxa"/>
          </w:tcPr>
          <w:p w14:paraId="33383F92" w14:textId="77777777" w:rsidR="006B4A66" w:rsidRPr="006B4A66" w:rsidRDefault="006B4A66" w:rsidP="00BD15DC">
            <w:pPr>
              <w:spacing w:line="480" w:lineRule="auto"/>
              <w:rPr>
                <w:rFonts w:eastAsia="Calibri"/>
                <w:bCs/>
                <w:color w:val="000000"/>
                <w:sz w:val="24"/>
              </w:rPr>
            </w:pPr>
            <w:r w:rsidRPr="006B4A66">
              <w:rPr>
                <w:rFonts w:eastAsia="Calibri"/>
                <w:bCs/>
                <w:color w:val="000000"/>
                <w:sz w:val="24"/>
              </w:rPr>
              <w:t>(Base permit fee + repipe fixture fee or fees) + (the number of anticipated inspections + additional inspections x hourly operating rate)</w:t>
            </w:r>
          </w:p>
        </w:tc>
      </w:tr>
      <w:tr w:rsidR="006B4A66" w:rsidRPr="006B4A66" w14:paraId="2326D5B2" w14:textId="77777777">
        <w:tc>
          <w:tcPr>
            <w:tcW w:w="6295" w:type="dxa"/>
          </w:tcPr>
          <w:p w14:paraId="5A3D5321" w14:textId="77777777" w:rsidR="006B4A66" w:rsidRPr="006B4A66" w:rsidRDefault="006B4A66" w:rsidP="00BD15DC">
            <w:pPr>
              <w:spacing w:line="480" w:lineRule="auto"/>
              <w:rPr>
                <w:rFonts w:eastAsia="Calibri"/>
                <w:bCs/>
                <w:color w:val="000000"/>
                <w:sz w:val="24"/>
              </w:rPr>
            </w:pPr>
            <w:r w:rsidRPr="006B4A66">
              <w:rPr>
                <w:rFonts w:eastAsia="Calibri"/>
                <w:b/>
                <w:color w:val="000000"/>
                <w:sz w:val="24"/>
              </w:rPr>
              <w:t>Plan review fee</w:t>
            </w:r>
            <w:r w:rsidRPr="006B4A66">
              <w:rPr>
                <w:rFonts w:eastAsia="Calibri"/>
                <w:bCs/>
                <w:color w:val="000000"/>
                <w:sz w:val="24"/>
              </w:rPr>
              <w:t>, which applies to plan reviewed project only, and is invoiced at hourly operating rate based on actual time spent reviewing project</w:t>
            </w:r>
          </w:p>
        </w:tc>
        <w:tc>
          <w:tcPr>
            <w:tcW w:w="2335" w:type="dxa"/>
          </w:tcPr>
          <w:p w14:paraId="7DAAF931" w14:textId="457FC8C7" w:rsidR="006B4A66" w:rsidRPr="006B4A66" w:rsidRDefault="006B4A66" w:rsidP="0073496A">
            <w:pPr>
              <w:spacing w:line="480" w:lineRule="auto"/>
              <w:rPr>
                <w:rFonts w:eastAsia="Calibri"/>
                <w:bCs/>
                <w:color w:val="000000"/>
                <w:sz w:val="24"/>
              </w:rPr>
            </w:pPr>
            <w:r w:rsidRPr="006B4A66">
              <w:rPr>
                <w:rFonts w:eastAsia="Calibri"/>
                <w:bCs/>
                <w:color w:val="000000"/>
                <w:sz w:val="24"/>
              </w:rPr>
              <w:t>$</w:t>
            </w:r>
            <w:r w:rsidR="00736F7A">
              <w:rPr>
                <w:rFonts w:eastAsia="Calibri"/>
                <w:bCs/>
                <w:color w:val="000000"/>
                <w:sz w:val="24"/>
              </w:rPr>
              <w:t>((</w:t>
            </w:r>
            <w:r w:rsidRPr="00BD15DC">
              <w:rPr>
                <w:rFonts w:eastAsia="Calibri"/>
                <w:bCs/>
                <w:strike/>
                <w:color w:val="000000"/>
                <w:sz w:val="24"/>
              </w:rPr>
              <w:t>2</w:t>
            </w:r>
            <w:r w:rsidRPr="00736F7A">
              <w:rPr>
                <w:rFonts w:eastAsia="Calibri"/>
                <w:bCs/>
                <w:strike/>
                <w:color w:val="000000"/>
                <w:sz w:val="24"/>
              </w:rPr>
              <w:t>64</w:t>
            </w:r>
            <w:r w:rsidRPr="00BD15DC">
              <w:rPr>
                <w:rFonts w:eastAsia="Calibri"/>
                <w:bCs/>
                <w:strike/>
                <w:color w:val="000000"/>
                <w:sz w:val="24"/>
              </w:rPr>
              <w:t>.00</w:t>
            </w:r>
            <w:r w:rsidR="00736F7A">
              <w:rPr>
                <w:rFonts w:eastAsia="Calibri"/>
                <w:bCs/>
                <w:color w:val="000000"/>
                <w:sz w:val="24"/>
              </w:rPr>
              <w:t xml:space="preserve">)) </w:t>
            </w:r>
            <w:r w:rsidR="00736F7A">
              <w:rPr>
                <w:rFonts w:eastAsia="Calibri"/>
                <w:bCs/>
                <w:color w:val="000000"/>
                <w:sz w:val="24"/>
                <w:u w:val="single"/>
              </w:rPr>
              <w:t>273.00</w:t>
            </w:r>
            <w:r w:rsidRPr="006B4A66">
              <w:rPr>
                <w:rFonts w:eastAsia="Calibri"/>
                <w:bCs/>
                <w:color w:val="000000"/>
                <w:sz w:val="24"/>
              </w:rPr>
              <w:t>/hr.</w:t>
            </w:r>
          </w:p>
        </w:tc>
      </w:tr>
      <w:tr w:rsidR="006B4A66" w:rsidRPr="006B4A66" w14:paraId="46C5C608" w14:textId="77777777">
        <w:tc>
          <w:tcPr>
            <w:tcW w:w="6295" w:type="dxa"/>
          </w:tcPr>
          <w:p w14:paraId="23E0E21C" w14:textId="77777777" w:rsidR="006B4A66" w:rsidRPr="006B4A66" w:rsidRDefault="006B4A66" w:rsidP="00BD15DC">
            <w:pPr>
              <w:spacing w:line="480" w:lineRule="auto"/>
              <w:rPr>
                <w:rFonts w:eastAsia="Calibri"/>
                <w:bCs/>
                <w:color w:val="000000"/>
                <w:sz w:val="24"/>
              </w:rPr>
            </w:pPr>
            <w:r w:rsidRPr="006B4A66">
              <w:rPr>
                <w:rFonts w:eastAsia="Calibri"/>
                <w:b/>
                <w:color w:val="000000"/>
                <w:sz w:val="24"/>
              </w:rPr>
              <w:t>Hourly operating rate</w:t>
            </w:r>
            <w:r w:rsidRPr="006B4A66">
              <w:rPr>
                <w:rFonts w:eastAsia="Calibri"/>
                <w:bCs/>
                <w:color w:val="000000"/>
                <w:sz w:val="24"/>
              </w:rPr>
              <w:t>, which is used to determine fees for plan review, off-hour inspections and repipe projects</w:t>
            </w:r>
          </w:p>
        </w:tc>
        <w:tc>
          <w:tcPr>
            <w:tcW w:w="2335" w:type="dxa"/>
          </w:tcPr>
          <w:p w14:paraId="054F1ADA" w14:textId="2958C4BD" w:rsidR="006B4A66" w:rsidRPr="006B4A66" w:rsidRDefault="006B4A66" w:rsidP="0073496A">
            <w:pPr>
              <w:spacing w:line="480" w:lineRule="auto"/>
              <w:rPr>
                <w:rFonts w:eastAsia="Calibri"/>
                <w:bCs/>
                <w:color w:val="000000"/>
                <w:sz w:val="24"/>
              </w:rPr>
            </w:pPr>
            <w:r w:rsidRPr="006B4A66">
              <w:rPr>
                <w:rFonts w:eastAsia="Calibri"/>
                <w:bCs/>
                <w:color w:val="000000"/>
                <w:sz w:val="24"/>
              </w:rPr>
              <w:t>$</w:t>
            </w:r>
            <w:r w:rsidR="00736F7A">
              <w:rPr>
                <w:rFonts w:eastAsia="Calibri"/>
                <w:bCs/>
                <w:color w:val="000000"/>
                <w:sz w:val="24"/>
              </w:rPr>
              <w:t>((</w:t>
            </w:r>
            <w:r w:rsidRPr="00BD15DC">
              <w:rPr>
                <w:rFonts w:eastAsia="Calibri"/>
                <w:bCs/>
                <w:strike/>
                <w:color w:val="000000"/>
                <w:sz w:val="24"/>
              </w:rPr>
              <w:t>2</w:t>
            </w:r>
            <w:r w:rsidRPr="00736F7A">
              <w:rPr>
                <w:rFonts w:eastAsia="Calibri"/>
                <w:bCs/>
                <w:strike/>
                <w:color w:val="000000"/>
                <w:sz w:val="24"/>
              </w:rPr>
              <w:t>64</w:t>
            </w:r>
            <w:r w:rsidRPr="00BD15DC">
              <w:rPr>
                <w:rFonts w:eastAsia="Calibri"/>
                <w:bCs/>
                <w:strike/>
                <w:color w:val="000000"/>
                <w:sz w:val="24"/>
              </w:rPr>
              <w:t>.00</w:t>
            </w:r>
            <w:r w:rsidR="00736F7A">
              <w:rPr>
                <w:rFonts w:eastAsia="Calibri"/>
                <w:bCs/>
                <w:color w:val="000000"/>
                <w:sz w:val="24"/>
              </w:rPr>
              <w:t xml:space="preserve">)) </w:t>
            </w:r>
            <w:r w:rsidR="00736F7A">
              <w:rPr>
                <w:rFonts w:eastAsia="Calibri"/>
                <w:bCs/>
                <w:color w:val="000000"/>
                <w:sz w:val="24"/>
                <w:u w:val="single"/>
              </w:rPr>
              <w:t>273.00</w:t>
            </w:r>
            <w:r w:rsidRPr="006B4A66">
              <w:rPr>
                <w:rFonts w:eastAsia="Calibri"/>
                <w:bCs/>
                <w:color w:val="000000"/>
                <w:sz w:val="24"/>
              </w:rPr>
              <w:t>/hr.</w:t>
            </w:r>
          </w:p>
        </w:tc>
      </w:tr>
    </w:tbl>
    <w:p w14:paraId="2C4AFA8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B.  The following definitions apply to this section unless the context clearly requires otherwise:</w:t>
      </w:r>
    </w:p>
    <w:p w14:paraId="5379A37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 xml:space="preserve">  1.  "Backflow assembly" means any approved device or assembly installed within a water supply system to prevent health hazards associated with backflow or back-siphonage conditions;</w:t>
      </w:r>
    </w:p>
    <w:p w14:paraId="7C80322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2.  "Fuel gas fixture" means an outlet point in a piped fuel gas supply system or connection to a piece of fuel gas using equipment;</w:t>
      </w:r>
    </w:p>
    <w:p w14:paraId="5D1168B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3.  "Laboratory gas fixture" means an inlet point in a piped nonsurgical vacuum collection system, or an outlet point in a nonmedical laboratory gas distribution system that connects to a piece of equipment, or that facilitates connections and disconnections to be made by a system operator for nonmedical research or process purposes;</w:t>
      </w:r>
    </w:p>
    <w:p w14:paraId="7FEB579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4.  "Medical or dental gas fixture" means an inlet point in a piped medical, surgical, or dental vacuum collection system or an outlet point in a medical or dental gas distribution system that connects to a piece of equipment, or that facilitates connections and disconnections to be made by a system operator;</w:t>
      </w:r>
    </w:p>
    <w:p w14:paraId="028C72F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5.  "Plumbing fixture" means an approved type of installed receptacle, device, or appliance that is connected to a water supply or that receives liquid or liquid-borne wastes and discharges such wastes into a building drainage system directly or indirectly; and</w:t>
      </w:r>
    </w:p>
    <w:p w14:paraId="6123DE5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6.  "Repipe fixture" represents the water supply, drainage, or venting portion of a plumbing system within a building that is to be replaced or repaired.  A repipe fixture represents the piping system only and does not include any specific device or fixture as defined elsewhere in this section.</w:t>
      </w:r>
    </w:p>
    <w:p w14:paraId="3814F98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C.1.  Laboratory fixture fees may be collected for any appliance, equipment, appurtenance, alarm, or gas system inlet or outlet connected to or affiliated with a </w:t>
      </w:r>
      <w:r w:rsidRPr="006B4A66">
        <w:rPr>
          <w:rFonts w:ascii="Times New Roman" w:eastAsia="Calibri" w:hAnsi="Times New Roman" w:cs="Times New Roman"/>
          <w:color w:val="000000"/>
          <w:kern w:val="0"/>
          <w:sz w:val="24"/>
          <w14:ligatures w14:val="none"/>
        </w:rPr>
        <w:lastRenderedPageBreak/>
        <w:t>nonmedical vacuum collection system or nonmedical gas piping system that does not include fuel gas and is not required to be designed in accordance with NFPA 99.</w:t>
      </w:r>
    </w:p>
    <w:p w14:paraId="17B4DB8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2.  Medical or dental gas fixture fees may be collected for any appliance, equipment, appurtenance, alarm, or gas system inlet or outlet connected to or affiliated with a medical, surgical, or dental vacuum collection system or medical or dental gas piping system designed in accordance with NFPA 99.</w:t>
      </w:r>
    </w:p>
    <w:p w14:paraId="105681B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3.  Plumbing fixture fees may be collected for any plumbing fixture, appliance, equipment, or appurtenance that is either regulated by the applicable plumbing or gas codes or impacts the design or operation of a plumbing or gas system within a building, or both. This includes industrial or commercial tanks, vats, and similar processing equipment which might or might not be connected to or discharged into approved traps or plumbing fixtures.</w:t>
      </w:r>
    </w:p>
    <w:p w14:paraId="61BB21B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D.  The fee schedule referenced within this section may be reviewed and adjusted periodically in accordance with the following:</w:t>
      </w:r>
    </w:p>
    <w:p w14:paraId="630A752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  The director of public health - Seattle &amp; King County shall annually review whether the fee schedule needs to be adjusted to reflect the projected subsequent year costs of providing services, taking into account the budget adopted by ordinance for the agency charged with providing such services; and</w:t>
      </w:r>
    </w:p>
    <w:p w14:paraId="233E228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2.  The director may annually ((</w:t>
      </w:r>
      <w:r w:rsidRPr="006B4A66">
        <w:rPr>
          <w:rFonts w:ascii="Times New Roman" w:eastAsia="Calibri" w:hAnsi="Times New Roman" w:cs="Times New Roman"/>
          <w:strike/>
          <w:color w:val="000000"/>
          <w:kern w:val="0"/>
          <w:sz w:val="24"/>
          <w14:ligatures w14:val="none"/>
        </w:rPr>
        <w:t>adjust</w:t>
      </w:r>
      <w:r w:rsidRPr="006B4A66">
        <w:rPr>
          <w:rFonts w:ascii="Times New Roman" w:eastAsia="Calibri" w:hAnsi="Times New Roman" w:cs="Times New Roman"/>
          <w:color w:val="000000"/>
          <w:kern w:val="0"/>
          <w:sz w:val="24"/>
          <w14:ligatures w14:val="none"/>
        </w:rPr>
        <w:t xml:space="preserve">)) increase or decrease </w:t>
      </w:r>
      <w:r w:rsidRPr="006B4A66">
        <w:rPr>
          <w:rFonts w:ascii="Times New Roman" w:eastAsia="Calibri" w:hAnsi="Times New Roman" w:cs="Times New Roman"/>
          <w:color w:val="000000"/>
          <w:kern w:val="0"/>
          <w:sz w:val="24"/>
          <w:u w:val="single"/>
          <w14:ligatures w14:val="none"/>
        </w:rPr>
        <w:t>any or all</w:t>
      </w:r>
      <w:r w:rsidRPr="006B4A66">
        <w:rPr>
          <w:rFonts w:ascii="Times New Roman" w:eastAsia="Calibri" w:hAnsi="Times New Roman" w:cs="Times New Roman"/>
          <w:color w:val="000000"/>
          <w:kern w:val="0"/>
          <w:sz w:val="24"/>
          <w14:ligatures w14:val="none"/>
        </w:rPr>
        <w:t xml:space="preserve"> fees to reflect actual costs up to an amount that represents the most recent Seattle-Tacoma-Bellevue Area Consumer Price Index for Urban Wage Earners and Clerical Workers, CPI-W, inflation forecast for the subsequent year prepared by the office of economic and financial analysis and adopted by the forecast council plus one percentage point, up to a </w:t>
      </w:r>
      <w:r w:rsidRPr="006B4A66">
        <w:rPr>
          <w:rFonts w:ascii="Times New Roman" w:eastAsia="Calibri" w:hAnsi="Times New Roman" w:cs="Times New Roman"/>
          <w:color w:val="000000"/>
          <w:kern w:val="0"/>
          <w:sz w:val="24"/>
          <w14:ligatures w14:val="none"/>
        </w:rPr>
        <w:lastRenderedPageBreak/>
        <w:t>maximum of five percent over the current fee((</w:t>
      </w:r>
      <w:r w:rsidRPr="006B4A66">
        <w:rPr>
          <w:rFonts w:ascii="Times New Roman" w:eastAsia="Calibri" w:hAnsi="Times New Roman" w:cs="Times New Roman"/>
          <w:strike/>
          <w:color w:val="000000"/>
          <w:kern w:val="0"/>
          <w:sz w:val="24"/>
          <w14:ligatures w14:val="none"/>
        </w:rPr>
        <w:t>.  Actual costs may include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 plus</w:t>
      </w:r>
      <w:r w:rsidRPr="006B4A66">
        <w:rPr>
          <w:rFonts w:ascii="Times New Roman" w:eastAsia="Calibri" w:hAnsi="Times New Roman" w:cs="Times New Roman"/>
          <w:color w:val="000000"/>
          <w:kern w:val="0"/>
          <w:sz w:val="24"/>
          <w14:ligatures w14:val="none"/>
        </w:rPr>
        <w:t xml:space="preserve"> the cost of ((</w:t>
      </w:r>
      <w:r w:rsidRPr="006B4A66">
        <w:rPr>
          <w:rFonts w:ascii="Times New Roman" w:eastAsia="Calibri" w:hAnsi="Times New Roman" w:cs="Times New Roman"/>
          <w:strike/>
          <w:color w:val="000000"/>
          <w:kern w:val="0"/>
          <w:sz w:val="24"/>
          <w14:ligatures w14:val="none"/>
        </w:rPr>
        <w:t>increasing</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building rate</w:t>
      </w:r>
      <w:r w:rsidRPr="006B4A66">
        <w:rPr>
          <w:rFonts w:ascii="Times New Roman" w:eastAsia="Calibri" w:hAnsi="Times New Roman" w:cs="Times New Roman"/>
          <w:color w:val="000000"/>
          <w:kern w:val="0"/>
          <w:sz w:val="24"/>
          <w14:ligatures w14:val="none"/>
        </w:rPr>
        <w:t xml:space="preserve"> reserves in accordance with any applicable county fund reserve policies.</w:t>
      </w:r>
    </w:p>
    <w:p w14:paraId="21C067F2" w14:textId="02F3B6C1" w:rsidR="006B4A66" w:rsidRPr="006B4A66" w:rsidRDefault="006B4A66" w:rsidP="0073496A">
      <w:pPr>
        <w:tabs>
          <w:tab w:val="left" w:pos="720"/>
        </w:tabs>
        <w:spacing w:after="0" w:line="480" w:lineRule="auto"/>
        <w:rPr>
          <w:rFonts w:ascii="Times New Roman" w:eastAsia="Calibri" w:hAnsi="Times New Roman" w:cs="Times New Roman"/>
          <w:color w:val="000000"/>
          <w:spacing w:val="-2"/>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173.</w:t>
      </w:r>
      <w:r w:rsidRPr="006B4A66">
        <w:rPr>
          <w:rFonts w:ascii="Times New Roman" w:eastAsia="Calibri" w:hAnsi="Times New Roman" w:cs="Times New Roman"/>
          <w:color w:val="000000"/>
          <w:kern w:val="0"/>
          <w:sz w:val="24"/>
          <w14:ligatures w14:val="none"/>
        </w:rPr>
        <w:t xml:space="preserve">  Ordinance 1</w:t>
      </w:r>
      <w:r w:rsidR="00450DA0">
        <w:rPr>
          <w:rFonts w:ascii="Times New Roman" w:eastAsia="Calibri" w:hAnsi="Times New Roman" w:cs="Times New Roman"/>
          <w:color w:val="000000"/>
          <w:kern w:val="0"/>
          <w:sz w:val="24"/>
          <w14:ligatures w14:val="none"/>
        </w:rPr>
        <w:t>5802</w:t>
      </w:r>
      <w:r w:rsidRPr="006B4A66">
        <w:rPr>
          <w:rFonts w:ascii="Times New Roman" w:eastAsia="Calibri" w:hAnsi="Times New Roman" w:cs="Times New Roman"/>
          <w:color w:val="000000"/>
          <w:kern w:val="0"/>
          <w:sz w:val="24"/>
          <w14:ligatures w14:val="none"/>
        </w:rPr>
        <w:t xml:space="preserve">, Section </w:t>
      </w:r>
      <w:r w:rsidR="009C4C67">
        <w:rPr>
          <w:rFonts w:ascii="Times New Roman" w:eastAsia="Calibri" w:hAnsi="Times New Roman" w:cs="Times New Roman"/>
          <w:color w:val="000000"/>
          <w:kern w:val="0"/>
          <w:sz w:val="24"/>
          <w14:ligatures w14:val="none"/>
        </w:rPr>
        <w:t>122</w:t>
      </w:r>
      <w:r w:rsidRPr="006B4A66">
        <w:rPr>
          <w:rFonts w:ascii="Times New Roman" w:eastAsia="Calibri" w:hAnsi="Times New Roman" w:cs="Times New Roman"/>
          <w:color w:val="000000"/>
          <w:kern w:val="0"/>
          <w:sz w:val="24"/>
          <w14:ligatures w14:val="none"/>
        </w:rPr>
        <w:t>, as amended, and K.C.C. 16.32.195 are each hereby amended to read as follows:</w:t>
      </w:r>
    </w:p>
    <w:p w14:paraId="6D6077E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spacing w:val="-2"/>
          <w:kern w:val="0"/>
          <w:sz w:val="24"/>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color w:val="000000"/>
          <w:kern w:val="0"/>
          <w:sz w:val="24"/>
          <w14:ligatures w14:val="none"/>
        </w:rPr>
        <w:t>Section 103.1 of the Uniform Plumbing Code is supplemented with the following:</w:t>
      </w:r>
    </w:p>
    <w:p w14:paraId="28E462E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b/>
          <w:bCs/>
          <w:color w:val="000000"/>
          <w:kern w:val="0"/>
          <w:sz w:val="24"/>
          <w14:ligatures w14:val="none"/>
        </w:rPr>
        <w:t>Authority Having Jurisdiction ((</w:t>
      </w:r>
      <w:r w:rsidRPr="006B4A66">
        <w:rPr>
          <w:rFonts w:ascii="Times New Roman" w:eastAsia="Calibri" w:hAnsi="Times New Roman" w:cs="Times New Roman"/>
          <w:b/>
          <w:bCs/>
          <w:strike/>
          <w:color w:val="000000"/>
          <w:kern w:val="0"/>
          <w:sz w:val="24"/>
          <w14:ligatures w14:val="none"/>
        </w:rPr>
        <w:t>(UPC 103.1.1)</w:t>
      </w:r>
      <w:r w:rsidRPr="006B4A66">
        <w:rPr>
          <w:rFonts w:ascii="Times New Roman" w:eastAsia="Calibri" w:hAnsi="Times New Roman" w:cs="Times New Roman"/>
          <w:b/>
          <w:bCs/>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The authority having jurisdiction is ((</w:t>
      </w:r>
      <w:r w:rsidRPr="006B4A66">
        <w:rPr>
          <w:rFonts w:ascii="Times New Roman" w:eastAsia="Calibri" w:hAnsi="Times New Roman" w:cs="Times New Roman"/>
          <w:strike/>
          <w:color w:val="000000"/>
          <w:kern w:val="0"/>
          <w:sz w:val="24"/>
          <w14:ligatures w14:val="none"/>
        </w:rPr>
        <w:t>the director of</w:t>
      </w:r>
      <w:r w:rsidRPr="006B4A66">
        <w:rPr>
          <w:rFonts w:ascii="Times New Roman" w:eastAsia="Calibri" w:hAnsi="Times New Roman" w:cs="Times New Roman"/>
          <w:color w:val="000000"/>
          <w:kern w:val="0"/>
          <w:sz w:val="24"/>
          <w14:ligatures w14:val="none"/>
        </w:rPr>
        <w:t>)) public health - Seattle &amp; King County or the ((</w:t>
      </w:r>
      <w:r w:rsidRPr="006B4A66">
        <w:rPr>
          <w:rFonts w:ascii="Times New Roman" w:eastAsia="Calibri" w:hAnsi="Times New Roman" w:cs="Times New Roman"/>
          <w:strike/>
          <w:color w:val="000000"/>
          <w:kern w:val="0"/>
          <w:sz w:val="24"/>
          <w14:ligatures w14:val="none"/>
        </w:rPr>
        <w:t>director's</w:t>
      </w:r>
      <w:r w:rsidRPr="006B4A66">
        <w:rPr>
          <w:rFonts w:ascii="Times New Roman" w:eastAsia="Calibri" w:hAnsi="Times New Roman" w:cs="Times New Roman"/>
          <w:color w:val="000000"/>
          <w:kern w:val="0"/>
          <w:sz w:val="24"/>
          <w14:ligatures w14:val="none"/>
        </w:rPr>
        <w:t xml:space="preserve">)) authorized representative </w:t>
      </w:r>
      <w:r w:rsidRPr="006B4A66">
        <w:rPr>
          <w:rFonts w:ascii="Times New Roman" w:eastAsia="Calibri" w:hAnsi="Times New Roman" w:cs="Times New Roman"/>
          <w:color w:val="000000"/>
          <w:kern w:val="0"/>
          <w:sz w:val="24"/>
          <w:u w:val="single"/>
          <w14:ligatures w14:val="none"/>
        </w:rPr>
        <w:t>or representatives</w:t>
      </w:r>
      <w:r w:rsidRPr="006B4A66">
        <w:rPr>
          <w:rFonts w:ascii="Times New Roman" w:eastAsia="Calibri" w:hAnsi="Times New Roman" w:cs="Times New Roman"/>
          <w:color w:val="000000"/>
          <w:kern w:val="0"/>
          <w:sz w:val="24"/>
          <w14:ligatures w14:val="none"/>
        </w:rPr>
        <w:t>, who shall administer and enforce the provisions of this code, render interpretations of this code and make and enforce such rules and regulations, in accordance with K.C.C. chapters 2.98 and 2.100.</w:t>
      </w:r>
    </w:p>
    <w:p w14:paraId="5CB25815" w14:textId="31126A55" w:rsidR="006B4A66" w:rsidRPr="006B4A66" w:rsidRDefault="006B4A66" w:rsidP="0073496A">
      <w:pPr>
        <w:tabs>
          <w:tab w:val="left" w:pos="720"/>
        </w:tabs>
        <w:spacing w:after="0" w:line="480" w:lineRule="auto"/>
        <w:rPr>
          <w:rFonts w:ascii="Times New Roman" w:eastAsia="Calibri" w:hAnsi="Times New Roman" w:cs="Times New Roman"/>
          <w:color w:val="000000"/>
          <w:spacing w:val="-2"/>
          <w:kern w:val="0"/>
          <w:sz w:val="24"/>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color w:val="000000"/>
          <w:spacing w:val="-2"/>
          <w:kern w:val="0"/>
          <w:sz w:val="24"/>
          <w:u w:val="single"/>
          <w14:ligatures w14:val="none"/>
        </w:rPr>
        <w:t>SEC</w:t>
      </w:r>
      <w:r w:rsidRPr="003519DD">
        <w:rPr>
          <w:rFonts w:ascii="Times New Roman" w:hAnsi="Times New Roman"/>
          <w:color w:val="000000"/>
          <w:spacing w:val="-2"/>
          <w:kern w:val="0"/>
          <w:sz w:val="24"/>
          <w:u w:val="single"/>
          <w14:ligatures w14:val="none"/>
        </w:rPr>
        <w:t xml:space="preserve">TION </w:t>
      </w:r>
      <w:r w:rsidRPr="006B4A66">
        <w:rPr>
          <w:rFonts w:ascii="Times New Roman" w:eastAsia="Calibri" w:hAnsi="Times New Roman" w:cs="Times New Roman"/>
          <w:color w:val="000000"/>
          <w:spacing w:val="-2"/>
          <w:kern w:val="0"/>
          <w:sz w:val="24"/>
          <w:u w:val="single"/>
          <w14:ligatures w14:val="none"/>
        </w:rPr>
        <w:t>174</w:t>
      </w:r>
      <w:r w:rsidRPr="003519DD">
        <w:rPr>
          <w:rFonts w:ascii="Times New Roman" w:hAnsi="Times New Roman"/>
          <w:color w:val="000000"/>
          <w:spacing w:val="-2"/>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Ordinance 15802, Section 124, as amended, and K.C.C. 16.32.215 are each hereby amended to read as follows:</w:t>
      </w:r>
    </w:p>
    <w:p w14:paraId="40EA119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spacing w:val="-2"/>
          <w:kern w:val="0"/>
          <w:sz w:val="24"/>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color w:val="000000"/>
          <w:kern w:val="0"/>
          <w:sz w:val="24"/>
          <w14:ligatures w14:val="none"/>
        </w:rPr>
        <w:t>Section 106.4 of the Uniform Plumbing Code is not adopted and the following is substituted:</w:t>
      </w:r>
    </w:p>
    <w:p w14:paraId="6EB2BB2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spacing w:val="-2"/>
          <w:kern w:val="0"/>
          <w:sz w:val="24"/>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b/>
          <w:bCs/>
          <w:color w:val="000000"/>
          <w:kern w:val="0"/>
          <w:sz w:val="24"/>
          <w14:ligatures w14:val="none"/>
        </w:rPr>
        <w:t>Stop Work Order and Correction Order ((</w:t>
      </w:r>
      <w:r w:rsidRPr="006B4A66">
        <w:rPr>
          <w:rFonts w:ascii="Times New Roman" w:eastAsia="Calibri" w:hAnsi="Times New Roman" w:cs="Times New Roman"/>
          <w:b/>
          <w:bCs/>
          <w:strike/>
          <w:color w:val="000000"/>
          <w:kern w:val="0"/>
          <w:sz w:val="24"/>
          <w14:ligatures w14:val="none"/>
        </w:rPr>
        <w:t>(UPC 106.4)</w:t>
      </w:r>
      <w:r w:rsidRPr="006B4A66">
        <w:rPr>
          <w:rFonts w:ascii="Times New Roman" w:eastAsia="Calibri" w:hAnsi="Times New Roman" w:cs="Times New Roman"/>
          <w:b/>
          <w:bCs/>
          <w:color w:val="000000"/>
          <w:kern w:val="0"/>
          <w:sz w:val="24"/>
          <w14:ligatures w14:val="none"/>
        </w:rPr>
        <w:t>)).</w:t>
      </w:r>
    </w:p>
    <w:p w14:paraId="59C1CDE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spacing w:val="-2"/>
          <w:kern w:val="0"/>
          <w:sz w:val="24"/>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color w:val="000000"/>
          <w:kern w:val="0"/>
          <w:sz w:val="24"/>
          <w14:ligatures w14:val="none"/>
        </w:rPr>
        <w:t>A.  Whenever any work is being done contrary to the provisions of this code, the authority having jurisdiction may order the work stopped by notice in writing served on any persons engaged in the doing or causing such work to be done, and any such persons shall immediately stop work until authorized by the authority having jurisdiction to proceed with the work.  Service of a stop work order shall be made by one or more of the following methods:</w:t>
      </w:r>
    </w:p>
    <w:p w14:paraId="7B0627D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spacing w:val="-2"/>
          <w:kern w:val="0"/>
          <w:sz w:val="24"/>
          <w14:ligatures w14:val="none"/>
        </w:rPr>
      </w:pPr>
      <w:r w:rsidRPr="006B4A66">
        <w:rPr>
          <w:rFonts w:ascii="Times New Roman" w:eastAsia="Calibri" w:hAnsi="Times New Roman" w:cs="Times New Roman"/>
          <w:color w:val="000000"/>
          <w:spacing w:val="-2"/>
          <w:kern w:val="0"/>
          <w:sz w:val="24"/>
          <w14:ligatures w14:val="none"/>
        </w:rPr>
        <w:lastRenderedPageBreak/>
        <w:tab/>
        <w:t xml:space="preserve">  </w:t>
      </w:r>
      <w:r w:rsidRPr="006B4A66">
        <w:rPr>
          <w:rFonts w:ascii="Times New Roman" w:eastAsia="Calibri" w:hAnsi="Times New Roman" w:cs="Times New Roman"/>
          <w:color w:val="000000"/>
          <w:spacing w:val="-2"/>
          <w:kern w:val="0"/>
          <w:sz w:val="24"/>
          <w:u w:val="single"/>
          <w14:ligatures w14:val="none"/>
        </w:rPr>
        <w:t>1.</w:t>
      </w:r>
      <w:r w:rsidRPr="006B4A66">
        <w:rPr>
          <w:rFonts w:ascii="Times New Roman" w:eastAsia="Calibri" w:hAnsi="Times New Roman" w:cs="Times New Roman"/>
          <w:color w:val="000000"/>
          <w:spacing w:val="-2"/>
          <w:kern w:val="0"/>
          <w:sz w:val="24"/>
          <w14:ligatures w14:val="none"/>
        </w:rPr>
        <w:t xml:space="preserve">  </w:t>
      </w:r>
      <w:r w:rsidRPr="006B4A66">
        <w:rPr>
          <w:rFonts w:ascii="Times New Roman" w:eastAsia="Calibri" w:hAnsi="Times New Roman" w:cs="Times New Roman"/>
          <w:color w:val="000000"/>
          <w:kern w:val="0"/>
          <w:sz w:val="24"/>
          <w14:ligatures w14:val="none"/>
        </w:rPr>
        <w:t>Personal service:  Personal service of a stop work order may be made on the property owner or on any person doing or causing the work to be done, or by leaving the stop work order at the house of usual abode of the person being served if the stop work order is left with a person of suitable age and discretion who resides there.</w:t>
      </w:r>
    </w:p>
    <w:p w14:paraId="3633FB3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spacing w:val="-2"/>
          <w:kern w:val="0"/>
          <w:sz w:val="24"/>
          <w14:ligatures w14:val="none"/>
        </w:rPr>
      </w:pPr>
      <w:r w:rsidRPr="006B4A66">
        <w:rPr>
          <w:rFonts w:ascii="Times New Roman" w:eastAsia="Calibri" w:hAnsi="Times New Roman" w:cs="Times New Roman"/>
          <w:color w:val="000000"/>
          <w:spacing w:val="-2"/>
          <w:kern w:val="0"/>
          <w:sz w:val="24"/>
          <w14:ligatures w14:val="none"/>
        </w:rPr>
        <w:tab/>
        <w:t xml:space="preserve">  </w:t>
      </w:r>
      <w:r w:rsidRPr="006B4A66">
        <w:rPr>
          <w:rFonts w:ascii="Times New Roman" w:eastAsia="Calibri" w:hAnsi="Times New Roman" w:cs="Times New Roman"/>
          <w:color w:val="000000"/>
          <w:spacing w:val="-2"/>
          <w:kern w:val="0"/>
          <w:sz w:val="24"/>
          <w:u w:val="single"/>
          <w14:ligatures w14:val="none"/>
        </w:rPr>
        <w:t>2.</w:t>
      </w:r>
      <w:r w:rsidRPr="006B4A66">
        <w:rPr>
          <w:rFonts w:ascii="Times New Roman" w:eastAsia="Calibri" w:hAnsi="Times New Roman" w:cs="Times New Roman"/>
          <w:color w:val="000000"/>
          <w:spacing w:val="-2"/>
          <w:kern w:val="0"/>
          <w:sz w:val="24"/>
          <w14:ligatures w14:val="none"/>
        </w:rPr>
        <w:t xml:space="preserve">  </w:t>
      </w:r>
      <w:r w:rsidRPr="006B4A66">
        <w:rPr>
          <w:rFonts w:ascii="Times New Roman" w:eastAsia="Calibri" w:hAnsi="Times New Roman" w:cs="Times New Roman"/>
          <w:color w:val="000000"/>
          <w:kern w:val="0"/>
          <w:sz w:val="24"/>
          <w14:ligatures w14:val="none"/>
        </w:rPr>
        <w:t>Service by posting on the property:  Service directed to the property owner or person engaged in doing or causing such work to be done may be made by posting the stop work order in a conspicuous place on the property where the work is occurring, and concurrently mailing notice as required by this subsection, if a mailing address is available.</w:t>
      </w:r>
    </w:p>
    <w:p w14:paraId="0338396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spacing w:val="-2"/>
          <w:kern w:val="0"/>
          <w:sz w:val="24"/>
          <w14:ligatures w14:val="none"/>
        </w:rPr>
      </w:pPr>
      <w:r w:rsidRPr="006B4A66">
        <w:rPr>
          <w:rFonts w:ascii="Times New Roman" w:eastAsia="Calibri" w:hAnsi="Times New Roman" w:cs="Times New Roman"/>
          <w:color w:val="000000"/>
          <w:spacing w:val="-2"/>
          <w:kern w:val="0"/>
          <w:sz w:val="24"/>
          <w14:ligatures w14:val="none"/>
        </w:rPr>
        <w:tab/>
        <w:t xml:space="preserve">  </w:t>
      </w:r>
      <w:r w:rsidRPr="006B4A66">
        <w:rPr>
          <w:rFonts w:ascii="Times New Roman" w:eastAsia="Calibri" w:hAnsi="Times New Roman" w:cs="Times New Roman"/>
          <w:color w:val="000000"/>
          <w:spacing w:val="-2"/>
          <w:kern w:val="0"/>
          <w:sz w:val="24"/>
          <w:u w:val="single"/>
          <w14:ligatures w14:val="none"/>
        </w:rPr>
        <w:t>3.</w:t>
      </w:r>
      <w:r w:rsidRPr="006B4A66">
        <w:rPr>
          <w:rFonts w:ascii="Times New Roman" w:eastAsia="Calibri" w:hAnsi="Times New Roman" w:cs="Times New Roman"/>
          <w:color w:val="000000"/>
          <w:spacing w:val="-2"/>
          <w:kern w:val="0"/>
          <w:sz w:val="24"/>
          <w14:ligatures w14:val="none"/>
        </w:rPr>
        <w:t xml:space="preserve">  </w:t>
      </w:r>
      <w:r w:rsidRPr="006B4A66">
        <w:rPr>
          <w:rFonts w:ascii="Times New Roman" w:eastAsia="Calibri" w:hAnsi="Times New Roman" w:cs="Times New Roman"/>
          <w:color w:val="000000"/>
          <w:kern w:val="0"/>
          <w:sz w:val="24"/>
          <w14:ligatures w14:val="none"/>
        </w:rPr>
        <w:t>Service by mail:  Service by mail may be made for a stop work order by mailing two copies, postage prepaid, one by ordinary first class mail and the other by certified mail, to the property owner and to any person engaged in doing or causing such work to be done, at their last known addresses, at the address of the location of the work being done, or at the address of the place of business of the person being served.  The taxpayer's address as shown on the tax records of the county shall be deemed to be the proper address for the purpose of mailing such notice to the person being served.  Service by mail shall be presumed effective upon the third business day following the day upon which the stop work order was placed in the mail.</w:t>
      </w:r>
    </w:p>
    <w:p w14:paraId="1EFE090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spacing w:val="-2"/>
          <w:kern w:val="0"/>
          <w:sz w:val="24"/>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color w:val="000000"/>
          <w:kern w:val="0"/>
          <w:sz w:val="24"/>
          <w14:ligatures w14:val="none"/>
        </w:rPr>
        <w:t xml:space="preserve">B.  Whenever any work is being done contrary to the provisions of this code, the authority having jurisdiction may order the violations corrected without ordering all work stopped by issuing a correction notice that identifies the violation.  The correction notice may require an inspection before further construction or at the time of the next required </w:t>
      </w:r>
      <w:r w:rsidRPr="006B4A66">
        <w:rPr>
          <w:rFonts w:ascii="Times New Roman" w:eastAsia="Calibri" w:hAnsi="Times New Roman" w:cs="Times New Roman"/>
          <w:color w:val="000000"/>
          <w:kern w:val="0"/>
          <w:sz w:val="24"/>
          <w14:ligatures w14:val="none"/>
        </w:rPr>
        <w:lastRenderedPageBreak/>
        <w:t>inspection.  The correction notice shall be served or posted in the same manner as a stop work order.</w:t>
      </w:r>
    </w:p>
    <w:p w14:paraId="12ACC2F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spacing w:val="-2"/>
          <w:kern w:val="0"/>
          <w:sz w:val="24"/>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color w:val="000000"/>
          <w:kern w:val="0"/>
          <w:sz w:val="24"/>
          <w14:ligatures w14:val="none"/>
        </w:rPr>
        <w:t>C.  The remedies in this section are in addition to those authorized elsewhere in this code.</w:t>
      </w:r>
    </w:p>
    <w:p w14:paraId="08BF2B8F" w14:textId="716A0AD0" w:rsidR="006B4A66" w:rsidRPr="006B4A66" w:rsidRDefault="006B4A66" w:rsidP="0073496A">
      <w:pPr>
        <w:tabs>
          <w:tab w:val="left" w:pos="720"/>
        </w:tabs>
        <w:spacing w:after="0" w:line="480" w:lineRule="auto"/>
        <w:rPr>
          <w:rFonts w:ascii="Times New Roman" w:eastAsia="Calibri" w:hAnsi="Times New Roman" w:cs="Times New Roman"/>
          <w:color w:val="000000"/>
          <w:spacing w:val="-2"/>
          <w:kern w:val="0"/>
          <w:sz w:val="24"/>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color w:val="000000"/>
          <w:kern w:val="0"/>
          <w:sz w:val="24"/>
          <w:u w:val="single"/>
          <w14:ligatures w14:val="none"/>
        </w:rPr>
        <w:t>SECTION 175.</w:t>
      </w:r>
      <w:r w:rsidRPr="006B4A66">
        <w:rPr>
          <w:rFonts w:ascii="Times New Roman" w:eastAsia="Calibri" w:hAnsi="Times New Roman" w:cs="Times New Roman"/>
          <w:color w:val="000000"/>
          <w:kern w:val="0"/>
          <w:sz w:val="24"/>
          <w14:ligatures w14:val="none"/>
        </w:rPr>
        <w:t xml:space="preserve">  Ordinance 15802, Section 126, as amended, and K.C.C. 16.32.235 are each hereby amended to read as follows:</w:t>
      </w:r>
    </w:p>
    <w:p w14:paraId="28F6D38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spacing w:val="-2"/>
          <w:kern w:val="0"/>
          <w:sz w:val="24"/>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color w:val="000000"/>
          <w:kern w:val="0"/>
          <w:sz w:val="24"/>
          <w14:ligatures w14:val="none"/>
        </w:rPr>
        <w:t>Section 103.2 of the Uniform Plumbing Code is not adopted and the following is substituted:</w:t>
      </w:r>
    </w:p>
    <w:p w14:paraId="201DE64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spacing w:val="-2"/>
          <w:kern w:val="0"/>
          <w:sz w:val="24"/>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b/>
          <w:bCs/>
          <w:color w:val="000000"/>
          <w:kern w:val="0"/>
          <w:sz w:val="24"/>
          <w14:ligatures w14:val="none"/>
        </w:rPr>
        <w:t>Liability ((</w:t>
      </w:r>
      <w:r w:rsidRPr="006B4A66">
        <w:rPr>
          <w:rFonts w:ascii="Times New Roman" w:eastAsia="Calibri" w:hAnsi="Times New Roman" w:cs="Times New Roman"/>
          <w:b/>
          <w:bCs/>
          <w:strike/>
          <w:color w:val="000000"/>
          <w:kern w:val="0"/>
          <w:sz w:val="24"/>
          <w14:ligatures w14:val="none"/>
        </w:rPr>
        <w:t>(UPC 103.2)</w:t>
      </w:r>
      <w:r w:rsidRPr="006B4A66">
        <w:rPr>
          <w:rFonts w:ascii="Times New Roman" w:eastAsia="Calibri" w:hAnsi="Times New Roman" w:cs="Times New Roman"/>
          <w:b/>
          <w:bCs/>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This code is enacted as an exercise ((</w:t>
      </w:r>
      <w:r w:rsidRPr="006B4A66">
        <w:rPr>
          <w:rFonts w:ascii="Times New Roman" w:eastAsia="Calibri" w:hAnsi="Times New Roman" w:cs="Times New Roman"/>
          <w:strike/>
          <w:color w:val="000000"/>
          <w:kern w:val="0"/>
          <w:sz w:val="24"/>
          <w14:ligatures w14:val="none"/>
        </w:rPr>
        <w:t>of the police power</w:t>
      </w:r>
      <w:r w:rsidRPr="006B4A66">
        <w:rPr>
          <w:rFonts w:ascii="Times New Roman" w:eastAsia="Calibri" w:hAnsi="Times New Roman" w:cs="Times New Roman"/>
          <w:color w:val="000000"/>
          <w:kern w:val="0"/>
          <w:sz w:val="24"/>
          <w14:ligatures w14:val="none"/>
        </w:rPr>
        <w:t>)) of King County</w:t>
      </w:r>
      <w:r w:rsidRPr="006B4A66">
        <w:rPr>
          <w:rFonts w:ascii="Times New Roman" w:eastAsia="Calibri" w:hAnsi="Times New Roman" w:cs="Times New Roman"/>
          <w:color w:val="000000"/>
          <w:kern w:val="0"/>
          <w:sz w:val="24"/>
          <w:u w:val="single"/>
          <w14:ligatures w14:val="none"/>
        </w:rPr>
        <w:t>'s police power</w:t>
      </w:r>
      <w:r w:rsidRPr="006B4A66">
        <w:rPr>
          <w:rFonts w:ascii="Times New Roman" w:eastAsia="Calibri" w:hAnsi="Times New Roman" w:cs="Times New Roman"/>
          <w:color w:val="000000"/>
          <w:kern w:val="0"/>
          <w:sz w:val="24"/>
          <w14:ligatures w14:val="none"/>
        </w:rPr>
        <w:t xml:space="preserve"> to protect and preserve the public peace, health, safety</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and welfare, and its provisions shall be liberally construed ((</w:t>
      </w:r>
      <w:r w:rsidRPr="006B4A66">
        <w:rPr>
          <w:rFonts w:ascii="Times New Roman" w:eastAsia="Calibri" w:hAnsi="Times New Roman" w:cs="Times New Roman"/>
          <w:strike/>
          <w:color w:val="000000"/>
          <w:kern w:val="0"/>
          <w:sz w:val="24"/>
          <w14:ligatures w14:val="none"/>
        </w:rPr>
        <w:t>for the accomplishment of</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to accomplish</w:t>
      </w:r>
      <w:r w:rsidRPr="006B4A66">
        <w:rPr>
          <w:rFonts w:ascii="Times New Roman" w:eastAsia="Calibri" w:hAnsi="Times New Roman" w:cs="Times New Roman"/>
          <w:color w:val="000000"/>
          <w:kern w:val="0"/>
          <w:sz w:val="24"/>
          <w14:ligatures w14:val="none"/>
        </w:rPr>
        <w:t xml:space="preserve"> these purposes.  It is expressly the purpose of this code to provide for and promote the health, safety</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and welfare of the general public, and not to create or otherwise establish or designate any particular class or group of persons who would or should be especially protected or benefited by ((</w:t>
      </w:r>
      <w:r w:rsidRPr="006B4A66">
        <w:rPr>
          <w:rFonts w:ascii="Times New Roman" w:eastAsia="Calibri" w:hAnsi="Times New Roman" w:cs="Times New Roman"/>
          <w:strike/>
          <w:color w:val="000000"/>
          <w:kern w:val="0"/>
          <w:sz w:val="24"/>
          <w14:ligatures w14:val="none"/>
        </w:rPr>
        <w:t>the terms of</w:t>
      </w:r>
      <w:r w:rsidRPr="006B4A66">
        <w:rPr>
          <w:rFonts w:ascii="Times New Roman" w:eastAsia="Calibri" w:hAnsi="Times New Roman" w:cs="Times New Roman"/>
          <w:color w:val="000000"/>
          <w:kern w:val="0"/>
          <w:sz w:val="24"/>
          <w14:ligatures w14:val="none"/>
        </w:rPr>
        <w:t>)) this code.</w:t>
      </w:r>
    </w:p>
    <w:p w14:paraId="3618959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spacing w:val="-2"/>
          <w:kern w:val="0"/>
          <w:sz w:val="24"/>
          <w14:ligatures w14:val="none"/>
        </w:rPr>
      </w:pPr>
      <w:r w:rsidRPr="006B4A66">
        <w:rPr>
          <w:rFonts w:ascii="Times New Roman" w:eastAsia="Calibri" w:hAnsi="Times New Roman" w:cs="Times New Roman"/>
          <w:color w:val="000000"/>
          <w:spacing w:val="-2"/>
          <w:kern w:val="0"/>
          <w:sz w:val="24"/>
          <w14:ligatures w14:val="none"/>
        </w:rPr>
        <w:tab/>
        <w:t>((</w:t>
      </w:r>
      <w:r w:rsidRPr="006B4A66">
        <w:rPr>
          <w:rFonts w:ascii="Times New Roman" w:eastAsia="Calibri" w:hAnsi="Times New Roman" w:cs="Times New Roman"/>
          <w:strike/>
          <w:color w:val="000000"/>
          <w:kern w:val="0"/>
          <w:sz w:val="24"/>
          <w14:ligatures w14:val="none"/>
        </w:rPr>
        <w:t>It is t</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T</w:t>
      </w:r>
      <w:r w:rsidRPr="006B4A66">
        <w:rPr>
          <w:rFonts w:ascii="Times New Roman" w:eastAsia="Calibri" w:hAnsi="Times New Roman" w:cs="Times New Roman"/>
          <w:color w:val="000000"/>
          <w:kern w:val="0"/>
          <w:sz w:val="24"/>
          <w14:ligatures w14:val="none"/>
        </w:rPr>
        <w:t xml:space="preserve">he </w:t>
      </w:r>
      <w:r w:rsidRPr="006B4A66">
        <w:rPr>
          <w:rFonts w:ascii="Times New Roman" w:eastAsia="Calibri" w:hAnsi="Times New Roman" w:cs="Times New Roman"/>
          <w:color w:val="000000"/>
          <w:kern w:val="0"/>
          <w:sz w:val="24"/>
          <w:u w:val="single"/>
          <w14:ligatures w14:val="none"/>
        </w:rPr>
        <w:t>code's</w:t>
      </w:r>
      <w:r w:rsidRPr="006B4A66">
        <w:rPr>
          <w:rFonts w:ascii="Times New Roman" w:eastAsia="Calibri" w:hAnsi="Times New Roman" w:cs="Times New Roman"/>
          <w:color w:val="000000"/>
          <w:kern w:val="0"/>
          <w:sz w:val="24"/>
          <w14:ligatures w14:val="none"/>
        </w:rPr>
        <w:t xml:space="preserve"> specific intent ((</w:t>
      </w:r>
      <w:r w:rsidRPr="006B4A66">
        <w:rPr>
          <w:rFonts w:ascii="Times New Roman" w:eastAsia="Calibri" w:hAnsi="Times New Roman" w:cs="Times New Roman"/>
          <w:strike/>
          <w:color w:val="000000"/>
          <w:kern w:val="0"/>
          <w:sz w:val="24"/>
          <w14:ligatures w14:val="none"/>
        </w:rPr>
        <w:t>of this code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is</w:t>
      </w:r>
      <w:r w:rsidRPr="006B4A66">
        <w:rPr>
          <w:rFonts w:ascii="Times New Roman" w:eastAsia="Calibri" w:hAnsi="Times New Roman" w:cs="Times New Roman"/>
          <w:color w:val="000000"/>
          <w:kern w:val="0"/>
          <w:sz w:val="24"/>
          <w14:ligatures w14:val="none"/>
        </w:rPr>
        <w:t xml:space="preserve"> to place the obligation of complying with its requirements upon the owner or occupier of premises within this code's scope, and no provision ((</w:t>
      </w:r>
      <w:r w:rsidRPr="006B4A66">
        <w:rPr>
          <w:rFonts w:ascii="Times New Roman" w:eastAsia="Calibri" w:hAnsi="Times New Roman" w:cs="Times New Roman"/>
          <w:strike/>
          <w:color w:val="000000"/>
          <w:kern w:val="0"/>
          <w:sz w:val="24"/>
          <w14:ligatures w14:val="none"/>
        </w:rPr>
        <w:t>n</w:t>
      </w:r>
      <w:r w:rsidRPr="006B4A66">
        <w:rPr>
          <w:rFonts w:ascii="Times New Roman" w:eastAsia="Calibri" w:hAnsi="Times New Roman" w:cs="Times New Roman"/>
          <w:color w:val="000000"/>
          <w:kern w:val="0"/>
          <w:sz w:val="24"/>
          <w14:ligatures w14:val="none"/>
        </w:rPr>
        <w:t>))or term used in this code is intended to impose any duty upon the authority having jurisdiction or any of the authority having jurisdiction's officers or employees, for whom ((</w:t>
      </w:r>
      <w:r w:rsidRPr="006B4A66">
        <w:rPr>
          <w:rFonts w:ascii="Times New Roman" w:eastAsia="Calibri" w:hAnsi="Times New Roman" w:cs="Times New Roman"/>
          <w:strike/>
          <w:color w:val="000000"/>
          <w:kern w:val="0"/>
          <w:sz w:val="24"/>
          <w14:ligatures w14:val="none"/>
        </w:rPr>
        <w:t>the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code</w:t>
      </w:r>
      <w:r w:rsidRPr="006B4A66">
        <w:rPr>
          <w:rFonts w:ascii="Times New Roman" w:eastAsia="Calibri" w:hAnsi="Times New Roman" w:cs="Times New Roman"/>
          <w:color w:val="000000"/>
          <w:kern w:val="0"/>
          <w:sz w:val="24"/>
          <w14:ligatures w14:val="none"/>
        </w:rPr>
        <w:t xml:space="preserve"> implementation or enforcement ((</w:t>
      </w:r>
      <w:r w:rsidRPr="006B4A66">
        <w:rPr>
          <w:rFonts w:ascii="Times New Roman" w:eastAsia="Calibri" w:hAnsi="Times New Roman" w:cs="Times New Roman"/>
          <w:strike/>
          <w:color w:val="000000"/>
          <w:kern w:val="0"/>
          <w:sz w:val="24"/>
          <w14:ligatures w14:val="none"/>
        </w:rPr>
        <w:t>of this code</w:t>
      </w:r>
      <w:r w:rsidRPr="006B4A66">
        <w:rPr>
          <w:rFonts w:ascii="Times New Roman" w:eastAsia="Calibri" w:hAnsi="Times New Roman" w:cs="Times New Roman"/>
          <w:color w:val="000000"/>
          <w:kern w:val="0"/>
          <w:sz w:val="24"/>
          <w14:ligatures w14:val="none"/>
        </w:rPr>
        <w:t>)) shall be discretionary and not mandatory.</w:t>
      </w:r>
    </w:p>
    <w:p w14:paraId="682F096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spacing w:val="-2"/>
          <w:kern w:val="0"/>
          <w:sz w:val="24"/>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color w:val="000000"/>
          <w:kern w:val="0"/>
          <w:sz w:val="24"/>
          <w14:ligatures w14:val="none"/>
        </w:rPr>
        <w:t>Nothing in this code creates or forms the basis for any liability on the part of the authority having jurisdiction, or the authority having jurisdiction's officers, employees</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w:t>
      </w:r>
      <w:r w:rsidRPr="006B4A66">
        <w:rPr>
          <w:rFonts w:ascii="Times New Roman" w:eastAsia="Calibri" w:hAnsi="Times New Roman" w:cs="Times New Roman"/>
          <w:color w:val="000000"/>
          <w:kern w:val="0"/>
          <w:sz w:val="24"/>
          <w14:ligatures w14:val="none"/>
        </w:rPr>
        <w:lastRenderedPageBreak/>
        <w:t>agents, for any injury or damage resulting from the failure of the owner or occupier of premises to comply with ((</w:t>
      </w:r>
      <w:r w:rsidRPr="006B4A66">
        <w:rPr>
          <w:rFonts w:ascii="Times New Roman" w:eastAsia="Calibri" w:hAnsi="Times New Roman" w:cs="Times New Roman"/>
          <w:strike/>
          <w:color w:val="000000"/>
          <w:kern w:val="0"/>
          <w:sz w:val="24"/>
          <w14:ligatures w14:val="none"/>
        </w:rPr>
        <w:t>the provisions of)</w:t>
      </w:r>
      <w:r w:rsidRPr="006B4A66">
        <w:rPr>
          <w:rFonts w:ascii="Times New Roman" w:eastAsia="Calibri" w:hAnsi="Times New Roman" w:cs="Times New Roman"/>
          <w:color w:val="000000"/>
          <w:kern w:val="0"/>
          <w:sz w:val="24"/>
          <w14:ligatures w14:val="none"/>
        </w:rPr>
        <w:t>) this code, or by reason or in consequence of any act or omission in connection with ((</w:t>
      </w:r>
      <w:r w:rsidRPr="006B4A66">
        <w:rPr>
          <w:rFonts w:ascii="Times New Roman" w:eastAsia="Calibri" w:hAnsi="Times New Roman" w:cs="Times New Roman"/>
          <w:strike/>
          <w:color w:val="000000"/>
          <w:kern w:val="0"/>
          <w:sz w:val="24"/>
          <w14:ligatures w14:val="none"/>
        </w:rPr>
        <w:t>the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code</w:t>
      </w:r>
      <w:r w:rsidRPr="006B4A66">
        <w:rPr>
          <w:rFonts w:ascii="Times New Roman" w:eastAsia="Calibri" w:hAnsi="Times New Roman" w:cs="Times New Roman"/>
          <w:color w:val="000000"/>
          <w:kern w:val="0"/>
          <w:sz w:val="24"/>
          <w14:ligatures w14:val="none"/>
        </w:rPr>
        <w:t xml:space="preserve"> implementation or enforcement ((</w:t>
      </w:r>
      <w:r w:rsidRPr="006B4A66">
        <w:rPr>
          <w:rFonts w:ascii="Times New Roman" w:eastAsia="Calibri" w:hAnsi="Times New Roman" w:cs="Times New Roman"/>
          <w:strike/>
          <w:color w:val="000000"/>
          <w:kern w:val="0"/>
          <w:sz w:val="24"/>
          <w14:ligatures w14:val="none"/>
        </w:rPr>
        <w:t>of this code</w:t>
      </w:r>
      <w:r w:rsidRPr="006B4A66">
        <w:rPr>
          <w:rFonts w:ascii="Times New Roman" w:eastAsia="Calibri" w:hAnsi="Times New Roman" w:cs="Times New Roman"/>
          <w:color w:val="000000"/>
          <w:kern w:val="0"/>
          <w:sz w:val="24"/>
          <w14:ligatures w14:val="none"/>
        </w:rPr>
        <w:t>)) on the part of the authority having jurisdiction or by the authority having jurisdiction's officers, employees</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agents.</w:t>
      </w:r>
    </w:p>
    <w:p w14:paraId="6F89C9C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spacing w:val="-2"/>
          <w:kern w:val="0"/>
          <w:sz w:val="24"/>
          <w14:ligatures w14:val="none"/>
        </w:rPr>
      </w:pPr>
      <w:r w:rsidRPr="006B4A66">
        <w:rPr>
          <w:rFonts w:ascii="Times New Roman" w:eastAsia="Calibri" w:hAnsi="Times New Roman" w:cs="Times New Roman"/>
          <w:color w:val="000000"/>
          <w:spacing w:val="-2"/>
          <w:kern w:val="0"/>
          <w:sz w:val="24"/>
          <w14:ligatures w14:val="none"/>
        </w:rPr>
        <w:tab/>
      </w:r>
      <w:r w:rsidRPr="006B4A66">
        <w:rPr>
          <w:rFonts w:ascii="Times New Roman" w:eastAsia="Calibri" w:hAnsi="Times New Roman" w:cs="Times New Roman"/>
          <w:color w:val="000000"/>
          <w:kern w:val="0"/>
          <w:sz w:val="24"/>
          <w14:ligatures w14:val="none"/>
        </w:rPr>
        <w:t>Any claim or litigation arising from any conduct, acts</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omissions of the authority having jurisdiction, or any of the authority having jurisdiction's officers, employees</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agents, shall be subject to the provisions of K.C.C. chapter 2.21.</w:t>
      </w:r>
    </w:p>
    <w:p w14:paraId="140ECB0F" w14:textId="510B4EAD"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176.</w:t>
      </w:r>
      <w:r w:rsidRPr="006B4A66">
        <w:rPr>
          <w:rFonts w:ascii="Times New Roman" w:eastAsia="Calibri" w:hAnsi="Times New Roman" w:cs="Times New Roman"/>
          <w:color w:val="000000"/>
          <w:kern w:val="0"/>
          <w:sz w:val="24"/>
          <w14:ligatures w14:val="none"/>
        </w:rPr>
        <w:t xml:space="preserve">  There is hereby added to K.C.C. chapter 16.32 a new section to read as follows:</w:t>
      </w:r>
    </w:p>
    <w:p w14:paraId="1690CA5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The authority having jurisdiction shall issue a permit to the applicant if the authority having jurisdiction verifies all of the following:</w:t>
      </w:r>
    </w:p>
    <w:p w14:paraId="4BAFB89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A.  The work described in the construction documents conforms to this code's requirements and applicable laws and ordinances;</w:t>
      </w:r>
    </w:p>
    <w:p w14:paraId="2F4A115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B.  Construction documents for projects requiring plan review have been reviewed and approved;</w:t>
      </w:r>
    </w:p>
    <w:p w14:paraId="4786FF5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C.  The fees specified in K.C.C. 16.32.080 have been paid;</w:t>
      </w:r>
    </w:p>
    <w:p w14:paraId="20FE2E7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D.  The applicant has complied with all requirements to be performed prior to permit issuance under applicable laws, ordinances, and regulations otherwise imposed by the authority having jurisdiction; and</w:t>
      </w:r>
    </w:p>
    <w:p w14:paraId="5249ECE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E.  The applicant, or the applicant's authorized agent, becomes the permit holder when the permit is issued.</w:t>
      </w:r>
    </w:p>
    <w:p w14:paraId="7912AABD" w14:textId="69FCD0BB"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color w:val="000000"/>
          <w:kern w:val="0"/>
          <w:sz w:val="24"/>
          <w:u w:val="single"/>
          <w14:ligatures w14:val="none"/>
        </w:rPr>
        <w:t>NEW SECTION.  SECTION 177.</w:t>
      </w:r>
      <w:r w:rsidRPr="006B4A66">
        <w:rPr>
          <w:rFonts w:ascii="Times New Roman" w:eastAsia="Calibri" w:hAnsi="Times New Roman" w:cs="Times New Roman"/>
          <w:color w:val="000000"/>
          <w:kern w:val="0"/>
          <w:sz w:val="24"/>
          <w14:ligatures w14:val="none"/>
        </w:rPr>
        <w:t xml:space="preserve">  There is hereby added to K.C.C. chapter 16.32 a new section to read as follows:</w:t>
      </w:r>
    </w:p>
    <w:p w14:paraId="5C2D1DC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104.1 of the Uniform Plumbing Code is supplemented with the following:</w:t>
      </w:r>
    </w:p>
    <w:p w14:paraId="49DC44B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Complete plumbing permit applications.</w:t>
      </w:r>
      <w:r w:rsidRPr="006B4A66">
        <w:rPr>
          <w:rFonts w:ascii="Times New Roman" w:eastAsia="Calibri" w:hAnsi="Times New Roman" w:cs="Times New Roman"/>
          <w:color w:val="000000"/>
          <w:kern w:val="0"/>
          <w:sz w:val="24"/>
          <w14:ligatures w14:val="none"/>
        </w:rPr>
        <w:t xml:space="preserve">  A plumbing permit application is complete if the authority having jurisdiction determines it meets the requirements of sections 104.1 and the following:</w:t>
      </w:r>
    </w:p>
    <w:p w14:paraId="2245102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Application for Permit.</w:t>
      </w:r>
      <w:r w:rsidRPr="006B4A66">
        <w:rPr>
          <w:rFonts w:ascii="Times New Roman" w:eastAsia="Calibri" w:hAnsi="Times New Roman" w:cs="Times New Roman"/>
          <w:color w:val="000000"/>
          <w:kern w:val="0"/>
          <w:sz w:val="24"/>
          <w14:ligatures w14:val="none"/>
        </w:rPr>
        <w:t xml:space="preserve">  To obtain a permit, the applicant shall first file an application in a format determined by the authority having jurisdiction.  Every such application shall:</w:t>
      </w:r>
    </w:p>
    <w:p w14:paraId="4E8867D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Identify and describe the work to be covered by the permit.</w:t>
      </w:r>
    </w:p>
    <w:p w14:paraId="6203FF7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Describe the proposed work site by parcel number, property address, or similar description that will readily identify and clearly locate the proposed building or project.</w:t>
      </w:r>
    </w:p>
    <w:p w14:paraId="4E6B5A3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3.  Provide unit, space suite, floor level, or other information that will clearly identify the location of the project.</w:t>
      </w:r>
    </w:p>
    <w:p w14:paraId="07707A0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4.  Provide the property owner's name, address, and phone number.</w:t>
      </w:r>
    </w:p>
    <w:p w14:paraId="0105F8B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5.  Provide the contractor's business name, address, email, and phone number.</w:t>
      </w:r>
    </w:p>
    <w:p w14:paraId="5D22873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6.  Be accompanied by plans, diagrams, computations and specifications, equipment schedules, and other data as required by the authority having jurisdiction.</w:t>
      </w:r>
    </w:p>
    <w:p w14:paraId="10A994C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7.  Be signed by the owner of the property or building, or the owner's authorized agent, who may be required to submit evidence to indicate such authority.</w:t>
      </w:r>
    </w:p>
    <w:p w14:paraId="54BCA4A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8.  Provide other data and information as may be required by the authority having jurisdiction.</w:t>
      </w:r>
    </w:p>
    <w:p w14:paraId="6404794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b/>
          <w:bCs/>
          <w:color w:val="000000"/>
          <w:kern w:val="0"/>
          <w:sz w:val="24"/>
          <w14:ligatures w14:val="none"/>
        </w:rPr>
        <w:t>Plumbing Design Documents.</w:t>
      </w:r>
      <w:r w:rsidRPr="006B4A66">
        <w:rPr>
          <w:rFonts w:ascii="Times New Roman" w:eastAsia="Calibri" w:hAnsi="Times New Roman" w:cs="Times New Roman"/>
          <w:color w:val="000000"/>
          <w:kern w:val="0"/>
          <w:sz w:val="24"/>
          <w14:ligatures w14:val="none"/>
        </w:rPr>
        <w:t xml:space="preserve">  Plumbing design documents shall be submitted with each application for a permit, in electronic format to the authority having jurisdiction.  Diagrams, schedules, and other data sufficient to show the adequacy of the plans shall be submitted when required by the authority having jurisdiction.</w:t>
      </w:r>
    </w:p>
    <w:p w14:paraId="1AAD428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w:t>
      </w:r>
      <w:r w:rsidRPr="006B4A66">
        <w:rPr>
          <w:rFonts w:ascii="Times New Roman" w:eastAsia="Calibri" w:hAnsi="Times New Roman" w:cs="Times New Roman"/>
          <w:color w:val="000000"/>
          <w:kern w:val="0"/>
          <w:sz w:val="24"/>
          <w14:ligatures w14:val="none"/>
        </w:rPr>
        <w:t xml:space="preserve">  The authority having jurisdiction may waive the submission of plumbing design documents where the authority having jurisdiction finds that the nature of the work applied for is such that reviewing plumbing documents is not necessary to obtain compliance with this code.</w:t>
      </w:r>
    </w:p>
    <w:p w14:paraId="03DE158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Preparation by Registered Design Professionals.</w:t>
      </w:r>
      <w:r w:rsidRPr="006B4A66">
        <w:rPr>
          <w:rFonts w:ascii="Times New Roman" w:eastAsia="Calibri" w:hAnsi="Times New Roman" w:cs="Times New Roman"/>
          <w:color w:val="000000"/>
          <w:kern w:val="0"/>
          <w:sz w:val="24"/>
          <w14:ligatures w14:val="none"/>
        </w:rPr>
        <w:t xml:space="preserve">  Plumbing design documents for all plumbing work shall be prepared and designed by or under the direct supervision of a mechanical engineer licensed to practice under the laws of the State of Washington.  Each sheet of plumbing documents shall bear the seal and the signature of the registered design professional before the permit is issued.</w:t>
      </w:r>
    </w:p>
    <w:p w14:paraId="79ED9A43" w14:textId="77777777" w:rsidR="006B4A66" w:rsidRPr="006B4A66" w:rsidRDefault="006B4A66" w:rsidP="0073496A">
      <w:pPr>
        <w:tabs>
          <w:tab w:val="left" w:pos="720"/>
        </w:tabs>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EXCEPTIONS:</w:t>
      </w:r>
    </w:p>
    <w:p w14:paraId="2B43E69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Detached one- and two-family dwellings, and townhouses.</w:t>
      </w:r>
    </w:p>
    <w:p w14:paraId="66F1F83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Design documents that do not include systems specifically required to be designed by a registered design professional shall be permitted to be submitted without a PE stamp by any individual holding an active Certified in Plumbing Design (CPD) designation issued by the American Society of Plumbing Engineers (ASPE) or by a Washington State Certified Journeyman Plumber (PL01).</w:t>
      </w:r>
    </w:p>
    <w:p w14:paraId="6BCC02C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3.  Design documents provided for reference only.</w:t>
      </w:r>
    </w:p>
    <w:p w14:paraId="0C93CAB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4.  Other work as specified by the authority having jurisdiction.</w:t>
      </w:r>
    </w:p>
    <w:p w14:paraId="1CD38A8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b/>
          <w:bCs/>
          <w:color w:val="000000"/>
          <w:kern w:val="0"/>
          <w:sz w:val="24"/>
          <w14:ligatures w14:val="none"/>
        </w:rPr>
        <w:t>Registered Design Professional in Responsible Charge.</w:t>
      </w:r>
      <w:r w:rsidRPr="006B4A66">
        <w:rPr>
          <w:rFonts w:ascii="Times New Roman" w:eastAsia="Calibri" w:hAnsi="Times New Roman" w:cs="Times New Roman"/>
          <w:color w:val="000000"/>
          <w:kern w:val="0"/>
          <w:sz w:val="24"/>
          <w14:ligatures w14:val="none"/>
        </w:rPr>
        <w:t xml:space="preserve">  The authority having jurisdiction is authorized to require the owner to engage and designate on the plumbing permit application a Registered Design Professional who shall act as the Registered Design Professional in Responsible Charge.  If the circumstances require, the owner shall designate a substitute Registered Design Professional in Responsible Charge who shall perform the duties required of the original Registered Design Professional in Responsible Charge.  The authority having jurisdiction shall be notified in writing by the owner if the Registered Design Professional in Responsible Charge is changed or is unable to continue to perform their duties.  The Registered Design Professional in Responsible Charge is responsible for reviewing and coordinating submittal documents prepared by others, including phased and deferred submittal items, for compatibility with the design and scope of the project.</w:t>
      </w:r>
    </w:p>
    <w:p w14:paraId="7A76D0B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Information Required on Plumbing Design Documents.</w:t>
      </w:r>
      <w:r w:rsidRPr="006B4A66">
        <w:rPr>
          <w:rFonts w:ascii="Times New Roman" w:eastAsia="Calibri" w:hAnsi="Times New Roman" w:cs="Times New Roman"/>
          <w:color w:val="000000"/>
          <w:kern w:val="0"/>
          <w:sz w:val="24"/>
          <w14:ligatures w14:val="none"/>
        </w:rPr>
        <w:t xml:space="preserve">  The documents shall include the following, as applicable:</w:t>
      </w:r>
    </w:p>
    <w:p w14:paraId="3B31A44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Cover Sheet.</w:t>
      </w:r>
      <w:r w:rsidRPr="006B4A66">
        <w:rPr>
          <w:rFonts w:ascii="Times New Roman" w:eastAsia="Calibri" w:hAnsi="Times New Roman" w:cs="Times New Roman"/>
          <w:color w:val="000000"/>
          <w:kern w:val="0"/>
          <w:sz w:val="24"/>
          <w14:ligatures w14:val="none"/>
        </w:rPr>
        <w:t xml:space="preserve">  The cover sheet shall include the project address, parcel number, scope of work narrative, legends, abbreviations, general notes, applicable code cycles, and other information as required by the authority having jurisdiction.</w:t>
      </w:r>
    </w:p>
    <w:p w14:paraId="7A77AFE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Calculations and Notes.</w:t>
      </w:r>
      <w:r w:rsidRPr="006B4A66">
        <w:rPr>
          <w:rFonts w:ascii="Times New Roman" w:eastAsia="Calibri" w:hAnsi="Times New Roman" w:cs="Times New Roman"/>
          <w:color w:val="000000"/>
          <w:kern w:val="0"/>
          <w:sz w:val="24"/>
          <w14:ligatures w14:val="none"/>
        </w:rPr>
        <w:t xml:space="preserve">  Calculations and load summaries shall be provided to determine system loading for each plumbing system included in the project scope of work.  A separate calculation for each separate utility point of connection is required. Domestic water pressure loss calculations shall be provided for each independent domestic water system or pressure zone.  Notes shall include proposed material types and </w:t>
      </w:r>
      <w:r w:rsidRPr="006B4A66">
        <w:rPr>
          <w:rFonts w:ascii="Times New Roman" w:eastAsia="Calibri" w:hAnsi="Times New Roman" w:cs="Times New Roman"/>
          <w:color w:val="000000"/>
          <w:kern w:val="0"/>
          <w:sz w:val="24"/>
          <w14:ligatures w14:val="none"/>
        </w:rPr>
        <w:lastRenderedPageBreak/>
        <w:t>joining methods, insulation requirements, disinfection procedures, and similar information as required by the authority having jurisdiction.</w:t>
      </w:r>
    </w:p>
    <w:p w14:paraId="5CA4EE2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Schedules.</w:t>
      </w:r>
      <w:r w:rsidRPr="006B4A66">
        <w:rPr>
          <w:rFonts w:ascii="Times New Roman" w:eastAsia="Calibri" w:hAnsi="Times New Roman" w:cs="Times New Roman"/>
          <w:color w:val="000000"/>
          <w:kern w:val="0"/>
          <w:sz w:val="24"/>
          <w14:ligatures w14:val="none"/>
        </w:rPr>
        <w:t xml:space="preserve">  Schedules shall be provided for all fixtures and equipment associated with the plumbing system design.  Schedules shall include all information required to verify compliance with this code and the Washington State Energy Code as amended by King County.  Such information may include operating weight, equipment make/model, applicable standards, connection sizes, flow rates, input/output ratings, and similar information as required by the authority having jurisdiction.</w:t>
      </w:r>
    </w:p>
    <w:p w14:paraId="3E519DC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Energy Code Compliance.</w:t>
      </w:r>
      <w:r w:rsidRPr="006B4A66">
        <w:rPr>
          <w:rFonts w:ascii="Times New Roman" w:eastAsia="Calibri" w:hAnsi="Times New Roman" w:cs="Times New Roman"/>
          <w:color w:val="000000"/>
          <w:kern w:val="0"/>
          <w:sz w:val="24"/>
          <w14:ligatures w14:val="none"/>
        </w:rPr>
        <w:t xml:space="preserve">  Equipment required to comply with the Washington State Energy Code as amended by King County shall include make and model and any other design or listing information required to determine compliance.</w:t>
      </w:r>
    </w:p>
    <w:p w14:paraId="5C1F5B1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Plan Sheets.</w:t>
      </w:r>
      <w:r w:rsidRPr="006B4A66">
        <w:rPr>
          <w:rFonts w:ascii="Times New Roman" w:eastAsia="Calibri" w:hAnsi="Times New Roman" w:cs="Times New Roman"/>
          <w:color w:val="000000"/>
          <w:kern w:val="0"/>
          <w:sz w:val="24"/>
          <w14:ligatures w14:val="none"/>
        </w:rPr>
        <w:t xml:space="preserve">  Plan sheets shall include building information, plumbing system design information, scale, key plan, north arrow, and similar information as required by the authority having jurisdiction.</w:t>
      </w:r>
    </w:p>
    <w:p w14:paraId="39F6AC9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Building Information.</w:t>
      </w:r>
      <w:r w:rsidRPr="006B4A66">
        <w:rPr>
          <w:rFonts w:ascii="Times New Roman" w:eastAsia="Calibri" w:hAnsi="Times New Roman" w:cs="Times New Roman"/>
          <w:color w:val="000000"/>
          <w:kern w:val="0"/>
          <w:sz w:val="24"/>
          <w14:ligatures w14:val="none"/>
        </w:rPr>
        <w:t xml:space="preserve">  Building information shown on plan sheets shall be screened (semi-opaque) and include information such as room names, walls, corridors, fixtures, footings, floor elevations, and other building elements relevant to the installation of the plumbing system(s).</w:t>
      </w:r>
    </w:p>
    <w:p w14:paraId="4747126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Plumbing System Design Information.</w:t>
      </w:r>
      <w:r w:rsidRPr="006B4A66">
        <w:rPr>
          <w:rFonts w:ascii="Times New Roman" w:eastAsia="Calibri" w:hAnsi="Times New Roman" w:cs="Times New Roman"/>
          <w:color w:val="000000"/>
          <w:kern w:val="0"/>
          <w:sz w:val="24"/>
          <w14:ligatures w14:val="none"/>
        </w:rPr>
        <w:t xml:space="preserve">  Plumbing system design information shown on plan sheets shall be easily identifiable and include all horizontal piping, all vertical risers, sizing, loading, notes, fixture and equipment tags, and similar information as required by the authority having jurisdiction.</w:t>
      </w:r>
    </w:p>
    <w:p w14:paraId="0C99466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lastRenderedPageBreak/>
        <w:tab/>
        <w:t>Riser Diagrams.</w:t>
      </w:r>
      <w:r w:rsidRPr="006B4A66">
        <w:rPr>
          <w:rFonts w:ascii="Times New Roman" w:eastAsia="Calibri" w:hAnsi="Times New Roman" w:cs="Times New Roman"/>
          <w:color w:val="000000"/>
          <w:kern w:val="0"/>
          <w:sz w:val="24"/>
          <w14:ligatures w14:val="none"/>
        </w:rPr>
        <w:t xml:space="preserve">  Riser diagrams shall be provided for each distinct plumbing system type including sanitary waste and vent, domestic water, stormwater and roof drainage, natural gas, non-potable water, graywater, and any other system type referenced within the plumbing design documents.  Riser diagrams shall include all piping from the utility or tenant point of connection to the furthest fixture or roof termination.  Piping shown on riser diagrams shall be clearly sized and labeled and include loading at each pipe segment.</w:t>
      </w:r>
    </w:p>
    <w:p w14:paraId="6F2E4FC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Construction Details.</w:t>
      </w:r>
      <w:r w:rsidRPr="006B4A66">
        <w:rPr>
          <w:rFonts w:ascii="Times New Roman" w:eastAsia="Calibri" w:hAnsi="Times New Roman" w:cs="Times New Roman"/>
          <w:color w:val="000000"/>
          <w:kern w:val="0"/>
          <w:sz w:val="24"/>
          <w14:ligatures w14:val="none"/>
        </w:rPr>
        <w:t xml:space="preserve">  Construction details shall be provided for the installation of certain fixtures or equipment where determining code compliance may not be readily achievable through review of Plans, Schedules, Notes, or Riser Diagrams.  Construction details may be required for the installation of water heaters, interceptors, pumps, backflow devices, and similar items.  The authority having jurisdiction may request additional construction details as deemed necessary.</w:t>
      </w:r>
    </w:p>
    <w:p w14:paraId="5EB7833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Deferred Submittals.</w:t>
      </w:r>
      <w:r w:rsidRPr="006B4A66">
        <w:rPr>
          <w:rFonts w:ascii="Times New Roman" w:eastAsia="Calibri" w:hAnsi="Times New Roman" w:cs="Times New Roman"/>
          <w:color w:val="000000"/>
          <w:kern w:val="0"/>
          <w:sz w:val="24"/>
          <w14:ligatures w14:val="none"/>
        </w:rPr>
        <w:t xml:space="preserve">  Deferral of any submittal items shall have the prior approval of the authority having jurisdiction.  The Registered Design Professional in Responsible Charge shall list deferred submittals on the plans for review by the authority having jurisdiction.  Documents for deferred submittal items shall be submitted to the Registered Design Professional in Responsible Charge who shall review them and forward them to the authority having jurisdiction with a notation indicating that the deferred submittal documents have been reviewed and been found to be in general conformance to the plumbing design.  The deferred submittal items shall not be installed until the deferred submittal documents have been approved by the authority having jurisdiction.</w:t>
      </w:r>
    </w:p>
    <w:p w14:paraId="4132EEC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b/>
          <w:bCs/>
          <w:color w:val="000000"/>
          <w:kern w:val="0"/>
          <w:sz w:val="24"/>
          <w14:ligatures w14:val="none"/>
        </w:rPr>
        <w:t>Application Review.</w:t>
      </w:r>
      <w:r w:rsidRPr="006B4A66">
        <w:rPr>
          <w:rFonts w:ascii="Times New Roman" w:eastAsia="Calibri" w:hAnsi="Times New Roman" w:cs="Times New Roman"/>
          <w:color w:val="000000"/>
          <w:kern w:val="0"/>
          <w:sz w:val="24"/>
          <w14:ligatures w14:val="none"/>
        </w:rPr>
        <w:t xml:space="preserve">  The plumbing design documents shall be reviewed by the authority having jurisdiction.  Such plumbing design documents may be reviewed by other county departments for compliance with the laws and ordinances under their jurisdiction.</w:t>
      </w:r>
    </w:p>
    <w:p w14:paraId="59FE97B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Determination of Completeness.</w:t>
      </w:r>
      <w:r w:rsidRPr="006B4A66">
        <w:rPr>
          <w:rFonts w:ascii="Times New Roman" w:eastAsia="Calibri" w:hAnsi="Times New Roman" w:cs="Times New Roman"/>
          <w:color w:val="000000"/>
          <w:kern w:val="0"/>
          <w:sz w:val="24"/>
          <w14:ligatures w14:val="none"/>
        </w:rPr>
        <w:t xml:space="preserve">  Within 28 days after an application is filed, the authority having jurisdiction shall notify the applicant in writing that the application is complete or incomplete, and if the application is incomplete, the additional information required to make it complete shall be provided.  Within 14 days after receiving the additional information, the authority having jurisdiction shall notify the applicant in writing whether the application is now complete or specify the additional information required to make it complete.  An application shall be deemed to be complete if the authority having jurisdiction does not notify the applicant in writing by the deadlines in this section that the application is incomplete.</w:t>
      </w:r>
    </w:p>
    <w:p w14:paraId="171012E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Decision on Application.</w:t>
      </w:r>
      <w:r w:rsidRPr="006B4A66">
        <w:rPr>
          <w:rFonts w:ascii="Times New Roman" w:eastAsia="Calibri" w:hAnsi="Times New Roman" w:cs="Times New Roman"/>
          <w:color w:val="000000"/>
          <w:kern w:val="0"/>
          <w:sz w:val="24"/>
          <w14:ligatures w14:val="none"/>
        </w:rPr>
        <w:t xml:space="preserve">  The authority having jurisdiction shall approve, condition, or deny the application within 120 days after notifying the applicant that the application is complete.</w:t>
      </w:r>
    </w:p>
    <w:p w14:paraId="5EB1778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To determine the number of days that have elapsed after the notification that the application is complete, the following periods shall be excluded:</w:t>
      </w:r>
    </w:p>
    <w:p w14:paraId="5942CFC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1.  All periods of time during which the applicant has been requested by the authority having jurisdiction to correct plans, perform required studies, or provide additional required information, until the determination that the request has been satisfied.  The period shall be calculated from the date the authority having jurisdiction notifies the applicant of the need for additional information until the earlier of the date </w:t>
      </w:r>
      <w:r w:rsidRPr="006B4A66">
        <w:rPr>
          <w:rFonts w:ascii="Times New Roman" w:eastAsia="Calibri" w:hAnsi="Times New Roman" w:cs="Times New Roman"/>
          <w:color w:val="000000"/>
          <w:kern w:val="0"/>
          <w:sz w:val="24"/>
          <w14:ligatures w14:val="none"/>
        </w:rPr>
        <w:lastRenderedPageBreak/>
        <w:t>the authority having jurisdiction determines whether the additional information satisfies the request for information or 14 days after the date the information has been provided to the authority having jurisdiction.</w:t>
      </w:r>
    </w:p>
    <w:p w14:paraId="7328FFE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If the authority having jurisdiction determines that the information submitted by the applicant under item 1 of this subsection is insufficient, the authority having jurisdiction shall notify the applicant of the deficiencies, and the procedures under item 1 of this subsection shall apply as if a new request for information has been made;</w:t>
      </w:r>
    </w:p>
    <w:p w14:paraId="06EECE4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3.  All extensions of time mutually agreed upon by the applicant and the authority having jurisdiction.  If a plumbing permit application is substantially revised by the applicant, the time period shall start from the date at which the revised application is determined to be complete under the Determination of Completeness subsection above.</w:t>
      </w:r>
    </w:p>
    <w:p w14:paraId="126CA05D" w14:textId="77777777" w:rsidR="006B4A66" w:rsidRPr="006B4A66" w:rsidRDefault="006B4A66" w:rsidP="0073496A">
      <w:pPr>
        <w:tabs>
          <w:tab w:val="left" w:pos="720"/>
        </w:tabs>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EXCEPTIONS:</w:t>
      </w:r>
    </w:p>
    <w:p w14:paraId="6C50BB1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When changes to the approved work (plumbing design documents) are made during installation, approval of the authority having jurisdiction shall be obtained prior to execution.  The authority having jurisdiction may approve minor changes to the plumbing design documents for work without revisions to the approved plumbing design documents when it is determined that the changes conform to the requirements of this code and other pertinent laws, ordinances, and other issued permits.</w:t>
      </w:r>
    </w:p>
    <w:p w14:paraId="7026611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When the authority having jurisdiction allows a plumbing permit application to be submitted in phases for portions of the building, each phased portion submittal shall meet the requirements applicable to the scope of the allowed phased portion, and the plumbing permit application shall be considered complete for the purpose of Section 104.1 on the date the phased portion submittal is submitted.</w:t>
      </w:r>
    </w:p>
    <w:p w14:paraId="44B87BA4" w14:textId="22E08B20" w:rsidR="00482447" w:rsidRPr="006B4A66" w:rsidRDefault="00482447"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color w:val="000000"/>
          <w:kern w:val="0"/>
          <w:sz w:val="24"/>
          <w:u w:val="single"/>
          <w14:ligatures w14:val="none"/>
        </w:rPr>
        <w:t>SECTION 178.</w:t>
      </w:r>
      <w:r w:rsidRPr="006B4A66">
        <w:rPr>
          <w:rFonts w:ascii="Times New Roman" w:eastAsia="Calibri" w:hAnsi="Times New Roman" w:cs="Times New Roman"/>
          <w:color w:val="000000"/>
          <w:kern w:val="0"/>
          <w:sz w:val="24"/>
          <w14:ligatures w14:val="none"/>
        </w:rPr>
        <w:t xml:space="preserve">  </w:t>
      </w:r>
      <w:r w:rsidR="005E72FC">
        <w:rPr>
          <w:rFonts w:ascii="Times New Roman" w:eastAsia="Calibri" w:hAnsi="Times New Roman" w:cs="Times New Roman"/>
          <w:color w:val="000000"/>
          <w:kern w:val="0"/>
          <w:sz w:val="24"/>
          <w14:ligatures w14:val="none"/>
        </w:rPr>
        <w:t>There</w:t>
      </w:r>
      <w:r w:rsidR="0006336A">
        <w:rPr>
          <w:rFonts w:ascii="Times New Roman" w:eastAsia="Calibri" w:hAnsi="Times New Roman" w:cs="Times New Roman"/>
          <w:color w:val="000000"/>
          <w:kern w:val="0"/>
          <w:sz w:val="24"/>
          <w14:ligatures w14:val="none"/>
        </w:rPr>
        <w:t xml:space="preserve"> is hereby added to K.C.C. chapter 16.32 a new section</w:t>
      </w:r>
      <w:r w:rsidRPr="006B4A66">
        <w:rPr>
          <w:rFonts w:ascii="Times New Roman" w:eastAsia="Calibri" w:hAnsi="Times New Roman" w:cs="Times New Roman"/>
          <w:color w:val="000000"/>
          <w:kern w:val="0"/>
          <w:sz w:val="24"/>
          <w14:ligatures w14:val="none"/>
        </w:rPr>
        <w:t xml:space="preserve"> to read as follows:</w:t>
      </w:r>
    </w:p>
    <w:p w14:paraId="746C29D4" w14:textId="77777777" w:rsidR="00482447" w:rsidRPr="006B4A66" w:rsidRDefault="00482447"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104.3.2 of the Uniform Plumbing Code is not adopted and the following is substituted:</w:t>
      </w:r>
    </w:p>
    <w:p w14:paraId="748D8F64" w14:textId="065F6B8C" w:rsidR="00482447" w:rsidRPr="006B4A66" w:rsidRDefault="00482447"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tab/>
        <w:t>Plan Review Fees.</w:t>
      </w:r>
      <w:r w:rsidRPr="006B4A66">
        <w:rPr>
          <w:rFonts w:ascii="Times New Roman" w:eastAsia="Calibri" w:hAnsi="Times New Roman" w:cs="Times New Roman"/>
          <w:color w:val="000000"/>
          <w:kern w:val="0"/>
          <w:sz w:val="24"/>
          <w14:ligatures w14:val="none"/>
        </w:rPr>
        <w:t xml:space="preserve">  </w:t>
      </w:r>
      <w:r w:rsidRPr="001216D4">
        <w:rPr>
          <w:rFonts w:ascii="Times New Roman" w:eastAsia="Calibri" w:hAnsi="Times New Roman" w:cs="Times New Roman"/>
          <w:color w:val="000000"/>
          <w:kern w:val="0"/>
          <w:sz w:val="24"/>
          <w14:ligatures w14:val="none"/>
        </w:rPr>
        <w:t>When</w:t>
      </w:r>
      <w:r w:rsidRPr="006B4A66">
        <w:rPr>
          <w:rFonts w:ascii="Times New Roman" w:eastAsia="Calibri" w:hAnsi="Times New Roman" w:cs="Times New Roman"/>
          <w:color w:val="000000"/>
          <w:kern w:val="0"/>
          <w:sz w:val="24"/>
          <w14:ligatures w14:val="none"/>
        </w:rPr>
        <w:t xml:space="preserve"> a plan or other data is required to be submitted in accordance with UPC 104.3.1, a plan review fee shall be charged at a rate equal to the cost of performing the service in addition to the permit fees specified in K.C.C. 16.32.080.</w:t>
      </w:r>
    </w:p>
    <w:p w14:paraId="75C2E663" w14:textId="77777777" w:rsidR="00482447" w:rsidRPr="001216D4" w:rsidRDefault="00482447"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1216D4">
        <w:rPr>
          <w:rFonts w:ascii="Times New Roman" w:eastAsia="Calibri" w:hAnsi="Times New Roman" w:cs="Times New Roman"/>
          <w:color w:val="000000"/>
          <w:kern w:val="0"/>
          <w:sz w:val="24"/>
          <w14:ligatures w14:val="none"/>
        </w:rPr>
        <w:t>The authority having jurisdiction may rescind prior approval of reviewed construction documents and deny permit issuance if any of the following conditions develop:</w:t>
      </w:r>
    </w:p>
    <w:p w14:paraId="510D55EE" w14:textId="77777777" w:rsidR="00482447" w:rsidRPr="001216D4" w:rsidRDefault="00482447" w:rsidP="0073496A">
      <w:pPr>
        <w:tabs>
          <w:tab w:val="left" w:pos="720"/>
        </w:tabs>
        <w:spacing w:after="0" w:line="480" w:lineRule="auto"/>
        <w:rPr>
          <w:rFonts w:ascii="Times New Roman" w:eastAsia="Calibri" w:hAnsi="Times New Roman" w:cs="Times New Roman"/>
          <w:color w:val="000000"/>
          <w:kern w:val="0"/>
          <w:sz w:val="24"/>
          <w14:ligatures w14:val="none"/>
        </w:rPr>
      </w:pPr>
      <w:r w:rsidRPr="00181C05">
        <w:rPr>
          <w:rFonts w:ascii="Times New Roman" w:eastAsia="Calibri" w:hAnsi="Times New Roman" w:cs="Times New Roman"/>
          <w:color w:val="000000"/>
          <w:kern w:val="0"/>
          <w:sz w:val="24"/>
          <w14:ligatures w14:val="none"/>
        </w:rPr>
        <w:tab/>
      </w:r>
      <w:r w:rsidRPr="001216D4">
        <w:rPr>
          <w:rFonts w:ascii="Times New Roman" w:eastAsia="Calibri" w:hAnsi="Times New Roman" w:cs="Times New Roman"/>
          <w:color w:val="000000"/>
          <w:kern w:val="0"/>
          <w:sz w:val="24"/>
          <w14:ligatures w14:val="none"/>
        </w:rPr>
        <w:t>1.  Permit applicant has not responded to a plan review invoice notice or request for plan corrections from the assigned plans examiner within 90 days of request.</w:t>
      </w:r>
    </w:p>
    <w:p w14:paraId="07A66FF2" w14:textId="77777777" w:rsidR="00482447" w:rsidRPr="001216D4" w:rsidRDefault="00482447" w:rsidP="0073496A">
      <w:pPr>
        <w:tabs>
          <w:tab w:val="left" w:pos="720"/>
        </w:tabs>
        <w:spacing w:after="0" w:line="480" w:lineRule="auto"/>
        <w:rPr>
          <w:rFonts w:ascii="Times New Roman" w:eastAsia="Calibri" w:hAnsi="Times New Roman" w:cs="Times New Roman"/>
          <w:color w:val="000000"/>
          <w:kern w:val="0"/>
          <w:sz w:val="24"/>
          <w14:ligatures w14:val="none"/>
        </w:rPr>
      </w:pPr>
      <w:r w:rsidRPr="00181C05">
        <w:rPr>
          <w:rFonts w:ascii="Times New Roman" w:eastAsia="Calibri" w:hAnsi="Times New Roman" w:cs="Times New Roman"/>
          <w:color w:val="000000"/>
          <w:kern w:val="0"/>
          <w:sz w:val="24"/>
          <w14:ligatures w14:val="none"/>
        </w:rPr>
        <w:tab/>
      </w:r>
      <w:r w:rsidRPr="001216D4">
        <w:rPr>
          <w:rFonts w:ascii="Times New Roman" w:eastAsia="Calibri" w:hAnsi="Times New Roman" w:cs="Times New Roman"/>
          <w:color w:val="000000"/>
          <w:kern w:val="0"/>
          <w:sz w:val="24"/>
          <w14:ligatures w14:val="none"/>
        </w:rPr>
        <w:t>2.  Permit fees have not been paid within 90 days of notification to applicant that plans have been approved and an invoice generated.</w:t>
      </w:r>
    </w:p>
    <w:p w14:paraId="17213A48" w14:textId="77777777" w:rsidR="00482447" w:rsidRPr="006B4A66" w:rsidRDefault="00482447" w:rsidP="0073496A">
      <w:pPr>
        <w:tabs>
          <w:tab w:val="left" w:pos="720"/>
        </w:tabs>
        <w:spacing w:after="0" w:line="480" w:lineRule="auto"/>
        <w:rPr>
          <w:rFonts w:ascii="Times New Roman" w:eastAsia="Calibri" w:hAnsi="Times New Roman" w:cs="Times New Roman"/>
          <w:color w:val="000000"/>
          <w:kern w:val="0"/>
          <w:sz w:val="24"/>
          <w14:ligatures w14:val="none"/>
        </w:rPr>
      </w:pPr>
      <w:r w:rsidRPr="00181C05">
        <w:rPr>
          <w:rFonts w:ascii="Times New Roman" w:eastAsia="Calibri" w:hAnsi="Times New Roman" w:cs="Times New Roman"/>
          <w:color w:val="000000"/>
          <w:kern w:val="0"/>
          <w:sz w:val="24"/>
          <w14:ligatures w14:val="none"/>
        </w:rPr>
        <w:tab/>
      </w:r>
      <w:r w:rsidRPr="001216D4">
        <w:rPr>
          <w:rFonts w:ascii="Times New Roman" w:eastAsia="Calibri" w:hAnsi="Times New Roman" w:cs="Times New Roman"/>
          <w:b/>
          <w:bCs/>
          <w:color w:val="000000"/>
          <w:kern w:val="0"/>
          <w:sz w:val="24"/>
          <w14:ligatures w14:val="none"/>
        </w:rPr>
        <w:t>EXCEPTION:</w:t>
      </w:r>
      <w:r w:rsidRPr="001216D4">
        <w:rPr>
          <w:rFonts w:ascii="Times New Roman" w:eastAsia="Calibri" w:hAnsi="Times New Roman" w:cs="Times New Roman"/>
          <w:color w:val="000000"/>
          <w:kern w:val="0"/>
          <w:sz w:val="24"/>
          <w14:ligatures w14:val="none"/>
        </w:rPr>
        <w:t xml:space="preserve">  The authority having jurisdiction may grant an extension to the above time periods upon finding good cause for an extension, such as unforeseen circumstances impeding timely action by the applicant.  Any request for an extension must be initiated by the permit applicant.  The authority having jurisdiction shall maintain a written record of any extension granted and the reason or reasons for the extension</w:t>
      </w:r>
      <w:r w:rsidRPr="00181C05">
        <w:rPr>
          <w:rFonts w:ascii="Times New Roman" w:eastAsia="Calibri" w:hAnsi="Times New Roman" w:cs="Times New Roman"/>
          <w:color w:val="000000"/>
          <w:kern w:val="0"/>
          <w:sz w:val="24"/>
          <w14:ligatures w14:val="none"/>
        </w:rPr>
        <w:t>.</w:t>
      </w:r>
    </w:p>
    <w:p w14:paraId="0B683D7A" w14:textId="67B0776D"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179.</w:t>
      </w:r>
      <w:r w:rsidRPr="006B4A66">
        <w:rPr>
          <w:rFonts w:ascii="Times New Roman" w:eastAsia="Calibri" w:hAnsi="Times New Roman" w:cs="Times New Roman"/>
          <w:color w:val="000000"/>
          <w:kern w:val="0"/>
          <w:sz w:val="24"/>
          <w14:ligatures w14:val="none"/>
        </w:rPr>
        <w:t xml:space="preserve">  Ordinance 15802, Section 131, as amended, and K.C.C. 16.32.285 are each hereby amended to read as follows:</w:t>
      </w:r>
    </w:p>
    <w:p w14:paraId="390B1DC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Section 104.4.2 of the Uniform Plumbing Code is not adopted and the following is substituted:</w:t>
      </w:r>
    </w:p>
    <w:p w14:paraId="7A8143E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Validity of Permit ((</w:t>
      </w:r>
      <w:r w:rsidRPr="006B4A66">
        <w:rPr>
          <w:rFonts w:ascii="Times New Roman" w:eastAsia="Calibri" w:hAnsi="Times New Roman" w:cs="Times New Roman"/>
          <w:b/>
          <w:bCs/>
          <w:strike/>
          <w:color w:val="000000"/>
          <w:kern w:val="0"/>
          <w:sz w:val="24"/>
          <w14:ligatures w14:val="none"/>
        </w:rPr>
        <w:t>(UPC 104.4.2)</w:t>
      </w:r>
      <w:r w:rsidRPr="006B4A66">
        <w:rPr>
          <w:rFonts w:ascii="Times New Roman" w:eastAsia="Calibri" w:hAnsi="Times New Roman" w:cs="Times New Roman"/>
          <w:b/>
          <w:bCs/>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The issuance of a permit or approval of plans and specifications shall not be construed to be a permit for, or an approval of, any violation of any of the provisions of this code or of any other ordinance of the jurisdiction.  No permit presuming to give authority to violate or cancel the provisions of this code shall be valid.</w:t>
      </w:r>
    </w:p>
    <w:p w14:paraId="4C182B5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The issuance of a permit based upon plans, specifications</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other data shall not prevent the authority having jurisdiction from thereafter requiring the correction of errors contained in the plans, specifications</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and other data or from ((</w:t>
      </w:r>
      <w:r w:rsidRPr="006B4A66">
        <w:rPr>
          <w:rFonts w:ascii="Times New Roman" w:eastAsia="Calibri" w:hAnsi="Times New Roman" w:cs="Times New Roman"/>
          <w:strike/>
          <w:color w:val="000000"/>
          <w:kern w:val="0"/>
          <w:sz w:val="24"/>
          <w14:ligatures w14:val="none"/>
        </w:rPr>
        <w:t>preventing</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halting</w:t>
      </w:r>
      <w:r w:rsidRPr="006B4A66">
        <w:rPr>
          <w:rFonts w:ascii="Times New Roman" w:eastAsia="Calibri" w:hAnsi="Times New Roman" w:cs="Times New Roman"/>
          <w:color w:val="000000"/>
          <w:kern w:val="0"/>
          <w:sz w:val="24"/>
          <w14:ligatures w14:val="none"/>
        </w:rPr>
        <w:t xml:space="preserve"> building operations ((</w:t>
      </w:r>
      <w:r w:rsidRPr="006B4A66">
        <w:rPr>
          <w:rFonts w:ascii="Times New Roman" w:eastAsia="Calibri" w:hAnsi="Times New Roman" w:cs="Times New Roman"/>
          <w:strike/>
          <w:color w:val="000000"/>
          <w:kern w:val="0"/>
          <w:sz w:val="24"/>
          <w14:ligatures w14:val="none"/>
        </w:rPr>
        <w:t>being carried on thereunde</w:t>
      </w:r>
      <w:r w:rsidRPr="006B4A66">
        <w:rPr>
          <w:rFonts w:ascii="Times New Roman" w:eastAsia="Calibri" w:hAnsi="Times New Roman" w:cs="Times New Roman"/>
          <w:color w:val="000000"/>
          <w:kern w:val="0"/>
          <w:sz w:val="24"/>
          <w14:ligatures w14:val="none"/>
        </w:rPr>
        <w:t>r)) when in violation of this code or of other ordinances of this jurisdiction.</w:t>
      </w:r>
    </w:p>
    <w:p w14:paraId="5642E09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Every plumbing permit shall be kept on the site where the work permitted is being performed and shall not be removed until the work has </w:t>
      </w:r>
      <w:r w:rsidRPr="006B4A66">
        <w:rPr>
          <w:rFonts w:ascii="Times New Roman" w:eastAsia="Calibri" w:hAnsi="Times New Roman" w:cs="Times New Roman"/>
          <w:color w:val="000000"/>
          <w:kern w:val="0"/>
          <w:sz w:val="24"/>
          <w:u w:val="single"/>
          <w14:ligatures w14:val="none"/>
        </w:rPr>
        <w:t>obtained final approval</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strike/>
          <w:color w:val="000000"/>
          <w:kern w:val="0"/>
          <w:sz w:val="24"/>
          <w14:ligatures w14:val="none"/>
        </w:rPr>
        <w:t>been finally approved</w:t>
      </w:r>
      <w:r w:rsidRPr="006B4A66">
        <w:rPr>
          <w:rFonts w:ascii="Times New Roman" w:eastAsia="Calibri" w:hAnsi="Times New Roman" w:cs="Times New Roman"/>
          <w:color w:val="000000"/>
          <w:kern w:val="0"/>
          <w:sz w:val="24"/>
          <w14:ligatures w14:val="none"/>
        </w:rPr>
        <w:t>)) by the authority having jurisdiction.</w:t>
      </w:r>
    </w:p>
    <w:p w14:paraId="5EAF386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Plumbing work authorized by a permit in effect on or after January 1, 2023, shall be performed in accordance with the laws and ordinances in effect when the permit was issued, except when:</w:t>
      </w:r>
    </w:p>
    <w:p w14:paraId="0314AE8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The authority having jurisdiction determines such work to be ((</w:t>
      </w:r>
      <w:r w:rsidRPr="006B4A66">
        <w:rPr>
          <w:rFonts w:ascii="Times New Roman" w:eastAsia="Calibri" w:hAnsi="Times New Roman" w:cs="Times New Roman"/>
          <w:strike/>
          <w:color w:val="000000"/>
          <w:kern w:val="0"/>
          <w:sz w:val="24"/>
          <w14:ligatures w14:val="none"/>
        </w:rPr>
        <w:t>in fact</w:t>
      </w:r>
      <w:r w:rsidRPr="006B4A66">
        <w:rPr>
          <w:rFonts w:ascii="Times New Roman" w:eastAsia="Calibri" w:hAnsi="Times New Roman" w:cs="Times New Roman"/>
          <w:color w:val="000000"/>
          <w:kern w:val="0"/>
          <w:sz w:val="24"/>
          <w14:ligatures w14:val="none"/>
        </w:rPr>
        <w:t>)) dangerous, unsafe, insanitary</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a nuisance or a menace to life, health</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property; or</w:t>
      </w:r>
    </w:p>
    <w:p w14:paraId="4B7921D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A building permit has been approved before January 1, 2023.</w:t>
      </w:r>
    </w:p>
    <w:p w14:paraId="01147EBE" w14:textId="459B4B08"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180.</w:t>
      </w:r>
      <w:r w:rsidRPr="006B4A66">
        <w:rPr>
          <w:rFonts w:ascii="Times New Roman" w:eastAsia="Calibri" w:hAnsi="Times New Roman" w:cs="Times New Roman"/>
          <w:color w:val="000000"/>
          <w:kern w:val="0"/>
          <w:sz w:val="24"/>
          <w14:ligatures w14:val="none"/>
        </w:rPr>
        <w:t xml:space="preserve">  Ordinance 15802, Section 132, as amended, and K.C.C. 16.32.295 are each hereby amended to read as follows:</w:t>
      </w:r>
    </w:p>
    <w:p w14:paraId="0A4F01A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Section 104.4.5 of the Uniform Plumbing Code is not adopted and the following is substituted:</w:t>
      </w:r>
    </w:p>
    <w:p w14:paraId="13FE900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Suspension, Revocation</w:t>
      </w:r>
      <w:r w:rsidRPr="006B4A66">
        <w:rPr>
          <w:rFonts w:ascii="Times New Roman" w:eastAsia="Calibri" w:hAnsi="Times New Roman" w:cs="Times New Roman"/>
          <w:b/>
          <w:bCs/>
          <w:color w:val="000000"/>
          <w:kern w:val="0"/>
          <w:sz w:val="24"/>
          <w:u w:val="single"/>
          <w14:ligatures w14:val="none"/>
        </w:rPr>
        <w:t>,</w:t>
      </w:r>
      <w:r w:rsidRPr="006B4A66">
        <w:rPr>
          <w:rFonts w:ascii="Times New Roman" w:eastAsia="Calibri" w:hAnsi="Times New Roman" w:cs="Times New Roman"/>
          <w:b/>
          <w:bCs/>
          <w:color w:val="000000"/>
          <w:kern w:val="0"/>
          <w:sz w:val="24"/>
          <w14:ligatures w14:val="none"/>
        </w:rPr>
        <w:t xml:space="preserve"> or Limitation of Permits ((</w:t>
      </w:r>
      <w:r w:rsidRPr="006B4A66">
        <w:rPr>
          <w:rFonts w:ascii="Times New Roman" w:eastAsia="Calibri" w:hAnsi="Times New Roman" w:cs="Times New Roman"/>
          <w:b/>
          <w:bCs/>
          <w:strike/>
          <w:color w:val="000000"/>
          <w:kern w:val="0"/>
          <w:sz w:val="24"/>
          <w14:ligatures w14:val="none"/>
        </w:rPr>
        <w:t>(UPC 104.4.5)</w:t>
      </w:r>
      <w:r w:rsidRPr="006B4A66">
        <w:rPr>
          <w:rFonts w:ascii="Times New Roman" w:eastAsia="Calibri" w:hAnsi="Times New Roman" w:cs="Times New Roman"/>
          <w:b/>
          <w:bCs/>
          <w:color w:val="000000"/>
          <w:kern w:val="0"/>
          <w:sz w:val="24"/>
          <w14:ligatures w14:val="none"/>
        </w:rPr>
        <w:t>)).</w:t>
      </w:r>
    </w:p>
    <w:p w14:paraId="27E90CC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In addition to other remedies provided by law, the authority having jurisdiction may((</w:t>
      </w:r>
      <w:r w:rsidRPr="006B4A66">
        <w:rPr>
          <w:rFonts w:ascii="Times New Roman" w:eastAsia="Calibri" w:hAnsi="Times New Roman" w:cs="Times New Roman"/>
          <w:strike/>
          <w:color w:val="000000"/>
          <w:kern w:val="0"/>
          <w:sz w:val="24"/>
          <w14:ligatures w14:val="none"/>
        </w:rPr>
        <w:t>,</w:t>
      </w:r>
      <w:r w:rsidRPr="006B4A66">
        <w:rPr>
          <w:rFonts w:ascii="Times New Roman" w:eastAsia="Calibri" w:hAnsi="Times New Roman" w:cs="Times New Roman"/>
          <w:color w:val="000000"/>
          <w:kern w:val="0"/>
          <w:sz w:val="24"/>
          <w14:ligatures w14:val="none"/>
        </w:rPr>
        <w:t>)) in writing((</w:t>
      </w:r>
      <w:r w:rsidRPr="006B4A66">
        <w:rPr>
          <w:rFonts w:ascii="Times New Roman" w:eastAsia="Calibri" w:hAnsi="Times New Roman" w:cs="Times New Roman"/>
          <w:strike/>
          <w:color w:val="000000"/>
          <w:kern w:val="0"/>
          <w:sz w:val="24"/>
          <w14:ligatures w14:val="none"/>
        </w:rPr>
        <w:t>,</w:t>
      </w:r>
      <w:r w:rsidRPr="006B4A66">
        <w:rPr>
          <w:rFonts w:ascii="Times New Roman" w:eastAsia="Calibri" w:hAnsi="Times New Roman" w:cs="Times New Roman"/>
          <w:color w:val="000000"/>
          <w:kern w:val="0"/>
          <w:sz w:val="24"/>
          <w14:ligatures w14:val="none"/>
        </w:rPr>
        <w:t>)) suspend, revoke</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limit a permit issued under this code if:</w:t>
      </w:r>
    </w:p>
    <w:p w14:paraId="329C7D3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1.1.  The permit holder committed a violation of this code, other ordinances</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any rules and regulations adopted by the authority having jurisdiction, in the course of performing activities subject to that permit;</w:t>
      </w:r>
    </w:p>
    <w:p w14:paraId="387C37F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1.2  The permit holder interfered with the authority having jurisdiction in the performance of the authority having jurisdiction's duties relating to the permit;</w:t>
      </w:r>
    </w:p>
    <w:p w14:paraId="107B57B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1.3.  The permit was issued in error or on the basis of materially incorrect information supplied to the authority having jurisdiction; or</w:t>
      </w:r>
    </w:p>
    <w:p w14:paraId="66E1790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1.4.  Permit fees or costs were paid to the county by check and returned from a financial institution marked nonsufficient funds or canceled.</w:t>
      </w:r>
    </w:p>
    <w:p w14:paraId="72EDB29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The suspension, revocation</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limitation shall be carried out through the notice and order provisions of K.C.C. Title 23((</w:t>
      </w:r>
      <w:r w:rsidRPr="006B4A66">
        <w:rPr>
          <w:rFonts w:ascii="Times New Roman" w:eastAsia="Calibri" w:hAnsi="Times New Roman" w:cs="Times New Roman"/>
          <w:strike/>
          <w:color w:val="000000"/>
          <w:kern w:val="0"/>
          <w:sz w:val="24"/>
          <w14:ligatures w14:val="none"/>
        </w:rPr>
        <w:t>, is effective on the date established by the notice and order and may be appealed to the King County hearing examiner in accordance with the appeal provisions of K.C.C. Title 23</w:t>
      </w:r>
      <w:r w:rsidRPr="006B4A66">
        <w:rPr>
          <w:rFonts w:ascii="Times New Roman" w:eastAsia="Calibri" w:hAnsi="Times New Roman" w:cs="Times New Roman"/>
          <w:color w:val="000000"/>
          <w:kern w:val="0"/>
          <w:sz w:val="24"/>
          <w14:ligatures w14:val="none"/>
        </w:rPr>
        <w:t>)).</w:t>
      </w:r>
    </w:p>
    <w:p w14:paraId="23E89CD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3.  Notwithstanding any other provision of this code, the administrative authority may immediately suspend operations under a permit by issuing a stop work order in accordance with this code.</w:t>
      </w:r>
    </w:p>
    <w:p w14:paraId="2DD61CF4" w14:textId="4502CAF5"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181.</w:t>
      </w:r>
      <w:r w:rsidRPr="006B4A66">
        <w:rPr>
          <w:rFonts w:ascii="Times New Roman" w:eastAsia="Calibri" w:hAnsi="Times New Roman" w:cs="Times New Roman"/>
          <w:color w:val="000000"/>
          <w:kern w:val="0"/>
          <w:sz w:val="24"/>
          <w14:ligatures w14:val="none"/>
        </w:rPr>
        <w:t xml:space="preserve">  Ordinance 15802, Section 133, as amended, and K.C.C. 16.32.306 are each hereby amended to read as follows:</w:t>
      </w:r>
    </w:p>
    <w:p w14:paraId="0A219A9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Section 105.2.6 of the Uniform Plumbing Code is not adopted and the following is substituted:</w:t>
      </w:r>
    </w:p>
    <w:p w14:paraId="4634D73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Reinspections ((</w:t>
      </w:r>
      <w:r w:rsidRPr="006B4A66">
        <w:rPr>
          <w:rFonts w:ascii="Times New Roman" w:eastAsia="Calibri" w:hAnsi="Times New Roman" w:cs="Times New Roman"/>
          <w:b/>
          <w:bCs/>
          <w:strike/>
          <w:color w:val="000000"/>
          <w:kern w:val="0"/>
          <w:sz w:val="24"/>
          <w14:ligatures w14:val="none"/>
        </w:rPr>
        <w:t>(UPC 105.2.6)</w:t>
      </w:r>
      <w:r w:rsidRPr="006B4A66">
        <w:rPr>
          <w:rFonts w:ascii="Times New Roman" w:eastAsia="Calibri" w:hAnsi="Times New Roman" w:cs="Times New Roman"/>
          <w:b/>
          <w:bCs/>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A reinspection fee may be assessed </w:t>
      </w:r>
      <w:r w:rsidRPr="006B4A66">
        <w:rPr>
          <w:rFonts w:ascii="Times New Roman" w:eastAsia="Calibri" w:hAnsi="Times New Roman" w:cs="Times New Roman"/>
          <w:color w:val="000000"/>
          <w:kern w:val="0"/>
          <w:sz w:val="24"/>
          <w:u w:val="single"/>
          <w14:ligatures w14:val="none"/>
        </w:rPr>
        <w:t>after the initial inspection</w:t>
      </w:r>
      <w:r w:rsidRPr="006B4A66">
        <w:rPr>
          <w:rFonts w:ascii="Times New Roman" w:eastAsia="Calibri" w:hAnsi="Times New Roman" w:cs="Times New Roman"/>
          <w:color w:val="000000"/>
          <w:kern w:val="0"/>
          <w:sz w:val="24"/>
          <w14:ligatures w14:val="none"/>
        </w:rPr>
        <w:t xml:space="preserve"> for each </w:t>
      </w:r>
      <w:r w:rsidRPr="006B4A66">
        <w:rPr>
          <w:rFonts w:ascii="Times New Roman" w:eastAsia="Calibri" w:hAnsi="Times New Roman" w:cs="Times New Roman"/>
          <w:color w:val="000000"/>
          <w:kern w:val="0"/>
          <w:sz w:val="24"/>
          <w:u w:val="single"/>
          <w14:ligatures w14:val="none"/>
        </w:rPr>
        <w:t>subsequent</w:t>
      </w:r>
      <w:r w:rsidRPr="006B4A66">
        <w:rPr>
          <w:rFonts w:ascii="Times New Roman" w:eastAsia="Calibri" w:hAnsi="Times New Roman" w:cs="Times New Roman"/>
          <w:color w:val="000000"/>
          <w:kern w:val="0"/>
          <w:sz w:val="24"/>
          <w14:ligatures w14:val="none"/>
        </w:rPr>
        <w:t xml:space="preserve"> inspection ((</w:t>
      </w:r>
      <w:r w:rsidRPr="006B4A66">
        <w:rPr>
          <w:rFonts w:ascii="Times New Roman" w:eastAsia="Calibri" w:hAnsi="Times New Roman" w:cs="Times New Roman"/>
          <w:strike/>
          <w:color w:val="000000"/>
          <w:kern w:val="0"/>
          <w:sz w:val="24"/>
          <w14:ligatures w14:val="none"/>
        </w:rPr>
        <w:t>or reinspection</w:t>
      </w:r>
      <w:r w:rsidRPr="006B4A66">
        <w:rPr>
          <w:rFonts w:ascii="Times New Roman" w:eastAsia="Calibri" w:hAnsi="Times New Roman" w:cs="Times New Roman"/>
          <w:color w:val="000000"/>
          <w:kern w:val="0"/>
          <w:sz w:val="24"/>
          <w14:ligatures w14:val="none"/>
        </w:rPr>
        <w:t xml:space="preserve">)) when part or all of the work for which </w:t>
      </w:r>
      <w:r w:rsidRPr="006B4A66">
        <w:rPr>
          <w:rFonts w:ascii="Times New Roman" w:eastAsia="Calibri" w:hAnsi="Times New Roman" w:cs="Times New Roman"/>
          <w:color w:val="000000"/>
          <w:kern w:val="0"/>
          <w:sz w:val="24"/>
          <w:u w:val="single"/>
          <w14:ligatures w14:val="none"/>
        </w:rPr>
        <w:t>an</w:t>
      </w:r>
      <w:r w:rsidRPr="006B4A66">
        <w:rPr>
          <w:rFonts w:ascii="Times New Roman" w:eastAsia="Calibri" w:hAnsi="Times New Roman" w:cs="Times New Roman"/>
          <w:color w:val="000000"/>
          <w:kern w:val="0"/>
          <w:sz w:val="24"/>
          <w14:ligatures w14:val="none"/>
        </w:rPr>
        <w:t xml:space="preserve"> inspection is called is </w:t>
      </w:r>
      <w:r w:rsidRPr="006B4A66">
        <w:rPr>
          <w:rFonts w:ascii="Times New Roman" w:eastAsia="Calibri" w:hAnsi="Times New Roman" w:cs="Times New Roman"/>
          <w:color w:val="000000"/>
          <w:kern w:val="0"/>
          <w:sz w:val="24"/>
          <w:u w:val="single"/>
          <w14:ligatures w14:val="none"/>
        </w:rPr>
        <w:t>found by the inspector to be in one or more of the following conditions:</w:t>
      </w:r>
    </w:p>
    <w:p w14:paraId="7432426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1.  Work is</w:t>
      </w:r>
      <w:r w:rsidRPr="006B4A66">
        <w:rPr>
          <w:rFonts w:ascii="Times New Roman" w:eastAsia="Calibri" w:hAnsi="Times New Roman" w:cs="Times New Roman"/>
          <w:color w:val="000000"/>
          <w:kern w:val="0"/>
          <w:sz w:val="24"/>
          <w14:ligatures w14:val="none"/>
        </w:rPr>
        <w:t xml:space="preserve"> not complete ((</w:t>
      </w:r>
      <w:r w:rsidRPr="006B4A66">
        <w:rPr>
          <w:rFonts w:ascii="Times New Roman" w:eastAsia="Calibri" w:hAnsi="Times New Roman" w:cs="Times New Roman"/>
          <w:strike/>
          <w:color w:val="000000"/>
          <w:kern w:val="0"/>
          <w:sz w:val="24"/>
          <w14:ligatures w14:val="none"/>
        </w:rPr>
        <w:t>or when required corrections have not been made.</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u w:val="single"/>
          <w14:ligatures w14:val="none"/>
        </w:rPr>
        <w:t>;</w:t>
      </w:r>
    </w:p>
    <w:p w14:paraId="472B7F2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2.  Work is not ready for inspection, and/or not under test;</w:t>
      </w:r>
    </w:p>
    <w:p w14:paraId="6AB9EB7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3.  Corrections from previous inspection have not been completed;</w:t>
      </w:r>
    </w:p>
    <w:p w14:paraId="798BD89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4.  Access to inspection area(s) is denied or not provided;</w:t>
      </w:r>
    </w:p>
    <w:p w14:paraId="05015CA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5.  Permit is not properly posted at the work site; and</w:t>
      </w:r>
    </w:p>
    <w:p w14:paraId="204BF18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6.  Where applicable, work installed does not conform to approved drawings.</w:t>
      </w:r>
    </w:p>
    <w:p w14:paraId="1C7E45E7"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This provision is not to be interpreted as requiring reinspection fees the first time a job is rejected for failure to comply with the requirements of this code, but as controlling the practice of calling for inspections before the job is ready for inspection or reinspection.</w:t>
      </w:r>
    </w:p>
    <w:p w14:paraId="334C71AE"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Reinspection fees may be assessed when the approved plans are not readily available to the inspector, for failure to provide access on the date for which the inspection is requested, or for deviating from plans when such deviation requires but has not received the approval of the authority having jurisdiction.</w:t>
      </w:r>
    </w:p>
    <w:p w14:paraId="16B1F3F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To obtain reinspection, the applicant shall file an application therefor in writing upon a form furnished for that purpose and pay the reinspection fee in accordance with K.C.C. 16.32.095.</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 xml:space="preserve">This subsection does not allow a reinspection fee to be applied at </w:t>
      </w:r>
      <w:r w:rsidRPr="006B4A66">
        <w:rPr>
          <w:rFonts w:ascii="Times New Roman" w:eastAsia="Calibri" w:hAnsi="Times New Roman" w:cs="Times New Roman"/>
          <w:color w:val="000000"/>
          <w:kern w:val="0"/>
          <w:sz w:val="24"/>
          <w:u w:val="single"/>
          <w14:ligatures w14:val="none"/>
        </w:rPr>
        <w:lastRenderedPageBreak/>
        <w:t>initial plumbing or gas inspection when the inspection fails due to plumbing or gas installation not complying with this code.</w:t>
      </w:r>
    </w:p>
    <w:p w14:paraId="43E9C0D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In instances where </w:t>
      </w:r>
      <w:r w:rsidRPr="006B4A66">
        <w:rPr>
          <w:rFonts w:ascii="Times New Roman" w:eastAsia="Calibri" w:hAnsi="Times New Roman" w:cs="Times New Roman"/>
          <w:color w:val="000000"/>
          <w:kern w:val="0"/>
          <w:sz w:val="24"/>
          <w:u w:val="single"/>
          <w14:ligatures w14:val="none"/>
        </w:rPr>
        <w:t>a</w:t>
      </w:r>
      <w:r w:rsidRPr="006B4A66">
        <w:rPr>
          <w:rFonts w:ascii="Times New Roman" w:eastAsia="Calibri" w:hAnsi="Times New Roman" w:cs="Times New Roman"/>
          <w:color w:val="000000"/>
          <w:kern w:val="0"/>
          <w:sz w:val="24"/>
          <w14:ligatures w14:val="none"/>
        </w:rPr>
        <w:t xml:space="preserve"> reinspection fee((</w:t>
      </w:r>
      <w:r w:rsidRPr="006B4A66">
        <w:rPr>
          <w:rFonts w:ascii="Times New Roman" w:eastAsia="Calibri" w:hAnsi="Times New Roman" w:cs="Times New Roman"/>
          <w:strike/>
          <w:color w:val="000000"/>
          <w:kern w:val="0"/>
          <w:sz w:val="24"/>
          <w14:ligatures w14:val="none"/>
        </w:rPr>
        <w:t>s</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strike/>
          <w:color w:val="000000"/>
          <w:kern w:val="0"/>
          <w:sz w:val="24"/>
          <w14:ligatures w14:val="none"/>
        </w:rPr>
        <w:t>have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has</w:t>
      </w:r>
      <w:r w:rsidRPr="006B4A66">
        <w:rPr>
          <w:rFonts w:ascii="Times New Roman" w:eastAsia="Calibri" w:hAnsi="Times New Roman" w:cs="Times New Roman"/>
          <w:color w:val="000000"/>
          <w:kern w:val="0"/>
          <w:sz w:val="24"/>
          <w14:ligatures w14:val="none"/>
        </w:rPr>
        <w:t xml:space="preserve"> been assessed, no additional inspection</w:t>
      </w:r>
      <w:r w:rsidRPr="006B4A66">
        <w:rPr>
          <w:rFonts w:ascii="Times New Roman" w:eastAsia="Calibri" w:hAnsi="Times New Roman" w:cs="Times New Roman"/>
          <w:color w:val="000000"/>
          <w:kern w:val="0"/>
          <w:sz w:val="24"/>
          <w:u w:val="single"/>
          <w14:ligatures w14:val="none"/>
        </w:rPr>
        <w:t>s</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strike/>
          <w:color w:val="000000"/>
          <w:kern w:val="0"/>
          <w:sz w:val="24"/>
          <w14:ligatures w14:val="none"/>
        </w:rPr>
        <w:t>of the work</w:t>
      </w:r>
      <w:r w:rsidRPr="006B4A66">
        <w:rPr>
          <w:rFonts w:ascii="Times New Roman" w:eastAsia="Calibri" w:hAnsi="Times New Roman" w:cs="Times New Roman"/>
          <w:color w:val="000000"/>
          <w:kern w:val="0"/>
          <w:sz w:val="24"/>
          <w14:ligatures w14:val="none"/>
        </w:rPr>
        <w:t xml:space="preserve">)) shall be performed until the required </w:t>
      </w:r>
      <w:r w:rsidRPr="006B4A66">
        <w:rPr>
          <w:rFonts w:ascii="Times New Roman" w:eastAsia="Calibri" w:hAnsi="Times New Roman" w:cs="Times New Roman"/>
          <w:color w:val="000000"/>
          <w:kern w:val="0"/>
          <w:sz w:val="24"/>
          <w:u w:val="single"/>
          <w14:ligatures w14:val="none"/>
        </w:rPr>
        <w:t>reinspection</w:t>
      </w:r>
      <w:r w:rsidRPr="006B4A66">
        <w:rPr>
          <w:rFonts w:ascii="Times New Roman" w:eastAsia="Calibri" w:hAnsi="Times New Roman" w:cs="Times New Roman"/>
          <w:color w:val="000000"/>
          <w:kern w:val="0"/>
          <w:sz w:val="24"/>
          <w14:ligatures w14:val="none"/>
        </w:rPr>
        <w:t xml:space="preserve"> fees have been paid.</w:t>
      </w:r>
    </w:p>
    <w:p w14:paraId="7998F8EF" w14:textId="4DCF83E5"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182.</w:t>
      </w:r>
      <w:r w:rsidRPr="006B4A66">
        <w:rPr>
          <w:rFonts w:ascii="Times New Roman" w:eastAsia="Calibri" w:hAnsi="Times New Roman" w:cs="Times New Roman"/>
          <w:color w:val="000000"/>
          <w:kern w:val="0"/>
          <w:sz w:val="24"/>
          <w14:ligatures w14:val="none"/>
        </w:rPr>
        <w:t xml:space="preserve">  There is hereby added to K.C.C. chapter 16.32 a new section to read as follows:</w:t>
      </w:r>
    </w:p>
    <w:p w14:paraId="7C92E56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308 of the Uniform Plumbing Code is supplemented with the following:</w:t>
      </w:r>
    </w:p>
    <w:p w14:paraId="2A78898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Exterior installations.</w:t>
      </w:r>
      <w:r w:rsidRPr="006B4A66">
        <w:rPr>
          <w:rFonts w:ascii="Times New Roman" w:eastAsia="Calibri" w:hAnsi="Times New Roman" w:cs="Times New Roman"/>
          <w:color w:val="000000"/>
          <w:kern w:val="0"/>
          <w:sz w:val="24"/>
          <w14:ligatures w14:val="none"/>
        </w:rPr>
        <w:t xml:space="preserve">  Unless required to meet other provisions of this code, or where first approved by the authority having jurisdiction, no plumbing or piping system or part thereof shall be installed exterior to a building.</w:t>
      </w:r>
    </w:p>
    <w:p w14:paraId="6D3FB39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EXCEPTIONS:</w:t>
      </w:r>
    </w:p>
    <w:p w14:paraId="3FD880C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Rainwater conductors, leaders, gutters, or downspouts.</w:t>
      </w:r>
    </w:p>
    <w:p w14:paraId="6FD0B6F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Natural gas, fuel oil, or condensate piping serving exterior equipment.</w:t>
      </w:r>
    </w:p>
    <w:p w14:paraId="3507304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3.  Non-potable water serving irrigation systems, mechanical fill stations, or similar exterior uses.</w:t>
      </w:r>
    </w:p>
    <w:p w14:paraId="6FD460B8" w14:textId="07289CB3"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183.</w:t>
      </w:r>
      <w:r w:rsidRPr="006B4A66">
        <w:rPr>
          <w:rFonts w:ascii="Times New Roman" w:eastAsia="Calibri" w:hAnsi="Times New Roman" w:cs="Times New Roman"/>
          <w:color w:val="000000"/>
          <w:kern w:val="0"/>
          <w:sz w:val="24"/>
          <w14:ligatures w14:val="none"/>
        </w:rPr>
        <w:t xml:space="preserve">  There is hereby added to K.C.C. chapter 16.32 a new section to read as follows:</w:t>
      </w:r>
    </w:p>
    <w:p w14:paraId="418F6AE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418.3 of the Uniform Plumbing Code is not adopted and the following is substituted:</w:t>
      </w:r>
    </w:p>
    <w:p w14:paraId="3604134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Floor drains.</w:t>
      </w:r>
      <w:r w:rsidRPr="006B4A66">
        <w:rPr>
          <w:rFonts w:ascii="Times New Roman" w:eastAsia="Calibri" w:hAnsi="Times New Roman" w:cs="Times New Roman"/>
          <w:color w:val="000000"/>
          <w:kern w:val="0"/>
          <w:sz w:val="24"/>
          <w14:ligatures w14:val="none"/>
        </w:rPr>
        <w:t xml:space="preserve">  Floor drains shall be installed in the following areas:</w:t>
      </w:r>
    </w:p>
    <w:p w14:paraId="556466F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A.  Any restroom, toilet facility, or similar area within a building containing two or more water closets or a combination of one water closet and one urinal, except within </w:t>
      </w:r>
      <w:r w:rsidRPr="006B4A66">
        <w:rPr>
          <w:rFonts w:ascii="Times New Roman" w:eastAsia="Calibri" w:hAnsi="Times New Roman" w:cs="Times New Roman"/>
          <w:color w:val="000000"/>
          <w:kern w:val="0"/>
          <w:sz w:val="24"/>
          <w14:ligatures w14:val="none"/>
        </w:rPr>
        <w:lastRenderedPageBreak/>
        <w:t>a dwelling unit.  The floor shall slope in accordance with the requirements of UPC 418.5. Any enclosed space containing a water closet or urinal and constructed in such a way as to prevent fixture overflow spillage from reaching a floor drain located outside of the enclosed space shall be provided with a dedicated floor drain within the space.</w:t>
      </w:r>
    </w:p>
    <w:p w14:paraId="07CE888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B.  Laundry rooms in commercial buildings and common laundry facilities in multi-family dwelling buildings.</w:t>
      </w:r>
    </w:p>
    <w:p w14:paraId="1957FCAF" w14:textId="53885AE1"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184.</w:t>
      </w:r>
      <w:r w:rsidRPr="006B4A66">
        <w:rPr>
          <w:rFonts w:ascii="Times New Roman" w:eastAsia="Calibri" w:hAnsi="Times New Roman" w:cs="Times New Roman"/>
          <w:color w:val="000000"/>
          <w:kern w:val="0"/>
          <w:sz w:val="24"/>
          <w14:ligatures w14:val="none"/>
        </w:rPr>
        <w:t xml:space="preserve">  There is hereby added to K.C.C. chapter 16.32 a new section to read as follows:</w:t>
      </w:r>
    </w:p>
    <w:p w14:paraId="5F85790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418.5 of the Uniform Plumbing Code is supplemented with the following:</w:t>
      </w:r>
    </w:p>
    <w:p w14:paraId="1E81B96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 xml:space="preserve">Floor slope.  </w:t>
      </w:r>
      <w:r w:rsidRPr="006B4A66">
        <w:rPr>
          <w:rFonts w:ascii="Times New Roman" w:eastAsia="Calibri" w:hAnsi="Times New Roman" w:cs="Times New Roman"/>
          <w:color w:val="000000"/>
          <w:kern w:val="0"/>
          <w:sz w:val="24"/>
          <w14:ligatures w14:val="none"/>
        </w:rPr>
        <w:t>Floors shall be sloped to floor drains.</w:t>
      </w:r>
    </w:p>
    <w:p w14:paraId="71B2311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EXCEPTIONS:</w:t>
      </w:r>
    </w:p>
    <w:p w14:paraId="5C11C0D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Floors of parking garages.</w:t>
      </w:r>
    </w:p>
    <w:p w14:paraId="30205D5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Where existing floors are constructed such that creating a slope by recess or topping slab is not feasible, a threshold of a minimum 1/4 inch (6 millimeters), but not exceeding 1/2 inch (13 millimeters) in height shall be provided at each entry to the room or area to prevent spillage from entering adjacent spaces.</w:t>
      </w:r>
    </w:p>
    <w:p w14:paraId="64A8920A" w14:textId="4E6CEFE6"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185.</w:t>
      </w:r>
      <w:r w:rsidRPr="006B4A66">
        <w:rPr>
          <w:rFonts w:ascii="Times New Roman" w:eastAsia="Calibri" w:hAnsi="Times New Roman" w:cs="Times New Roman"/>
          <w:color w:val="000000"/>
          <w:kern w:val="0"/>
          <w:sz w:val="24"/>
          <w14:ligatures w14:val="none"/>
        </w:rPr>
        <w:t xml:space="preserve">  Ordinance 19485, Section 151, and K.C.C. 16.32.338 are each hereby amended to read as follows:</w:t>
      </w:r>
    </w:p>
    <w:p w14:paraId="31F76A8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501 of the Uniform Plumbing Code is supplemented with the following:</w:t>
      </w:r>
    </w:p>
    <w:p w14:paraId="7BBE1E78" w14:textId="77777777" w:rsid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Supplemental Water-Heating Devices ((</w:t>
      </w:r>
      <w:r w:rsidRPr="006B4A66">
        <w:rPr>
          <w:rFonts w:ascii="Times New Roman" w:eastAsia="Calibri" w:hAnsi="Times New Roman" w:cs="Times New Roman"/>
          <w:b/>
          <w:bCs/>
          <w:strike/>
          <w:color w:val="000000"/>
          <w:kern w:val="0"/>
          <w:sz w:val="24"/>
          <w14:ligatures w14:val="none"/>
        </w:rPr>
        <w:t>(UPC 501.3)</w:t>
      </w:r>
      <w:r w:rsidRPr="006B4A66">
        <w:rPr>
          <w:rFonts w:ascii="Times New Roman" w:eastAsia="Calibri" w:hAnsi="Times New Roman" w:cs="Times New Roman"/>
          <w:b/>
          <w:bCs/>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Potable water heating devices that use refrigerant-to-water heat exchangers shall be approved and installed in accordance with this code and the manufacturer's instructions.</w:t>
      </w:r>
    </w:p>
    <w:p w14:paraId="4B3401FF" w14:textId="443C237F" w:rsidR="00CD4FD0" w:rsidRPr="006B4A66" w:rsidRDefault="00CD4FD0"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color w:val="000000"/>
          <w:kern w:val="0"/>
          <w:sz w:val="24"/>
          <w:u w:val="single"/>
          <w14:ligatures w14:val="none"/>
        </w:rPr>
        <w:t>NEW SECTION.  SECTION 186.</w:t>
      </w:r>
      <w:r w:rsidRPr="006B4A66">
        <w:rPr>
          <w:rFonts w:ascii="Times New Roman" w:eastAsia="Calibri" w:hAnsi="Times New Roman" w:cs="Times New Roman"/>
          <w:color w:val="000000"/>
          <w:kern w:val="0"/>
          <w:sz w:val="24"/>
          <w14:ligatures w14:val="none"/>
        </w:rPr>
        <w:t xml:space="preserve">  There is hereby added to K.C.C. chapter 16.32 a new section to read as follows:</w:t>
      </w:r>
    </w:p>
    <w:p w14:paraId="253D77D1" w14:textId="77777777" w:rsidR="00CD4FD0" w:rsidRPr="006B4A66" w:rsidRDefault="00CD4FD0"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608.1 of the Uniform Plumbing Code not adopted and the following is substituted:</w:t>
      </w:r>
    </w:p>
    <w:p w14:paraId="422A6125" w14:textId="77777777" w:rsidR="00CD4FD0" w:rsidRPr="006B4A66" w:rsidRDefault="00CD4FD0"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Inadequate water pressure.</w:t>
      </w:r>
      <w:r w:rsidRPr="006B4A66">
        <w:rPr>
          <w:rFonts w:ascii="Times New Roman" w:eastAsia="Calibri" w:hAnsi="Times New Roman" w:cs="Times New Roman"/>
          <w:color w:val="000000"/>
          <w:kern w:val="0"/>
          <w:sz w:val="24"/>
          <w14:ligatures w14:val="none"/>
        </w:rPr>
        <w:t xml:space="preserve">  Where the water pressure in the main or other source of supply will not provide a minimum residual water pressure of 15 pounds per square inch (PSI) (103 kilopascals), after allowing for friction and other pressure losses, a tank and a pump or other means that will provide said 15 pounds PSI (103 kilopascals) pressure shall be installed.  Where fixtures, fixture fittings, or both are installed that, require residual pressure exceeding 15 PSI (103 kilopascals), such minimum residual pressure shall be provided.  ASSE listed temperature or pressure compensating valves, or both, shall be provided with a minimum residual pressure equal to or greater than the minimum test pressure of the applicable standard, or 20 PSI (138 kilopascals), whichever is greater.</w:t>
      </w:r>
    </w:p>
    <w:p w14:paraId="6EDDA892" w14:textId="522A89EA" w:rsidR="00CD4FD0" w:rsidRPr="006B4A66" w:rsidRDefault="00CD4FD0"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187.</w:t>
      </w:r>
      <w:r w:rsidRPr="006B4A66">
        <w:rPr>
          <w:rFonts w:ascii="Times New Roman" w:eastAsia="Calibri" w:hAnsi="Times New Roman" w:cs="Times New Roman"/>
          <w:color w:val="000000"/>
          <w:kern w:val="0"/>
          <w:sz w:val="24"/>
          <w14:ligatures w14:val="none"/>
        </w:rPr>
        <w:t xml:space="preserve">  There is hereby added to K.C.C. chapter 16.32 a new section to read as follows:</w:t>
      </w:r>
    </w:p>
    <w:p w14:paraId="4898EAF7" w14:textId="77777777" w:rsidR="00CD4FD0" w:rsidRPr="006B4A66" w:rsidRDefault="00CD4FD0"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609.12 of the Uniform Plumbing Code not adopted and the following is substituted:</w:t>
      </w:r>
    </w:p>
    <w:p w14:paraId="2D7ADE5F" w14:textId="77777777" w:rsidR="00CD4FD0" w:rsidRPr="006B4A66" w:rsidRDefault="00CD4FD0" w:rsidP="0073496A">
      <w:pPr>
        <w:tabs>
          <w:tab w:val="left" w:pos="720"/>
        </w:tabs>
        <w:spacing w:after="0" w:line="480" w:lineRule="auto"/>
        <w:rPr>
          <w:rFonts w:ascii="Times New Roman" w:eastAsia="Calibri" w:hAnsi="Times New Roman" w:cs="Calibri"/>
          <w:color w:val="000000"/>
          <w:kern w:val="0"/>
          <w:sz w:val="24"/>
          <w14:ligatures w14:val="none"/>
        </w:rPr>
      </w:pPr>
      <w:r w:rsidRPr="006B4A66">
        <w:rPr>
          <w:rFonts w:ascii="Times New Roman" w:eastAsia="Calibri" w:hAnsi="Times New Roman" w:cs="Calibri"/>
          <w:b/>
          <w:bCs/>
          <w:color w:val="000000"/>
          <w:kern w:val="0"/>
          <w:sz w:val="24"/>
          <w14:ligatures w14:val="none"/>
        </w:rPr>
        <w:tab/>
        <w:t xml:space="preserve">Pipe insulation.  </w:t>
      </w:r>
      <w:r w:rsidRPr="006B4A66">
        <w:rPr>
          <w:rFonts w:ascii="Times New Roman" w:eastAsia="Calibri" w:hAnsi="Times New Roman" w:cs="Calibri"/>
          <w:color w:val="000000"/>
          <w:kern w:val="0"/>
          <w:sz w:val="24"/>
          <w14:ligatures w14:val="none"/>
        </w:rPr>
        <w:t>Domestic water piping within commercial buildings shall be insulated in accordance with the Washington State Energy Code as amended by King County.</w:t>
      </w:r>
    </w:p>
    <w:p w14:paraId="5DB1B7C7" w14:textId="44F9BA7D" w:rsidR="00CD4FD0" w:rsidRPr="006B4A66" w:rsidRDefault="00CD4FD0"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188.</w:t>
      </w:r>
      <w:r w:rsidRPr="006B4A66">
        <w:rPr>
          <w:rFonts w:ascii="Times New Roman" w:eastAsia="Calibri" w:hAnsi="Times New Roman" w:cs="Times New Roman"/>
          <w:color w:val="000000"/>
          <w:kern w:val="0"/>
          <w:sz w:val="24"/>
          <w14:ligatures w14:val="none"/>
        </w:rPr>
        <w:t xml:space="preserve">  There is hereby added to K.C.C. chapter 16.32 a new section to read as follows:</w:t>
      </w:r>
    </w:p>
    <w:p w14:paraId="05E44243" w14:textId="77777777" w:rsidR="00CD4FD0" w:rsidRPr="006B4A66" w:rsidRDefault="00CD4FD0"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Table 610.3 of the Uniform Plumbing Code is replaced with the following:</w:t>
      </w:r>
    </w:p>
    <w:p w14:paraId="20CEA636" w14:textId="77777777" w:rsidR="00CD4FD0" w:rsidRPr="006B4A66" w:rsidRDefault="00CD4FD0" w:rsidP="0073496A">
      <w:pPr>
        <w:tabs>
          <w:tab w:val="left" w:pos="720"/>
        </w:tabs>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Table 610.3</w:t>
      </w:r>
    </w:p>
    <w:p w14:paraId="32CB1CFE" w14:textId="77777777" w:rsidR="00CD4FD0" w:rsidRPr="006B4A66" w:rsidRDefault="00CD4FD0" w:rsidP="0073496A">
      <w:pPr>
        <w:tabs>
          <w:tab w:val="left" w:pos="720"/>
        </w:tabs>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Water supply fixture units (WSFU) and minimum fixture branch pipe sizes</w:t>
      </w:r>
      <w:r w:rsidRPr="006B4A66">
        <w:rPr>
          <w:rFonts w:ascii="Times New Roman" w:eastAsia="Calibri" w:hAnsi="Times New Roman" w:cs="Times New Roman"/>
          <w:b/>
          <w:bCs/>
          <w:color w:val="000000"/>
          <w:kern w:val="0"/>
          <w:sz w:val="24"/>
          <w:vertAlign w:val="superscript"/>
          <w14:ligatures w14:val="none"/>
        </w:rPr>
        <w:t>3</w:t>
      </w:r>
    </w:p>
    <w:tbl>
      <w:tblPr>
        <w:tblStyle w:val="TableGrid"/>
        <w:tblW w:w="0" w:type="auto"/>
        <w:tblLook w:val="04A0" w:firstRow="1" w:lastRow="0" w:firstColumn="1" w:lastColumn="0" w:noHBand="0" w:noVBand="1"/>
      </w:tblPr>
      <w:tblGrid>
        <w:gridCol w:w="3028"/>
        <w:gridCol w:w="2486"/>
        <w:gridCol w:w="963"/>
        <w:gridCol w:w="870"/>
        <w:gridCol w:w="1283"/>
      </w:tblGrid>
      <w:tr w:rsidR="00CD4FD0" w:rsidRPr="006B4A66" w14:paraId="4FBDE37E" w14:textId="77777777" w:rsidTr="005D21A1">
        <w:tc>
          <w:tcPr>
            <w:tcW w:w="0" w:type="auto"/>
          </w:tcPr>
          <w:p w14:paraId="3523F8AB" w14:textId="77777777" w:rsidR="00CD4FD0" w:rsidRPr="006B4A66" w:rsidRDefault="00CD4FD0" w:rsidP="0073496A">
            <w:pPr>
              <w:tabs>
                <w:tab w:val="left" w:pos="720"/>
              </w:tabs>
              <w:spacing w:line="480" w:lineRule="auto"/>
              <w:rPr>
                <w:rFonts w:eastAsia="Calibri"/>
                <w:b/>
                <w:bCs/>
                <w:color w:val="000000"/>
                <w:sz w:val="24"/>
              </w:rPr>
            </w:pPr>
            <w:r w:rsidRPr="006B4A66">
              <w:rPr>
                <w:rFonts w:eastAsia="Calibri"/>
                <w:b/>
                <w:bCs/>
                <w:color w:val="000000"/>
                <w:sz w:val="24"/>
              </w:rPr>
              <w:t>Appliances, appurtenances, or fixtures</w:t>
            </w:r>
            <w:r w:rsidRPr="006B4A66">
              <w:rPr>
                <w:rFonts w:eastAsia="Calibri"/>
                <w:b/>
                <w:bCs/>
                <w:color w:val="000000"/>
                <w:sz w:val="24"/>
                <w:vertAlign w:val="superscript"/>
              </w:rPr>
              <w:t>2</w:t>
            </w:r>
          </w:p>
        </w:tc>
        <w:tc>
          <w:tcPr>
            <w:tcW w:w="0" w:type="auto"/>
          </w:tcPr>
          <w:p w14:paraId="40077B08" w14:textId="77777777" w:rsidR="00CD4FD0" w:rsidRPr="006B4A66" w:rsidRDefault="00CD4FD0" w:rsidP="0073496A">
            <w:pPr>
              <w:tabs>
                <w:tab w:val="left" w:pos="720"/>
              </w:tabs>
              <w:spacing w:line="480" w:lineRule="auto"/>
              <w:rPr>
                <w:rFonts w:eastAsia="Calibri"/>
                <w:b/>
                <w:bCs/>
                <w:color w:val="000000"/>
                <w:sz w:val="24"/>
              </w:rPr>
            </w:pPr>
            <w:r w:rsidRPr="006B4A66">
              <w:rPr>
                <w:rFonts w:eastAsia="Calibri"/>
                <w:b/>
                <w:bCs/>
                <w:color w:val="000000"/>
                <w:sz w:val="24"/>
              </w:rPr>
              <w:t>Minimum fixture branch pipe size (inches)</w:t>
            </w:r>
            <w:r w:rsidRPr="006B4A66">
              <w:rPr>
                <w:rFonts w:eastAsia="Calibri"/>
                <w:b/>
                <w:bCs/>
                <w:color w:val="000000"/>
                <w:sz w:val="24"/>
                <w:vertAlign w:val="superscript"/>
              </w:rPr>
              <w:t>1,4</w:t>
            </w:r>
          </w:p>
        </w:tc>
        <w:tc>
          <w:tcPr>
            <w:tcW w:w="0" w:type="auto"/>
          </w:tcPr>
          <w:p w14:paraId="7A07C39C" w14:textId="77777777" w:rsidR="00CD4FD0" w:rsidRPr="006B4A66" w:rsidRDefault="00CD4FD0" w:rsidP="0073496A">
            <w:pPr>
              <w:tabs>
                <w:tab w:val="left" w:pos="720"/>
              </w:tabs>
              <w:spacing w:line="480" w:lineRule="auto"/>
              <w:rPr>
                <w:rFonts w:eastAsia="Calibri"/>
                <w:b/>
                <w:bCs/>
                <w:color w:val="000000"/>
                <w:sz w:val="24"/>
              </w:rPr>
            </w:pPr>
            <w:r w:rsidRPr="006B4A66">
              <w:rPr>
                <w:rFonts w:eastAsia="Calibri"/>
                <w:b/>
                <w:bCs/>
                <w:color w:val="000000"/>
                <w:sz w:val="24"/>
              </w:rPr>
              <w:t>Private</w:t>
            </w:r>
          </w:p>
        </w:tc>
        <w:tc>
          <w:tcPr>
            <w:tcW w:w="0" w:type="auto"/>
          </w:tcPr>
          <w:p w14:paraId="16E8327B" w14:textId="77777777" w:rsidR="00CD4FD0" w:rsidRPr="006B4A66" w:rsidRDefault="00CD4FD0" w:rsidP="0073496A">
            <w:pPr>
              <w:tabs>
                <w:tab w:val="left" w:pos="720"/>
              </w:tabs>
              <w:spacing w:line="480" w:lineRule="auto"/>
              <w:rPr>
                <w:rFonts w:eastAsia="Calibri"/>
                <w:b/>
                <w:bCs/>
                <w:color w:val="000000"/>
                <w:sz w:val="24"/>
              </w:rPr>
            </w:pPr>
            <w:r w:rsidRPr="006B4A66">
              <w:rPr>
                <w:rFonts w:eastAsia="Calibri"/>
                <w:b/>
                <w:bCs/>
                <w:color w:val="000000"/>
                <w:sz w:val="24"/>
              </w:rPr>
              <w:t>Public</w:t>
            </w:r>
          </w:p>
        </w:tc>
        <w:tc>
          <w:tcPr>
            <w:tcW w:w="0" w:type="auto"/>
          </w:tcPr>
          <w:p w14:paraId="64E5676E" w14:textId="77777777" w:rsidR="00CD4FD0" w:rsidRPr="006B4A66" w:rsidRDefault="00CD4FD0" w:rsidP="0073496A">
            <w:pPr>
              <w:tabs>
                <w:tab w:val="left" w:pos="720"/>
              </w:tabs>
              <w:spacing w:line="480" w:lineRule="auto"/>
              <w:rPr>
                <w:rFonts w:eastAsia="Calibri"/>
                <w:b/>
                <w:bCs/>
                <w:color w:val="000000"/>
                <w:sz w:val="24"/>
              </w:rPr>
            </w:pPr>
            <w:r w:rsidRPr="006B4A66">
              <w:rPr>
                <w:rFonts w:eastAsia="Calibri"/>
                <w:b/>
                <w:bCs/>
                <w:color w:val="000000"/>
                <w:sz w:val="24"/>
              </w:rPr>
              <w:t>Assembly</w:t>
            </w:r>
            <w:r w:rsidRPr="006B4A66">
              <w:rPr>
                <w:rFonts w:eastAsia="Calibri"/>
                <w:b/>
                <w:bCs/>
                <w:color w:val="000000"/>
                <w:sz w:val="24"/>
                <w:vertAlign w:val="superscript"/>
              </w:rPr>
              <w:t>6</w:t>
            </w:r>
          </w:p>
        </w:tc>
      </w:tr>
      <w:tr w:rsidR="00CD4FD0" w:rsidRPr="006B4A66" w14:paraId="4309F3C7" w14:textId="77777777" w:rsidTr="005D21A1">
        <w:tc>
          <w:tcPr>
            <w:tcW w:w="0" w:type="auto"/>
          </w:tcPr>
          <w:p w14:paraId="42CD2E44"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Bathtub or combination bath/shower (fill)</w:t>
            </w:r>
          </w:p>
        </w:tc>
        <w:tc>
          <w:tcPr>
            <w:tcW w:w="0" w:type="auto"/>
          </w:tcPr>
          <w:p w14:paraId="5474CA35"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0.5</w:t>
            </w:r>
          </w:p>
        </w:tc>
        <w:tc>
          <w:tcPr>
            <w:tcW w:w="0" w:type="auto"/>
          </w:tcPr>
          <w:p w14:paraId="1F7E357D"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4.0</w:t>
            </w:r>
          </w:p>
        </w:tc>
        <w:tc>
          <w:tcPr>
            <w:tcW w:w="0" w:type="auto"/>
          </w:tcPr>
          <w:p w14:paraId="47D6B4E8"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4.0</w:t>
            </w:r>
          </w:p>
        </w:tc>
        <w:tc>
          <w:tcPr>
            <w:tcW w:w="0" w:type="auto"/>
          </w:tcPr>
          <w:p w14:paraId="12E7007A" w14:textId="77777777" w:rsidR="00CD4FD0" w:rsidRPr="006B4A66" w:rsidRDefault="00CD4FD0" w:rsidP="0073496A">
            <w:pPr>
              <w:tabs>
                <w:tab w:val="left" w:pos="720"/>
              </w:tabs>
              <w:spacing w:line="480" w:lineRule="auto"/>
              <w:rPr>
                <w:rFonts w:eastAsia="Calibri"/>
                <w:color w:val="000000"/>
                <w:sz w:val="24"/>
              </w:rPr>
            </w:pPr>
          </w:p>
        </w:tc>
      </w:tr>
      <w:tr w:rsidR="00CD4FD0" w:rsidRPr="006B4A66" w14:paraId="4A4AAF0C" w14:textId="77777777" w:rsidTr="005D21A1">
        <w:tc>
          <w:tcPr>
            <w:tcW w:w="0" w:type="auto"/>
          </w:tcPr>
          <w:p w14:paraId="6FDA009E"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0.75 inch bathtub fill valve</w:t>
            </w:r>
          </w:p>
        </w:tc>
        <w:tc>
          <w:tcPr>
            <w:tcW w:w="0" w:type="auto"/>
          </w:tcPr>
          <w:p w14:paraId="195699BF"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0.75</w:t>
            </w:r>
          </w:p>
        </w:tc>
        <w:tc>
          <w:tcPr>
            <w:tcW w:w="0" w:type="auto"/>
          </w:tcPr>
          <w:p w14:paraId="2A55010A"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10.0</w:t>
            </w:r>
          </w:p>
        </w:tc>
        <w:tc>
          <w:tcPr>
            <w:tcW w:w="0" w:type="auto"/>
          </w:tcPr>
          <w:p w14:paraId="1A15AF82"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10.0</w:t>
            </w:r>
          </w:p>
        </w:tc>
        <w:tc>
          <w:tcPr>
            <w:tcW w:w="0" w:type="auto"/>
          </w:tcPr>
          <w:p w14:paraId="4CFABDA8" w14:textId="77777777" w:rsidR="00CD4FD0" w:rsidRPr="006B4A66" w:rsidRDefault="00CD4FD0" w:rsidP="0073496A">
            <w:pPr>
              <w:tabs>
                <w:tab w:val="left" w:pos="720"/>
              </w:tabs>
              <w:spacing w:line="480" w:lineRule="auto"/>
              <w:rPr>
                <w:rFonts w:eastAsia="Calibri"/>
                <w:color w:val="000000"/>
                <w:sz w:val="24"/>
              </w:rPr>
            </w:pPr>
          </w:p>
        </w:tc>
      </w:tr>
      <w:tr w:rsidR="00CD4FD0" w:rsidRPr="006B4A66" w14:paraId="64FA2352" w14:textId="77777777" w:rsidTr="005D21A1">
        <w:tc>
          <w:tcPr>
            <w:tcW w:w="0" w:type="auto"/>
          </w:tcPr>
          <w:p w14:paraId="2E2A311C"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Bidet</w:t>
            </w:r>
          </w:p>
        </w:tc>
        <w:tc>
          <w:tcPr>
            <w:tcW w:w="0" w:type="auto"/>
          </w:tcPr>
          <w:p w14:paraId="23AAB92B"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0.5</w:t>
            </w:r>
          </w:p>
        </w:tc>
        <w:tc>
          <w:tcPr>
            <w:tcW w:w="0" w:type="auto"/>
          </w:tcPr>
          <w:p w14:paraId="678E70B9"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1.0</w:t>
            </w:r>
          </w:p>
        </w:tc>
        <w:tc>
          <w:tcPr>
            <w:tcW w:w="0" w:type="auto"/>
          </w:tcPr>
          <w:p w14:paraId="5E875BB2" w14:textId="77777777" w:rsidR="00CD4FD0" w:rsidRPr="006B4A66" w:rsidRDefault="00CD4FD0" w:rsidP="0073496A">
            <w:pPr>
              <w:tabs>
                <w:tab w:val="left" w:pos="720"/>
              </w:tabs>
              <w:spacing w:line="480" w:lineRule="auto"/>
              <w:rPr>
                <w:rFonts w:eastAsia="Calibri"/>
                <w:color w:val="000000"/>
                <w:sz w:val="24"/>
              </w:rPr>
            </w:pPr>
          </w:p>
        </w:tc>
        <w:tc>
          <w:tcPr>
            <w:tcW w:w="0" w:type="auto"/>
          </w:tcPr>
          <w:p w14:paraId="09D5AA7D" w14:textId="77777777" w:rsidR="00CD4FD0" w:rsidRPr="006B4A66" w:rsidRDefault="00CD4FD0" w:rsidP="0073496A">
            <w:pPr>
              <w:tabs>
                <w:tab w:val="left" w:pos="720"/>
              </w:tabs>
              <w:spacing w:line="480" w:lineRule="auto"/>
              <w:rPr>
                <w:rFonts w:eastAsia="Calibri"/>
                <w:color w:val="000000"/>
                <w:sz w:val="24"/>
              </w:rPr>
            </w:pPr>
          </w:p>
        </w:tc>
      </w:tr>
      <w:tr w:rsidR="00CD4FD0" w:rsidRPr="006B4A66" w14:paraId="143D6276" w14:textId="77777777" w:rsidTr="005D21A1">
        <w:tc>
          <w:tcPr>
            <w:tcW w:w="0" w:type="auto"/>
          </w:tcPr>
          <w:p w14:paraId="6B29FD8B"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Clothes washer</w:t>
            </w:r>
          </w:p>
        </w:tc>
        <w:tc>
          <w:tcPr>
            <w:tcW w:w="0" w:type="auto"/>
          </w:tcPr>
          <w:p w14:paraId="44F0A7E5"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0.5</w:t>
            </w:r>
          </w:p>
        </w:tc>
        <w:tc>
          <w:tcPr>
            <w:tcW w:w="0" w:type="auto"/>
          </w:tcPr>
          <w:p w14:paraId="5F65D355"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4.0</w:t>
            </w:r>
          </w:p>
        </w:tc>
        <w:tc>
          <w:tcPr>
            <w:tcW w:w="0" w:type="auto"/>
          </w:tcPr>
          <w:p w14:paraId="6069473B"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4.0</w:t>
            </w:r>
          </w:p>
        </w:tc>
        <w:tc>
          <w:tcPr>
            <w:tcW w:w="0" w:type="auto"/>
          </w:tcPr>
          <w:p w14:paraId="41DE9D17" w14:textId="77777777" w:rsidR="00CD4FD0" w:rsidRPr="006B4A66" w:rsidRDefault="00CD4FD0" w:rsidP="0073496A">
            <w:pPr>
              <w:tabs>
                <w:tab w:val="left" w:pos="720"/>
              </w:tabs>
              <w:spacing w:line="480" w:lineRule="auto"/>
              <w:rPr>
                <w:rFonts w:eastAsia="Calibri"/>
                <w:color w:val="000000"/>
                <w:sz w:val="24"/>
              </w:rPr>
            </w:pPr>
          </w:p>
        </w:tc>
      </w:tr>
      <w:tr w:rsidR="00CD4FD0" w:rsidRPr="006B4A66" w14:paraId="2F5BD578" w14:textId="77777777" w:rsidTr="005D21A1">
        <w:tc>
          <w:tcPr>
            <w:tcW w:w="0" w:type="auto"/>
          </w:tcPr>
          <w:p w14:paraId="11F6F9F3"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Dental unit, cuspidor</w:t>
            </w:r>
          </w:p>
        </w:tc>
        <w:tc>
          <w:tcPr>
            <w:tcW w:w="0" w:type="auto"/>
          </w:tcPr>
          <w:p w14:paraId="4ADF91C7"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0.5</w:t>
            </w:r>
          </w:p>
        </w:tc>
        <w:tc>
          <w:tcPr>
            <w:tcW w:w="0" w:type="auto"/>
          </w:tcPr>
          <w:p w14:paraId="7DE86977" w14:textId="77777777" w:rsidR="00CD4FD0" w:rsidRPr="006B4A66" w:rsidRDefault="00CD4FD0" w:rsidP="0073496A">
            <w:pPr>
              <w:tabs>
                <w:tab w:val="left" w:pos="720"/>
              </w:tabs>
              <w:spacing w:line="480" w:lineRule="auto"/>
              <w:rPr>
                <w:rFonts w:eastAsia="Calibri"/>
                <w:color w:val="000000"/>
                <w:sz w:val="24"/>
              </w:rPr>
            </w:pPr>
          </w:p>
        </w:tc>
        <w:tc>
          <w:tcPr>
            <w:tcW w:w="0" w:type="auto"/>
          </w:tcPr>
          <w:p w14:paraId="5822E2D4"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1.0</w:t>
            </w:r>
          </w:p>
        </w:tc>
        <w:tc>
          <w:tcPr>
            <w:tcW w:w="0" w:type="auto"/>
          </w:tcPr>
          <w:p w14:paraId="4D64CEBC" w14:textId="77777777" w:rsidR="00CD4FD0" w:rsidRPr="006B4A66" w:rsidRDefault="00CD4FD0" w:rsidP="0073496A">
            <w:pPr>
              <w:tabs>
                <w:tab w:val="left" w:pos="720"/>
              </w:tabs>
              <w:spacing w:line="480" w:lineRule="auto"/>
              <w:rPr>
                <w:rFonts w:eastAsia="Calibri"/>
                <w:color w:val="000000"/>
                <w:sz w:val="24"/>
              </w:rPr>
            </w:pPr>
          </w:p>
        </w:tc>
      </w:tr>
      <w:tr w:rsidR="00CD4FD0" w:rsidRPr="006B4A66" w14:paraId="54E973AD" w14:textId="77777777" w:rsidTr="005D21A1">
        <w:tc>
          <w:tcPr>
            <w:tcW w:w="0" w:type="auto"/>
          </w:tcPr>
          <w:p w14:paraId="711927E5"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Dishwasher, domestic</w:t>
            </w:r>
          </w:p>
        </w:tc>
        <w:tc>
          <w:tcPr>
            <w:tcW w:w="0" w:type="auto"/>
          </w:tcPr>
          <w:p w14:paraId="6D1C6B15"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0.5</w:t>
            </w:r>
          </w:p>
        </w:tc>
        <w:tc>
          <w:tcPr>
            <w:tcW w:w="0" w:type="auto"/>
          </w:tcPr>
          <w:p w14:paraId="7644FE3C"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1.5</w:t>
            </w:r>
          </w:p>
        </w:tc>
        <w:tc>
          <w:tcPr>
            <w:tcW w:w="0" w:type="auto"/>
          </w:tcPr>
          <w:p w14:paraId="4FDA3C81"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1.5</w:t>
            </w:r>
          </w:p>
        </w:tc>
        <w:tc>
          <w:tcPr>
            <w:tcW w:w="0" w:type="auto"/>
          </w:tcPr>
          <w:p w14:paraId="025012AF" w14:textId="77777777" w:rsidR="00CD4FD0" w:rsidRPr="006B4A66" w:rsidRDefault="00CD4FD0" w:rsidP="0073496A">
            <w:pPr>
              <w:tabs>
                <w:tab w:val="left" w:pos="720"/>
              </w:tabs>
              <w:spacing w:line="480" w:lineRule="auto"/>
              <w:rPr>
                <w:rFonts w:eastAsia="Calibri"/>
                <w:color w:val="000000"/>
                <w:sz w:val="24"/>
              </w:rPr>
            </w:pPr>
          </w:p>
        </w:tc>
      </w:tr>
      <w:tr w:rsidR="00CD4FD0" w:rsidRPr="006B4A66" w14:paraId="2D57B7D9" w14:textId="77777777" w:rsidTr="005D21A1">
        <w:tc>
          <w:tcPr>
            <w:tcW w:w="0" w:type="auto"/>
          </w:tcPr>
          <w:p w14:paraId="1B07A538"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Drinking fountain or water cooler</w:t>
            </w:r>
          </w:p>
        </w:tc>
        <w:tc>
          <w:tcPr>
            <w:tcW w:w="0" w:type="auto"/>
          </w:tcPr>
          <w:p w14:paraId="0F5A1902"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0.5</w:t>
            </w:r>
          </w:p>
        </w:tc>
        <w:tc>
          <w:tcPr>
            <w:tcW w:w="0" w:type="auto"/>
          </w:tcPr>
          <w:p w14:paraId="0E7E1608"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0.5</w:t>
            </w:r>
          </w:p>
        </w:tc>
        <w:tc>
          <w:tcPr>
            <w:tcW w:w="0" w:type="auto"/>
          </w:tcPr>
          <w:p w14:paraId="161FDC25"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0.5</w:t>
            </w:r>
          </w:p>
        </w:tc>
        <w:tc>
          <w:tcPr>
            <w:tcW w:w="0" w:type="auto"/>
          </w:tcPr>
          <w:p w14:paraId="5F4D237F"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0.75</w:t>
            </w:r>
          </w:p>
        </w:tc>
      </w:tr>
      <w:tr w:rsidR="00CD4FD0" w:rsidRPr="006B4A66" w14:paraId="0CF3584D" w14:textId="77777777" w:rsidTr="005D21A1">
        <w:tc>
          <w:tcPr>
            <w:tcW w:w="0" w:type="auto"/>
          </w:tcPr>
          <w:p w14:paraId="1934CB36"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Hose bibb</w:t>
            </w:r>
          </w:p>
        </w:tc>
        <w:tc>
          <w:tcPr>
            <w:tcW w:w="0" w:type="auto"/>
          </w:tcPr>
          <w:p w14:paraId="1964A61E"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0.5</w:t>
            </w:r>
          </w:p>
        </w:tc>
        <w:tc>
          <w:tcPr>
            <w:tcW w:w="0" w:type="auto"/>
          </w:tcPr>
          <w:p w14:paraId="45459C06"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2.5</w:t>
            </w:r>
          </w:p>
        </w:tc>
        <w:tc>
          <w:tcPr>
            <w:tcW w:w="0" w:type="auto"/>
          </w:tcPr>
          <w:p w14:paraId="1A7F64D4"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2.5</w:t>
            </w:r>
          </w:p>
        </w:tc>
        <w:tc>
          <w:tcPr>
            <w:tcW w:w="0" w:type="auto"/>
          </w:tcPr>
          <w:p w14:paraId="244BD9E8" w14:textId="77777777" w:rsidR="00CD4FD0" w:rsidRPr="006B4A66" w:rsidRDefault="00CD4FD0" w:rsidP="0073496A">
            <w:pPr>
              <w:tabs>
                <w:tab w:val="left" w:pos="720"/>
              </w:tabs>
              <w:spacing w:line="480" w:lineRule="auto"/>
              <w:rPr>
                <w:rFonts w:eastAsia="Calibri"/>
                <w:color w:val="000000"/>
                <w:sz w:val="24"/>
              </w:rPr>
            </w:pPr>
          </w:p>
        </w:tc>
      </w:tr>
      <w:tr w:rsidR="00CD4FD0" w:rsidRPr="006B4A66" w14:paraId="2485262F" w14:textId="77777777" w:rsidTr="005D21A1">
        <w:tc>
          <w:tcPr>
            <w:tcW w:w="0" w:type="auto"/>
          </w:tcPr>
          <w:p w14:paraId="6E8F2C3B"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Hose bibb, each additional</w:t>
            </w:r>
            <w:r w:rsidRPr="006B4A66">
              <w:rPr>
                <w:rFonts w:eastAsia="Calibri"/>
                <w:color w:val="000000"/>
                <w:sz w:val="24"/>
                <w:vertAlign w:val="superscript"/>
              </w:rPr>
              <w:t>8</w:t>
            </w:r>
          </w:p>
        </w:tc>
        <w:tc>
          <w:tcPr>
            <w:tcW w:w="0" w:type="auto"/>
          </w:tcPr>
          <w:p w14:paraId="05A0BE5C"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0.5</w:t>
            </w:r>
          </w:p>
        </w:tc>
        <w:tc>
          <w:tcPr>
            <w:tcW w:w="0" w:type="auto"/>
          </w:tcPr>
          <w:p w14:paraId="02B38AB2"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1.0</w:t>
            </w:r>
          </w:p>
        </w:tc>
        <w:tc>
          <w:tcPr>
            <w:tcW w:w="0" w:type="auto"/>
          </w:tcPr>
          <w:p w14:paraId="3CDC75C7"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1.0</w:t>
            </w:r>
          </w:p>
        </w:tc>
        <w:tc>
          <w:tcPr>
            <w:tcW w:w="0" w:type="auto"/>
          </w:tcPr>
          <w:p w14:paraId="709F2617" w14:textId="77777777" w:rsidR="00CD4FD0" w:rsidRPr="006B4A66" w:rsidRDefault="00CD4FD0" w:rsidP="0073496A">
            <w:pPr>
              <w:tabs>
                <w:tab w:val="left" w:pos="720"/>
              </w:tabs>
              <w:spacing w:line="480" w:lineRule="auto"/>
              <w:rPr>
                <w:rFonts w:eastAsia="Calibri"/>
                <w:color w:val="000000"/>
                <w:sz w:val="24"/>
              </w:rPr>
            </w:pPr>
          </w:p>
        </w:tc>
      </w:tr>
      <w:tr w:rsidR="00CD4FD0" w:rsidRPr="006B4A66" w14:paraId="0B7392C0" w14:textId="77777777" w:rsidTr="005D21A1">
        <w:tc>
          <w:tcPr>
            <w:tcW w:w="0" w:type="auto"/>
          </w:tcPr>
          <w:p w14:paraId="2316AD39" w14:textId="77777777" w:rsidR="00CD4FD0" w:rsidRPr="006B4A66" w:rsidRDefault="00CD4FD0" w:rsidP="0073496A">
            <w:pPr>
              <w:tabs>
                <w:tab w:val="left" w:pos="720"/>
              </w:tabs>
              <w:spacing w:line="480" w:lineRule="auto"/>
              <w:rPr>
                <w:rFonts w:eastAsia="Calibri"/>
                <w:color w:val="000000"/>
                <w:sz w:val="24"/>
                <w:vertAlign w:val="superscript"/>
              </w:rPr>
            </w:pPr>
            <w:r w:rsidRPr="006B4A66">
              <w:rPr>
                <w:rFonts w:eastAsia="Calibri"/>
                <w:color w:val="000000"/>
                <w:sz w:val="24"/>
              </w:rPr>
              <w:t>Lavatory</w:t>
            </w:r>
            <w:r w:rsidRPr="006B4A66">
              <w:rPr>
                <w:rFonts w:eastAsia="Calibri"/>
                <w:color w:val="000000"/>
                <w:sz w:val="24"/>
                <w:vertAlign w:val="superscript"/>
              </w:rPr>
              <w:t>9</w:t>
            </w:r>
          </w:p>
        </w:tc>
        <w:tc>
          <w:tcPr>
            <w:tcW w:w="0" w:type="auto"/>
          </w:tcPr>
          <w:p w14:paraId="38001682"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0.5</w:t>
            </w:r>
          </w:p>
        </w:tc>
        <w:tc>
          <w:tcPr>
            <w:tcW w:w="0" w:type="auto"/>
          </w:tcPr>
          <w:p w14:paraId="766C58E8"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1.0</w:t>
            </w:r>
          </w:p>
        </w:tc>
        <w:tc>
          <w:tcPr>
            <w:tcW w:w="0" w:type="auto"/>
          </w:tcPr>
          <w:p w14:paraId="359BBAC3"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1.0</w:t>
            </w:r>
          </w:p>
        </w:tc>
        <w:tc>
          <w:tcPr>
            <w:tcW w:w="0" w:type="auto"/>
          </w:tcPr>
          <w:p w14:paraId="325895B2"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1.0</w:t>
            </w:r>
          </w:p>
        </w:tc>
      </w:tr>
      <w:tr w:rsidR="00CD4FD0" w:rsidRPr="006B4A66" w14:paraId="66CE08CC" w14:textId="77777777" w:rsidTr="005D21A1">
        <w:tc>
          <w:tcPr>
            <w:tcW w:w="0" w:type="auto"/>
          </w:tcPr>
          <w:p w14:paraId="6BD1955B"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Lawn sprinkler, each head</w:t>
            </w:r>
            <w:r w:rsidRPr="006B4A66">
              <w:rPr>
                <w:rFonts w:eastAsia="Calibri"/>
                <w:color w:val="000000"/>
                <w:sz w:val="24"/>
                <w:vertAlign w:val="superscript"/>
              </w:rPr>
              <w:t>5</w:t>
            </w:r>
          </w:p>
        </w:tc>
        <w:tc>
          <w:tcPr>
            <w:tcW w:w="0" w:type="auto"/>
          </w:tcPr>
          <w:p w14:paraId="625BBA72" w14:textId="77777777" w:rsidR="00CD4FD0" w:rsidRPr="006B4A66" w:rsidRDefault="00CD4FD0" w:rsidP="0073496A">
            <w:pPr>
              <w:tabs>
                <w:tab w:val="left" w:pos="720"/>
              </w:tabs>
              <w:spacing w:line="480" w:lineRule="auto"/>
              <w:rPr>
                <w:rFonts w:eastAsia="Calibri"/>
                <w:color w:val="000000"/>
                <w:sz w:val="24"/>
              </w:rPr>
            </w:pPr>
          </w:p>
        </w:tc>
        <w:tc>
          <w:tcPr>
            <w:tcW w:w="0" w:type="auto"/>
          </w:tcPr>
          <w:p w14:paraId="740C80F3"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1.0</w:t>
            </w:r>
          </w:p>
        </w:tc>
        <w:tc>
          <w:tcPr>
            <w:tcW w:w="0" w:type="auto"/>
          </w:tcPr>
          <w:p w14:paraId="1EBBECCE"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1.0</w:t>
            </w:r>
          </w:p>
        </w:tc>
        <w:tc>
          <w:tcPr>
            <w:tcW w:w="0" w:type="auto"/>
          </w:tcPr>
          <w:p w14:paraId="2A785E7F" w14:textId="77777777" w:rsidR="00CD4FD0" w:rsidRPr="006B4A66" w:rsidRDefault="00CD4FD0" w:rsidP="0073496A">
            <w:pPr>
              <w:tabs>
                <w:tab w:val="left" w:pos="720"/>
              </w:tabs>
              <w:spacing w:line="480" w:lineRule="auto"/>
              <w:rPr>
                <w:rFonts w:eastAsia="Calibri"/>
                <w:color w:val="000000"/>
                <w:sz w:val="24"/>
              </w:rPr>
            </w:pPr>
          </w:p>
        </w:tc>
      </w:tr>
      <w:tr w:rsidR="00CD4FD0" w:rsidRPr="006B4A66" w14:paraId="4333315C" w14:textId="77777777" w:rsidTr="005D21A1">
        <w:tc>
          <w:tcPr>
            <w:tcW w:w="0" w:type="auto"/>
          </w:tcPr>
          <w:p w14:paraId="09347213"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Mobile home, each (minimum)</w:t>
            </w:r>
          </w:p>
        </w:tc>
        <w:tc>
          <w:tcPr>
            <w:tcW w:w="0" w:type="auto"/>
          </w:tcPr>
          <w:p w14:paraId="3C08EEF6" w14:textId="77777777" w:rsidR="00CD4FD0" w:rsidRPr="006B4A66" w:rsidRDefault="00CD4FD0" w:rsidP="0073496A">
            <w:pPr>
              <w:tabs>
                <w:tab w:val="left" w:pos="720"/>
              </w:tabs>
              <w:spacing w:line="480" w:lineRule="auto"/>
              <w:rPr>
                <w:rFonts w:eastAsia="Calibri"/>
                <w:color w:val="000000"/>
                <w:sz w:val="24"/>
              </w:rPr>
            </w:pPr>
          </w:p>
        </w:tc>
        <w:tc>
          <w:tcPr>
            <w:tcW w:w="0" w:type="auto"/>
          </w:tcPr>
          <w:p w14:paraId="3DC425B7"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12.0</w:t>
            </w:r>
          </w:p>
        </w:tc>
        <w:tc>
          <w:tcPr>
            <w:tcW w:w="0" w:type="auto"/>
          </w:tcPr>
          <w:p w14:paraId="28E7A8DC" w14:textId="77777777" w:rsidR="00CD4FD0" w:rsidRPr="006B4A66" w:rsidRDefault="00CD4FD0" w:rsidP="0073496A">
            <w:pPr>
              <w:tabs>
                <w:tab w:val="left" w:pos="720"/>
              </w:tabs>
              <w:spacing w:line="480" w:lineRule="auto"/>
              <w:rPr>
                <w:rFonts w:eastAsia="Calibri"/>
                <w:color w:val="000000"/>
                <w:sz w:val="24"/>
              </w:rPr>
            </w:pPr>
          </w:p>
        </w:tc>
        <w:tc>
          <w:tcPr>
            <w:tcW w:w="0" w:type="auto"/>
          </w:tcPr>
          <w:p w14:paraId="5A45CF6B" w14:textId="77777777" w:rsidR="00CD4FD0" w:rsidRPr="006B4A66" w:rsidRDefault="00CD4FD0" w:rsidP="0073496A">
            <w:pPr>
              <w:tabs>
                <w:tab w:val="left" w:pos="720"/>
              </w:tabs>
              <w:spacing w:line="480" w:lineRule="auto"/>
              <w:rPr>
                <w:rFonts w:eastAsia="Calibri"/>
                <w:color w:val="000000"/>
                <w:sz w:val="24"/>
              </w:rPr>
            </w:pPr>
          </w:p>
        </w:tc>
      </w:tr>
      <w:tr w:rsidR="00CD4FD0" w:rsidRPr="006B4A66" w14:paraId="75EB0003" w14:textId="77777777" w:rsidTr="005D21A1">
        <w:tc>
          <w:tcPr>
            <w:tcW w:w="0" w:type="auto"/>
          </w:tcPr>
          <w:p w14:paraId="1DF96912"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Sinks</w:t>
            </w:r>
          </w:p>
        </w:tc>
        <w:tc>
          <w:tcPr>
            <w:tcW w:w="0" w:type="auto"/>
          </w:tcPr>
          <w:p w14:paraId="0440986E" w14:textId="77777777" w:rsidR="00CD4FD0" w:rsidRPr="006B4A66" w:rsidRDefault="00CD4FD0" w:rsidP="0073496A">
            <w:pPr>
              <w:tabs>
                <w:tab w:val="left" w:pos="720"/>
              </w:tabs>
              <w:spacing w:line="480" w:lineRule="auto"/>
              <w:rPr>
                <w:rFonts w:eastAsia="Calibri"/>
                <w:color w:val="000000"/>
                <w:sz w:val="24"/>
              </w:rPr>
            </w:pPr>
          </w:p>
        </w:tc>
        <w:tc>
          <w:tcPr>
            <w:tcW w:w="0" w:type="auto"/>
          </w:tcPr>
          <w:p w14:paraId="3D2472FA" w14:textId="77777777" w:rsidR="00CD4FD0" w:rsidRPr="006B4A66" w:rsidRDefault="00CD4FD0" w:rsidP="0073496A">
            <w:pPr>
              <w:tabs>
                <w:tab w:val="left" w:pos="720"/>
              </w:tabs>
              <w:spacing w:line="480" w:lineRule="auto"/>
              <w:rPr>
                <w:rFonts w:eastAsia="Calibri"/>
                <w:color w:val="000000"/>
                <w:sz w:val="24"/>
              </w:rPr>
            </w:pPr>
          </w:p>
        </w:tc>
        <w:tc>
          <w:tcPr>
            <w:tcW w:w="0" w:type="auto"/>
          </w:tcPr>
          <w:p w14:paraId="3A5BB172" w14:textId="77777777" w:rsidR="00CD4FD0" w:rsidRPr="006B4A66" w:rsidRDefault="00CD4FD0" w:rsidP="0073496A">
            <w:pPr>
              <w:tabs>
                <w:tab w:val="left" w:pos="720"/>
              </w:tabs>
              <w:spacing w:line="480" w:lineRule="auto"/>
              <w:rPr>
                <w:rFonts w:eastAsia="Calibri"/>
                <w:color w:val="000000"/>
                <w:sz w:val="24"/>
              </w:rPr>
            </w:pPr>
          </w:p>
        </w:tc>
        <w:tc>
          <w:tcPr>
            <w:tcW w:w="0" w:type="auto"/>
          </w:tcPr>
          <w:p w14:paraId="6AB326F9" w14:textId="77777777" w:rsidR="00CD4FD0" w:rsidRPr="006B4A66" w:rsidRDefault="00CD4FD0" w:rsidP="0073496A">
            <w:pPr>
              <w:tabs>
                <w:tab w:val="left" w:pos="720"/>
              </w:tabs>
              <w:spacing w:line="480" w:lineRule="auto"/>
              <w:rPr>
                <w:rFonts w:eastAsia="Calibri"/>
                <w:color w:val="000000"/>
                <w:sz w:val="24"/>
              </w:rPr>
            </w:pPr>
          </w:p>
        </w:tc>
      </w:tr>
      <w:tr w:rsidR="00CD4FD0" w:rsidRPr="006B4A66" w14:paraId="34F92EF2" w14:textId="77777777" w:rsidTr="005D21A1">
        <w:tc>
          <w:tcPr>
            <w:tcW w:w="0" w:type="auto"/>
          </w:tcPr>
          <w:p w14:paraId="536C5FF6"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Bar</w:t>
            </w:r>
          </w:p>
        </w:tc>
        <w:tc>
          <w:tcPr>
            <w:tcW w:w="0" w:type="auto"/>
          </w:tcPr>
          <w:p w14:paraId="7FAA375B"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0.5</w:t>
            </w:r>
          </w:p>
        </w:tc>
        <w:tc>
          <w:tcPr>
            <w:tcW w:w="0" w:type="auto"/>
          </w:tcPr>
          <w:p w14:paraId="401A99D7"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1.0</w:t>
            </w:r>
          </w:p>
        </w:tc>
        <w:tc>
          <w:tcPr>
            <w:tcW w:w="0" w:type="auto"/>
          </w:tcPr>
          <w:p w14:paraId="578CA9A4"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2.0</w:t>
            </w:r>
          </w:p>
        </w:tc>
        <w:tc>
          <w:tcPr>
            <w:tcW w:w="0" w:type="auto"/>
          </w:tcPr>
          <w:p w14:paraId="4A54DEEE" w14:textId="77777777" w:rsidR="00CD4FD0" w:rsidRPr="006B4A66" w:rsidRDefault="00CD4FD0" w:rsidP="0073496A">
            <w:pPr>
              <w:tabs>
                <w:tab w:val="left" w:pos="720"/>
              </w:tabs>
              <w:spacing w:line="480" w:lineRule="auto"/>
              <w:rPr>
                <w:rFonts w:eastAsia="Calibri"/>
                <w:color w:val="000000"/>
                <w:sz w:val="24"/>
              </w:rPr>
            </w:pPr>
          </w:p>
        </w:tc>
      </w:tr>
      <w:tr w:rsidR="00CD4FD0" w:rsidRPr="006B4A66" w14:paraId="6F8E4357" w14:textId="77777777" w:rsidTr="005D21A1">
        <w:tc>
          <w:tcPr>
            <w:tcW w:w="0" w:type="auto"/>
          </w:tcPr>
          <w:p w14:paraId="568AD5A0"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lastRenderedPageBreak/>
              <w:t>Clinical faucet</w:t>
            </w:r>
          </w:p>
        </w:tc>
        <w:tc>
          <w:tcPr>
            <w:tcW w:w="0" w:type="auto"/>
          </w:tcPr>
          <w:p w14:paraId="2732418E"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0.5</w:t>
            </w:r>
          </w:p>
        </w:tc>
        <w:tc>
          <w:tcPr>
            <w:tcW w:w="0" w:type="auto"/>
          </w:tcPr>
          <w:p w14:paraId="4E09A3AD" w14:textId="77777777" w:rsidR="00CD4FD0" w:rsidRPr="006B4A66" w:rsidRDefault="00CD4FD0" w:rsidP="0073496A">
            <w:pPr>
              <w:tabs>
                <w:tab w:val="left" w:pos="720"/>
              </w:tabs>
              <w:spacing w:line="480" w:lineRule="auto"/>
              <w:rPr>
                <w:rFonts w:eastAsia="Calibri"/>
                <w:color w:val="000000"/>
                <w:sz w:val="24"/>
              </w:rPr>
            </w:pPr>
          </w:p>
        </w:tc>
        <w:tc>
          <w:tcPr>
            <w:tcW w:w="0" w:type="auto"/>
          </w:tcPr>
          <w:p w14:paraId="62D8FB70"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3.0</w:t>
            </w:r>
          </w:p>
        </w:tc>
        <w:tc>
          <w:tcPr>
            <w:tcW w:w="0" w:type="auto"/>
          </w:tcPr>
          <w:p w14:paraId="3932DE7D" w14:textId="77777777" w:rsidR="00CD4FD0" w:rsidRPr="006B4A66" w:rsidRDefault="00CD4FD0" w:rsidP="0073496A">
            <w:pPr>
              <w:tabs>
                <w:tab w:val="left" w:pos="720"/>
              </w:tabs>
              <w:spacing w:line="480" w:lineRule="auto"/>
              <w:rPr>
                <w:rFonts w:eastAsia="Calibri"/>
                <w:color w:val="000000"/>
                <w:sz w:val="24"/>
              </w:rPr>
            </w:pPr>
          </w:p>
        </w:tc>
      </w:tr>
      <w:tr w:rsidR="00CD4FD0" w:rsidRPr="006B4A66" w14:paraId="631D90EA" w14:textId="77777777" w:rsidTr="005D21A1">
        <w:tc>
          <w:tcPr>
            <w:tcW w:w="0" w:type="auto"/>
          </w:tcPr>
          <w:p w14:paraId="3FBA49F4"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Clinical flushometer valve with or without faucet</w:t>
            </w:r>
          </w:p>
        </w:tc>
        <w:tc>
          <w:tcPr>
            <w:tcW w:w="0" w:type="auto"/>
          </w:tcPr>
          <w:p w14:paraId="68B3FE77"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1</w:t>
            </w:r>
          </w:p>
        </w:tc>
        <w:tc>
          <w:tcPr>
            <w:tcW w:w="0" w:type="auto"/>
          </w:tcPr>
          <w:p w14:paraId="5C35F97D" w14:textId="77777777" w:rsidR="00CD4FD0" w:rsidRPr="006B4A66" w:rsidRDefault="00CD4FD0" w:rsidP="0073496A">
            <w:pPr>
              <w:tabs>
                <w:tab w:val="left" w:pos="720"/>
              </w:tabs>
              <w:spacing w:line="480" w:lineRule="auto"/>
              <w:rPr>
                <w:rFonts w:eastAsia="Calibri"/>
                <w:color w:val="000000"/>
                <w:sz w:val="24"/>
              </w:rPr>
            </w:pPr>
          </w:p>
        </w:tc>
        <w:tc>
          <w:tcPr>
            <w:tcW w:w="0" w:type="auto"/>
          </w:tcPr>
          <w:p w14:paraId="1DB11D95"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8.0</w:t>
            </w:r>
          </w:p>
        </w:tc>
        <w:tc>
          <w:tcPr>
            <w:tcW w:w="0" w:type="auto"/>
          </w:tcPr>
          <w:p w14:paraId="2EC8A98F" w14:textId="77777777" w:rsidR="00CD4FD0" w:rsidRPr="006B4A66" w:rsidRDefault="00CD4FD0" w:rsidP="0073496A">
            <w:pPr>
              <w:tabs>
                <w:tab w:val="left" w:pos="720"/>
              </w:tabs>
              <w:spacing w:line="480" w:lineRule="auto"/>
              <w:rPr>
                <w:rFonts w:eastAsia="Calibri"/>
                <w:color w:val="000000"/>
                <w:sz w:val="24"/>
              </w:rPr>
            </w:pPr>
          </w:p>
        </w:tc>
      </w:tr>
      <w:tr w:rsidR="00CD4FD0" w:rsidRPr="006B4A66" w14:paraId="0DB73986" w14:textId="77777777" w:rsidTr="005D21A1">
        <w:tc>
          <w:tcPr>
            <w:tcW w:w="0" w:type="auto"/>
          </w:tcPr>
          <w:p w14:paraId="004D432B"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Kitchen, domestic with or without dishwasher</w:t>
            </w:r>
          </w:p>
        </w:tc>
        <w:tc>
          <w:tcPr>
            <w:tcW w:w="0" w:type="auto"/>
          </w:tcPr>
          <w:p w14:paraId="2F167A26"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0.5</w:t>
            </w:r>
          </w:p>
        </w:tc>
        <w:tc>
          <w:tcPr>
            <w:tcW w:w="0" w:type="auto"/>
          </w:tcPr>
          <w:p w14:paraId="0C58E01F"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1.5</w:t>
            </w:r>
          </w:p>
        </w:tc>
        <w:tc>
          <w:tcPr>
            <w:tcW w:w="0" w:type="auto"/>
          </w:tcPr>
          <w:p w14:paraId="489ABEBB"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1.5</w:t>
            </w:r>
          </w:p>
        </w:tc>
        <w:tc>
          <w:tcPr>
            <w:tcW w:w="0" w:type="auto"/>
          </w:tcPr>
          <w:p w14:paraId="7393F1FC" w14:textId="77777777" w:rsidR="00CD4FD0" w:rsidRPr="006B4A66" w:rsidRDefault="00CD4FD0" w:rsidP="0073496A">
            <w:pPr>
              <w:tabs>
                <w:tab w:val="left" w:pos="720"/>
              </w:tabs>
              <w:spacing w:line="480" w:lineRule="auto"/>
              <w:rPr>
                <w:rFonts w:eastAsia="Calibri"/>
                <w:color w:val="000000"/>
                <w:sz w:val="24"/>
              </w:rPr>
            </w:pPr>
          </w:p>
        </w:tc>
      </w:tr>
      <w:tr w:rsidR="00CD4FD0" w:rsidRPr="006B4A66" w14:paraId="255B7E06" w14:textId="77777777" w:rsidTr="005D21A1">
        <w:tc>
          <w:tcPr>
            <w:tcW w:w="0" w:type="auto"/>
          </w:tcPr>
          <w:p w14:paraId="49268F96"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Laundry</w:t>
            </w:r>
          </w:p>
        </w:tc>
        <w:tc>
          <w:tcPr>
            <w:tcW w:w="0" w:type="auto"/>
          </w:tcPr>
          <w:p w14:paraId="675F5963"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0.5</w:t>
            </w:r>
          </w:p>
        </w:tc>
        <w:tc>
          <w:tcPr>
            <w:tcW w:w="0" w:type="auto"/>
          </w:tcPr>
          <w:p w14:paraId="4FF51A62"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1.5</w:t>
            </w:r>
          </w:p>
        </w:tc>
        <w:tc>
          <w:tcPr>
            <w:tcW w:w="0" w:type="auto"/>
          </w:tcPr>
          <w:p w14:paraId="0901FF44"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1.5</w:t>
            </w:r>
          </w:p>
        </w:tc>
        <w:tc>
          <w:tcPr>
            <w:tcW w:w="0" w:type="auto"/>
          </w:tcPr>
          <w:p w14:paraId="2CAA8921" w14:textId="77777777" w:rsidR="00CD4FD0" w:rsidRPr="006B4A66" w:rsidRDefault="00CD4FD0" w:rsidP="0073496A">
            <w:pPr>
              <w:tabs>
                <w:tab w:val="left" w:pos="720"/>
              </w:tabs>
              <w:spacing w:line="480" w:lineRule="auto"/>
              <w:rPr>
                <w:rFonts w:eastAsia="Calibri"/>
                <w:color w:val="000000"/>
                <w:sz w:val="24"/>
              </w:rPr>
            </w:pPr>
          </w:p>
        </w:tc>
      </w:tr>
      <w:tr w:rsidR="00CD4FD0" w:rsidRPr="006B4A66" w14:paraId="383C062E" w14:textId="77777777" w:rsidTr="005D21A1">
        <w:tc>
          <w:tcPr>
            <w:tcW w:w="0" w:type="auto"/>
          </w:tcPr>
          <w:p w14:paraId="41FE6726"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Service or mop basin</w:t>
            </w:r>
          </w:p>
        </w:tc>
        <w:tc>
          <w:tcPr>
            <w:tcW w:w="0" w:type="auto"/>
          </w:tcPr>
          <w:p w14:paraId="57C7F4C5"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0.5</w:t>
            </w:r>
          </w:p>
        </w:tc>
        <w:tc>
          <w:tcPr>
            <w:tcW w:w="0" w:type="auto"/>
          </w:tcPr>
          <w:p w14:paraId="2D060CD9"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1.5</w:t>
            </w:r>
          </w:p>
        </w:tc>
        <w:tc>
          <w:tcPr>
            <w:tcW w:w="0" w:type="auto"/>
          </w:tcPr>
          <w:p w14:paraId="5C27AE28"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3.0</w:t>
            </w:r>
          </w:p>
        </w:tc>
        <w:tc>
          <w:tcPr>
            <w:tcW w:w="0" w:type="auto"/>
          </w:tcPr>
          <w:p w14:paraId="79511FC0" w14:textId="77777777" w:rsidR="00CD4FD0" w:rsidRPr="006B4A66" w:rsidRDefault="00CD4FD0" w:rsidP="0073496A">
            <w:pPr>
              <w:tabs>
                <w:tab w:val="left" w:pos="720"/>
              </w:tabs>
              <w:spacing w:line="480" w:lineRule="auto"/>
              <w:rPr>
                <w:rFonts w:eastAsia="Calibri"/>
                <w:color w:val="000000"/>
                <w:sz w:val="24"/>
              </w:rPr>
            </w:pPr>
          </w:p>
        </w:tc>
      </w:tr>
      <w:tr w:rsidR="00CD4FD0" w:rsidRPr="006B4A66" w14:paraId="551F8894" w14:textId="77777777" w:rsidTr="005D21A1">
        <w:tc>
          <w:tcPr>
            <w:tcW w:w="0" w:type="auto"/>
          </w:tcPr>
          <w:p w14:paraId="71C5EF3F"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Washup, each set of faucets</w:t>
            </w:r>
          </w:p>
        </w:tc>
        <w:tc>
          <w:tcPr>
            <w:tcW w:w="0" w:type="auto"/>
          </w:tcPr>
          <w:p w14:paraId="51782A3D"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0.5</w:t>
            </w:r>
          </w:p>
        </w:tc>
        <w:tc>
          <w:tcPr>
            <w:tcW w:w="0" w:type="auto"/>
          </w:tcPr>
          <w:p w14:paraId="09F944CC" w14:textId="77777777" w:rsidR="00CD4FD0" w:rsidRPr="006B4A66" w:rsidRDefault="00CD4FD0" w:rsidP="0073496A">
            <w:pPr>
              <w:tabs>
                <w:tab w:val="left" w:pos="720"/>
              </w:tabs>
              <w:spacing w:line="480" w:lineRule="auto"/>
              <w:rPr>
                <w:rFonts w:eastAsia="Calibri"/>
                <w:color w:val="000000"/>
                <w:sz w:val="24"/>
              </w:rPr>
            </w:pPr>
          </w:p>
        </w:tc>
        <w:tc>
          <w:tcPr>
            <w:tcW w:w="0" w:type="auto"/>
          </w:tcPr>
          <w:p w14:paraId="3AD10965"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2.0</w:t>
            </w:r>
          </w:p>
        </w:tc>
        <w:tc>
          <w:tcPr>
            <w:tcW w:w="0" w:type="auto"/>
          </w:tcPr>
          <w:p w14:paraId="006245E1" w14:textId="77777777" w:rsidR="00CD4FD0" w:rsidRPr="006B4A66" w:rsidRDefault="00CD4FD0" w:rsidP="0073496A">
            <w:pPr>
              <w:tabs>
                <w:tab w:val="left" w:pos="720"/>
              </w:tabs>
              <w:spacing w:line="480" w:lineRule="auto"/>
              <w:rPr>
                <w:rFonts w:eastAsia="Calibri"/>
                <w:color w:val="000000"/>
                <w:sz w:val="24"/>
              </w:rPr>
            </w:pPr>
          </w:p>
        </w:tc>
      </w:tr>
      <w:tr w:rsidR="00CD4FD0" w:rsidRPr="006B4A66" w14:paraId="3A6739F3" w14:textId="77777777" w:rsidTr="005D21A1">
        <w:tc>
          <w:tcPr>
            <w:tcW w:w="0" w:type="auto"/>
          </w:tcPr>
          <w:p w14:paraId="35C76651"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Shower, per head</w:t>
            </w:r>
          </w:p>
        </w:tc>
        <w:tc>
          <w:tcPr>
            <w:tcW w:w="0" w:type="auto"/>
          </w:tcPr>
          <w:p w14:paraId="3DACFD67"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0.5</w:t>
            </w:r>
          </w:p>
        </w:tc>
        <w:tc>
          <w:tcPr>
            <w:tcW w:w="0" w:type="auto"/>
          </w:tcPr>
          <w:p w14:paraId="3082394D"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2.0</w:t>
            </w:r>
          </w:p>
        </w:tc>
        <w:tc>
          <w:tcPr>
            <w:tcW w:w="0" w:type="auto"/>
          </w:tcPr>
          <w:p w14:paraId="0EDD137F"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2.0</w:t>
            </w:r>
          </w:p>
        </w:tc>
        <w:tc>
          <w:tcPr>
            <w:tcW w:w="0" w:type="auto"/>
          </w:tcPr>
          <w:p w14:paraId="52419E6A" w14:textId="77777777" w:rsidR="00CD4FD0" w:rsidRPr="006B4A66" w:rsidRDefault="00CD4FD0" w:rsidP="0073496A">
            <w:pPr>
              <w:tabs>
                <w:tab w:val="left" w:pos="720"/>
              </w:tabs>
              <w:spacing w:line="480" w:lineRule="auto"/>
              <w:rPr>
                <w:rFonts w:eastAsia="Calibri"/>
                <w:color w:val="000000"/>
                <w:sz w:val="24"/>
              </w:rPr>
            </w:pPr>
          </w:p>
        </w:tc>
      </w:tr>
      <w:tr w:rsidR="00CD4FD0" w:rsidRPr="006B4A66" w14:paraId="336270EE" w14:textId="77777777" w:rsidTr="005D21A1">
        <w:tc>
          <w:tcPr>
            <w:tcW w:w="0" w:type="auto"/>
          </w:tcPr>
          <w:p w14:paraId="2526F945"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Urinal, 1.0 GPF flushometer valve</w:t>
            </w:r>
          </w:p>
        </w:tc>
        <w:tc>
          <w:tcPr>
            <w:tcW w:w="0" w:type="auto"/>
          </w:tcPr>
          <w:p w14:paraId="6335854F"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0.75</w:t>
            </w:r>
          </w:p>
        </w:tc>
        <w:tc>
          <w:tcPr>
            <w:tcW w:w="0" w:type="auto"/>
            <w:gridSpan w:val="2"/>
          </w:tcPr>
          <w:p w14:paraId="17481F36"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 xml:space="preserve">See footnote </w:t>
            </w:r>
            <w:r w:rsidRPr="006B4A66">
              <w:rPr>
                <w:rFonts w:eastAsia="Calibri"/>
                <w:color w:val="000000"/>
                <w:sz w:val="24"/>
                <w:vertAlign w:val="superscript"/>
              </w:rPr>
              <w:t>7</w:t>
            </w:r>
          </w:p>
        </w:tc>
        <w:tc>
          <w:tcPr>
            <w:tcW w:w="0" w:type="auto"/>
          </w:tcPr>
          <w:p w14:paraId="44E22997" w14:textId="77777777" w:rsidR="00CD4FD0" w:rsidRPr="006B4A66" w:rsidRDefault="00CD4FD0" w:rsidP="0073496A">
            <w:pPr>
              <w:tabs>
                <w:tab w:val="left" w:pos="720"/>
              </w:tabs>
              <w:spacing w:line="480" w:lineRule="auto"/>
              <w:rPr>
                <w:rFonts w:eastAsia="Calibri"/>
                <w:color w:val="000000"/>
                <w:sz w:val="24"/>
              </w:rPr>
            </w:pPr>
          </w:p>
        </w:tc>
      </w:tr>
      <w:tr w:rsidR="00CD4FD0" w:rsidRPr="006B4A66" w14:paraId="76916146" w14:textId="77777777" w:rsidTr="005D21A1">
        <w:tc>
          <w:tcPr>
            <w:tcW w:w="0" w:type="auto"/>
          </w:tcPr>
          <w:p w14:paraId="62932397"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Urinal, greater than 1.0 GPF flushometer valve</w:t>
            </w:r>
          </w:p>
        </w:tc>
        <w:tc>
          <w:tcPr>
            <w:tcW w:w="0" w:type="auto"/>
          </w:tcPr>
          <w:p w14:paraId="41C93C7C"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0.75</w:t>
            </w:r>
          </w:p>
        </w:tc>
        <w:tc>
          <w:tcPr>
            <w:tcW w:w="0" w:type="auto"/>
            <w:gridSpan w:val="2"/>
          </w:tcPr>
          <w:p w14:paraId="602238B6"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 xml:space="preserve">See footnote </w:t>
            </w:r>
            <w:r w:rsidRPr="006B4A66">
              <w:rPr>
                <w:rFonts w:eastAsia="Calibri"/>
                <w:color w:val="000000"/>
                <w:sz w:val="24"/>
                <w:vertAlign w:val="superscript"/>
              </w:rPr>
              <w:t>7</w:t>
            </w:r>
          </w:p>
        </w:tc>
        <w:tc>
          <w:tcPr>
            <w:tcW w:w="0" w:type="auto"/>
          </w:tcPr>
          <w:p w14:paraId="1BE68BE4" w14:textId="77777777" w:rsidR="00CD4FD0" w:rsidRPr="006B4A66" w:rsidRDefault="00CD4FD0" w:rsidP="0073496A">
            <w:pPr>
              <w:tabs>
                <w:tab w:val="left" w:pos="720"/>
              </w:tabs>
              <w:spacing w:line="480" w:lineRule="auto"/>
              <w:rPr>
                <w:rFonts w:eastAsia="Calibri"/>
                <w:color w:val="000000"/>
                <w:sz w:val="24"/>
              </w:rPr>
            </w:pPr>
          </w:p>
        </w:tc>
      </w:tr>
      <w:tr w:rsidR="00CD4FD0" w:rsidRPr="006B4A66" w14:paraId="7F4A0449" w14:textId="77777777" w:rsidTr="005D21A1">
        <w:tc>
          <w:tcPr>
            <w:tcW w:w="0" w:type="auto"/>
          </w:tcPr>
          <w:p w14:paraId="424DA427"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Urinal, flush tank</w:t>
            </w:r>
          </w:p>
        </w:tc>
        <w:tc>
          <w:tcPr>
            <w:tcW w:w="0" w:type="auto"/>
          </w:tcPr>
          <w:p w14:paraId="379F5166"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0.5</w:t>
            </w:r>
          </w:p>
        </w:tc>
        <w:tc>
          <w:tcPr>
            <w:tcW w:w="0" w:type="auto"/>
          </w:tcPr>
          <w:p w14:paraId="760278BD"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2.0</w:t>
            </w:r>
          </w:p>
        </w:tc>
        <w:tc>
          <w:tcPr>
            <w:tcW w:w="0" w:type="auto"/>
          </w:tcPr>
          <w:p w14:paraId="57DEDDD3"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2.0</w:t>
            </w:r>
          </w:p>
        </w:tc>
        <w:tc>
          <w:tcPr>
            <w:tcW w:w="0" w:type="auto"/>
          </w:tcPr>
          <w:p w14:paraId="1BF0C88A"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3.0</w:t>
            </w:r>
          </w:p>
        </w:tc>
      </w:tr>
      <w:tr w:rsidR="00CD4FD0" w:rsidRPr="006B4A66" w14:paraId="73CB24C0" w14:textId="77777777" w:rsidTr="005D21A1">
        <w:tc>
          <w:tcPr>
            <w:tcW w:w="0" w:type="auto"/>
          </w:tcPr>
          <w:p w14:paraId="55936086"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Urinal, hybrid</w:t>
            </w:r>
          </w:p>
        </w:tc>
        <w:tc>
          <w:tcPr>
            <w:tcW w:w="0" w:type="auto"/>
          </w:tcPr>
          <w:p w14:paraId="11EAE633"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0.5</w:t>
            </w:r>
          </w:p>
        </w:tc>
        <w:tc>
          <w:tcPr>
            <w:tcW w:w="0" w:type="auto"/>
          </w:tcPr>
          <w:p w14:paraId="7B8DED1E"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1.0</w:t>
            </w:r>
          </w:p>
        </w:tc>
        <w:tc>
          <w:tcPr>
            <w:tcW w:w="0" w:type="auto"/>
          </w:tcPr>
          <w:p w14:paraId="0ECE99C1"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1.0</w:t>
            </w:r>
          </w:p>
        </w:tc>
        <w:tc>
          <w:tcPr>
            <w:tcW w:w="0" w:type="auto"/>
          </w:tcPr>
          <w:p w14:paraId="26ED2C59"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1.0</w:t>
            </w:r>
          </w:p>
        </w:tc>
      </w:tr>
      <w:tr w:rsidR="00CD4FD0" w:rsidRPr="006B4A66" w14:paraId="5B917467" w14:textId="77777777" w:rsidTr="005D21A1">
        <w:tc>
          <w:tcPr>
            <w:tcW w:w="0" w:type="auto"/>
          </w:tcPr>
          <w:p w14:paraId="534DD275"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Wash fountain, circular spray</w:t>
            </w:r>
          </w:p>
        </w:tc>
        <w:tc>
          <w:tcPr>
            <w:tcW w:w="0" w:type="auto"/>
          </w:tcPr>
          <w:p w14:paraId="6B8FC451"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0.75</w:t>
            </w:r>
          </w:p>
        </w:tc>
        <w:tc>
          <w:tcPr>
            <w:tcW w:w="0" w:type="auto"/>
          </w:tcPr>
          <w:p w14:paraId="056B5443" w14:textId="77777777" w:rsidR="00CD4FD0" w:rsidRPr="006B4A66" w:rsidRDefault="00CD4FD0" w:rsidP="0073496A">
            <w:pPr>
              <w:tabs>
                <w:tab w:val="left" w:pos="720"/>
              </w:tabs>
              <w:spacing w:line="480" w:lineRule="auto"/>
              <w:rPr>
                <w:rFonts w:eastAsia="Calibri"/>
                <w:color w:val="000000"/>
                <w:sz w:val="24"/>
              </w:rPr>
            </w:pPr>
          </w:p>
        </w:tc>
        <w:tc>
          <w:tcPr>
            <w:tcW w:w="0" w:type="auto"/>
          </w:tcPr>
          <w:p w14:paraId="018C3322"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4.0</w:t>
            </w:r>
          </w:p>
        </w:tc>
        <w:tc>
          <w:tcPr>
            <w:tcW w:w="0" w:type="auto"/>
          </w:tcPr>
          <w:p w14:paraId="7A9259F1" w14:textId="77777777" w:rsidR="00CD4FD0" w:rsidRPr="006B4A66" w:rsidRDefault="00CD4FD0" w:rsidP="0073496A">
            <w:pPr>
              <w:tabs>
                <w:tab w:val="left" w:pos="720"/>
              </w:tabs>
              <w:spacing w:line="480" w:lineRule="auto"/>
              <w:rPr>
                <w:rFonts w:eastAsia="Calibri"/>
                <w:color w:val="000000"/>
                <w:sz w:val="24"/>
              </w:rPr>
            </w:pPr>
          </w:p>
        </w:tc>
      </w:tr>
      <w:tr w:rsidR="00CD4FD0" w:rsidRPr="006B4A66" w14:paraId="131DFD29" w14:textId="77777777" w:rsidTr="005D21A1">
        <w:tc>
          <w:tcPr>
            <w:tcW w:w="0" w:type="auto"/>
          </w:tcPr>
          <w:p w14:paraId="762B708D"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Water closet, 1.6 GPF gravity tank</w:t>
            </w:r>
          </w:p>
        </w:tc>
        <w:tc>
          <w:tcPr>
            <w:tcW w:w="0" w:type="auto"/>
          </w:tcPr>
          <w:p w14:paraId="7B89C8F4"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0.5</w:t>
            </w:r>
          </w:p>
        </w:tc>
        <w:tc>
          <w:tcPr>
            <w:tcW w:w="0" w:type="auto"/>
          </w:tcPr>
          <w:p w14:paraId="6FEF4308"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2.5</w:t>
            </w:r>
          </w:p>
        </w:tc>
        <w:tc>
          <w:tcPr>
            <w:tcW w:w="0" w:type="auto"/>
          </w:tcPr>
          <w:p w14:paraId="48EB76A1"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2.5</w:t>
            </w:r>
          </w:p>
        </w:tc>
        <w:tc>
          <w:tcPr>
            <w:tcW w:w="0" w:type="auto"/>
          </w:tcPr>
          <w:p w14:paraId="0C32C78C"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3.5</w:t>
            </w:r>
          </w:p>
        </w:tc>
      </w:tr>
      <w:tr w:rsidR="00CD4FD0" w:rsidRPr="006B4A66" w14:paraId="1A5D97CF" w14:textId="77777777" w:rsidTr="005D21A1">
        <w:tc>
          <w:tcPr>
            <w:tcW w:w="0" w:type="auto"/>
          </w:tcPr>
          <w:p w14:paraId="0085C353"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Water closet, 1.6 GPF flushometer tank</w:t>
            </w:r>
          </w:p>
        </w:tc>
        <w:tc>
          <w:tcPr>
            <w:tcW w:w="0" w:type="auto"/>
          </w:tcPr>
          <w:p w14:paraId="26A2E7D3"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0.5</w:t>
            </w:r>
          </w:p>
        </w:tc>
        <w:tc>
          <w:tcPr>
            <w:tcW w:w="0" w:type="auto"/>
          </w:tcPr>
          <w:p w14:paraId="52A4449F"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2.5</w:t>
            </w:r>
          </w:p>
        </w:tc>
        <w:tc>
          <w:tcPr>
            <w:tcW w:w="0" w:type="auto"/>
          </w:tcPr>
          <w:p w14:paraId="02E96B3C"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2.5</w:t>
            </w:r>
          </w:p>
        </w:tc>
        <w:tc>
          <w:tcPr>
            <w:tcW w:w="0" w:type="auto"/>
          </w:tcPr>
          <w:p w14:paraId="4FC381F6"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3.5</w:t>
            </w:r>
          </w:p>
        </w:tc>
      </w:tr>
      <w:tr w:rsidR="00CD4FD0" w:rsidRPr="006B4A66" w14:paraId="35ECC7CF" w14:textId="77777777" w:rsidTr="005D21A1">
        <w:tc>
          <w:tcPr>
            <w:tcW w:w="0" w:type="auto"/>
          </w:tcPr>
          <w:p w14:paraId="139597B9"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Water closet, 1.6 GPF flushometer valve</w:t>
            </w:r>
          </w:p>
        </w:tc>
        <w:tc>
          <w:tcPr>
            <w:tcW w:w="0" w:type="auto"/>
          </w:tcPr>
          <w:p w14:paraId="6CEA5E89"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1</w:t>
            </w:r>
          </w:p>
        </w:tc>
        <w:tc>
          <w:tcPr>
            <w:tcW w:w="0" w:type="auto"/>
            <w:gridSpan w:val="2"/>
          </w:tcPr>
          <w:p w14:paraId="76398ECC"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 xml:space="preserve">See footnote </w:t>
            </w:r>
            <w:r w:rsidRPr="006B4A66">
              <w:rPr>
                <w:rFonts w:eastAsia="Calibri"/>
                <w:color w:val="000000"/>
                <w:sz w:val="24"/>
                <w:vertAlign w:val="superscript"/>
              </w:rPr>
              <w:t>7</w:t>
            </w:r>
          </w:p>
        </w:tc>
        <w:tc>
          <w:tcPr>
            <w:tcW w:w="0" w:type="auto"/>
          </w:tcPr>
          <w:p w14:paraId="19283102" w14:textId="77777777" w:rsidR="00CD4FD0" w:rsidRPr="006B4A66" w:rsidRDefault="00CD4FD0" w:rsidP="0073496A">
            <w:pPr>
              <w:tabs>
                <w:tab w:val="left" w:pos="720"/>
              </w:tabs>
              <w:spacing w:line="480" w:lineRule="auto"/>
              <w:rPr>
                <w:rFonts w:eastAsia="Calibri"/>
                <w:color w:val="000000"/>
                <w:sz w:val="24"/>
              </w:rPr>
            </w:pPr>
          </w:p>
        </w:tc>
      </w:tr>
      <w:tr w:rsidR="00CD4FD0" w:rsidRPr="006B4A66" w14:paraId="44DB4734" w14:textId="77777777" w:rsidTr="005D21A1">
        <w:tc>
          <w:tcPr>
            <w:tcW w:w="0" w:type="auto"/>
          </w:tcPr>
          <w:p w14:paraId="57BA1EDF"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lastRenderedPageBreak/>
              <w:t>Water closet, greater than 1.6 GPF gravity tank</w:t>
            </w:r>
          </w:p>
        </w:tc>
        <w:tc>
          <w:tcPr>
            <w:tcW w:w="0" w:type="auto"/>
          </w:tcPr>
          <w:p w14:paraId="1A3F4694"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0.5</w:t>
            </w:r>
          </w:p>
        </w:tc>
        <w:tc>
          <w:tcPr>
            <w:tcW w:w="0" w:type="auto"/>
          </w:tcPr>
          <w:p w14:paraId="08834F05"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3.0</w:t>
            </w:r>
          </w:p>
        </w:tc>
        <w:tc>
          <w:tcPr>
            <w:tcW w:w="0" w:type="auto"/>
          </w:tcPr>
          <w:p w14:paraId="307B2F96"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5.5</w:t>
            </w:r>
          </w:p>
        </w:tc>
        <w:tc>
          <w:tcPr>
            <w:tcW w:w="0" w:type="auto"/>
          </w:tcPr>
          <w:p w14:paraId="00DD4CE3"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7.0</w:t>
            </w:r>
          </w:p>
        </w:tc>
      </w:tr>
      <w:tr w:rsidR="00CD4FD0" w:rsidRPr="006B4A66" w14:paraId="519207EB" w14:textId="77777777" w:rsidTr="005D21A1">
        <w:tc>
          <w:tcPr>
            <w:tcW w:w="0" w:type="auto"/>
          </w:tcPr>
          <w:p w14:paraId="2B476C36"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Water closet, greater than 1.6 GPF flushometer valve</w:t>
            </w:r>
          </w:p>
        </w:tc>
        <w:tc>
          <w:tcPr>
            <w:tcW w:w="0" w:type="auto"/>
          </w:tcPr>
          <w:p w14:paraId="6E0F1C25"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1</w:t>
            </w:r>
          </w:p>
        </w:tc>
        <w:tc>
          <w:tcPr>
            <w:tcW w:w="0" w:type="auto"/>
            <w:gridSpan w:val="2"/>
          </w:tcPr>
          <w:p w14:paraId="54B7B10D" w14:textId="77777777" w:rsidR="00CD4FD0" w:rsidRPr="006B4A66" w:rsidRDefault="00CD4FD0" w:rsidP="0073496A">
            <w:pPr>
              <w:tabs>
                <w:tab w:val="left" w:pos="720"/>
              </w:tabs>
              <w:spacing w:line="480" w:lineRule="auto"/>
              <w:rPr>
                <w:rFonts w:eastAsia="Calibri"/>
                <w:color w:val="000000"/>
                <w:sz w:val="24"/>
              </w:rPr>
            </w:pPr>
            <w:r w:rsidRPr="006B4A66">
              <w:rPr>
                <w:rFonts w:eastAsia="Calibri"/>
                <w:color w:val="000000"/>
                <w:sz w:val="24"/>
              </w:rPr>
              <w:t xml:space="preserve">See footnote </w:t>
            </w:r>
            <w:r w:rsidRPr="006B4A66">
              <w:rPr>
                <w:rFonts w:eastAsia="Calibri"/>
                <w:color w:val="000000"/>
                <w:sz w:val="24"/>
                <w:vertAlign w:val="superscript"/>
              </w:rPr>
              <w:t>7</w:t>
            </w:r>
          </w:p>
        </w:tc>
        <w:tc>
          <w:tcPr>
            <w:tcW w:w="0" w:type="auto"/>
          </w:tcPr>
          <w:p w14:paraId="26101212" w14:textId="77777777" w:rsidR="00CD4FD0" w:rsidRPr="006B4A66" w:rsidRDefault="00CD4FD0" w:rsidP="0073496A">
            <w:pPr>
              <w:tabs>
                <w:tab w:val="left" w:pos="720"/>
              </w:tabs>
              <w:spacing w:line="480" w:lineRule="auto"/>
              <w:rPr>
                <w:rFonts w:eastAsia="Calibri"/>
                <w:color w:val="000000"/>
                <w:sz w:val="24"/>
              </w:rPr>
            </w:pPr>
          </w:p>
        </w:tc>
      </w:tr>
    </w:tbl>
    <w:p w14:paraId="6A4691DE" w14:textId="77777777" w:rsidR="00CD4FD0" w:rsidRPr="006B4A66" w:rsidRDefault="00CD4FD0"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For SI units: 1 inch = 25mm</w:t>
      </w:r>
    </w:p>
    <w:p w14:paraId="3056E723" w14:textId="77777777" w:rsidR="00CD4FD0" w:rsidRPr="006B4A66" w:rsidRDefault="00CD4FD0"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Footnotes:</w:t>
      </w:r>
    </w:p>
    <w:p w14:paraId="10EDFC5D" w14:textId="77777777" w:rsidR="00CD4FD0" w:rsidRPr="006B4A66" w:rsidRDefault="00CD4FD0"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Size of the cold branch pipe, or both the hot and cold branch pipes.</w:t>
      </w:r>
    </w:p>
    <w:p w14:paraId="14F73CAD" w14:textId="77777777" w:rsidR="00CD4FD0" w:rsidRPr="006B4A66" w:rsidRDefault="00CD4FD0"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Appliances, appurtenances, or fixtures not referenced in this table shall be permitted to be sized by reference to fixtures having a similar flow rate and frequency of use.</w:t>
      </w:r>
    </w:p>
    <w:p w14:paraId="6BDF77DC" w14:textId="77777777" w:rsidR="00CD4FD0" w:rsidRPr="006B4A66" w:rsidRDefault="00CD4FD0"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3.  The listed fixture unit values represent their load on the cold water building supply.  The separate cold water and hot water fixture unit value for fixtures having both hot and cold water connections shall be permitted to be each taken as three-quarter of the listed total value of the fixture.</w:t>
      </w:r>
    </w:p>
    <w:p w14:paraId="770629E8" w14:textId="77777777" w:rsidR="00CD4FD0" w:rsidRPr="006B4A66" w:rsidRDefault="00CD4FD0"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4.  The listed minimum supply branch pipe sizes for individual fixtures are the nominal (I.D.) pipe size.</w:t>
      </w:r>
    </w:p>
    <w:p w14:paraId="42829434" w14:textId="4F02AD07" w:rsidR="00CD4FD0" w:rsidRPr="006B4A66" w:rsidRDefault="00CD4FD0"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5.  For fixtures or supply connections likely to impose continuous flow demands, determine the required flow in gallons per minute, and add it separately to the demand in gallons per minute for the distribution system or portions.</w:t>
      </w:r>
    </w:p>
    <w:p w14:paraId="267C7086" w14:textId="77777777" w:rsidR="00CD4FD0" w:rsidRPr="006B4A66" w:rsidRDefault="00CD4FD0" w:rsidP="0073496A">
      <w:pPr>
        <w:tabs>
          <w:tab w:val="left" w:pos="720"/>
        </w:tabs>
        <w:spacing w:after="0" w:line="480" w:lineRule="auto"/>
        <w:rPr>
          <w:rFonts w:ascii="Times New Roman" w:eastAsia="Calibri" w:hAnsi="Times New Roman" w:cs="Times New Roman"/>
          <w:color w:val="000000"/>
          <w:kern w:val="0"/>
          <w:sz w:val="24"/>
          <w:highlight w:val="yellow"/>
          <w14:ligatures w14:val="none"/>
        </w:rPr>
      </w:pPr>
      <w:r w:rsidRPr="006B4A66">
        <w:rPr>
          <w:rFonts w:ascii="Times New Roman" w:eastAsia="Calibri" w:hAnsi="Times New Roman" w:cs="Times New Roman"/>
          <w:color w:val="000000"/>
          <w:kern w:val="0"/>
          <w:sz w:val="24"/>
          <w14:ligatures w14:val="none"/>
        </w:rPr>
        <w:tab/>
        <w:t>6.  Assembly, Public Use (See UPC Table 422.1).</w:t>
      </w:r>
    </w:p>
    <w:p w14:paraId="0EF59229" w14:textId="77777777" w:rsidR="00CD4FD0" w:rsidRPr="006B4A66" w:rsidRDefault="00CD4FD0" w:rsidP="0073496A">
      <w:pPr>
        <w:tabs>
          <w:tab w:val="left" w:pos="720"/>
        </w:tabs>
        <w:spacing w:after="0" w:line="480" w:lineRule="auto"/>
        <w:rPr>
          <w:rFonts w:ascii="Times New Roman" w:eastAsia="Calibri" w:hAnsi="Times New Roman" w:cs="Times New Roman"/>
          <w:color w:val="000000"/>
          <w:kern w:val="0"/>
          <w:sz w:val="24"/>
          <w:highlight w:val="yellow"/>
          <w14:ligatures w14:val="none"/>
        </w:rPr>
      </w:pPr>
      <w:r w:rsidRPr="006B4A66">
        <w:rPr>
          <w:rFonts w:ascii="Times New Roman" w:eastAsia="Calibri" w:hAnsi="Times New Roman" w:cs="Times New Roman"/>
          <w:color w:val="000000"/>
          <w:kern w:val="0"/>
          <w:sz w:val="24"/>
          <w14:ligatures w14:val="none"/>
        </w:rPr>
        <w:tab/>
        <w:t>7.  Where sizing flushometer systems, see UPC 610.10.</w:t>
      </w:r>
    </w:p>
    <w:p w14:paraId="7DF4DB53" w14:textId="77777777" w:rsidR="00CD4FD0" w:rsidRPr="006B4A66" w:rsidRDefault="00CD4FD0"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8.  Reduced fixture unit loading for additional hose bibbs is to be used where sizing total building demand and for pipe sizing where more than one hose bibb is </w:t>
      </w:r>
      <w:r w:rsidRPr="006B4A66">
        <w:rPr>
          <w:rFonts w:ascii="Times New Roman" w:eastAsia="Calibri" w:hAnsi="Times New Roman" w:cs="Times New Roman"/>
          <w:color w:val="000000"/>
          <w:kern w:val="0"/>
          <w:sz w:val="24"/>
          <w14:ligatures w14:val="none"/>
        </w:rPr>
        <w:lastRenderedPageBreak/>
        <w:t>supplied by a segment of water distribution pipe.  The fixture branch to each hose bibb shall be sized based on 2.5 fixture units.</w:t>
      </w:r>
    </w:p>
    <w:p w14:paraId="358EF457" w14:textId="34B4D4BD" w:rsidR="00CD4FD0" w:rsidRPr="006B4A66" w:rsidRDefault="00CD4FD0"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9.  The minimum fixture branch size may be reduced to 3/8 inch when serving a single lavatory.</w:t>
      </w:r>
    </w:p>
    <w:p w14:paraId="48408ABE" w14:textId="3B741724" w:rsidR="00CD4FD0" w:rsidRPr="006B4A66" w:rsidRDefault="00CD4FD0"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189.</w:t>
      </w:r>
      <w:r w:rsidRPr="006B4A66">
        <w:rPr>
          <w:rFonts w:ascii="Times New Roman" w:eastAsia="Calibri" w:hAnsi="Times New Roman" w:cs="Times New Roman"/>
          <w:color w:val="000000"/>
          <w:kern w:val="0"/>
          <w:sz w:val="24"/>
          <w14:ligatures w14:val="none"/>
        </w:rPr>
        <w:t xml:space="preserve">  There is hereby added to K.C.C. chapter 16.32 a new section to read as follows:</w:t>
      </w:r>
    </w:p>
    <w:p w14:paraId="6F176C65" w14:textId="77777777" w:rsidR="00CD4FD0" w:rsidRPr="006B4A66" w:rsidRDefault="00CD4FD0"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Table 702.2(2) of the Uniform Plumbing Code is replaced with the following:</w:t>
      </w:r>
    </w:p>
    <w:p w14:paraId="70A64291" w14:textId="77777777" w:rsidR="00CD4FD0" w:rsidRPr="006B4A66" w:rsidRDefault="00CD4FD0" w:rsidP="0073496A">
      <w:pPr>
        <w:tabs>
          <w:tab w:val="left" w:pos="720"/>
        </w:tabs>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Table 702.2(2)</w:t>
      </w:r>
    </w:p>
    <w:p w14:paraId="3554B9D3" w14:textId="77777777" w:rsidR="00CD4FD0" w:rsidRPr="006B4A66" w:rsidRDefault="00CD4FD0" w:rsidP="0073496A">
      <w:pPr>
        <w:tabs>
          <w:tab w:val="left" w:pos="720"/>
        </w:tabs>
        <w:spacing w:after="0" w:line="480" w:lineRule="auto"/>
        <w:jc w:val="center"/>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Discharge capacity in gallons per minute for intermittent flow only</w:t>
      </w:r>
      <w:r w:rsidRPr="006B4A66">
        <w:rPr>
          <w:rFonts w:ascii="Times New Roman" w:eastAsia="Calibri" w:hAnsi="Times New Roman" w:cs="Times New Roman"/>
          <w:b/>
          <w:bCs/>
          <w:color w:val="000000"/>
          <w:kern w:val="0"/>
          <w:sz w:val="24"/>
          <w:vertAlign w:val="superscript"/>
          <w14:ligatures w14:val="none"/>
        </w:rPr>
        <w:t>a</w:t>
      </w:r>
    </w:p>
    <w:tbl>
      <w:tblPr>
        <w:tblStyle w:val="TableGrid"/>
        <w:tblW w:w="0" w:type="auto"/>
        <w:tblLook w:val="04A0" w:firstRow="1" w:lastRow="0" w:firstColumn="1" w:lastColumn="0" w:noHBand="0" w:noVBand="1"/>
      </w:tblPr>
      <w:tblGrid>
        <w:gridCol w:w="4316"/>
        <w:gridCol w:w="4314"/>
      </w:tblGrid>
      <w:tr w:rsidR="00CD4FD0" w:rsidRPr="006B4A66" w14:paraId="778AA344" w14:textId="77777777" w:rsidTr="005D21A1">
        <w:tc>
          <w:tcPr>
            <w:tcW w:w="4428" w:type="dxa"/>
          </w:tcPr>
          <w:p w14:paraId="0E69A4F4" w14:textId="77777777" w:rsidR="00CD4FD0" w:rsidRPr="006B4A66" w:rsidRDefault="00CD4FD0" w:rsidP="0073496A">
            <w:pPr>
              <w:spacing w:line="480" w:lineRule="auto"/>
              <w:rPr>
                <w:rFonts w:eastAsia="Calibri"/>
                <w:color w:val="000000"/>
                <w:sz w:val="24"/>
              </w:rPr>
            </w:pPr>
            <w:r w:rsidRPr="006B4A66">
              <w:rPr>
                <w:rFonts w:eastAsia="Calibri"/>
                <w:color w:val="000000"/>
                <w:sz w:val="24"/>
              </w:rPr>
              <w:t>Gallons per minute (gpm)</w:t>
            </w:r>
          </w:p>
        </w:tc>
        <w:tc>
          <w:tcPr>
            <w:tcW w:w="4428" w:type="dxa"/>
          </w:tcPr>
          <w:p w14:paraId="05E9DB31" w14:textId="77777777" w:rsidR="00CD4FD0" w:rsidRPr="006B4A66" w:rsidRDefault="00CD4FD0" w:rsidP="0073496A">
            <w:pPr>
              <w:spacing w:line="480" w:lineRule="auto"/>
              <w:rPr>
                <w:rFonts w:eastAsia="Calibri"/>
                <w:color w:val="000000"/>
                <w:sz w:val="24"/>
              </w:rPr>
            </w:pPr>
            <w:r w:rsidRPr="006B4A66">
              <w:rPr>
                <w:rFonts w:eastAsia="Calibri"/>
                <w:color w:val="000000"/>
                <w:sz w:val="24"/>
              </w:rPr>
              <w:t>Fixture units</w:t>
            </w:r>
          </w:p>
        </w:tc>
      </w:tr>
      <w:tr w:rsidR="00CD4FD0" w:rsidRPr="006B4A66" w14:paraId="7CBA0F0F" w14:textId="77777777" w:rsidTr="005D21A1">
        <w:tc>
          <w:tcPr>
            <w:tcW w:w="4428" w:type="dxa"/>
          </w:tcPr>
          <w:p w14:paraId="1CA657F3" w14:textId="77777777" w:rsidR="00CD4FD0" w:rsidRPr="006B4A66" w:rsidRDefault="00CD4FD0" w:rsidP="0073496A">
            <w:pPr>
              <w:spacing w:line="480" w:lineRule="auto"/>
              <w:rPr>
                <w:rFonts w:eastAsia="Calibri"/>
                <w:color w:val="000000"/>
                <w:sz w:val="24"/>
              </w:rPr>
            </w:pPr>
            <w:r w:rsidRPr="006B4A66">
              <w:rPr>
                <w:rFonts w:eastAsia="Calibri"/>
                <w:color w:val="000000"/>
                <w:sz w:val="24"/>
              </w:rPr>
              <w:t>Up to 7.5</w:t>
            </w:r>
          </w:p>
        </w:tc>
        <w:tc>
          <w:tcPr>
            <w:tcW w:w="4428" w:type="dxa"/>
          </w:tcPr>
          <w:p w14:paraId="3488BCA6" w14:textId="77777777" w:rsidR="00CD4FD0" w:rsidRPr="006B4A66" w:rsidRDefault="00CD4FD0" w:rsidP="0073496A">
            <w:pPr>
              <w:spacing w:line="480" w:lineRule="auto"/>
              <w:rPr>
                <w:rFonts w:eastAsia="Calibri"/>
                <w:color w:val="000000"/>
                <w:sz w:val="24"/>
              </w:rPr>
            </w:pPr>
            <w:r w:rsidRPr="006B4A66">
              <w:rPr>
                <w:rFonts w:eastAsia="Calibri"/>
                <w:color w:val="000000"/>
                <w:sz w:val="24"/>
              </w:rPr>
              <w:t>Equals 1 fixture unit</w:t>
            </w:r>
          </w:p>
        </w:tc>
      </w:tr>
      <w:tr w:rsidR="00CD4FD0" w:rsidRPr="006B4A66" w14:paraId="6F976A52" w14:textId="77777777" w:rsidTr="005D21A1">
        <w:tc>
          <w:tcPr>
            <w:tcW w:w="4428" w:type="dxa"/>
          </w:tcPr>
          <w:p w14:paraId="08E09BBA" w14:textId="77777777" w:rsidR="00CD4FD0" w:rsidRPr="006B4A66" w:rsidRDefault="00CD4FD0" w:rsidP="0073496A">
            <w:pPr>
              <w:spacing w:line="480" w:lineRule="auto"/>
              <w:rPr>
                <w:rFonts w:eastAsia="Calibri"/>
                <w:color w:val="000000"/>
                <w:sz w:val="24"/>
              </w:rPr>
            </w:pPr>
            <w:r w:rsidRPr="006B4A66">
              <w:rPr>
                <w:rFonts w:eastAsia="Calibri"/>
                <w:color w:val="000000"/>
                <w:sz w:val="24"/>
              </w:rPr>
              <w:t>Greater than 7.5 to 15</w:t>
            </w:r>
          </w:p>
        </w:tc>
        <w:tc>
          <w:tcPr>
            <w:tcW w:w="4428" w:type="dxa"/>
          </w:tcPr>
          <w:p w14:paraId="2BC2E9FD" w14:textId="77777777" w:rsidR="00CD4FD0" w:rsidRPr="006B4A66" w:rsidRDefault="00CD4FD0" w:rsidP="0073496A">
            <w:pPr>
              <w:spacing w:line="480" w:lineRule="auto"/>
              <w:rPr>
                <w:rFonts w:eastAsia="Calibri"/>
                <w:color w:val="000000"/>
                <w:sz w:val="24"/>
              </w:rPr>
            </w:pPr>
            <w:r w:rsidRPr="006B4A66">
              <w:rPr>
                <w:rFonts w:eastAsia="Calibri"/>
                <w:color w:val="000000"/>
                <w:sz w:val="24"/>
              </w:rPr>
              <w:t>Equals 2 fixture units</w:t>
            </w:r>
          </w:p>
        </w:tc>
      </w:tr>
      <w:tr w:rsidR="00CD4FD0" w:rsidRPr="006B4A66" w14:paraId="697DBB7A" w14:textId="77777777" w:rsidTr="005D21A1">
        <w:tc>
          <w:tcPr>
            <w:tcW w:w="4428" w:type="dxa"/>
          </w:tcPr>
          <w:p w14:paraId="1ED6BCB5" w14:textId="77777777" w:rsidR="00CD4FD0" w:rsidRPr="006B4A66" w:rsidRDefault="00CD4FD0" w:rsidP="0073496A">
            <w:pPr>
              <w:spacing w:line="480" w:lineRule="auto"/>
              <w:rPr>
                <w:rFonts w:eastAsia="Calibri"/>
                <w:color w:val="000000"/>
                <w:sz w:val="24"/>
              </w:rPr>
            </w:pPr>
            <w:r w:rsidRPr="006B4A66">
              <w:rPr>
                <w:rFonts w:eastAsia="Calibri"/>
                <w:color w:val="000000"/>
                <w:sz w:val="24"/>
              </w:rPr>
              <w:t>Greater than 15 to 30</w:t>
            </w:r>
          </w:p>
        </w:tc>
        <w:tc>
          <w:tcPr>
            <w:tcW w:w="4428" w:type="dxa"/>
          </w:tcPr>
          <w:p w14:paraId="2F123B67" w14:textId="77777777" w:rsidR="00CD4FD0" w:rsidRPr="006B4A66" w:rsidRDefault="00CD4FD0" w:rsidP="0073496A">
            <w:pPr>
              <w:spacing w:line="480" w:lineRule="auto"/>
              <w:rPr>
                <w:rFonts w:eastAsia="Calibri"/>
                <w:color w:val="000000"/>
                <w:sz w:val="24"/>
              </w:rPr>
            </w:pPr>
            <w:r w:rsidRPr="006B4A66">
              <w:rPr>
                <w:rFonts w:eastAsia="Calibri"/>
                <w:color w:val="000000"/>
                <w:sz w:val="24"/>
              </w:rPr>
              <w:t>Equals 4 fixture units</w:t>
            </w:r>
          </w:p>
        </w:tc>
      </w:tr>
      <w:tr w:rsidR="00CD4FD0" w:rsidRPr="006B4A66" w14:paraId="21CCDD9C" w14:textId="77777777" w:rsidTr="005D21A1">
        <w:tc>
          <w:tcPr>
            <w:tcW w:w="4428" w:type="dxa"/>
          </w:tcPr>
          <w:p w14:paraId="178E2817" w14:textId="77777777" w:rsidR="00CD4FD0" w:rsidRPr="006B4A66" w:rsidRDefault="00CD4FD0" w:rsidP="0073496A">
            <w:pPr>
              <w:spacing w:line="480" w:lineRule="auto"/>
              <w:rPr>
                <w:rFonts w:eastAsia="Calibri"/>
                <w:color w:val="000000"/>
                <w:sz w:val="24"/>
              </w:rPr>
            </w:pPr>
            <w:r w:rsidRPr="006B4A66">
              <w:rPr>
                <w:rFonts w:eastAsia="Calibri"/>
                <w:color w:val="000000"/>
                <w:sz w:val="24"/>
              </w:rPr>
              <w:t>Greater than 30 to 50</w:t>
            </w:r>
          </w:p>
        </w:tc>
        <w:tc>
          <w:tcPr>
            <w:tcW w:w="4428" w:type="dxa"/>
          </w:tcPr>
          <w:p w14:paraId="43A4BBFE" w14:textId="77777777" w:rsidR="00CD4FD0" w:rsidRPr="006B4A66" w:rsidRDefault="00CD4FD0" w:rsidP="0073496A">
            <w:pPr>
              <w:spacing w:line="480" w:lineRule="auto"/>
              <w:rPr>
                <w:rFonts w:eastAsia="Calibri"/>
                <w:color w:val="000000"/>
                <w:sz w:val="24"/>
              </w:rPr>
            </w:pPr>
            <w:r w:rsidRPr="006B4A66">
              <w:rPr>
                <w:rFonts w:eastAsia="Calibri"/>
                <w:color w:val="000000"/>
                <w:sz w:val="24"/>
              </w:rPr>
              <w:t>Equals 6 fixture units</w:t>
            </w:r>
          </w:p>
        </w:tc>
      </w:tr>
      <w:tr w:rsidR="00CD4FD0" w:rsidRPr="006B4A66" w14:paraId="1D95ED56" w14:textId="77777777" w:rsidTr="005D21A1">
        <w:tc>
          <w:tcPr>
            <w:tcW w:w="4428" w:type="dxa"/>
          </w:tcPr>
          <w:p w14:paraId="4B5E7772" w14:textId="77777777" w:rsidR="00CD4FD0" w:rsidRPr="006B4A66" w:rsidRDefault="00CD4FD0" w:rsidP="0073496A">
            <w:pPr>
              <w:spacing w:line="480" w:lineRule="auto"/>
              <w:rPr>
                <w:rFonts w:eastAsia="Calibri"/>
                <w:color w:val="000000"/>
                <w:sz w:val="24"/>
              </w:rPr>
            </w:pPr>
            <w:r w:rsidRPr="006B4A66">
              <w:rPr>
                <w:rFonts w:eastAsia="Calibri"/>
                <w:color w:val="000000"/>
                <w:sz w:val="24"/>
              </w:rPr>
              <w:t>Greater than 50 to 100</w:t>
            </w:r>
          </w:p>
        </w:tc>
        <w:tc>
          <w:tcPr>
            <w:tcW w:w="4428" w:type="dxa"/>
          </w:tcPr>
          <w:p w14:paraId="02193F16" w14:textId="77777777" w:rsidR="00CD4FD0" w:rsidRPr="006B4A66" w:rsidRDefault="00CD4FD0" w:rsidP="0073496A">
            <w:pPr>
              <w:spacing w:line="480" w:lineRule="auto"/>
              <w:rPr>
                <w:rFonts w:eastAsia="Calibri"/>
                <w:color w:val="000000"/>
                <w:sz w:val="24"/>
              </w:rPr>
            </w:pPr>
            <w:r w:rsidRPr="006B4A66">
              <w:rPr>
                <w:rFonts w:eastAsia="Calibri"/>
                <w:color w:val="000000"/>
                <w:sz w:val="24"/>
              </w:rPr>
              <w:t>Equals 12 fixture units</w:t>
            </w:r>
          </w:p>
        </w:tc>
      </w:tr>
      <w:tr w:rsidR="00CD4FD0" w:rsidRPr="006B4A66" w14:paraId="2D9C4DA5" w14:textId="77777777" w:rsidTr="005D21A1">
        <w:tc>
          <w:tcPr>
            <w:tcW w:w="4428" w:type="dxa"/>
          </w:tcPr>
          <w:p w14:paraId="1BBEB485" w14:textId="77777777" w:rsidR="00CD4FD0" w:rsidRPr="006B4A66" w:rsidRDefault="00CD4FD0" w:rsidP="0073496A">
            <w:pPr>
              <w:spacing w:line="480" w:lineRule="auto"/>
              <w:rPr>
                <w:rFonts w:eastAsia="Calibri"/>
                <w:color w:val="000000"/>
                <w:sz w:val="24"/>
              </w:rPr>
            </w:pPr>
            <w:r w:rsidRPr="006B4A66">
              <w:rPr>
                <w:rFonts w:eastAsia="Calibri"/>
                <w:color w:val="000000"/>
                <w:sz w:val="24"/>
              </w:rPr>
              <w:t>Greater than 100 to 200</w:t>
            </w:r>
          </w:p>
        </w:tc>
        <w:tc>
          <w:tcPr>
            <w:tcW w:w="4428" w:type="dxa"/>
          </w:tcPr>
          <w:p w14:paraId="7E20063D" w14:textId="77777777" w:rsidR="00CD4FD0" w:rsidRPr="006B4A66" w:rsidRDefault="00CD4FD0" w:rsidP="0073496A">
            <w:pPr>
              <w:spacing w:line="480" w:lineRule="auto"/>
              <w:rPr>
                <w:rFonts w:eastAsia="Calibri"/>
                <w:color w:val="000000"/>
                <w:sz w:val="24"/>
              </w:rPr>
            </w:pPr>
            <w:r w:rsidRPr="006B4A66">
              <w:rPr>
                <w:rFonts w:eastAsia="Calibri"/>
                <w:color w:val="000000"/>
                <w:sz w:val="24"/>
              </w:rPr>
              <w:t>Equals 18 fixture units</w:t>
            </w:r>
          </w:p>
        </w:tc>
      </w:tr>
      <w:tr w:rsidR="00CD4FD0" w:rsidRPr="006B4A66" w14:paraId="4972C2A4" w14:textId="77777777" w:rsidTr="005D21A1">
        <w:tc>
          <w:tcPr>
            <w:tcW w:w="4428" w:type="dxa"/>
          </w:tcPr>
          <w:p w14:paraId="605B739A" w14:textId="77777777" w:rsidR="00CD4FD0" w:rsidRPr="006B4A66" w:rsidRDefault="00CD4FD0" w:rsidP="0073496A">
            <w:pPr>
              <w:spacing w:line="480" w:lineRule="auto"/>
              <w:rPr>
                <w:rFonts w:eastAsia="Calibri"/>
                <w:color w:val="000000"/>
                <w:sz w:val="24"/>
              </w:rPr>
            </w:pPr>
            <w:r w:rsidRPr="006B4A66">
              <w:rPr>
                <w:rFonts w:eastAsia="Calibri"/>
                <w:color w:val="000000"/>
                <w:sz w:val="24"/>
              </w:rPr>
              <w:t>Greater than 200 to 350</w:t>
            </w:r>
          </w:p>
        </w:tc>
        <w:tc>
          <w:tcPr>
            <w:tcW w:w="4428" w:type="dxa"/>
          </w:tcPr>
          <w:p w14:paraId="2F6ED1C8" w14:textId="77777777" w:rsidR="00CD4FD0" w:rsidRPr="006B4A66" w:rsidRDefault="00CD4FD0" w:rsidP="0073496A">
            <w:pPr>
              <w:spacing w:line="480" w:lineRule="auto"/>
              <w:rPr>
                <w:rFonts w:eastAsia="Calibri"/>
                <w:color w:val="000000"/>
                <w:sz w:val="24"/>
              </w:rPr>
            </w:pPr>
            <w:r w:rsidRPr="006B4A66">
              <w:rPr>
                <w:rFonts w:eastAsia="Calibri"/>
                <w:color w:val="000000"/>
                <w:sz w:val="24"/>
              </w:rPr>
              <w:t>Equals 24 fixture units</w:t>
            </w:r>
          </w:p>
        </w:tc>
      </w:tr>
    </w:tbl>
    <w:p w14:paraId="52A1F760" w14:textId="77777777" w:rsidR="00CD4FD0" w:rsidRPr="006B4A66" w:rsidRDefault="00CD4FD0"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color w:val="000000"/>
          <w:kern w:val="0"/>
          <w:sz w:val="24"/>
          <w14:ligatures w14:val="none"/>
        </w:rPr>
        <w:tab/>
        <w:t>For SI units 1 gallon per minute = 0.06 L/s</w:t>
      </w:r>
    </w:p>
    <w:p w14:paraId="2A9C0A00" w14:textId="77777777" w:rsidR="00CD4FD0" w:rsidRPr="006B4A66" w:rsidRDefault="00CD4FD0"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Footnote:</w:t>
      </w:r>
    </w:p>
    <w:p w14:paraId="3F385999" w14:textId="5427EE3D" w:rsidR="00CD4FD0" w:rsidRPr="006B4A66" w:rsidRDefault="00CD4FD0"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a.  Discharge capacity exceeding 350 gallons per minute</w:t>
      </w:r>
      <w:r w:rsidR="00C62C93">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14:ligatures w14:val="none"/>
        </w:rPr>
        <w:t>shall be determined by the authority having jurisdiction.</w:t>
      </w:r>
    </w:p>
    <w:p w14:paraId="6FD213E0" w14:textId="6FA88FB9" w:rsidR="00CD4FD0" w:rsidRPr="006B4A66" w:rsidRDefault="00CD4FD0"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190.</w:t>
      </w:r>
      <w:r w:rsidRPr="006B4A66">
        <w:rPr>
          <w:rFonts w:ascii="Times New Roman" w:eastAsia="Calibri" w:hAnsi="Times New Roman" w:cs="Times New Roman"/>
          <w:color w:val="000000"/>
          <w:kern w:val="0"/>
          <w:sz w:val="24"/>
          <w14:ligatures w14:val="none"/>
        </w:rPr>
        <w:t xml:space="preserve">  There is hereby added to K.C.C. chapter 16.32 a new section to read as follows:</w:t>
      </w:r>
    </w:p>
    <w:p w14:paraId="69517BA6" w14:textId="77777777" w:rsidR="00CD4FD0" w:rsidRPr="006B4A66" w:rsidRDefault="00CD4FD0"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Section 704.3 of the Uniform Plumbing Code not adopted and the following is substituted:</w:t>
      </w:r>
    </w:p>
    <w:p w14:paraId="31EBEF34" w14:textId="395BB90A" w:rsidR="00CD4FD0" w:rsidRPr="001216D4" w:rsidRDefault="00CD4FD0" w:rsidP="0073496A">
      <w:pPr>
        <w:tabs>
          <w:tab w:val="left" w:pos="720"/>
        </w:tabs>
        <w:spacing w:after="0" w:line="480" w:lineRule="auto"/>
        <w:rPr>
          <w:rFonts w:ascii="Times New Roman" w:eastAsia="TimesNewRoman" w:hAnsi="Times New Roman" w:cs="Calibri"/>
          <w:color w:val="000000"/>
          <w:kern w:val="0"/>
          <w:sz w:val="24"/>
          <w14:ligatures w14:val="none"/>
        </w:rPr>
      </w:pPr>
      <w:r w:rsidRPr="006B4A66">
        <w:rPr>
          <w:rFonts w:ascii="Times New Roman" w:eastAsia="Calibri" w:hAnsi="Times New Roman" w:cs="Calibri"/>
          <w:b/>
          <w:bCs/>
          <w:color w:val="000000"/>
          <w:kern w:val="0"/>
          <w:sz w:val="24"/>
          <w14:ligatures w14:val="none"/>
        </w:rPr>
        <w:tab/>
        <w:t xml:space="preserve">Commercial sinks.  </w:t>
      </w:r>
      <w:r w:rsidRPr="006B4A66">
        <w:rPr>
          <w:rFonts w:ascii="Times New Roman" w:eastAsia="TimesNewRoman" w:hAnsi="Times New Roman" w:cs="Calibri"/>
          <w:color w:val="000000"/>
          <w:kern w:val="0"/>
          <w:sz w:val="24"/>
          <w14:ligatures w14:val="none"/>
        </w:rPr>
        <w:t>Except where specifically required to be connected indirectly to the drainage system, or when first approved by the authority having jurisdiction, all plumbing fixtures, drains, appurtenances, and appliances, including 3-compartment sinks, shall be directly connected to the drainage system of the building or premises.</w:t>
      </w:r>
    </w:p>
    <w:p w14:paraId="47A3DD9A" w14:textId="52C4A468"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191.</w:t>
      </w:r>
      <w:r w:rsidRPr="006B4A66">
        <w:rPr>
          <w:rFonts w:ascii="Times New Roman" w:eastAsia="Calibri" w:hAnsi="Times New Roman" w:cs="Times New Roman"/>
          <w:color w:val="000000"/>
          <w:kern w:val="0"/>
          <w:sz w:val="24"/>
          <w14:ligatures w14:val="none"/>
        </w:rPr>
        <w:t xml:space="preserve">  Ordinance 19485, Section 153, and K.C.C. 16.32.340 are each hereby amended to read as follows:</w:t>
      </w:r>
    </w:p>
    <w:p w14:paraId="7479281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709.1 of the Uniform Plumbing Code is not adopted and the following is substituted:</w:t>
      </w:r>
    </w:p>
    <w:p w14:paraId="6704280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tab/>
        <w:t>709.1 General ((</w:t>
      </w:r>
      <w:r w:rsidRPr="006B4A66">
        <w:rPr>
          <w:rFonts w:ascii="Times New Roman" w:eastAsia="Calibri" w:hAnsi="Times New Roman" w:cs="Times New Roman"/>
          <w:b/>
          <w:bCs/>
          <w:strike/>
          <w:color w:val="000000"/>
          <w:kern w:val="0"/>
          <w:sz w:val="24"/>
          <w14:ligatures w14:val="none"/>
        </w:rPr>
        <w:t>(UPC 709.1)</w:t>
      </w:r>
      <w:r w:rsidRPr="006B4A66">
        <w:rPr>
          <w:rFonts w:ascii="Times New Roman" w:eastAsia="Calibri" w:hAnsi="Times New Roman" w:cs="Times New Roman"/>
          <w:b/>
          <w:bCs/>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Plumbing fixtures shall be drained to the sanitary waste system by gravity flow </w:t>
      </w:r>
      <w:r w:rsidRPr="006B4A66">
        <w:rPr>
          <w:rFonts w:ascii="Times New Roman" w:eastAsia="Calibri" w:hAnsi="Times New Roman" w:cs="Times New Roman"/>
          <w:color w:val="000000"/>
          <w:kern w:val="0"/>
          <w:sz w:val="24"/>
          <w:u w:val="single"/>
          <w14:ligatures w14:val="none"/>
        </w:rPr>
        <w:t>and are permitted to be pumped or ejected as allowed in accordance with Section 710.2 or when approved by the authority having jurisdiction</w:t>
      </w:r>
      <w:r w:rsidRPr="006B4A66">
        <w:rPr>
          <w:rFonts w:ascii="Times New Roman" w:eastAsia="Calibri" w:hAnsi="Times New Roman" w:cs="Times New Roman"/>
          <w:color w:val="000000"/>
          <w:kern w:val="0"/>
          <w:sz w:val="24"/>
          <w14:ligatures w14:val="none"/>
        </w:rPr>
        <w:t>.</w:t>
      </w:r>
    </w:p>
    <w:p w14:paraId="2580E346" w14:textId="77777777" w:rsid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b/>
          <w:strike/>
          <w:color w:val="000000"/>
          <w:kern w:val="0"/>
          <w:sz w:val="24"/>
          <w14:ligatures w14:val="none"/>
        </w:rPr>
        <w:t xml:space="preserve">EXCEPTION: </w:t>
      </w:r>
      <w:r w:rsidRPr="006B4A66">
        <w:rPr>
          <w:rFonts w:ascii="Times New Roman" w:eastAsia="Calibri" w:hAnsi="Times New Roman" w:cs="Times New Roman"/>
          <w:strike/>
          <w:color w:val="000000"/>
          <w:kern w:val="0"/>
          <w:sz w:val="24"/>
          <w14:ligatures w14:val="none"/>
        </w:rPr>
        <w:t>Plumbing fixtures are permitted to be pumped or ejected as allowed by UPC 710.2 or approved by the authority having jurisdiction.</w:t>
      </w:r>
      <w:r w:rsidRPr="006B4A66">
        <w:rPr>
          <w:rFonts w:ascii="Times New Roman" w:eastAsia="Calibri" w:hAnsi="Times New Roman" w:cs="Times New Roman"/>
          <w:color w:val="000000"/>
          <w:kern w:val="0"/>
          <w:sz w:val="24"/>
          <w14:ligatures w14:val="none"/>
        </w:rPr>
        <w:t>))</w:t>
      </w:r>
    </w:p>
    <w:p w14:paraId="537F8E31" w14:textId="5CE3F95B" w:rsidR="00D279DA" w:rsidRPr="006B4A66" w:rsidRDefault="00D279DA"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192.</w:t>
      </w:r>
      <w:r w:rsidRPr="006B4A66">
        <w:rPr>
          <w:rFonts w:ascii="Times New Roman" w:eastAsia="Calibri" w:hAnsi="Times New Roman" w:cs="Times New Roman"/>
          <w:color w:val="000000"/>
          <w:kern w:val="0"/>
          <w:sz w:val="24"/>
          <w14:ligatures w14:val="none"/>
        </w:rPr>
        <w:t xml:space="preserve">  There is hereby added to K.C.C. chapter 16.32 a new section to read as follows:</w:t>
      </w:r>
    </w:p>
    <w:p w14:paraId="5F7EC5C4" w14:textId="77777777" w:rsidR="00D279DA" w:rsidRPr="006B4A66" w:rsidRDefault="00D279DA"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710.4 of the Uniform Plumbing Code not adopted and the following is substituted:</w:t>
      </w:r>
    </w:p>
    <w:p w14:paraId="1D75D37C" w14:textId="77777777" w:rsidR="00D279DA" w:rsidRPr="006B4A66" w:rsidRDefault="00D279DA" w:rsidP="0073496A">
      <w:pPr>
        <w:tabs>
          <w:tab w:val="left" w:pos="720"/>
        </w:tabs>
        <w:autoSpaceDE w:val="0"/>
        <w:autoSpaceDN w:val="0"/>
        <w:adjustRightInd w:val="0"/>
        <w:spacing w:after="0" w:line="480" w:lineRule="auto"/>
        <w:rPr>
          <w:rFonts w:ascii="Times New Roman" w:eastAsia="Calibri" w:hAnsi="Times New Roman" w:cs="Calibri"/>
          <w:color w:val="000000"/>
          <w:kern w:val="0"/>
          <w:sz w:val="24"/>
          <w14:ligatures w14:val="none"/>
        </w:rPr>
      </w:pPr>
      <w:r w:rsidRPr="006B4A66">
        <w:rPr>
          <w:rFonts w:ascii="Times New Roman" w:eastAsia="Calibri" w:hAnsi="Times New Roman" w:cs="Calibri"/>
          <w:color w:val="000000"/>
          <w:kern w:val="0"/>
          <w:sz w:val="24"/>
          <w14:ligatures w14:val="none"/>
        </w:rPr>
        <w:tab/>
      </w:r>
      <w:r w:rsidRPr="006B4A66">
        <w:rPr>
          <w:rFonts w:ascii="Times New Roman" w:eastAsia="Calibri" w:hAnsi="Times New Roman" w:cs="Calibri"/>
          <w:b/>
          <w:bCs/>
          <w:color w:val="000000"/>
          <w:kern w:val="0"/>
          <w:sz w:val="24"/>
          <w14:ligatures w14:val="none"/>
        </w:rPr>
        <w:t>Discharge line.</w:t>
      </w:r>
      <w:r w:rsidRPr="006B4A66">
        <w:rPr>
          <w:rFonts w:ascii="Times New Roman" w:eastAsia="Calibri" w:hAnsi="Times New Roman" w:cs="Calibri"/>
          <w:color w:val="000000"/>
          <w:kern w:val="0"/>
          <w:sz w:val="24"/>
          <w14:ligatures w14:val="none"/>
        </w:rPr>
        <w:t xml:space="preserve">  The discharge line from such ejector, pump, or another mechanical device shall be of approved pressure rated material and be provided with an accessible backwater or swing check valve and gate or ball valve.  Where the gravity </w:t>
      </w:r>
      <w:r w:rsidRPr="006B4A66">
        <w:rPr>
          <w:rFonts w:ascii="Times New Roman" w:eastAsia="Calibri" w:hAnsi="Times New Roman" w:cs="Calibri"/>
          <w:color w:val="000000"/>
          <w:kern w:val="0"/>
          <w:sz w:val="24"/>
          <w14:ligatures w14:val="none"/>
        </w:rPr>
        <w:lastRenderedPageBreak/>
        <w:t>drainage line to which such discharge line connects is horizontal, the method of connection shall be from the top through a wye branch fitting.  The gate or ball valve shall be located on the discharge side of the backwater or check valve.  Gate or ball valves, where installed in drainage piping, shall be fullway type with working parts of corrosion-resistant metal.  Sizes 4 inches (102 millimeters) or more in diameter shall have cast-iron bodies and sizes less than 4 inches (102 millimeters), cast-iron or copper alloy bodies.  Discharge lines from elevator hoistway pumps shall be provided with a check valve and lockable gate or ball valve locked in the open position and located outside of the hoistway.</w:t>
      </w:r>
    </w:p>
    <w:p w14:paraId="77640CE6" w14:textId="1EBF12EF" w:rsidR="00D279DA" w:rsidRDefault="00D279DA" w:rsidP="0073496A">
      <w:pPr>
        <w:tabs>
          <w:tab w:val="left" w:pos="720"/>
        </w:tabs>
        <w:spacing w:after="0" w:line="480" w:lineRule="auto"/>
        <w:rPr>
          <w:rFonts w:ascii="Times New Roman" w:eastAsia="Calibri" w:hAnsi="Times New Roman" w:cs="Calibri"/>
          <w:color w:val="000000"/>
          <w:kern w:val="0"/>
          <w:sz w:val="24"/>
          <w14:ligatures w14:val="none"/>
        </w:rPr>
      </w:pPr>
      <w:r w:rsidRPr="006B4A66">
        <w:rPr>
          <w:rFonts w:ascii="Times New Roman" w:eastAsia="Calibri" w:hAnsi="Times New Roman" w:cs="Calibri"/>
          <w:color w:val="000000"/>
          <w:kern w:val="0"/>
          <w:sz w:val="24"/>
          <w14:ligatures w14:val="none"/>
        </w:rPr>
        <w:tab/>
      </w:r>
      <w:r w:rsidRPr="006B4A66">
        <w:rPr>
          <w:rFonts w:ascii="Times New Roman" w:eastAsia="Calibri" w:hAnsi="Times New Roman" w:cs="Calibri"/>
          <w:b/>
          <w:bCs/>
          <w:color w:val="000000"/>
          <w:kern w:val="0"/>
          <w:sz w:val="24"/>
          <w14:ligatures w14:val="none"/>
        </w:rPr>
        <w:t>EXCEPTION:</w:t>
      </w:r>
      <w:r w:rsidRPr="006B4A66">
        <w:rPr>
          <w:rFonts w:ascii="Times New Roman" w:eastAsia="Calibri" w:hAnsi="Times New Roman" w:cs="Calibri"/>
          <w:color w:val="000000"/>
          <w:kern w:val="0"/>
          <w:sz w:val="24"/>
          <w14:ligatures w14:val="none"/>
        </w:rPr>
        <w:t xml:space="preserve">  The discharge line of a pump serving an elevator hoistway shall be routed through an air break to an approved indirect receptor.  The indirect receptor shall be provided with an outlet, tailpiece, and trap (if applicable) large enough to accommodate the design flow rate of the largest pump discharging to the indirect receptor.  The trap seal of such receptor (if applicable) shall be maintained by a trap primer in accordance with UPC 1007.0.</w:t>
      </w:r>
    </w:p>
    <w:p w14:paraId="3227E003" w14:textId="30E1EE27" w:rsidR="008E4CEA" w:rsidRPr="006B4A66" w:rsidRDefault="008E4CEA"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193.</w:t>
      </w:r>
      <w:r w:rsidRPr="006B4A66">
        <w:rPr>
          <w:rFonts w:ascii="Times New Roman" w:eastAsia="Calibri" w:hAnsi="Times New Roman" w:cs="Times New Roman"/>
          <w:color w:val="000000"/>
          <w:kern w:val="0"/>
          <w:sz w:val="24"/>
          <w14:ligatures w14:val="none"/>
        </w:rPr>
        <w:t xml:space="preserve">  There is hereby added to K.C.C. chapter 16.32 a new section to read as follows:</w:t>
      </w:r>
    </w:p>
    <w:p w14:paraId="3EC991A8" w14:textId="77777777" w:rsidR="008E4CEA" w:rsidRPr="006B4A66" w:rsidRDefault="008E4CEA"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710.5 of the Uniform Plumbing Code not adopted and the following is substituted:</w:t>
      </w:r>
    </w:p>
    <w:p w14:paraId="55E5A735" w14:textId="77777777" w:rsidR="008E4CEA" w:rsidRPr="006B4A66" w:rsidRDefault="008E4CEA" w:rsidP="0073496A">
      <w:pPr>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Calibri"/>
          <w:b/>
          <w:bCs/>
          <w:color w:val="000000"/>
          <w:kern w:val="0"/>
          <w:sz w:val="24"/>
          <w14:ligatures w14:val="none"/>
        </w:rPr>
        <w:tab/>
      </w:r>
      <w:r w:rsidRPr="006B4A66">
        <w:rPr>
          <w:rFonts w:ascii="Times New Roman" w:eastAsia="Calibri" w:hAnsi="Times New Roman" w:cs="Times New Roman"/>
          <w:b/>
          <w:color w:val="000000"/>
          <w:kern w:val="0"/>
          <w:sz w:val="24"/>
          <w14:ligatures w14:val="none"/>
        </w:rPr>
        <w:t xml:space="preserve">Size of building drains and sewers.  </w:t>
      </w:r>
      <w:r w:rsidRPr="006B4A66">
        <w:rPr>
          <w:rFonts w:ascii="Times New Roman" w:eastAsia="Calibri" w:hAnsi="Times New Roman" w:cs="Times New Roman"/>
          <w:color w:val="000000"/>
          <w:kern w:val="0"/>
          <w:sz w:val="24"/>
          <w14:ligatures w14:val="none"/>
        </w:rPr>
        <w:t>Building drains or building sewers receiving a discharge from a pump or ejector shall be adequately sized to prevent overloading.  Two fixture units shall be allowed for each gallon per minute (4 liters per minute) of flow.</w:t>
      </w:r>
    </w:p>
    <w:p w14:paraId="664C798A" w14:textId="77777777" w:rsidR="008E4CEA" w:rsidRPr="006B4A66" w:rsidRDefault="008E4CEA" w:rsidP="0073496A">
      <w:pPr>
        <w:tabs>
          <w:tab w:val="left" w:pos="720"/>
        </w:tabs>
        <w:spacing w:after="0" w:line="480" w:lineRule="auto"/>
        <w:rPr>
          <w:rFonts w:ascii="Times New Roman" w:eastAsia="Calibri" w:hAnsi="Times New Roman" w:cs="Calibri"/>
          <w:color w:val="000000"/>
          <w:kern w:val="0"/>
          <w:sz w:val="24"/>
          <w14:ligatures w14:val="none"/>
        </w:rPr>
      </w:pPr>
      <w:r w:rsidRPr="006B4A66">
        <w:rPr>
          <w:rFonts w:ascii="Times New Roman" w:eastAsia="Calibri" w:hAnsi="Times New Roman" w:cs="Calibri"/>
          <w:b/>
          <w:bCs/>
          <w:color w:val="000000"/>
          <w:kern w:val="0"/>
          <w:sz w:val="24"/>
          <w14:ligatures w14:val="none"/>
        </w:rPr>
        <w:lastRenderedPageBreak/>
        <w:tab/>
        <w:t>EXCEPTION:</w:t>
      </w:r>
      <w:r w:rsidRPr="006B4A66">
        <w:rPr>
          <w:rFonts w:ascii="Times New Roman" w:eastAsia="Calibri" w:hAnsi="Times New Roman" w:cs="Calibri"/>
          <w:color w:val="000000"/>
          <w:kern w:val="0"/>
          <w:sz w:val="24"/>
          <w14:ligatures w14:val="none"/>
        </w:rPr>
        <w:t xml:space="preserve">  Where first approved by the authority having jurisdiction, the discharge from pumps or ejectors provided for periodic testing or emergency use only may be assigned fixture unit loading in accordance with Table 702.2(2).  All gravity drainage piping and/or pretreatment devices downstream of such pumps shall be adequately sized for continuous full flow of the pumped discharge under emergency or test conditions.</w:t>
      </w:r>
    </w:p>
    <w:p w14:paraId="1EDF8272" w14:textId="667A1CB1" w:rsidR="008E4CEA" w:rsidRPr="006B4A66" w:rsidRDefault="008E4CEA"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194.</w:t>
      </w:r>
      <w:r w:rsidRPr="006B4A66">
        <w:rPr>
          <w:rFonts w:ascii="Times New Roman" w:eastAsia="Calibri" w:hAnsi="Times New Roman" w:cs="Times New Roman"/>
          <w:color w:val="000000"/>
          <w:kern w:val="0"/>
          <w:sz w:val="24"/>
          <w14:ligatures w14:val="none"/>
        </w:rPr>
        <w:t xml:space="preserve">  There is hereby added to K.C.C. chapter 16.32 a new section to read as follows:</w:t>
      </w:r>
    </w:p>
    <w:p w14:paraId="7F9C04AF" w14:textId="77777777" w:rsidR="008E4CEA" w:rsidRPr="006B4A66" w:rsidRDefault="008E4CEA"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803.3 of the Uniform Plumbing Code is not adopted and the following is substituted:</w:t>
      </w:r>
    </w:p>
    <w:p w14:paraId="1F6CB366" w14:textId="77777777" w:rsidR="008E4CEA" w:rsidRPr="006B4A66" w:rsidRDefault="008E4CEA" w:rsidP="0073496A">
      <w:pPr>
        <w:tabs>
          <w:tab w:val="left" w:pos="720"/>
        </w:tabs>
        <w:spacing w:after="0" w:line="480" w:lineRule="auto"/>
        <w:rPr>
          <w:rFonts w:ascii="Times New Roman" w:eastAsia="TimesNewRoman"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Pipe size and length.</w:t>
      </w:r>
      <w:r w:rsidRPr="006B4A66">
        <w:rPr>
          <w:rFonts w:ascii="Times New Roman" w:eastAsia="Calibri" w:hAnsi="Times New Roman" w:cs="Times New Roman"/>
          <w:color w:val="000000"/>
          <w:kern w:val="0"/>
          <w:sz w:val="24"/>
          <w14:ligatures w14:val="none"/>
        </w:rPr>
        <w:t xml:space="preserve">  </w:t>
      </w:r>
      <w:r w:rsidRPr="006B4A66">
        <w:rPr>
          <w:rFonts w:ascii="Times New Roman" w:eastAsia="TimesNewRoman" w:hAnsi="Times New Roman" w:cs="Times New Roman"/>
          <w:color w:val="000000"/>
          <w:kern w:val="0"/>
          <w:sz w:val="24"/>
          <w14:ligatures w14:val="none"/>
        </w:rPr>
        <w:t>The size of indirect waste piping shall comply with other sections of this code applicable to drainage and vent piping.  No vent from indirect waste piping shall combine with a sewer-connected vent but shall extend separately to the outside air.  Indirect waste pipes exceeding 5 feet (1,524 millimeters), but less than 15 feet (4,572 millimeters) in length shall be directly trapped, but such traps need not be vented.</w:t>
      </w:r>
    </w:p>
    <w:p w14:paraId="282B136B" w14:textId="77777777" w:rsidR="008E4CEA" w:rsidRPr="006B4A66" w:rsidRDefault="008E4CEA" w:rsidP="0073496A">
      <w:pPr>
        <w:tabs>
          <w:tab w:val="left" w:pos="720"/>
        </w:tabs>
        <w:spacing w:after="0" w:line="480" w:lineRule="auto"/>
        <w:rPr>
          <w:rFonts w:ascii="Times New Roman" w:eastAsia="TimesNewRoman" w:hAnsi="Times New Roman" w:cs="Times New Roman"/>
          <w:color w:val="000000"/>
          <w:kern w:val="0"/>
          <w:sz w:val="24"/>
          <w14:ligatures w14:val="none"/>
        </w:rPr>
      </w:pPr>
      <w:r w:rsidRPr="006B4A66">
        <w:rPr>
          <w:rFonts w:ascii="Times New Roman" w:eastAsia="TimesNewRoman" w:hAnsi="Times New Roman" w:cs="Times New Roman"/>
          <w:color w:val="000000"/>
          <w:kern w:val="0"/>
          <w:sz w:val="24"/>
          <w14:ligatures w14:val="none"/>
        </w:rPr>
        <w:tab/>
        <w:t>Indirect waste pipes less than 15 feet (4,572 millimeters) in length shall be at least the diameter of the drain outlet or tailpiece of the fixture, appliance, or equipment served, and in no case less than 1/2 inch (1</w:t>
      </w:r>
      <w:r>
        <w:rPr>
          <w:rFonts w:ascii="Times New Roman" w:eastAsia="TimesNewRoman" w:hAnsi="Times New Roman" w:cs="Times New Roman"/>
          <w:color w:val="000000"/>
          <w:kern w:val="0"/>
          <w:sz w:val="24"/>
          <w14:ligatures w14:val="none"/>
        </w:rPr>
        <w:t>3</w:t>
      </w:r>
      <w:r w:rsidRPr="006B4A66">
        <w:rPr>
          <w:rFonts w:ascii="Times New Roman" w:eastAsia="TimesNewRoman" w:hAnsi="Times New Roman" w:cs="Times New Roman"/>
          <w:color w:val="000000"/>
          <w:kern w:val="0"/>
          <w:sz w:val="24"/>
          <w14:ligatures w14:val="none"/>
        </w:rPr>
        <w:t xml:space="preserve"> millimeters).  Angles and changes of direction in such indirect waste pipes shall be provided with cleanouts to permit flushing and cleaning.</w:t>
      </w:r>
    </w:p>
    <w:p w14:paraId="1794AEAA" w14:textId="77777777" w:rsidR="008E4CEA" w:rsidRPr="006B4A66" w:rsidRDefault="008E4CEA" w:rsidP="0073496A">
      <w:pPr>
        <w:tabs>
          <w:tab w:val="left" w:pos="720"/>
        </w:tabs>
        <w:spacing w:after="0" w:line="480" w:lineRule="auto"/>
        <w:rPr>
          <w:rFonts w:ascii="Times New Roman" w:eastAsia="TimesNewRoman" w:hAnsi="Times New Roman" w:cs="Times New Roman"/>
          <w:b/>
          <w:bCs/>
          <w:color w:val="000000"/>
          <w:kern w:val="0"/>
          <w:sz w:val="24"/>
          <w14:ligatures w14:val="none"/>
        </w:rPr>
      </w:pPr>
      <w:r w:rsidRPr="006B4A66">
        <w:rPr>
          <w:rFonts w:ascii="Times New Roman" w:eastAsia="TimesNewRoman" w:hAnsi="Times New Roman" w:cs="Times New Roman"/>
          <w:color w:val="000000"/>
          <w:kern w:val="0"/>
          <w:sz w:val="24"/>
          <w14:ligatures w14:val="none"/>
        </w:rPr>
        <w:tab/>
      </w:r>
      <w:r w:rsidRPr="006B4A66">
        <w:rPr>
          <w:rFonts w:ascii="Times New Roman" w:eastAsia="TimesNewRoman" w:hAnsi="Times New Roman" w:cs="Times New Roman"/>
          <w:b/>
          <w:bCs/>
          <w:color w:val="000000"/>
          <w:kern w:val="0"/>
          <w:sz w:val="24"/>
          <w14:ligatures w14:val="none"/>
        </w:rPr>
        <w:t>EXCEPTIONS:</w:t>
      </w:r>
    </w:p>
    <w:p w14:paraId="3DFD6B7A" w14:textId="77777777" w:rsidR="008E4CEA" w:rsidRPr="006B4A66" w:rsidRDefault="008E4CEA" w:rsidP="0073496A">
      <w:pPr>
        <w:tabs>
          <w:tab w:val="left" w:pos="720"/>
        </w:tabs>
        <w:spacing w:after="0" w:line="480" w:lineRule="auto"/>
        <w:rPr>
          <w:rFonts w:ascii="Times New Roman" w:eastAsia="TimesNewRoman" w:hAnsi="Times New Roman" w:cs="Times New Roman"/>
          <w:color w:val="000000"/>
          <w:kern w:val="0"/>
          <w:sz w:val="24"/>
          <w14:ligatures w14:val="none"/>
        </w:rPr>
      </w:pPr>
      <w:r w:rsidRPr="006B4A66">
        <w:rPr>
          <w:rFonts w:ascii="Times New Roman" w:eastAsia="TimesNewRoman" w:hAnsi="Times New Roman" w:cs="Times New Roman"/>
          <w:color w:val="000000"/>
          <w:kern w:val="0"/>
          <w:sz w:val="24"/>
          <w14:ligatures w14:val="none"/>
        </w:rPr>
        <w:lastRenderedPageBreak/>
        <w:tab/>
        <w:t>1.  Gravity indirect waste pipes connected to elevator hoistway drains shall be provided with a normally closed backwater valve or a vented running trap installed in accordance with UPC 1008.1.  Where a trap is provided, the trap seal shall be maintained by an automatic electronic trap primer.</w:t>
      </w:r>
    </w:p>
    <w:p w14:paraId="2F6789EA" w14:textId="7D544394" w:rsidR="008E4CEA" w:rsidRPr="001216D4" w:rsidRDefault="008E4CEA"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TimesNewRoman" w:hAnsi="Times New Roman" w:cs="Times New Roman"/>
          <w:color w:val="000000"/>
          <w:kern w:val="0"/>
          <w:sz w:val="24"/>
          <w14:ligatures w14:val="none"/>
        </w:rPr>
        <w:tab/>
        <w:t>2.  Unless required by the authority having jurisdiction, traps and vents shall not be required in indirect waste piping from backflow or pressure relief devices or other similar applications intended for emergency use only.</w:t>
      </w:r>
    </w:p>
    <w:p w14:paraId="71ACE852" w14:textId="533CFAF4"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bookmarkStart w:id="14" w:name="_Hlk171409588"/>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195.</w:t>
      </w:r>
      <w:r w:rsidRPr="006B4A66">
        <w:rPr>
          <w:rFonts w:ascii="Times New Roman" w:eastAsia="Calibri" w:hAnsi="Times New Roman" w:cs="Times New Roman"/>
          <w:color w:val="000000"/>
          <w:kern w:val="0"/>
          <w:sz w:val="24"/>
          <w14:ligatures w14:val="none"/>
        </w:rPr>
        <w:t xml:space="preserve">  Ordinance 19485, Section 154, and K.C.C. 16.32.342 are each hereby amended to read as follows:</w:t>
      </w:r>
    </w:p>
    <w:p w14:paraId="11597A7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Chapter 9 of the Uniform Plumbing Code is supplemented with the following:</w:t>
      </w:r>
    </w:p>
    <w:p w14:paraId="30BBF7A1"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Air Admittance Valves ((</w:t>
      </w:r>
      <w:r w:rsidRPr="006B4A66">
        <w:rPr>
          <w:rFonts w:ascii="Times New Roman" w:eastAsia="Calibri" w:hAnsi="Times New Roman" w:cs="Times New Roman"/>
          <w:b/>
          <w:bCs/>
          <w:strike/>
          <w:color w:val="000000"/>
          <w:kern w:val="0"/>
          <w:sz w:val="24"/>
          <w14:ligatures w14:val="none"/>
        </w:rPr>
        <w:t>(UPC 913.0)</w:t>
      </w:r>
      <w:r w:rsidRPr="006B4A66">
        <w:rPr>
          <w:rFonts w:ascii="Times New Roman" w:eastAsia="Calibri" w:hAnsi="Times New Roman" w:cs="Times New Roman"/>
          <w:b/>
          <w:bCs/>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strike/>
          <w:color w:val="000000"/>
          <w:kern w:val="0"/>
          <w:sz w:val="24"/>
          <w14:ligatures w14:val="none"/>
        </w:rPr>
        <w:t>Individual fixtures, a branch vent, a vertical wet vent and a horizontal wet vent may terminate with a connection to an air admittance valve as follows:</w:t>
      </w:r>
    </w:p>
    <w:p w14:paraId="3617B182"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1. Fixtures connected to an air admittance valve shall be located on the same floor level.</w:t>
      </w:r>
    </w:p>
    <w:p w14:paraId="46018FC8"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2. Air admittance valves shall conform to ASSE 1051 for single fixtures, or ASSE 1050 for multiple fixtures, and shall be installed as required in this section and the manufacturer installation guidelines.</w:t>
      </w:r>
    </w:p>
    <w:p w14:paraId="44F5D767"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3. Air admittance valves shall be accessible and located:</w:t>
      </w:r>
    </w:p>
    <w:p w14:paraId="26556BE7"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3.1. In an area that allows air to enter the valve.</w:t>
      </w:r>
    </w:p>
    <w:p w14:paraId="36193C75"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3.2. A minimum of 4 inches above the trap arm.</w:t>
      </w:r>
    </w:p>
    <w:p w14:paraId="01312F8C"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strike/>
          <w:color w:val="000000"/>
          <w:kern w:val="0"/>
          <w:sz w:val="24"/>
          <w14:ligatures w14:val="none"/>
        </w:rPr>
        <w:t>3.3. A minimum of 6 inches above the flood level rim of the highest fixture being vented, when the air admittance valve serves as a vent termination for a branch vent, or vertical and horizontal wet vent.</w:t>
      </w:r>
    </w:p>
    <w:p w14:paraId="56F9B592"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3.4. Not less than 6 inches above insulation materials.</w:t>
      </w:r>
    </w:p>
    <w:p w14:paraId="44B78638"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 xml:space="preserve">3.5. Within the maximum developed length permitted for the vent as shown in UPC Table 703.2. </w:t>
      </w:r>
    </w:p>
    <w:p w14:paraId="4FA4F207"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4. The air admittance valve shall be rated in accordance with the standard for the vent size as determined in UPC Table 703.2.</w:t>
      </w:r>
    </w:p>
    <w:p w14:paraId="05E5CEAA"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5. Not less than one plumbing vent sized as required by UPC 904.1 shall extend to the exterior of the building as required in UPC 906.1.</w:t>
      </w:r>
    </w:p>
    <w:p w14:paraId="5C35F43F"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6. When a horizontal branch drain uses an individual or branch type air admittance valve, a relief vent shall be installed when the horizontal branch drain is located more than 4 branch intervals from the top of the building drain or waste stack. Installations that require a relief vent shall be:</w:t>
      </w:r>
    </w:p>
    <w:p w14:paraId="1CE80056"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6.1. Submitted for an installation design review before approval.</w:t>
      </w:r>
    </w:p>
    <w:p w14:paraId="0B61A8DB"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6.2. Sized in accordance with UPC 904.1</w:t>
      </w:r>
    </w:p>
    <w:p w14:paraId="3C978338"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 xml:space="preserve">6.3. </w:t>
      </w:r>
      <w:bookmarkStart w:id="15" w:name="_Hlk170912932"/>
      <w:r w:rsidRPr="006B4A66">
        <w:rPr>
          <w:rFonts w:ascii="Times New Roman" w:eastAsia="Calibri" w:hAnsi="Times New Roman" w:cs="Times New Roman"/>
          <w:strike/>
          <w:color w:val="000000"/>
          <w:kern w:val="0"/>
          <w:sz w:val="24"/>
          <w14:ligatures w14:val="none"/>
        </w:rPr>
        <w:t>Installed in accordance with UPC 905.0.</w:t>
      </w:r>
    </w:p>
    <w:bookmarkEnd w:id="15"/>
    <w:p w14:paraId="1B91D4E3"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6.4. Extended to the outdoors or connect to a vent stack.</w:t>
      </w:r>
    </w:p>
    <w:p w14:paraId="44A0BE43"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6.5. Permitted to serve as the vent for other fixtures.</w:t>
      </w:r>
    </w:p>
    <w:p w14:paraId="65AFFA36"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7. Air admittance valve installations are prohibited for:</w:t>
      </w:r>
    </w:p>
    <w:p w14:paraId="2B1EDCB5"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7.1. Venting sumps or tanks.</w:t>
      </w:r>
    </w:p>
    <w:p w14:paraId="5A05E597"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7.2. Non-neutralized chemical waste systems without a design review and approval by the authority having jurisdiction.</w:t>
      </w:r>
    </w:p>
    <w:p w14:paraId="2F45C9E4"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strike/>
          <w:color w:val="000000"/>
          <w:kern w:val="0"/>
          <w:sz w:val="24"/>
          <w14:ligatures w14:val="none"/>
        </w:rPr>
        <w:t>7.3. Any fixtures connected to a grease or fats, oils or grease (FOG) disposal system.</w:t>
      </w:r>
    </w:p>
    <w:p w14:paraId="235F0938"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7.4. Location in spaces used as supply or return air plenums.</w:t>
      </w:r>
      <w:r w:rsidRPr="006B4A66">
        <w:rPr>
          <w:rFonts w:ascii="Times New Roman" w:eastAsia="Calibri" w:hAnsi="Times New Roman" w:cs="Times New Roman"/>
          <w:color w:val="000000"/>
          <w:kern w:val="0"/>
          <w:sz w:val="24"/>
          <w14:ligatures w14:val="none"/>
        </w:rPr>
        <w:t>))</w:t>
      </w:r>
    </w:p>
    <w:p w14:paraId="0FF1779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u w:val="single"/>
          <w14:ligatures w14:val="none"/>
        </w:rPr>
        <w:t>1.</w:t>
      </w:r>
      <w:r w:rsidRPr="006B4A66">
        <w:rPr>
          <w:rFonts w:ascii="Times New Roman" w:eastAsia="Calibri" w:hAnsi="Times New Roman" w:cs="Times New Roman"/>
          <w:color w:val="000000"/>
          <w:kern w:val="0"/>
          <w:sz w:val="24"/>
          <w:u w:val="single"/>
          <w14:ligatures w14:val="none"/>
        </w:rPr>
        <w:t xml:space="preserve">  </w:t>
      </w:r>
      <w:r w:rsidRPr="006B4A66">
        <w:rPr>
          <w:rFonts w:ascii="Times New Roman" w:eastAsia="Calibri" w:hAnsi="Times New Roman" w:cs="Times New Roman"/>
          <w:b/>
          <w:bCs/>
          <w:color w:val="000000"/>
          <w:kern w:val="0"/>
          <w:sz w:val="24"/>
          <w:u w:val="single"/>
          <w14:ligatures w14:val="none"/>
        </w:rPr>
        <w:t>General.</w:t>
      </w:r>
      <w:r w:rsidRPr="006B4A66">
        <w:rPr>
          <w:rFonts w:ascii="Times New Roman" w:eastAsia="Calibri" w:hAnsi="Times New Roman" w:cs="Times New Roman"/>
          <w:color w:val="000000"/>
          <w:kern w:val="0"/>
          <w:sz w:val="24"/>
          <w:u w:val="single"/>
          <w14:ligatures w14:val="none"/>
        </w:rPr>
        <w:t xml:space="preserve">  Vent systems utilizing air admittance valves shall comply with this section.</w:t>
      </w:r>
    </w:p>
    <w:p w14:paraId="3D84E7C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u w:val="single"/>
          <w14:ligatures w14:val="none"/>
        </w:rPr>
        <w:t>2.  Where Permitted.</w:t>
      </w:r>
      <w:r w:rsidRPr="006B4A66">
        <w:rPr>
          <w:rFonts w:ascii="Times New Roman" w:eastAsia="Calibri" w:hAnsi="Times New Roman" w:cs="Times New Roman"/>
          <w:color w:val="000000"/>
          <w:kern w:val="0"/>
          <w:sz w:val="24"/>
          <w:u w:val="single"/>
          <w14:ligatures w14:val="none"/>
        </w:rPr>
        <w:t xml:space="preserve">  Individual fixtures, a branch vent, a vertical wet vent, and a horizontal wet vent shall be permitted to terminate with a connection to an air admittance valve.  Fixtures connected to an air admittance valve shall be located on the same floor level.</w:t>
      </w:r>
    </w:p>
    <w:p w14:paraId="2EBD22B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u w:val="single"/>
          <w14:ligatures w14:val="none"/>
        </w:rPr>
        <w:t>3.  Installation.</w:t>
      </w:r>
      <w:r w:rsidRPr="006B4A66">
        <w:rPr>
          <w:rFonts w:ascii="Times New Roman" w:eastAsia="Calibri" w:hAnsi="Times New Roman" w:cs="Times New Roman"/>
          <w:color w:val="000000"/>
          <w:kern w:val="0"/>
          <w:sz w:val="24"/>
          <w:u w:val="single"/>
          <w14:ligatures w14:val="none"/>
        </w:rPr>
        <w:t xml:space="preserve">  Air admittance valves shall conform to ASSE 1051 for single fixtures, and ASSE 1050 for multiple fixtures, and shall be installed as required in this section and the manufacturer's installations guidelines.</w:t>
      </w:r>
    </w:p>
    <w:p w14:paraId="28E9F41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4</w:t>
      </w:r>
      <w:r w:rsidRPr="006B4A66">
        <w:rPr>
          <w:rFonts w:ascii="Times New Roman" w:eastAsia="Calibri" w:hAnsi="Times New Roman" w:cs="Times New Roman"/>
          <w:b/>
          <w:bCs/>
          <w:color w:val="000000"/>
          <w:kern w:val="0"/>
          <w:sz w:val="24"/>
          <w:u w:val="single"/>
          <w14:ligatures w14:val="none"/>
        </w:rPr>
        <w:t>.  Location.</w:t>
      </w:r>
    </w:p>
    <w:p w14:paraId="3245EAE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 xml:space="preserve">4.1.  Air admittance valves shall be accessible and located in an area that allows air to enter the valve. </w:t>
      </w:r>
    </w:p>
    <w:p w14:paraId="3F50690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4.2.  The air admittance valve shall be located a minimum of 4 inches (102 millimeters) above the trap arm.</w:t>
      </w:r>
    </w:p>
    <w:p w14:paraId="0AD9AFE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4.3.  The air admittance valve that serves as a vent termination for a branch vent, or vertical and horizontal wet vent, shall be located a minimum of 6 inches (152 millimeters) above the flood level rim of the highest fixture being vented.</w:t>
      </w:r>
    </w:p>
    <w:p w14:paraId="5C3DBE2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4.4.  The air admittance valve shall be located with the maximum developed length permitted for the vent as shown in Table 703.2.</w:t>
      </w:r>
    </w:p>
    <w:p w14:paraId="47B5CA5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color w:val="000000"/>
          <w:kern w:val="0"/>
          <w:sz w:val="24"/>
          <w:u w:val="single"/>
          <w14:ligatures w14:val="none"/>
        </w:rPr>
        <w:t>4.5.  The air admittance valve shall be installed at least 6 inches (152 millimeters) above insulation materials.</w:t>
      </w:r>
    </w:p>
    <w:p w14:paraId="241F7CF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u w:val="single"/>
          <w14:ligatures w14:val="none"/>
        </w:rPr>
        <w:t>5.  Size.</w:t>
      </w:r>
      <w:r w:rsidRPr="006B4A66">
        <w:rPr>
          <w:rFonts w:ascii="Times New Roman" w:eastAsia="Calibri" w:hAnsi="Times New Roman" w:cs="Times New Roman"/>
          <w:color w:val="000000"/>
          <w:kern w:val="0"/>
          <w:sz w:val="24"/>
          <w:u w:val="single"/>
          <w14:ligatures w14:val="none"/>
        </w:rPr>
        <w:t xml:space="preserve">  The air admittance valve shall be rated in accordance with the standard for the vent size as determined in Table 703.2.</w:t>
      </w:r>
    </w:p>
    <w:p w14:paraId="6708D22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u w:val="single"/>
          <w14:ligatures w14:val="none"/>
        </w:rPr>
        <w:t>6.  Vent Required</w:t>
      </w:r>
      <w:r w:rsidRPr="006B4A66">
        <w:rPr>
          <w:rFonts w:ascii="Times New Roman" w:eastAsia="Calibri" w:hAnsi="Times New Roman" w:cs="Times New Roman"/>
          <w:color w:val="000000"/>
          <w:kern w:val="0"/>
          <w:sz w:val="24"/>
          <w:u w:val="single"/>
          <w14:ligatures w14:val="none"/>
        </w:rPr>
        <w:t>.  Not less than one plumbing vent sized as required by Section 904.1, shall extend to the exterior of the building as required in Section 906.1</w:t>
      </w:r>
    </w:p>
    <w:p w14:paraId="587359F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u w:val="single"/>
          <w14:ligatures w14:val="none"/>
        </w:rPr>
        <w:t>7.  Relief Vent.</w:t>
      </w:r>
      <w:r w:rsidRPr="006B4A66">
        <w:rPr>
          <w:rFonts w:ascii="Times New Roman" w:eastAsia="Calibri" w:hAnsi="Times New Roman" w:cs="Times New Roman"/>
          <w:color w:val="000000"/>
          <w:kern w:val="0"/>
          <w:sz w:val="24"/>
          <w:u w:val="single"/>
          <w14:ligatures w14:val="none"/>
        </w:rPr>
        <w:t xml:space="preserve">  When a horizontal branch drain utilizes an individual or branch type air admittance valve, a relief vent shall be installed when the horizontal branch drain is located more than 4 branch intervals from the top of the building drain (waste stack), and the relief vent shall extend to the outdoors or connect to a vent stack.</w:t>
      </w:r>
    </w:p>
    <w:p w14:paraId="5C4F483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The relief vent shall be sized in accordance with Section 904.1, installed in accordance with Section 905.0, and shall be permitted to serve as the vent for other fixtures.</w:t>
      </w:r>
    </w:p>
    <w:p w14:paraId="6892975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u w:val="single"/>
          <w14:ligatures w14:val="none"/>
        </w:rPr>
        <w:t>8.  Prior Approval.</w:t>
      </w:r>
      <w:r w:rsidRPr="006B4A66">
        <w:rPr>
          <w:rFonts w:ascii="Times New Roman" w:eastAsia="Calibri" w:hAnsi="Times New Roman" w:cs="Times New Roman"/>
          <w:color w:val="000000"/>
          <w:kern w:val="0"/>
          <w:sz w:val="24"/>
          <w:u w:val="single"/>
          <w14:ligatures w14:val="none"/>
        </w:rPr>
        <w:t xml:space="preserve">  Installations that require a relief vent shall be submitted for an installation design review.</w:t>
      </w:r>
    </w:p>
    <w:p w14:paraId="5AC495E8" w14:textId="77777777" w:rsidR="006B4A66" w:rsidRPr="006B4A66" w:rsidRDefault="006B4A66" w:rsidP="0073496A">
      <w:pPr>
        <w:tabs>
          <w:tab w:val="left" w:pos="720"/>
        </w:tabs>
        <w:spacing w:after="0" w:line="480" w:lineRule="auto"/>
        <w:rPr>
          <w:rFonts w:ascii="Times New Roman" w:eastAsia="Calibri" w:hAnsi="Times New Roman" w:cs="Times New Roman"/>
          <w:b/>
          <w:bCs/>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u w:val="single"/>
          <w14:ligatures w14:val="none"/>
        </w:rPr>
        <w:t>9.  Prohibited Installations.</w:t>
      </w:r>
    </w:p>
    <w:p w14:paraId="42B7D30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b/>
          <w:bCs/>
          <w:color w:val="000000"/>
          <w:kern w:val="0"/>
          <w:sz w:val="24"/>
          <w14:ligatures w14:val="none"/>
        </w:rPr>
        <w:tab/>
      </w:r>
      <w:r w:rsidRPr="006B4A66">
        <w:rPr>
          <w:rFonts w:ascii="Times New Roman" w:eastAsia="Calibri" w:hAnsi="Times New Roman" w:cs="Times New Roman"/>
          <w:b/>
          <w:bCs/>
          <w:color w:val="000000"/>
          <w:kern w:val="0"/>
          <w:sz w:val="24"/>
          <w:u w:val="single"/>
          <w14:ligatures w14:val="none"/>
        </w:rPr>
        <w:t>9.1  Sumps.</w:t>
      </w:r>
      <w:r w:rsidRPr="006B4A66">
        <w:rPr>
          <w:rFonts w:ascii="Times New Roman" w:eastAsia="Calibri" w:hAnsi="Times New Roman" w:cs="Times New Roman"/>
          <w:color w:val="000000"/>
          <w:kern w:val="0"/>
          <w:sz w:val="24"/>
          <w:u w:val="single"/>
          <w14:ligatures w14:val="none"/>
        </w:rPr>
        <w:t xml:space="preserve">  Air admittance valves shall not be utilized to vent sumps or tanks of any type.</w:t>
      </w:r>
    </w:p>
    <w:p w14:paraId="2128778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u w:val="single"/>
          <w14:ligatures w14:val="none"/>
        </w:rPr>
        <w:t>9.2  Chemical Waste Systems.</w:t>
      </w:r>
      <w:r w:rsidRPr="006B4A66">
        <w:rPr>
          <w:rFonts w:ascii="Times New Roman" w:eastAsia="Calibri" w:hAnsi="Times New Roman" w:cs="Times New Roman"/>
          <w:color w:val="000000"/>
          <w:kern w:val="0"/>
          <w:sz w:val="24"/>
          <w:u w:val="single"/>
          <w14:ligatures w14:val="none"/>
        </w:rPr>
        <w:t xml:space="preserve">  Air admittance valves shall not be installed in non-neutralized chemical waste systems without a design review and approval by the authority having jurisdiction.</w:t>
      </w:r>
    </w:p>
    <w:p w14:paraId="287E862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u w:val="single"/>
          <w14:ligatures w14:val="none"/>
        </w:rPr>
        <w:t>9.3  FOG Disposal Systems.</w:t>
      </w:r>
      <w:r w:rsidRPr="006B4A66">
        <w:rPr>
          <w:rFonts w:ascii="Times New Roman" w:eastAsia="Calibri" w:hAnsi="Times New Roman" w:cs="Times New Roman"/>
          <w:color w:val="000000"/>
          <w:kern w:val="0"/>
          <w:sz w:val="24"/>
          <w:u w:val="single"/>
          <w14:ligatures w14:val="none"/>
        </w:rPr>
        <w:t xml:space="preserve">  Air admittance valves shall not be installed on any fixtures that are connected to a fats, oils, and grease (FOG) disposal system.</w:t>
      </w:r>
    </w:p>
    <w:p w14:paraId="18EC852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b/>
          <w:bCs/>
          <w:color w:val="000000"/>
          <w:kern w:val="0"/>
          <w:sz w:val="24"/>
          <w:u w:val="single"/>
          <w14:ligatures w14:val="none"/>
        </w:rPr>
        <w:t>9.4  Plenums.</w:t>
      </w:r>
      <w:r w:rsidRPr="006B4A66">
        <w:rPr>
          <w:rFonts w:ascii="Times New Roman" w:eastAsia="Calibri" w:hAnsi="Times New Roman" w:cs="Times New Roman"/>
          <w:color w:val="000000"/>
          <w:kern w:val="0"/>
          <w:sz w:val="24"/>
          <w:u w:val="single"/>
          <w14:ligatures w14:val="none"/>
        </w:rPr>
        <w:t xml:space="preserve">  Air admittance valves shall not be located in spaces utilized as supply or return air plenums.</w:t>
      </w:r>
    </w:p>
    <w:bookmarkEnd w:id="14"/>
    <w:p w14:paraId="44BC9829" w14:textId="388E7D5B"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196.</w:t>
      </w:r>
      <w:r w:rsidRPr="006B4A66">
        <w:rPr>
          <w:rFonts w:ascii="Times New Roman" w:eastAsia="Calibri" w:hAnsi="Times New Roman" w:cs="Times New Roman"/>
          <w:color w:val="000000"/>
          <w:kern w:val="0"/>
          <w:sz w:val="24"/>
          <w14:ligatures w14:val="none"/>
        </w:rPr>
        <w:t xml:space="preserve">  Ordinance 19485, Section 155, and K.C.C. 16.32.343 are each hereby amended to read as follows:</w:t>
      </w:r>
    </w:p>
    <w:p w14:paraId="12262DD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1014.1 of the Uniform Plumbing Code is ((</w:t>
      </w:r>
      <w:r w:rsidRPr="006B4A66">
        <w:rPr>
          <w:rFonts w:ascii="Times New Roman" w:eastAsia="Calibri" w:hAnsi="Times New Roman" w:cs="Times New Roman"/>
          <w:strike/>
          <w:color w:val="000000"/>
          <w:kern w:val="0"/>
          <w:sz w:val="24"/>
          <w14:ligatures w14:val="none"/>
        </w:rPr>
        <w:t>not adopted and</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supplemented with</w:t>
      </w:r>
      <w:r w:rsidRPr="006B4A66">
        <w:rPr>
          <w:rFonts w:ascii="Times New Roman" w:eastAsia="Calibri" w:hAnsi="Times New Roman" w:cs="Times New Roman"/>
          <w:color w:val="000000"/>
          <w:kern w:val="0"/>
          <w:sz w:val="24"/>
          <w14:ligatures w14:val="none"/>
        </w:rPr>
        <w:t xml:space="preserve"> the following ((</w:t>
      </w:r>
      <w:r w:rsidRPr="006B4A66">
        <w:rPr>
          <w:rFonts w:ascii="Times New Roman" w:eastAsia="Calibri" w:hAnsi="Times New Roman" w:cs="Times New Roman"/>
          <w:strike/>
          <w:color w:val="000000"/>
          <w:kern w:val="0"/>
          <w:sz w:val="24"/>
          <w14:ligatures w14:val="none"/>
        </w:rPr>
        <w:t>is substituted</w:t>
      </w:r>
      <w:r w:rsidRPr="006B4A66">
        <w:rPr>
          <w:rFonts w:ascii="Times New Roman" w:eastAsia="Calibri" w:hAnsi="Times New Roman" w:cs="Times New Roman"/>
          <w:color w:val="000000"/>
          <w:kern w:val="0"/>
          <w:sz w:val="24"/>
          <w14:ligatures w14:val="none"/>
        </w:rPr>
        <w:t>)):</w:t>
      </w:r>
    </w:p>
    <w:p w14:paraId="5DB88B5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b/>
          <w:bCs/>
          <w:strike/>
          <w:color w:val="000000"/>
          <w:kern w:val="0"/>
          <w:sz w:val="24"/>
          <w14:ligatures w14:val="none"/>
        </w:rPr>
        <w:t>General (UPC 1014.1).</w:t>
      </w:r>
      <w:r w:rsidRPr="006B4A66">
        <w:rPr>
          <w:rFonts w:ascii="Times New Roman" w:eastAsia="Calibri" w:hAnsi="Times New Roman" w:cs="Times New Roman"/>
          <w:strike/>
          <w:color w:val="000000"/>
          <w:kern w:val="0"/>
          <w:sz w:val="24"/>
          <w14:ligatures w14:val="none"/>
        </w:rPr>
        <w:t xml:space="preserve"> Where it is determined by the authority having jurisdiction that waste pretreatment is required, an approved type of grease interceptor(s) that complies with ASME A112.14.3, ASME A112.14.4, CSA B481, PDI G-101 or PDI G-102, and sized in accordance with UPC 1014.2.1 or 1014.3.6, shall be installed in accordance with the manufacturer's installation instructions to receive the drainage from fixtures or equipment that produce grease laden waste located in areas of establishments where food is prepared or other establishments where grease is introduced into the drainage or sewage system in quantities that can effect line stoppage or hinder sewage treatment or private sewage disposal systems. A combination of hydromechanical, gravity grease interceptors and engineered systems are allowed to meet this code and other applicable requirements of the authority having jurisdictions where space or existing physical constraints of existing buildings require such installations. Grease interceptors are not required for individual dwelling units or private living quarters. Water closets, urinals and other plumbing fixtures conveying human waste shall not drain into or through the grease interceptor. Grease interceptors shall comply with UPC 1014.1.1 through 1014.1.3.</w:t>
      </w:r>
      <w:r w:rsidRPr="006B4A66">
        <w:rPr>
          <w:rFonts w:ascii="Times New Roman" w:eastAsia="Calibri" w:hAnsi="Times New Roman" w:cs="Times New Roman"/>
          <w:color w:val="000000"/>
          <w:kern w:val="0"/>
          <w:sz w:val="24"/>
          <w14:ligatures w14:val="none"/>
        </w:rPr>
        <w:t>))</w:t>
      </w:r>
    </w:p>
    <w:p w14:paraId="0BC7197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lastRenderedPageBreak/>
        <w:tab/>
        <w:t>EXCEPTION:</w:t>
      </w:r>
      <w:r w:rsidRPr="006B4A66">
        <w:rPr>
          <w:rFonts w:ascii="Times New Roman" w:eastAsia="Calibri" w:hAnsi="Times New Roman" w:cs="Times New Roman"/>
          <w:color w:val="000000"/>
          <w:kern w:val="0"/>
          <w:sz w:val="24"/>
          <w14:ligatures w14:val="none"/>
        </w:rPr>
        <w:t xml:space="preserve">  A one-family or two-family home that has an approved commercial kitchen or prepares food for public sale shall install a grease interceptor that complies ((</w:t>
      </w:r>
      <w:r w:rsidRPr="006B4A66">
        <w:rPr>
          <w:rFonts w:ascii="Times New Roman" w:eastAsia="Calibri" w:hAnsi="Times New Roman" w:cs="Times New Roman"/>
          <w:strike/>
          <w:color w:val="000000"/>
          <w:kern w:val="0"/>
          <w:sz w:val="24"/>
          <w14:ligatures w14:val="none"/>
        </w:rPr>
        <w:t>to</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with</w:t>
      </w:r>
      <w:r w:rsidRPr="006B4A66">
        <w:rPr>
          <w:rFonts w:ascii="Times New Roman" w:eastAsia="Calibri" w:hAnsi="Times New Roman" w:cs="Times New Roman"/>
          <w:color w:val="000000"/>
          <w:kern w:val="0"/>
          <w:sz w:val="24"/>
          <w14:ligatures w14:val="none"/>
        </w:rPr>
        <w:t xml:space="preserve"> Section 1014.0 for all fixtures that produce ((</w:t>
      </w:r>
      <w:r w:rsidRPr="006B4A66">
        <w:rPr>
          <w:rFonts w:ascii="Times New Roman" w:eastAsia="Calibri" w:hAnsi="Times New Roman" w:cs="Times New Roman"/>
          <w:strike/>
          <w:color w:val="000000"/>
          <w:kern w:val="0"/>
          <w:sz w:val="24"/>
          <w14:ligatures w14:val="none"/>
        </w:rPr>
        <w:t>fats, oils and grease</w:t>
      </w:r>
      <w:r w:rsidRPr="006B4A66">
        <w:rPr>
          <w:rFonts w:ascii="Times New Roman" w:eastAsia="Calibri" w:hAnsi="Times New Roman" w:cs="Times New Roman"/>
          <w:color w:val="000000"/>
          <w:kern w:val="0"/>
          <w:sz w:val="24"/>
          <w14:ligatures w14:val="none"/>
        </w:rPr>
        <w:t>)) ((</w:t>
      </w:r>
      <w:r w:rsidRPr="006B4A66">
        <w:rPr>
          <w:rFonts w:ascii="Times New Roman" w:eastAsia="Calibri" w:hAnsi="Times New Roman" w:cs="Times New Roman"/>
          <w:strike/>
          <w:color w:val="000000"/>
          <w:kern w:val="0"/>
          <w:sz w:val="24"/>
          <w14:ligatures w14:val="none"/>
        </w:rPr>
        <w:t>(</w:t>
      </w:r>
      <w:r w:rsidRPr="006B4A66">
        <w:rPr>
          <w:rFonts w:ascii="Times New Roman" w:eastAsia="Calibri" w:hAnsi="Times New Roman" w:cs="Times New Roman"/>
          <w:color w:val="000000"/>
          <w:kern w:val="0"/>
          <w:sz w:val="24"/>
          <w14:ligatures w14:val="none"/>
        </w:rPr>
        <w:t>))FOG((</w:t>
      </w:r>
      <w:r w:rsidRPr="006B4A66">
        <w:rPr>
          <w:rFonts w:ascii="Times New Roman" w:eastAsia="Calibri" w:hAnsi="Times New Roman" w:cs="Times New Roman"/>
          <w:strike/>
          <w:color w:val="000000"/>
          <w:kern w:val="0"/>
          <w:sz w:val="24"/>
          <w14:ligatures w14:val="none"/>
        </w:rPr>
        <w:t>)</w:t>
      </w:r>
      <w:r w:rsidRPr="006B4A66">
        <w:rPr>
          <w:rFonts w:ascii="Times New Roman" w:eastAsia="Calibri" w:hAnsi="Times New Roman" w:cs="Times New Roman"/>
          <w:color w:val="000000"/>
          <w:kern w:val="0"/>
          <w:sz w:val="24"/>
          <w14:ligatures w14:val="none"/>
        </w:rPr>
        <w:t>)) waste.</w:t>
      </w:r>
    </w:p>
    <w:p w14:paraId="4D1660F9" w14:textId="3CA7D986"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197.</w:t>
      </w:r>
      <w:r w:rsidRPr="006B4A66">
        <w:rPr>
          <w:rFonts w:ascii="Times New Roman" w:eastAsia="Calibri" w:hAnsi="Times New Roman" w:cs="Times New Roman"/>
          <w:color w:val="000000"/>
          <w:kern w:val="0"/>
          <w:sz w:val="24"/>
          <w14:ligatures w14:val="none"/>
        </w:rPr>
        <w:t xml:space="preserve">  Ordinance 19485, Section 156, and K.C.C. 16.32.344 are each hereby amended to read as follows:</w:t>
      </w:r>
    </w:p>
    <w:p w14:paraId="6E93166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The Exception to</w:t>
      </w:r>
      <w:r w:rsidRPr="006B4A66">
        <w:rPr>
          <w:rFonts w:ascii="Times New Roman" w:eastAsia="Calibri" w:hAnsi="Times New Roman" w:cs="Times New Roman"/>
          <w:color w:val="000000"/>
          <w:kern w:val="0"/>
          <w:sz w:val="24"/>
          <w14:ligatures w14:val="none"/>
        </w:rPr>
        <w:t xml:space="preserve"> Section 1014.1.3 of the Uniform Plumbing Code is not adopted and the following is substituted:</w:t>
      </w:r>
    </w:p>
    <w:p w14:paraId="1BD08255"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b/>
          <w:bCs/>
          <w:strike/>
          <w:color w:val="000000"/>
          <w:kern w:val="0"/>
          <w:sz w:val="24"/>
          <w14:ligatures w14:val="none"/>
        </w:rPr>
        <w:t>Food Waste Disposers and Dishwashers (UPC 1014.1.3).</w:t>
      </w:r>
      <w:r w:rsidRPr="006B4A66">
        <w:rPr>
          <w:rFonts w:ascii="Times New Roman" w:eastAsia="Calibri" w:hAnsi="Times New Roman" w:cs="Times New Roman"/>
          <w:strike/>
          <w:color w:val="000000"/>
          <w:kern w:val="0"/>
          <w:sz w:val="24"/>
          <w14:ligatures w14:val="none"/>
        </w:rPr>
        <w:t xml:space="preserve"> No food waste disposer or dishwasher shall be connected to or discharge into a grease interceptor. Commercial food waste disposers may discharge directly into the buildings drainage system.</w:t>
      </w:r>
      <w:r w:rsidRPr="006B4A66">
        <w:rPr>
          <w:rFonts w:ascii="Times New Roman" w:eastAsia="Calibri" w:hAnsi="Times New Roman" w:cs="Times New Roman"/>
          <w:color w:val="000000"/>
          <w:kern w:val="0"/>
          <w:sz w:val="24"/>
          <w14:ligatures w14:val="none"/>
        </w:rPr>
        <w:t>))</w:t>
      </w:r>
    </w:p>
    <w:p w14:paraId="2924C0D6"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w:t>
      </w:r>
      <w:r w:rsidRPr="006B4A66">
        <w:rPr>
          <w:rFonts w:ascii="Times New Roman" w:eastAsia="Calibri" w:hAnsi="Times New Roman" w:cs="Times New Roman"/>
          <w:color w:val="000000"/>
          <w:kern w:val="0"/>
          <w:sz w:val="24"/>
          <w14:ligatures w14:val="none"/>
        </w:rPr>
        <w:t xml:space="preserve">  Food waste disposers may discharge to grease interceptors that are designed to receive ((</w:t>
      </w:r>
      <w:r w:rsidRPr="006B4A66">
        <w:rPr>
          <w:rFonts w:ascii="Times New Roman" w:eastAsia="Calibri" w:hAnsi="Times New Roman" w:cs="Times New Roman"/>
          <w:strike/>
          <w:color w:val="000000"/>
          <w:kern w:val="0"/>
          <w:sz w:val="24"/>
          <w14:ligatures w14:val="none"/>
        </w:rPr>
        <w:t>the discharge of</w:t>
      </w:r>
      <w:r w:rsidRPr="006B4A66">
        <w:rPr>
          <w:rFonts w:ascii="Times New Roman" w:eastAsia="Calibri" w:hAnsi="Times New Roman" w:cs="Times New Roman"/>
          <w:color w:val="000000"/>
          <w:kern w:val="0"/>
          <w:sz w:val="24"/>
          <w14:ligatures w14:val="none"/>
        </w:rPr>
        <w:t xml:space="preserve">)) food waste </w:t>
      </w:r>
      <w:r w:rsidRPr="006B4A66">
        <w:rPr>
          <w:rFonts w:ascii="Times New Roman" w:eastAsia="Calibri" w:hAnsi="Times New Roman" w:cs="Times New Roman"/>
          <w:color w:val="000000"/>
          <w:kern w:val="0"/>
          <w:sz w:val="24"/>
          <w:u w:val="single"/>
          <w14:ligatures w14:val="none"/>
        </w:rPr>
        <w:t>discharge</w:t>
      </w:r>
      <w:r w:rsidRPr="006B4A66">
        <w:rPr>
          <w:rFonts w:ascii="Times New Roman" w:eastAsia="Calibri" w:hAnsi="Times New Roman" w:cs="Times New Roman"/>
          <w:color w:val="000000"/>
          <w:kern w:val="0"/>
          <w:sz w:val="24"/>
          <w14:ligatures w14:val="none"/>
        </w:rPr>
        <w:t xml:space="preserve"> or a listed food solids interceptor shall be installed at the ((</w:t>
      </w:r>
      <w:r w:rsidRPr="006B4A66">
        <w:rPr>
          <w:rFonts w:ascii="Times New Roman" w:eastAsia="Calibri" w:hAnsi="Times New Roman" w:cs="Times New Roman"/>
          <w:strike/>
          <w:color w:val="000000"/>
          <w:kern w:val="0"/>
          <w:sz w:val="24"/>
          <w14:ligatures w14:val="none"/>
        </w:rPr>
        <w:t>discharge point of the</w:t>
      </w:r>
      <w:r w:rsidRPr="006B4A66">
        <w:rPr>
          <w:rFonts w:ascii="Times New Roman" w:eastAsia="Calibri" w:hAnsi="Times New Roman" w:cs="Times New Roman"/>
          <w:color w:val="000000"/>
          <w:kern w:val="0"/>
          <w:sz w:val="24"/>
          <w14:ligatures w14:val="none"/>
        </w:rPr>
        <w:t xml:space="preserve">)) food waste disposer </w:t>
      </w:r>
      <w:r w:rsidRPr="006B4A66">
        <w:rPr>
          <w:rFonts w:ascii="Times New Roman" w:eastAsia="Calibri" w:hAnsi="Times New Roman" w:cs="Times New Roman"/>
          <w:color w:val="000000"/>
          <w:kern w:val="0"/>
          <w:sz w:val="24"/>
          <w:u w:val="single"/>
          <w14:ligatures w14:val="none"/>
        </w:rPr>
        <w:t>discharge point</w:t>
      </w:r>
      <w:r w:rsidRPr="006B4A66">
        <w:rPr>
          <w:rFonts w:ascii="Times New Roman" w:eastAsia="Calibri" w:hAnsi="Times New Roman" w:cs="Times New Roman"/>
          <w:color w:val="000000"/>
          <w:kern w:val="0"/>
          <w:sz w:val="24"/>
          <w14:ligatures w14:val="none"/>
        </w:rPr>
        <w:t>.</w:t>
      </w:r>
    </w:p>
    <w:p w14:paraId="02068FF0" w14:textId="4B529806"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198.</w:t>
      </w:r>
      <w:r w:rsidRPr="006B4A66">
        <w:rPr>
          <w:rFonts w:ascii="Times New Roman" w:eastAsia="Calibri" w:hAnsi="Times New Roman" w:cs="Times New Roman"/>
          <w:color w:val="000000"/>
          <w:kern w:val="0"/>
          <w:sz w:val="24"/>
          <w14:ligatures w14:val="none"/>
        </w:rPr>
        <w:t xml:space="preserve">  Ordinance 15802, Section 137, as amended, and K.C.C. 16.32.345 are each hereby amended to read as follows:</w:t>
      </w:r>
    </w:p>
    <w:p w14:paraId="50CC948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Chapter 10 of the Uniform Plumbing Code is supplemented with the following:</w:t>
      </w:r>
    </w:p>
    <w:p w14:paraId="536AA43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b/>
          <w:bCs/>
          <w:strike/>
          <w:color w:val="000000"/>
          <w:kern w:val="0"/>
          <w:sz w:val="24"/>
          <w14:ligatures w14:val="none"/>
        </w:rPr>
        <w:t xml:space="preserve">Parking Garage Drainage Systems (UPC 1018.1).  </w:t>
      </w:r>
      <w:r w:rsidRPr="006B4A66">
        <w:rPr>
          <w:rFonts w:ascii="Times New Roman" w:eastAsia="Calibri" w:hAnsi="Times New Roman" w:cs="Times New Roman"/>
          <w:strike/>
          <w:color w:val="000000"/>
          <w:kern w:val="0"/>
          <w:sz w:val="24"/>
          <w14:ligatures w14:val="none"/>
        </w:rPr>
        <w:t xml:space="preserve">All garage floor drainage under the roof of a parking garage shall be connected to the sanitary drainage system, through the use of a sand interceptor.  When the top floor of the building is used as a roof as well as a parking area, the drainage from the roof shall be connected to the storm </w:t>
      </w:r>
      <w:r w:rsidRPr="006B4A66">
        <w:rPr>
          <w:rFonts w:ascii="Times New Roman" w:eastAsia="Calibri" w:hAnsi="Times New Roman" w:cs="Times New Roman"/>
          <w:strike/>
          <w:color w:val="000000"/>
          <w:kern w:val="0"/>
          <w:sz w:val="24"/>
          <w14:ligatures w14:val="none"/>
        </w:rPr>
        <w:lastRenderedPageBreak/>
        <w:t>drainage system.  Drainage from plumbing fixtures shall not be inter-connected with the garage drainage system; however, drainage lines from car or truck washing equipment may be connected to the approved garage drainage system. Garage drains shall comply with the following:</w:t>
      </w:r>
    </w:p>
    <w:p w14:paraId="3D2A79B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1. Garage drain piping shall be a minimum of three inches in size.</w:t>
      </w:r>
    </w:p>
    <w:p w14:paraId="218B5F7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2. A trap shall not be installed at the garage drains.  All plans for parking garage drainage systems shall be submitted to the authority having jurisdiction before installation for approval.</w:t>
      </w:r>
    </w:p>
    <w:p w14:paraId="7ADAC5E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strike/>
          <w:color w:val="000000"/>
          <w:kern w:val="0"/>
          <w:sz w:val="24"/>
          <w14:ligatures w14:val="none"/>
        </w:rPr>
        <w:t>EXCEPTION:</w:t>
      </w:r>
      <w:r w:rsidRPr="006B4A66">
        <w:rPr>
          <w:rFonts w:ascii="Times New Roman" w:eastAsia="Calibri" w:hAnsi="Times New Roman" w:cs="Times New Roman"/>
          <w:strike/>
          <w:color w:val="000000"/>
          <w:kern w:val="0"/>
          <w:sz w:val="24"/>
          <w14:ligatures w14:val="none"/>
        </w:rPr>
        <w:t xml:space="preserve"> This section shall not apply to one family or two-family dwellings.</w:t>
      </w:r>
      <w:r w:rsidRPr="006B4A66">
        <w:rPr>
          <w:rFonts w:ascii="Times New Roman" w:eastAsia="Calibri" w:hAnsi="Times New Roman" w:cs="Times New Roman"/>
          <w:color w:val="000000"/>
          <w:kern w:val="0"/>
          <w:sz w:val="24"/>
          <w14:ligatures w14:val="none"/>
        </w:rPr>
        <w:t>))</w:t>
      </w:r>
    </w:p>
    <w:p w14:paraId="35E70F0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b/>
          <w:bCs/>
          <w:color w:val="000000"/>
          <w:kern w:val="0"/>
          <w:sz w:val="24"/>
          <w14:ligatures w14:val="none"/>
        </w:rPr>
        <w:tab/>
      </w:r>
      <w:r w:rsidRPr="006B4A66">
        <w:rPr>
          <w:rFonts w:ascii="Times New Roman" w:eastAsia="Calibri" w:hAnsi="Times New Roman" w:cs="Times New Roman"/>
          <w:b/>
          <w:bCs/>
          <w:color w:val="000000"/>
          <w:kern w:val="0"/>
          <w:sz w:val="24"/>
          <w:u w:val="single"/>
          <w14:ligatures w14:val="none"/>
        </w:rPr>
        <w:t>Parking Garage Drainage Systems.</w:t>
      </w:r>
      <w:r w:rsidRPr="006B4A66">
        <w:rPr>
          <w:rFonts w:ascii="Times New Roman" w:eastAsia="Calibri" w:hAnsi="Times New Roman" w:cs="Times New Roman"/>
          <w:color w:val="000000"/>
          <w:kern w:val="0"/>
          <w:sz w:val="24"/>
          <w:u w:val="single"/>
          <w14:ligatures w14:val="none"/>
        </w:rPr>
        <w:t xml:space="preserve">  Parking garage drainage systems shall comply with sections A and B as follows.  All plans for parking garage floor drainage systems shall be submitted to the authority having jurisdiction and approved prior to installation.</w:t>
      </w:r>
    </w:p>
    <w:p w14:paraId="7C39415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u w:val="single"/>
          <w14:ligatures w14:val="none"/>
        </w:rPr>
        <w:t>A. Parking Garage Drains.</w:t>
      </w:r>
      <w:r w:rsidRPr="006B4A66">
        <w:rPr>
          <w:rFonts w:ascii="Times New Roman" w:eastAsia="Calibri" w:hAnsi="Times New Roman" w:cs="Times New Roman"/>
          <w:color w:val="000000"/>
          <w:kern w:val="0"/>
          <w:sz w:val="24"/>
          <w:u w:val="single"/>
          <w14:ligatures w14:val="none"/>
        </w:rPr>
        <w:t xml:space="preserve">  Drains connected to the parking garage drainage system shall comply with the following:</w:t>
      </w:r>
    </w:p>
    <w:p w14:paraId="3B8D45E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 xml:space="preserve">  </w:t>
      </w:r>
      <w:r w:rsidRPr="001216D4">
        <w:rPr>
          <w:rFonts w:ascii="Times New Roman" w:eastAsia="Calibri" w:hAnsi="Times New Roman" w:cs="Times New Roman"/>
          <w:color w:val="000000"/>
          <w:kern w:val="0"/>
          <w:sz w:val="24"/>
          <w:u w:val="single"/>
          <w14:ligatures w14:val="none"/>
        </w:rPr>
        <w:t>1.</w:t>
      </w:r>
      <w:r w:rsidRPr="006B4A66">
        <w:rPr>
          <w:rFonts w:ascii="Times New Roman" w:eastAsia="Calibri" w:hAnsi="Times New Roman" w:cs="Times New Roman"/>
          <w:color w:val="000000"/>
          <w:kern w:val="0"/>
          <w:sz w:val="24"/>
          <w:u w:val="single"/>
          <w14:ligatures w14:val="none"/>
        </w:rPr>
        <w:t xml:space="preserve">  Unless otherwise approved by the authority having jurisdiction, drains serving parking or loading dock areas exposed to precipitation and larger than 200 square feet (18.6 square meters) shall be connected to the building storm drainage system.  All other parking garage and/or loading dock drainage shall be connected to the sanitary drainage system using a sand interceptor or oil/water separator.</w:t>
      </w:r>
    </w:p>
    <w:p w14:paraId="35BEB27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b/>
          <w:bCs/>
          <w:color w:val="000000"/>
          <w:kern w:val="0"/>
          <w:sz w:val="24"/>
          <w14:ligatures w14:val="none"/>
        </w:rPr>
        <w:lastRenderedPageBreak/>
        <w:tab/>
        <w:t xml:space="preserve">  </w:t>
      </w:r>
      <w:r w:rsidRPr="001216D4">
        <w:rPr>
          <w:rFonts w:ascii="Times New Roman" w:eastAsia="Calibri" w:hAnsi="Times New Roman" w:cs="Times New Roman"/>
          <w:color w:val="000000"/>
          <w:kern w:val="0"/>
          <w:sz w:val="24"/>
          <w:u w:val="single"/>
          <w14:ligatures w14:val="none"/>
        </w:rPr>
        <w:t>2.</w:t>
      </w:r>
      <w:r w:rsidRPr="006B4A66">
        <w:rPr>
          <w:rFonts w:ascii="Times New Roman" w:eastAsia="Calibri" w:hAnsi="Times New Roman" w:cs="Times New Roman"/>
          <w:color w:val="000000"/>
          <w:kern w:val="0"/>
          <w:sz w:val="24"/>
          <w:u w:val="single"/>
          <w14:ligatures w14:val="none"/>
        </w:rPr>
        <w:t xml:space="preserve">  Parking garage drain outlets and connected drainage waste lines shall be a minimum of 3 inches (76 millimeters) in diameter.  Drainage piping serving parking garage drains shall be sized in accordance with Table 703.2.</w:t>
      </w:r>
    </w:p>
    <w:p w14:paraId="6FD13E0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b/>
          <w:bCs/>
          <w:color w:val="000000"/>
          <w:kern w:val="0"/>
          <w:sz w:val="24"/>
          <w14:ligatures w14:val="none"/>
        </w:rPr>
        <w:tab/>
        <w:t xml:space="preserve"> </w:t>
      </w:r>
      <w:r w:rsidRPr="001216D4">
        <w:rPr>
          <w:rFonts w:ascii="Times New Roman" w:eastAsia="Calibri" w:hAnsi="Times New Roman" w:cs="Times New Roman"/>
          <w:color w:val="000000"/>
          <w:kern w:val="0"/>
          <w:sz w:val="24"/>
          <w14:ligatures w14:val="none"/>
        </w:rPr>
        <w:t xml:space="preserve"> </w:t>
      </w:r>
      <w:r w:rsidRPr="001216D4">
        <w:rPr>
          <w:rFonts w:ascii="Times New Roman" w:eastAsia="Calibri" w:hAnsi="Times New Roman" w:cs="Times New Roman"/>
          <w:color w:val="000000"/>
          <w:kern w:val="0"/>
          <w:sz w:val="24"/>
          <w:u w:val="single"/>
          <w14:ligatures w14:val="none"/>
        </w:rPr>
        <w:t>3.</w:t>
      </w:r>
      <w:r w:rsidRPr="006B4A66">
        <w:rPr>
          <w:rFonts w:ascii="Times New Roman" w:eastAsia="Calibri" w:hAnsi="Times New Roman" w:cs="Times New Roman"/>
          <w:color w:val="000000"/>
          <w:kern w:val="0"/>
          <w:sz w:val="24"/>
          <w:u w:val="single"/>
          <w14:ligatures w14:val="none"/>
        </w:rPr>
        <w:t xml:space="preserve">  Drains of any type connected to the parking garage drainage system shall be equipped with approved strainers and need not be trapped or vented when connected to the building drain though a properly trapped and vented sand interceptor or oil/water separator.  Drains at floor level and subject to vehicular traffic shall be equipped with strainers with a load rating appropriate to the use of the parking area served.</w:t>
      </w:r>
    </w:p>
    <w:p w14:paraId="494527E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b/>
          <w:bCs/>
          <w:color w:val="000000"/>
          <w:kern w:val="0"/>
          <w:sz w:val="24"/>
          <w14:ligatures w14:val="none"/>
        </w:rPr>
        <w:tab/>
        <w:t xml:space="preserve">  </w:t>
      </w:r>
      <w:r w:rsidRPr="001216D4">
        <w:rPr>
          <w:rFonts w:ascii="Times New Roman" w:eastAsia="Calibri" w:hAnsi="Times New Roman" w:cs="Times New Roman"/>
          <w:color w:val="000000"/>
          <w:kern w:val="0"/>
          <w:sz w:val="24"/>
          <w:u w:val="single"/>
          <w14:ligatures w14:val="none"/>
        </w:rPr>
        <w:t>4.</w:t>
      </w:r>
      <w:r w:rsidRPr="006B4A66">
        <w:rPr>
          <w:rFonts w:ascii="Times New Roman" w:eastAsia="Calibri" w:hAnsi="Times New Roman" w:cs="Times New Roman"/>
          <w:color w:val="000000"/>
          <w:kern w:val="0"/>
          <w:sz w:val="24"/>
          <w:u w:val="single"/>
          <w14:ligatures w14:val="none"/>
        </w:rPr>
        <w:t xml:space="preserve">  Traps shall not be used when drains are located in areas exposed to freezing temperatures.</w:t>
      </w:r>
    </w:p>
    <w:p w14:paraId="7D18738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b/>
          <w:bCs/>
          <w:color w:val="000000"/>
          <w:kern w:val="0"/>
          <w:sz w:val="24"/>
          <w14:ligatures w14:val="none"/>
        </w:rPr>
        <w:tab/>
        <w:t xml:space="preserve">  </w:t>
      </w:r>
      <w:r w:rsidRPr="001216D4">
        <w:rPr>
          <w:rFonts w:ascii="Times New Roman" w:eastAsia="Calibri" w:hAnsi="Times New Roman" w:cs="Times New Roman"/>
          <w:color w:val="000000"/>
          <w:kern w:val="0"/>
          <w:sz w:val="24"/>
          <w:u w:val="single"/>
          <w14:ligatures w14:val="none"/>
        </w:rPr>
        <w:t>5.</w:t>
      </w:r>
      <w:r w:rsidRPr="006B4A66">
        <w:rPr>
          <w:rFonts w:ascii="Times New Roman" w:eastAsia="Calibri" w:hAnsi="Times New Roman" w:cs="Times New Roman"/>
          <w:color w:val="000000"/>
          <w:kern w:val="0"/>
          <w:sz w:val="24"/>
          <w:u w:val="single"/>
          <w14:ligatures w14:val="none"/>
        </w:rPr>
        <w:t xml:space="preserve">  The waste line from drains entering a sand interceptor or oil/water separator shall be at an elevation equal to or above the waste line discharging from the sand interceptor or oil/water separator.</w:t>
      </w:r>
    </w:p>
    <w:p w14:paraId="2E15CFA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b/>
          <w:bCs/>
          <w:color w:val="000000"/>
          <w:kern w:val="0"/>
          <w:sz w:val="24"/>
          <w14:ligatures w14:val="none"/>
        </w:rPr>
        <w:tab/>
        <w:t xml:space="preserve">  </w:t>
      </w:r>
      <w:r w:rsidRPr="001216D4">
        <w:rPr>
          <w:rFonts w:ascii="Times New Roman" w:eastAsia="Calibri" w:hAnsi="Times New Roman" w:cs="Times New Roman"/>
          <w:color w:val="000000"/>
          <w:kern w:val="0"/>
          <w:sz w:val="24"/>
          <w:u w:val="single"/>
          <w14:ligatures w14:val="none"/>
        </w:rPr>
        <w:t>6.</w:t>
      </w:r>
      <w:r w:rsidRPr="006B4A66">
        <w:rPr>
          <w:rFonts w:ascii="Times New Roman" w:eastAsia="Calibri" w:hAnsi="Times New Roman" w:cs="Times New Roman"/>
          <w:color w:val="000000"/>
          <w:kern w:val="0"/>
          <w:sz w:val="24"/>
          <w:u w:val="single"/>
          <w14:ligatures w14:val="none"/>
        </w:rPr>
        <w:t xml:space="preserve">  The sand interceptor or oil/water separator receiving the discharge from parking garage floor drains shall have a water seal of not less than 6 inches (152 millimeters).  Sand interceptors shall meet the requirements of Section 1016.0.  Oil/water separators shall meet the requirements of Section 1009.0.  Submittal information shall be provided to the authority having jurisdiction prior to installation.  The water seal of the sand interceptor or oil/water separator shall be maintained by an automatic electronic trap primer discharging not less than 1/2 gallon (2 liters) per day.</w:t>
      </w:r>
    </w:p>
    <w:p w14:paraId="15CAFA1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b/>
          <w:bCs/>
          <w:color w:val="000000"/>
          <w:kern w:val="0"/>
          <w:sz w:val="24"/>
          <w14:ligatures w14:val="none"/>
        </w:rPr>
        <w:tab/>
      </w:r>
      <w:r w:rsidRPr="006B4A66">
        <w:rPr>
          <w:rFonts w:ascii="Times New Roman" w:eastAsia="Calibri" w:hAnsi="Times New Roman" w:cs="Times New Roman"/>
          <w:b/>
          <w:bCs/>
          <w:color w:val="000000"/>
          <w:kern w:val="0"/>
          <w:sz w:val="24"/>
          <w:u w:val="single"/>
          <w14:ligatures w14:val="none"/>
        </w:rPr>
        <w:t>B.  Drainage from Other Plumbing Fixtures</w:t>
      </w:r>
      <w:r w:rsidRPr="006B4A66">
        <w:rPr>
          <w:rFonts w:ascii="Times New Roman" w:eastAsia="Calibri" w:hAnsi="Times New Roman" w:cs="Times New Roman"/>
          <w:color w:val="000000"/>
          <w:kern w:val="0"/>
          <w:sz w:val="24"/>
          <w:u w:val="single"/>
          <w14:ligatures w14:val="none"/>
        </w:rPr>
        <w:t>.  Drainage from any plumbing fixture other than a parking garage floor drain shall not be interconnected with the parking garage drainage system.</w:t>
      </w:r>
    </w:p>
    <w:p w14:paraId="26E899A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b/>
          <w:bCs/>
          <w:color w:val="000000"/>
          <w:kern w:val="0"/>
          <w:sz w:val="24"/>
          <w14:ligatures w14:val="none"/>
        </w:rPr>
        <w:lastRenderedPageBreak/>
        <w:tab/>
      </w:r>
      <w:r w:rsidRPr="006B4A66">
        <w:rPr>
          <w:rFonts w:ascii="Times New Roman" w:eastAsia="Calibri" w:hAnsi="Times New Roman" w:cs="Times New Roman"/>
          <w:b/>
          <w:bCs/>
          <w:color w:val="000000"/>
          <w:kern w:val="0"/>
          <w:sz w:val="24"/>
          <w:u w:val="single"/>
          <w14:ligatures w14:val="none"/>
        </w:rPr>
        <w:t>EXCEPTION:</w:t>
      </w:r>
      <w:r w:rsidRPr="006B4A66">
        <w:rPr>
          <w:rFonts w:ascii="Times New Roman" w:eastAsia="Calibri" w:hAnsi="Times New Roman" w:cs="Times New Roman"/>
          <w:color w:val="000000"/>
          <w:kern w:val="0"/>
          <w:sz w:val="24"/>
          <w:u w:val="single"/>
          <w14:ligatures w14:val="none"/>
        </w:rPr>
        <w:t xml:space="preserve">  Where first approved by the authority having jurisdiction, the following types of drains may be connected to the parking garage drainage system upstream of the sand interceptor or oil/water separator and need not be individually trapped or vented, provided that all drainage piping downstream of such drains, including the sand interceptor or oil/water separator, is sized to accommodate the largest flow of effluent anticipated from any single connected drain under worst case or emergency conditions:</w:t>
      </w:r>
    </w:p>
    <w:p w14:paraId="445B3A9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b/>
          <w:bCs/>
          <w:color w:val="000000"/>
          <w:kern w:val="0"/>
          <w:sz w:val="24"/>
          <w14:ligatures w14:val="none"/>
        </w:rPr>
        <w:tab/>
        <w:t xml:space="preserve">  </w:t>
      </w:r>
      <w:r w:rsidRPr="001216D4">
        <w:rPr>
          <w:rFonts w:ascii="Times New Roman" w:eastAsia="Calibri" w:hAnsi="Times New Roman" w:cs="Times New Roman"/>
          <w:color w:val="000000"/>
          <w:kern w:val="0"/>
          <w:sz w:val="24"/>
          <w:u w:val="single"/>
          <w14:ligatures w14:val="none"/>
        </w:rPr>
        <w:t>1.</w:t>
      </w:r>
      <w:r w:rsidRPr="006B4A66">
        <w:rPr>
          <w:rFonts w:ascii="Times New Roman" w:eastAsia="Calibri" w:hAnsi="Times New Roman" w:cs="Times New Roman"/>
          <w:color w:val="000000"/>
          <w:kern w:val="0"/>
          <w:sz w:val="24"/>
          <w:u w:val="single"/>
          <w14:ligatures w14:val="none"/>
        </w:rPr>
        <w:t xml:space="preserve">  Drains within car or truck washing area and drainage lines from car or truck washing equipment.</w:t>
      </w:r>
    </w:p>
    <w:p w14:paraId="7AE4738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b/>
          <w:bCs/>
          <w:color w:val="000000"/>
          <w:kern w:val="0"/>
          <w:sz w:val="24"/>
          <w14:ligatures w14:val="none"/>
        </w:rPr>
        <w:tab/>
        <w:t xml:space="preserve">  </w:t>
      </w:r>
      <w:r w:rsidRPr="001216D4">
        <w:rPr>
          <w:rFonts w:ascii="Times New Roman" w:eastAsia="Calibri" w:hAnsi="Times New Roman" w:cs="Times New Roman"/>
          <w:color w:val="000000"/>
          <w:kern w:val="0"/>
          <w:sz w:val="24"/>
          <w:u w:val="single"/>
          <w14:ligatures w14:val="none"/>
        </w:rPr>
        <w:t>2.</w:t>
      </w:r>
      <w:r w:rsidRPr="006B4A66">
        <w:rPr>
          <w:rFonts w:ascii="Times New Roman" w:eastAsia="Calibri" w:hAnsi="Times New Roman" w:cs="Times New Roman"/>
          <w:color w:val="000000"/>
          <w:kern w:val="0"/>
          <w:sz w:val="24"/>
          <w:u w:val="single"/>
          <w14:ligatures w14:val="none"/>
        </w:rPr>
        <w:t xml:space="preserve">  Approved indirect receptors located within the parking garage and accepting drainage from fire/sprinkler standpipes, fire water storage tanks, mechanical condensate, relief valves, or other similar clear water waste only.</w:t>
      </w:r>
    </w:p>
    <w:p w14:paraId="2931ABE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b/>
          <w:bCs/>
          <w:color w:val="000000"/>
          <w:kern w:val="0"/>
          <w:sz w:val="24"/>
          <w14:ligatures w14:val="none"/>
        </w:rPr>
        <w:tab/>
        <w:t xml:space="preserve">  </w:t>
      </w:r>
      <w:r w:rsidRPr="001216D4">
        <w:rPr>
          <w:rFonts w:ascii="Times New Roman" w:eastAsia="Calibri" w:hAnsi="Times New Roman" w:cs="Times New Roman"/>
          <w:color w:val="000000"/>
          <w:kern w:val="0"/>
          <w:sz w:val="24"/>
          <w:u w:val="single"/>
          <w14:ligatures w14:val="none"/>
        </w:rPr>
        <w:t>3.</w:t>
      </w:r>
      <w:r w:rsidRPr="006B4A66">
        <w:rPr>
          <w:rFonts w:ascii="Times New Roman" w:eastAsia="Calibri" w:hAnsi="Times New Roman" w:cs="Times New Roman"/>
          <w:b/>
          <w:bCs/>
          <w:color w:val="000000"/>
          <w:kern w:val="0"/>
          <w:sz w:val="24"/>
          <w:u w:val="single"/>
          <w14:ligatures w14:val="none"/>
        </w:rPr>
        <w:t xml:space="preserve">  </w:t>
      </w:r>
      <w:r w:rsidRPr="006B4A66">
        <w:rPr>
          <w:rFonts w:ascii="Times New Roman" w:eastAsia="Calibri" w:hAnsi="Times New Roman" w:cs="Times New Roman"/>
          <w:color w:val="000000"/>
          <w:kern w:val="0"/>
          <w:sz w:val="24"/>
          <w:u w:val="single"/>
          <w14:ligatures w14:val="none"/>
        </w:rPr>
        <w:t>Approved indirect receptors located within the parking garage and accepting drainage from hoistway pumps or drains required by ASME A17.1, provided the discharge from the sand interceptor or oil/water separator connects to the building drain by gravity and not to a sanitary lift station.</w:t>
      </w:r>
    </w:p>
    <w:p w14:paraId="719BD7D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b/>
          <w:bCs/>
          <w:color w:val="000000"/>
          <w:kern w:val="0"/>
          <w:sz w:val="24"/>
          <w14:ligatures w14:val="none"/>
        </w:rPr>
        <w:tab/>
        <w:t xml:space="preserve">  </w:t>
      </w:r>
      <w:r w:rsidRPr="001216D4">
        <w:rPr>
          <w:rFonts w:ascii="Times New Roman" w:eastAsia="Calibri" w:hAnsi="Times New Roman" w:cs="Times New Roman"/>
          <w:color w:val="000000"/>
          <w:kern w:val="0"/>
          <w:sz w:val="24"/>
          <w:u w:val="single"/>
          <w14:ligatures w14:val="none"/>
        </w:rPr>
        <w:t>4.</w:t>
      </w:r>
      <w:r w:rsidRPr="006B4A66">
        <w:rPr>
          <w:rFonts w:ascii="Times New Roman" w:eastAsia="Calibri" w:hAnsi="Times New Roman" w:cs="Times New Roman"/>
          <w:color w:val="000000"/>
          <w:kern w:val="0"/>
          <w:sz w:val="24"/>
          <w:u w:val="single"/>
          <w14:ligatures w14:val="none"/>
        </w:rPr>
        <w:t xml:space="preserve">  Where the sand interceptor or oil/water separator discharges to a sanitary lift station, an approved indirect receptor located within the parking garage and accepting drainage from a pump serving a hoistway containing a fire service access or occupant evacuation operation elevator that is required to be on emergency or standby power per the IBC as adopted by the state of Washington Section 403.4.8.4 or 403.4.8.3 may only be connected to the parking garage drainage system when the floor of the hoistway enclosure is protected from water intrusion in accordance with the IBC as adopted by the </w:t>
      </w:r>
      <w:r w:rsidRPr="006B4A66">
        <w:rPr>
          <w:rFonts w:ascii="Times New Roman" w:eastAsia="Calibri" w:hAnsi="Times New Roman" w:cs="Times New Roman"/>
          <w:color w:val="000000"/>
          <w:kern w:val="0"/>
          <w:sz w:val="24"/>
          <w:u w:val="single"/>
          <w14:ligatures w14:val="none"/>
        </w:rPr>
        <w:lastRenderedPageBreak/>
        <w:t>state of Washington Section 3007.3.  Sanitary lift station pumps shall not be connected to emergency power.</w:t>
      </w:r>
    </w:p>
    <w:p w14:paraId="02B42BA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b/>
          <w:bCs/>
          <w:color w:val="000000"/>
          <w:kern w:val="0"/>
          <w:sz w:val="24"/>
          <w14:ligatures w14:val="none"/>
        </w:rPr>
        <w:tab/>
        <w:t xml:space="preserve">  </w:t>
      </w:r>
      <w:r w:rsidRPr="001216D4">
        <w:rPr>
          <w:rFonts w:ascii="Times New Roman" w:eastAsia="Calibri" w:hAnsi="Times New Roman" w:cs="Times New Roman"/>
          <w:color w:val="000000"/>
          <w:kern w:val="0"/>
          <w:sz w:val="24"/>
          <w:u w:val="single"/>
          <w14:ligatures w14:val="none"/>
        </w:rPr>
        <w:t>5.</w:t>
      </w:r>
      <w:r w:rsidRPr="006B4A66">
        <w:rPr>
          <w:rFonts w:ascii="Times New Roman" w:eastAsia="Calibri" w:hAnsi="Times New Roman" w:cs="Times New Roman"/>
          <w:color w:val="000000"/>
          <w:kern w:val="0"/>
          <w:sz w:val="24"/>
          <w:u w:val="single"/>
          <w14:ligatures w14:val="none"/>
        </w:rPr>
        <w:t xml:space="preserve">  Floor drains and indirect receptors within mechanical rooms, water entry rooms, fire pump rooms, and similar spaces where no graywater or blackwater producing fixtures are located, provided such rooms have a door or doors that open directly into the parking garage and are directly and continuously exhausted by mechanical means or provided with permanent fixed openings into the parking garage.</w:t>
      </w:r>
    </w:p>
    <w:p w14:paraId="54FC33E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b/>
          <w:bCs/>
          <w:color w:val="000000"/>
          <w:kern w:val="0"/>
          <w:sz w:val="24"/>
          <w14:ligatures w14:val="none"/>
        </w:rPr>
        <w:tab/>
      </w:r>
      <w:r w:rsidRPr="006B4A66">
        <w:rPr>
          <w:rFonts w:ascii="Times New Roman" w:eastAsia="Calibri" w:hAnsi="Times New Roman" w:cs="Times New Roman"/>
          <w:b/>
          <w:bCs/>
          <w:color w:val="000000"/>
          <w:kern w:val="0"/>
          <w:sz w:val="24"/>
          <w:u w:val="single"/>
          <w14:ligatures w14:val="none"/>
        </w:rPr>
        <w:t>Note:</w:t>
      </w:r>
      <w:r w:rsidRPr="006B4A66">
        <w:rPr>
          <w:rFonts w:ascii="Times New Roman" w:eastAsia="Calibri" w:hAnsi="Times New Roman" w:cs="Times New Roman"/>
          <w:color w:val="000000"/>
          <w:kern w:val="0"/>
          <w:sz w:val="24"/>
          <w:u w:val="single"/>
          <w14:ligatures w14:val="none"/>
        </w:rPr>
        <w:t xml:space="preserve">  For the purposes of this section, a mop sink, utility sink, or similar fixture shall not be considered an approved indirect receptor.</w:t>
      </w:r>
    </w:p>
    <w:p w14:paraId="6A61387B" w14:textId="7EBD7392"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199.</w:t>
      </w:r>
      <w:r w:rsidRPr="006B4A66">
        <w:rPr>
          <w:rFonts w:ascii="Times New Roman" w:eastAsia="Calibri" w:hAnsi="Times New Roman" w:cs="Times New Roman"/>
          <w:color w:val="000000"/>
          <w:kern w:val="0"/>
          <w:sz w:val="24"/>
          <w14:ligatures w14:val="none"/>
        </w:rPr>
        <w:t xml:space="preserve">  There is hereby added to K.C.C. chapter 16.32 a new section to read as follows:</w:t>
      </w:r>
    </w:p>
    <w:p w14:paraId="2EC0C3A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1101.12.2.2.2 of the Uniform Plumbing Code is not adopted and the following is substituted:</w:t>
      </w:r>
    </w:p>
    <w:p w14:paraId="341F29B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tab/>
        <w:t>Combined system.</w:t>
      </w:r>
      <w:r w:rsidRPr="006B4A66">
        <w:rPr>
          <w:rFonts w:ascii="Times New Roman" w:eastAsia="Calibri" w:hAnsi="Times New Roman" w:cs="Times New Roman"/>
          <w:color w:val="000000"/>
          <w:kern w:val="0"/>
          <w:sz w:val="24"/>
          <w14:ligatures w14:val="none"/>
        </w:rPr>
        <w:t xml:space="preserve">  The secondary roof drains shall connect to the vertical piping of the primary storm drainage conductor downstream of the last horizontal offset located below the roof.  The primary storm drainage system shall connect to the building storm water that connects to an underground public storm sewer.  The combined secondary and primary roof drain systems shall be sized in accordance with UPC 1103.0 based on double the rainfall rate for the local area.  A relief drain shall be connected to the combined vertical drainage piping, within 20 feet (6,096 millimeters) of grade, using a wye-type fitting piped to daylight on the exterior of the building.  The piping shall be sized as required for a secondary drain with a 4 inch (102 millimeter) maximum diameter.</w:t>
      </w:r>
    </w:p>
    <w:p w14:paraId="2A8F82CF" w14:textId="53EA8BF5"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r>
      <w:bookmarkEnd w:id="12"/>
      <w:r w:rsidRPr="006B4A66">
        <w:rPr>
          <w:rFonts w:ascii="Times New Roman" w:eastAsia="Calibri" w:hAnsi="Times New Roman" w:cs="Times New Roman"/>
          <w:color w:val="000000"/>
          <w:kern w:val="0"/>
          <w:sz w:val="24"/>
          <w:u w:val="single"/>
          <w14:ligatures w14:val="none"/>
        </w:rPr>
        <w:t>SECTION 200.</w:t>
      </w:r>
      <w:r w:rsidRPr="006B4A66">
        <w:rPr>
          <w:rFonts w:ascii="Times New Roman" w:eastAsia="Calibri" w:hAnsi="Times New Roman" w:cs="Times New Roman"/>
          <w:color w:val="000000"/>
          <w:kern w:val="0"/>
          <w:sz w:val="24"/>
          <w14:ligatures w14:val="none"/>
        </w:rPr>
        <w:t xml:space="preserve">  Ordinance 1488 (part), as amended, and K.C.C. 16.82.130 are each hereby amended to read as follows:</w:t>
      </w:r>
    </w:p>
    <w:p w14:paraId="5E99FD5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A.  If clearing or grading </w:t>
      </w:r>
      <w:r w:rsidRPr="006B4A66">
        <w:rPr>
          <w:rFonts w:ascii="Times New Roman" w:eastAsia="Calibri" w:hAnsi="Times New Roman" w:cs="Times New Roman"/>
          <w:color w:val="000000"/>
          <w:kern w:val="0"/>
          <w:sz w:val="24"/>
          <w:u w:val="single"/>
          <w14:ligatures w14:val="none"/>
        </w:rPr>
        <w:t>has occurred on any site that is</w:t>
      </w:r>
      <w:r w:rsidRPr="006B4A66">
        <w:rPr>
          <w:rFonts w:ascii="Times New Roman" w:eastAsia="Calibri" w:hAnsi="Times New Roman" w:cs="Times New Roman"/>
          <w:color w:val="000000"/>
          <w:kern w:val="0"/>
          <w:sz w:val="24"/>
          <w14:ligatures w14:val="none"/>
        </w:rPr>
        <w:t xml:space="preserve"> inconsistent with the purposes and requirements of this chapter in effect at the time of the ((</w:t>
      </w:r>
      <w:r w:rsidRPr="006B4A66">
        <w:rPr>
          <w:rFonts w:ascii="Times New Roman" w:eastAsia="Calibri" w:hAnsi="Times New Roman" w:cs="Times New Roman"/>
          <w:strike/>
          <w:color w:val="000000"/>
          <w:kern w:val="0"/>
          <w:sz w:val="24"/>
          <w14:ligatures w14:val="none"/>
        </w:rPr>
        <w:t>action has occurred on a site)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clearing or grading,</w:t>
      </w:r>
      <w:r w:rsidRPr="006B4A66">
        <w:rPr>
          <w:rFonts w:ascii="Times New Roman" w:eastAsia="Calibri" w:hAnsi="Times New Roman" w:cs="Times New Roman"/>
          <w:color w:val="000000"/>
          <w:kern w:val="0"/>
          <w:sz w:val="24"/>
          <w14:ligatures w14:val="none"/>
        </w:rPr>
        <w:t xml:space="preserve"> the department shall not accept or grant any </w:t>
      </w:r>
      <w:r w:rsidRPr="006B4A66">
        <w:rPr>
          <w:rFonts w:ascii="Times New Roman" w:eastAsia="Calibri" w:hAnsi="Times New Roman" w:cs="Times New Roman"/>
          <w:color w:val="000000"/>
          <w:kern w:val="0"/>
          <w:sz w:val="24"/>
          <w:u w:val="single"/>
          <w14:ligatures w14:val="none"/>
        </w:rPr>
        <w:t>other</w:t>
      </w:r>
      <w:r w:rsidRPr="006B4A66">
        <w:rPr>
          <w:rFonts w:ascii="Times New Roman" w:eastAsia="Calibri" w:hAnsi="Times New Roman" w:cs="Times New Roman"/>
          <w:color w:val="000000"/>
          <w:kern w:val="0"/>
          <w:sz w:val="24"/>
          <w14:ligatures w14:val="none"/>
        </w:rPr>
        <w:t xml:space="preserve"> development permit or approval for the site, except any permit or approval necessary ((</w:t>
      </w:r>
      <w:r w:rsidRPr="006B4A66">
        <w:rPr>
          <w:rFonts w:ascii="Times New Roman" w:eastAsia="Calibri" w:hAnsi="Times New Roman" w:cs="Times New Roman"/>
          <w:strike/>
          <w:color w:val="000000"/>
          <w:kern w:val="0"/>
          <w:sz w:val="24"/>
          <w14:ligatures w14:val="none"/>
        </w:rPr>
        <w:t>for the correction of</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to correct</w:t>
      </w:r>
      <w:r w:rsidRPr="006B4A66">
        <w:rPr>
          <w:rFonts w:ascii="Times New Roman" w:eastAsia="Calibri" w:hAnsi="Times New Roman" w:cs="Times New Roman"/>
          <w:color w:val="000000"/>
          <w:kern w:val="0"/>
          <w:sz w:val="24"/>
          <w14:ligatures w14:val="none"/>
        </w:rPr>
        <w:t xml:space="preserve"> code violations </w:t>
      </w:r>
      <w:r w:rsidRPr="006B4A66">
        <w:rPr>
          <w:rFonts w:ascii="Times New Roman" w:eastAsia="Calibri" w:hAnsi="Times New Roman" w:cs="Times New Roman"/>
          <w:color w:val="000000"/>
          <w:kern w:val="0"/>
          <w:sz w:val="24"/>
          <w:u w:val="single"/>
          <w14:ligatures w14:val="none"/>
        </w:rPr>
        <w:t>or as may be determined otherwise by the director</w:t>
      </w:r>
      <w:r w:rsidRPr="006B4A66">
        <w:rPr>
          <w:rFonts w:ascii="Times New Roman" w:eastAsia="Calibri" w:hAnsi="Times New Roman" w:cs="Times New Roman"/>
          <w:color w:val="000000"/>
          <w:kern w:val="0"/>
          <w:sz w:val="24"/>
          <w14:ligatures w14:val="none"/>
        </w:rPr>
        <w:t>, until the applicant:</w:t>
      </w:r>
    </w:p>
    <w:p w14:paraId="5497D62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 Completes </w:t>
      </w:r>
      <w:r w:rsidRPr="006B4A66">
        <w:rPr>
          <w:rFonts w:ascii="Times New Roman" w:eastAsia="Calibri" w:hAnsi="Times New Roman" w:cs="Times New Roman"/>
          <w:color w:val="000000"/>
          <w:kern w:val="0"/>
          <w:sz w:val="24"/>
          <w:u w:val="single"/>
          <w14:ligatures w14:val="none"/>
        </w:rPr>
        <w:t>site</w:t>
      </w:r>
      <w:r w:rsidRPr="006B4A66">
        <w:rPr>
          <w:rFonts w:ascii="Times New Roman" w:eastAsia="Calibri" w:hAnsi="Times New Roman" w:cs="Times New Roman"/>
          <w:color w:val="000000"/>
          <w:kern w:val="0"/>
          <w:sz w:val="24"/>
          <w14:ligatures w14:val="none"/>
        </w:rPr>
        <w:t xml:space="preserve"> restoration ((</w:t>
      </w:r>
      <w:r w:rsidRPr="006B4A66">
        <w:rPr>
          <w:rFonts w:ascii="Times New Roman" w:eastAsia="Calibri" w:hAnsi="Times New Roman" w:cs="Times New Roman"/>
          <w:strike/>
          <w:color w:val="000000"/>
          <w:kern w:val="0"/>
          <w:sz w:val="24"/>
          <w14:ligatures w14:val="none"/>
        </w:rPr>
        <w:t>of the site</w:t>
      </w:r>
      <w:r w:rsidRPr="006B4A66">
        <w:rPr>
          <w:rFonts w:ascii="Times New Roman" w:eastAsia="Calibri" w:hAnsi="Times New Roman" w:cs="Times New Roman"/>
          <w:color w:val="000000"/>
          <w:kern w:val="0"/>
          <w:sz w:val="24"/>
          <w14:ligatures w14:val="none"/>
        </w:rPr>
        <w:t>)) or the ((</w:t>
      </w:r>
      <w:r w:rsidRPr="006B4A66">
        <w:rPr>
          <w:rFonts w:ascii="Times New Roman" w:eastAsia="Calibri" w:hAnsi="Times New Roman" w:cs="Times New Roman"/>
          <w:strike/>
          <w:color w:val="000000"/>
          <w:kern w:val="0"/>
          <w:sz w:val="24"/>
          <w14:ligatures w14:val="none"/>
        </w:rPr>
        <w:t>appropriate</w:t>
      </w:r>
      <w:r w:rsidRPr="006B4A66">
        <w:rPr>
          <w:rFonts w:ascii="Times New Roman" w:eastAsia="Calibri" w:hAnsi="Times New Roman" w:cs="Times New Roman"/>
          <w:color w:val="000000"/>
          <w:kern w:val="0"/>
          <w:sz w:val="24"/>
          <w14:ligatures w14:val="none"/>
        </w:rPr>
        <w:t>)) corrective actions to bring the site into compliance; or</w:t>
      </w:r>
    </w:p>
    <w:p w14:paraId="5FFF8C2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2. Obtains department approval of a permit for the ((</w:t>
      </w:r>
      <w:r w:rsidRPr="006B4A66">
        <w:rPr>
          <w:rFonts w:ascii="Times New Roman" w:eastAsia="Calibri" w:hAnsi="Times New Roman" w:cs="Times New Roman"/>
          <w:strike/>
          <w:color w:val="000000"/>
          <w:kern w:val="0"/>
          <w:sz w:val="24"/>
          <w14:ligatures w14:val="none"/>
        </w:rPr>
        <w:t>appropriate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site</w:t>
      </w:r>
      <w:r w:rsidRPr="006B4A66">
        <w:rPr>
          <w:rFonts w:ascii="Times New Roman" w:eastAsia="Calibri" w:hAnsi="Times New Roman" w:cs="Times New Roman"/>
          <w:color w:val="000000"/>
          <w:kern w:val="0"/>
          <w:sz w:val="24"/>
          <w14:ligatures w14:val="none"/>
        </w:rPr>
        <w:t xml:space="preserve"> restoration or corrective action and posts any required financial guarantee.</w:t>
      </w:r>
    </w:p>
    <w:p w14:paraId="69B19DC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B.  The department shall require ((</w:t>
      </w:r>
      <w:r w:rsidRPr="006B4A66">
        <w:rPr>
          <w:rFonts w:ascii="Times New Roman" w:eastAsia="Calibri" w:hAnsi="Times New Roman" w:cs="Times New Roman"/>
          <w:strike/>
          <w:color w:val="000000"/>
          <w:kern w:val="0"/>
          <w:sz w:val="24"/>
          <w14:ligatures w14:val="none"/>
        </w:rPr>
        <w:t>appropriate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site</w:t>
      </w:r>
      <w:r w:rsidRPr="006B4A66">
        <w:rPr>
          <w:rFonts w:ascii="Times New Roman" w:eastAsia="Calibri" w:hAnsi="Times New Roman" w:cs="Times New Roman"/>
          <w:color w:val="000000"/>
          <w:kern w:val="0"/>
          <w:sz w:val="24"/>
          <w14:ligatures w14:val="none"/>
        </w:rPr>
        <w:t xml:space="preserve"> restoration ((</w:t>
      </w:r>
      <w:r w:rsidRPr="006B4A66">
        <w:rPr>
          <w:rFonts w:ascii="Times New Roman" w:eastAsia="Calibri" w:hAnsi="Times New Roman" w:cs="Times New Roman"/>
          <w:strike/>
          <w:color w:val="000000"/>
          <w:kern w:val="0"/>
          <w:sz w:val="24"/>
          <w14:ligatures w14:val="none"/>
        </w:rPr>
        <w:t>of the site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or corrective work</w:t>
      </w:r>
      <w:r w:rsidRPr="006B4A66">
        <w:rPr>
          <w:rFonts w:ascii="Times New Roman" w:eastAsia="Calibri" w:hAnsi="Times New Roman" w:cs="Times New Roman"/>
          <w:color w:val="000000"/>
          <w:kern w:val="0"/>
          <w:sz w:val="24"/>
          <w14:ligatures w14:val="none"/>
        </w:rPr>
        <w:t xml:space="preserve"> under an approved ((</w:t>
      </w:r>
      <w:r w:rsidRPr="006B4A66">
        <w:rPr>
          <w:rFonts w:ascii="Times New Roman" w:eastAsia="Calibri" w:hAnsi="Times New Roman" w:cs="Times New Roman"/>
          <w:strike/>
          <w:color w:val="000000"/>
          <w:kern w:val="0"/>
          <w:sz w:val="24"/>
          <w14:ligatures w14:val="none"/>
        </w:rPr>
        <w:t>restoration or corrective work</w:t>
      </w:r>
      <w:r w:rsidRPr="006B4A66">
        <w:rPr>
          <w:rFonts w:ascii="Times New Roman" w:eastAsia="Calibri" w:hAnsi="Times New Roman" w:cs="Times New Roman"/>
          <w:color w:val="000000"/>
          <w:kern w:val="0"/>
          <w:sz w:val="24"/>
          <w14:ligatures w14:val="none"/>
        </w:rPr>
        <w:t xml:space="preserve">)) plan that includes a time schedule for compliance.  If restoration </w:t>
      </w:r>
      <w:r w:rsidRPr="006B4A66">
        <w:rPr>
          <w:rFonts w:ascii="Times New Roman" w:eastAsia="Calibri" w:hAnsi="Times New Roman" w:cs="Times New Roman"/>
          <w:color w:val="000000"/>
          <w:kern w:val="0"/>
          <w:sz w:val="24"/>
          <w:u w:val="single"/>
          <w14:ligatures w14:val="none"/>
        </w:rPr>
        <w:t>or corrective work</w:t>
      </w:r>
      <w:r w:rsidRPr="006B4A66">
        <w:rPr>
          <w:rFonts w:ascii="Times New Roman" w:eastAsia="Calibri" w:hAnsi="Times New Roman" w:cs="Times New Roman"/>
          <w:color w:val="000000"/>
          <w:kern w:val="0"/>
          <w:sz w:val="24"/>
          <w14:ligatures w14:val="none"/>
        </w:rPr>
        <w:t xml:space="preserve"> has not been completed within the time established ((</w:t>
      </w:r>
      <w:r w:rsidRPr="006B4A66">
        <w:rPr>
          <w:rFonts w:ascii="Times New Roman" w:eastAsia="Calibri" w:hAnsi="Times New Roman" w:cs="Times New Roman"/>
          <w:strike/>
          <w:color w:val="000000"/>
          <w:kern w:val="0"/>
          <w:sz w:val="24"/>
          <w14:ligatures w14:val="none"/>
        </w:rPr>
        <w:t>by the department)</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in the plan</w:t>
      </w:r>
      <w:r w:rsidRPr="006B4A66">
        <w:rPr>
          <w:rFonts w:ascii="Times New Roman" w:eastAsia="Calibri" w:hAnsi="Times New Roman" w:cs="Times New Roman"/>
          <w:color w:val="000000"/>
          <w:kern w:val="0"/>
          <w:sz w:val="24"/>
          <w14:ligatures w14:val="none"/>
        </w:rPr>
        <w:t xml:space="preserve">, the director may order restoration </w:t>
      </w:r>
      <w:r w:rsidRPr="006B4A66">
        <w:rPr>
          <w:rFonts w:ascii="Times New Roman" w:eastAsia="Calibri" w:hAnsi="Times New Roman" w:cs="Times New Roman"/>
          <w:color w:val="000000"/>
          <w:kern w:val="0"/>
          <w:sz w:val="24"/>
          <w:u w:val="single"/>
          <w14:ligatures w14:val="none"/>
        </w:rPr>
        <w:t>or corrective work</w:t>
      </w:r>
      <w:r w:rsidRPr="006B4A66">
        <w:rPr>
          <w:rFonts w:ascii="Times New Roman" w:eastAsia="Calibri" w:hAnsi="Times New Roman" w:cs="Times New Roman"/>
          <w:color w:val="000000"/>
          <w:kern w:val="0"/>
          <w:sz w:val="24"/>
          <w14:ligatures w14:val="none"/>
        </w:rPr>
        <w:t xml:space="preserve"> using ((</w:t>
      </w:r>
      <w:r w:rsidRPr="006B4A66">
        <w:rPr>
          <w:rFonts w:ascii="Times New Roman" w:eastAsia="Calibri" w:hAnsi="Times New Roman" w:cs="Times New Roman"/>
          <w:strike/>
          <w:color w:val="000000"/>
          <w:kern w:val="0"/>
          <w:sz w:val="24"/>
          <w14:ligatures w14:val="none"/>
        </w:rPr>
        <w:t>funds from</w:t>
      </w:r>
      <w:r w:rsidRPr="006B4A66">
        <w:rPr>
          <w:rFonts w:ascii="Times New Roman" w:eastAsia="Calibri" w:hAnsi="Times New Roman" w:cs="Times New Roman"/>
          <w:color w:val="000000"/>
          <w:kern w:val="0"/>
          <w:sz w:val="24"/>
          <w14:ligatures w14:val="none"/>
        </w:rPr>
        <w:t>)) the department's contingency account((</w:t>
      </w:r>
      <w:r w:rsidRPr="006B4A66">
        <w:rPr>
          <w:rFonts w:ascii="Times New Roman" w:eastAsia="Calibri" w:hAnsi="Times New Roman" w:cs="Times New Roman"/>
          <w:strike/>
          <w:color w:val="000000"/>
          <w:kern w:val="0"/>
          <w:sz w:val="24"/>
          <w14:ligatures w14:val="none"/>
        </w:rPr>
        <w:t>s</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funds</w:t>
      </w:r>
      <w:r w:rsidRPr="006B4A66">
        <w:rPr>
          <w:rFonts w:ascii="Times New Roman" w:eastAsia="Calibri" w:hAnsi="Times New Roman" w:cs="Times New Roman"/>
          <w:color w:val="000000"/>
          <w:kern w:val="0"/>
          <w:sz w:val="24"/>
          <w14:ligatures w14:val="none"/>
        </w:rPr>
        <w:t xml:space="preserve"> and seek restitution from the property owner through liens or other available legal methods.</w:t>
      </w:r>
    </w:p>
    <w:p w14:paraId="5DFE7F5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C.  This section does not limit corrective action requirements or other remedies or penalties ((</w:t>
      </w:r>
      <w:r w:rsidRPr="006B4A66">
        <w:rPr>
          <w:rFonts w:ascii="Times New Roman" w:eastAsia="Calibri" w:hAnsi="Times New Roman" w:cs="Times New Roman"/>
          <w:strike/>
          <w:color w:val="000000"/>
          <w:kern w:val="0"/>
          <w:sz w:val="24"/>
          <w14:ligatures w14:val="none"/>
        </w:rPr>
        <w:t>applicable to</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under</w:t>
      </w:r>
      <w:r w:rsidRPr="006B4A66">
        <w:rPr>
          <w:rFonts w:ascii="Times New Roman" w:eastAsia="Calibri" w:hAnsi="Times New Roman" w:cs="Times New Roman"/>
          <w:color w:val="000000"/>
          <w:kern w:val="0"/>
          <w:sz w:val="24"/>
          <w14:ligatures w14:val="none"/>
        </w:rPr>
        <w:t xml:space="preserve"> K.C.C. Title 23.</w:t>
      </w:r>
    </w:p>
    <w:p w14:paraId="0767C7E2" w14:textId="68080EDE"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201.</w:t>
      </w:r>
      <w:r w:rsidRPr="006B4A66">
        <w:rPr>
          <w:rFonts w:ascii="Times New Roman" w:eastAsia="Calibri" w:hAnsi="Times New Roman" w:cs="Times New Roman"/>
          <w:color w:val="000000"/>
          <w:kern w:val="0"/>
          <w:sz w:val="24"/>
          <w14:ligatures w14:val="none"/>
        </w:rPr>
        <w:t xml:space="preserve">  Ordinance 2097, Section 1, as amended, and K.C.C. 17.04.010 are each hereby amended to read as follows:</w:t>
      </w:r>
    </w:p>
    <w:p w14:paraId="336BE113" w14:textId="3E68BA68"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The International Fire Code ((</w:t>
      </w:r>
      <w:r w:rsidRPr="006B4A66">
        <w:rPr>
          <w:rFonts w:ascii="Times New Roman" w:eastAsia="Calibri" w:hAnsi="Times New Roman" w:cs="Times New Roman"/>
          <w:strike/>
          <w:color w:val="000000"/>
          <w:kern w:val="0"/>
          <w:sz w:val="24"/>
          <w14:ligatures w14:val="none"/>
        </w:rPr>
        <w:t>2018 Edition</w:t>
      </w:r>
      <w:r w:rsidRPr="006B4A66">
        <w:rPr>
          <w:rFonts w:ascii="Times New Roman" w:eastAsia="Calibri" w:hAnsi="Times New Roman" w:cs="Times New Roman"/>
          <w:color w:val="000000"/>
          <w:kern w:val="0"/>
          <w:sz w:val="24"/>
          <w14:ligatures w14:val="none"/>
        </w:rPr>
        <w:t xml:space="preserve">)) </w:t>
      </w:r>
      <w:r w:rsidR="00395F66" w:rsidRPr="00035634">
        <w:rPr>
          <w:rFonts w:ascii="Times New Roman" w:eastAsia="Calibri" w:hAnsi="Times New Roman" w:cs="Times New Roman"/>
          <w:color w:val="000000"/>
          <w:kern w:val="0"/>
          <w:sz w:val="24"/>
          <w:u w:val="single"/>
          <w14:ligatures w14:val="none"/>
        </w:rPr>
        <w:t>("I</w:t>
      </w:r>
      <w:r w:rsidR="00FB2D70">
        <w:rPr>
          <w:rFonts w:ascii="Times New Roman" w:eastAsia="Calibri" w:hAnsi="Times New Roman" w:cs="Times New Roman"/>
          <w:color w:val="000000"/>
          <w:kern w:val="0"/>
          <w:sz w:val="24"/>
          <w:u w:val="single"/>
          <w14:ligatures w14:val="none"/>
        </w:rPr>
        <w:t>F</w:t>
      </w:r>
      <w:r w:rsidR="00395F66" w:rsidRPr="00035634">
        <w:rPr>
          <w:rFonts w:ascii="Times New Roman" w:eastAsia="Calibri" w:hAnsi="Times New Roman" w:cs="Times New Roman"/>
          <w:color w:val="000000"/>
          <w:kern w:val="0"/>
          <w:sz w:val="24"/>
          <w:u w:val="single"/>
          <w14:ligatures w14:val="none"/>
        </w:rPr>
        <w:t>C")</w:t>
      </w:r>
      <w:r w:rsidR="00FB2D70">
        <w:rPr>
          <w:rFonts w:ascii="Times New Roman" w:eastAsia="Calibri" w:hAnsi="Times New Roman" w:cs="Times New Roman"/>
          <w:color w:val="000000"/>
          <w:kern w:val="0"/>
          <w:sz w:val="24"/>
          <w:u w:val="single"/>
          <w14:ligatures w14:val="none"/>
        </w:rPr>
        <w:t xml:space="preserve">, </w:t>
      </w:r>
      <w:r w:rsidRPr="006B4A66">
        <w:rPr>
          <w:rFonts w:ascii="Times New Roman" w:eastAsia="Calibri" w:hAnsi="Times New Roman" w:cs="Times New Roman"/>
          <w:color w:val="000000"/>
          <w:kern w:val="0"/>
          <w:sz w:val="24"/>
          <w:u w:val="single"/>
          <w14:ligatures w14:val="none"/>
        </w:rPr>
        <w:t>2021 edition</w:t>
      </w:r>
      <w:r w:rsidRPr="006B4A66">
        <w:rPr>
          <w:rFonts w:ascii="Times New Roman" w:eastAsia="Calibri" w:hAnsi="Times New Roman" w:cs="Times New Roman"/>
          <w:color w:val="000000"/>
          <w:kern w:val="0"/>
          <w:sz w:val="24"/>
          <w14:ligatures w14:val="none"/>
        </w:rPr>
        <w:t>, together with Appendices B (Fire-flow requirements for buildings) ((</w:t>
      </w:r>
      <w:r w:rsidRPr="006B4A66">
        <w:rPr>
          <w:rFonts w:ascii="Times New Roman" w:eastAsia="Calibri" w:hAnsi="Times New Roman" w:cs="Times New Roman"/>
          <w:strike/>
          <w:color w:val="000000"/>
          <w:kern w:val="0"/>
          <w:sz w:val="24"/>
          <w14:ligatures w14:val="none"/>
        </w:rPr>
        <w:t>and</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C (Fire hydrants location and distribution), </w:t>
      </w:r>
      <w:r w:rsidRPr="006B4A66">
        <w:rPr>
          <w:rFonts w:ascii="Times New Roman" w:eastAsia="Calibri" w:hAnsi="Times New Roman" w:cs="Times New Roman"/>
          <w:color w:val="000000"/>
          <w:kern w:val="0"/>
          <w:sz w:val="24"/>
          <w:u w:val="single"/>
          <w14:ligatures w14:val="none"/>
        </w:rPr>
        <w:t>and D (Fire apparatus access roads</w:t>
      </w:r>
      <w:r w:rsidRPr="006B4A66">
        <w:rPr>
          <w:rFonts w:ascii="Times New Roman" w:eastAsia="Calibri" w:hAnsi="Times New Roman" w:cs="Times New Roman"/>
          <w:color w:val="000000"/>
          <w:kern w:val="0"/>
          <w:sz w:val="24"/>
          <w14:ligatures w14:val="none"/>
        </w:rPr>
        <w:t>) as published by the International Code Council, as amended in chapter 51-54A WAC</w:t>
      </w:r>
      <w:r w:rsidRPr="009868BB">
        <w:rPr>
          <w:rFonts w:ascii="Times New Roman" w:eastAsia="Calibri" w:hAnsi="Times New Roman" w:cs="Times New Roman"/>
          <w:color w:val="000000"/>
          <w:kern w:val="0"/>
          <w:sz w:val="24"/>
          <w14:ligatures w14:val="none"/>
        </w:rPr>
        <w:t xml:space="preserve">, </w:t>
      </w:r>
      <w:r w:rsidR="009868BB" w:rsidRPr="009868BB">
        <w:rPr>
          <w:rFonts w:ascii="Times New Roman" w:eastAsia="Calibri" w:hAnsi="Times New Roman" w:cs="Times New Roman"/>
          <w:strike/>
          <w:color w:val="000000"/>
          <w:kern w:val="0"/>
          <w:sz w:val="24"/>
          <w14:ligatures w14:val="none"/>
        </w:rPr>
        <w:t>((</w:t>
      </w:r>
      <w:r w:rsidRPr="001216D4">
        <w:rPr>
          <w:rFonts w:ascii="Times New Roman" w:eastAsia="Calibri" w:hAnsi="Times New Roman" w:cs="Times New Roman"/>
          <w:strike/>
          <w:color w:val="000000"/>
          <w:kern w:val="0"/>
          <w:sz w:val="24"/>
          <w14:ligatures w14:val="none"/>
        </w:rPr>
        <w:t xml:space="preserve">effective </w:t>
      </w:r>
      <w:r w:rsidRPr="00E37203">
        <w:rPr>
          <w:rFonts w:ascii="Times New Roman" w:eastAsia="Calibri" w:hAnsi="Times New Roman" w:cs="Times New Roman"/>
          <w:strike/>
          <w:color w:val="000000"/>
          <w:kern w:val="0"/>
          <w:sz w:val="24"/>
          <w14:ligatures w14:val="none"/>
        </w:rPr>
        <w:t>February 1, 2021</w:t>
      </w:r>
      <w:r w:rsidRPr="001216D4">
        <w:rPr>
          <w:rFonts w:ascii="Times New Roman" w:eastAsia="Calibri" w:hAnsi="Times New Roman" w:cs="Times New Roman"/>
          <w:strike/>
          <w:color w:val="000000"/>
          <w:kern w:val="0"/>
          <w:sz w:val="24"/>
          <w14:ligatures w14:val="none"/>
        </w:rPr>
        <w:t>, and referred to in this title as the International Fire Code ("IFC"),</w:t>
      </w:r>
      <w:r w:rsidR="00E37203" w:rsidRPr="001216D4">
        <w:rPr>
          <w:rFonts w:ascii="Times New Roman" w:eastAsia="Calibri" w:hAnsi="Times New Roman" w:cs="Times New Roman"/>
          <w:strike/>
          <w:color w:val="000000"/>
          <w:kern w:val="0"/>
          <w:sz w:val="24"/>
          <w14:ligatures w14:val="none"/>
        </w:rPr>
        <w:t>)</w:t>
      </w:r>
      <w:r w:rsidR="00E37203">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together with </w:t>
      </w:r>
      <w:r w:rsidR="00E37203">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amendments,</w:t>
      </w:r>
      <w:r w:rsidR="00E37203">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additions, </w:t>
      </w:r>
      <w:r w:rsidR="00E37203">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and</w:t>
      </w:r>
      <w:r w:rsidR="00E37203">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w:t>
      </w:r>
      <w:r w:rsidR="00074CC8">
        <w:rPr>
          <w:rFonts w:ascii="Times New Roman" w:eastAsia="Calibri" w:hAnsi="Times New Roman" w:cs="Times New Roman"/>
          <w:color w:val="000000"/>
          <w:kern w:val="0"/>
          <w:sz w:val="24"/>
          <w:u w:val="single"/>
          <w14:ligatures w14:val="none"/>
        </w:rPr>
        <w:t>exceptions,</w:t>
      </w:r>
      <w:r w:rsidR="00074CC8">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14:ligatures w14:val="none"/>
        </w:rPr>
        <w:t>deletions</w:t>
      </w:r>
      <w:r w:rsidR="00074CC8">
        <w:rPr>
          <w:rFonts w:ascii="Times New Roman" w:eastAsia="Calibri" w:hAnsi="Times New Roman" w:cs="Times New Roman"/>
          <w:color w:val="000000"/>
          <w:kern w:val="0"/>
          <w:sz w:val="24"/>
          <w:u w:val="single"/>
          <w14:ligatures w14:val="none"/>
        </w:rPr>
        <w:t>, and modifications in this chapter,</w:t>
      </w:r>
      <w:r w:rsidRPr="006B4A66">
        <w:rPr>
          <w:rFonts w:ascii="Times New Roman" w:eastAsia="Calibri" w:hAnsi="Times New Roman" w:cs="Times New Roman"/>
          <w:color w:val="000000"/>
          <w:kern w:val="0"/>
          <w:sz w:val="24"/>
          <w14:ligatures w14:val="none"/>
        </w:rPr>
        <w:t xml:space="preserve"> </w:t>
      </w:r>
      <w:r w:rsidR="00397483">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adopted in this chapter by reference,  together with King County modifications</w:t>
      </w:r>
      <w:r w:rsidR="00397483">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are adopted as the King County Fire Code, and referred to in this chapter as "this code."  Administrative rules may be adopted in accordance with K.C.C. chapter 2.98 to further clarify and implement these code requirements.  </w:t>
      </w:r>
      <w:r w:rsidR="00397483">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The King County modifications shall be codified in this chapter.</w:t>
      </w:r>
      <w:r w:rsidR="00397483">
        <w:rPr>
          <w:rFonts w:ascii="Times New Roman" w:eastAsia="Calibri" w:hAnsi="Times New Roman" w:cs="Times New Roman"/>
          <w:color w:val="000000"/>
          <w:kern w:val="0"/>
          <w:sz w:val="24"/>
          <w14:ligatures w14:val="none"/>
        </w:rPr>
        <w:t>))</w:t>
      </w:r>
    </w:p>
    <w:p w14:paraId="4CA663AD" w14:textId="182F44D3"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202.</w:t>
      </w:r>
      <w:r w:rsidRPr="006B4A66">
        <w:rPr>
          <w:rFonts w:ascii="Times New Roman" w:eastAsia="Calibri" w:hAnsi="Times New Roman" w:cs="Times New Roman"/>
          <w:color w:val="000000"/>
          <w:kern w:val="0"/>
          <w:sz w:val="24"/>
          <w14:ligatures w14:val="none"/>
        </w:rPr>
        <w:t xml:space="preserve">  Ordinance 12560, Section 148, as amended, and K.C.C. 17.04.200 are each hereby amended to read as follows:</w:t>
      </w:r>
    </w:p>
    <w:p w14:paraId="264AD28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104.1 of the International Fire Code is not adopted and the following is substituted:</w:t>
      </w:r>
    </w:p>
    <w:p w14:paraId="1F7AF6A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General (IFC 104.1).</w:t>
      </w:r>
      <w:r w:rsidRPr="006B4A66">
        <w:rPr>
          <w:rFonts w:ascii="Times New Roman" w:eastAsia="Calibri" w:hAnsi="Times New Roman" w:cs="Times New Roman"/>
          <w:color w:val="000000"/>
          <w:kern w:val="0"/>
          <w:sz w:val="24"/>
          <w14:ligatures w14:val="none"/>
        </w:rPr>
        <w:t xml:space="preserve">  The fire marshal is authorized to render interpretations of this code and make and enforce such rules and regulations, in accordance with K.C.C. chapters 2.98 and 2.100, for the prevention and control of fires and fire hazards as necessary to execute the application and the intent of this code, including but not limited to:</w:t>
      </w:r>
    </w:p>
    <w:p w14:paraId="4B5569A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1</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A</w:t>
      </w:r>
      <w:r w:rsidRPr="006B4A66">
        <w:rPr>
          <w:rFonts w:ascii="Times New Roman" w:eastAsia="Calibri" w:hAnsi="Times New Roman" w:cs="Times New Roman"/>
          <w:color w:val="000000"/>
          <w:kern w:val="0"/>
          <w:sz w:val="24"/>
          <w14:ligatures w14:val="none"/>
        </w:rPr>
        <w:t>.  Procedures to ensure that building permits for structures shall conform to the requirements of this code.</w:t>
      </w:r>
    </w:p>
    <w:p w14:paraId="26C3886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w:t>
      </w:r>
      <w:r w:rsidRPr="006B4A66">
        <w:rPr>
          <w:rFonts w:ascii="Times New Roman" w:eastAsia="Calibri" w:hAnsi="Times New Roman" w:cs="Times New Roman"/>
          <w:strike/>
          <w:color w:val="000000"/>
          <w:kern w:val="0"/>
          <w:sz w:val="24"/>
          <w14:ligatures w14:val="none"/>
        </w:rPr>
        <w:t>2</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B</w:t>
      </w:r>
      <w:r w:rsidRPr="006B4A66">
        <w:rPr>
          <w:rFonts w:ascii="Times New Roman" w:eastAsia="Calibri" w:hAnsi="Times New Roman" w:cs="Times New Roman"/>
          <w:color w:val="000000"/>
          <w:kern w:val="0"/>
          <w:sz w:val="24"/>
          <w14:ligatures w14:val="none"/>
        </w:rPr>
        <w:t>.  Procedures to ensure that applicable standards of this code shall be reviewed as part of the subdivision, short subdivision, rezone, conditional use, special use, site development permit, binding site plan, and building permit processes.</w:t>
      </w:r>
    </w:p>
    <w:p w14:paraId="3654DBF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3</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C</w:t>
      </w:r>
      <w:r w:rsidRPr="006B4A66">
        <w:rPr>
          <w:rFonts w:ascii="Times New Roman" w:eastAsia="Calibri" w:hAnsi="Times New Roman" w:cs="Times New Roman"/>
          <w:color w:val="000000"/>
          <w:kern w:val="0"/>
          <w:sz w:val="24"/>
          <w14:ligatures w14:val="none"/>
        </w:rPr>
        <w:t>.  Procedures to ((</w:t>
      </w:r>
      <w:r w:rsidRPr="006B4A66">
        <w:rPr>
          <w:rFonts w:ascii="Times New Roman" w:eastAsia="Calibri" w:hAnsi="Times New Roman" w:cs="Times New Roman"/>
          <w:strike/>
          <w:color w:val="000000"/>
          <w:kern w:val="0"/>
          <w:sz w:val="24"/>
          <w14:ligatures w14:val="none"/>
        </w:rPr>
        <w:t>assure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ensure</w:t>
      </w:r>
      <w:r w:rsidRPr="006B4A66">
        <w:rPr>
          <w:rFonts w:ascii="Times New Roman" w:eastAsia="Calibri" w:hAnsi="Times New Roman" w:cs="Times New Roman"/>
          <w:color w:val="000000"/>
          <w:kern w:val="0"/>
          <w:sz w:val="24"/>
          <w14:ligatures w14:val="none"/>
        </w:rPr>
        <w:t xml:space="preserve"> that the standard known as ((</w:t>
      </w:r>
      <w:r w:rsidRPr="006B4A66">
        <w:rPr>
          <w:rFonts w:ascii="Times New Roman" w:eastAsia="Calibri" w:hAnsi="Times New Roman" w:cs="Times New Roman"/>
          <w:strike/>
          <w:color w:val="000000"/>
          <w:kern w:val="0"/>
          <w:sz w:val="24"/>
          <w14:ligatures w14:val="none"/>
        </w:rPr>
        <w:t>NFPA</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National Fire Protection Association</w:t>
      </w:r>
      <w:r w:rsidRPr="006B4A66">
        <w:rPr>
          <w:rFonts w:ascii="Times New Roman" w:eastAsia="Calibri" w:hAnsi="Times New Roman" w:cs="Times New Roman"/>
          <w:color w:val="000000"/>
          <w:kern w:val="0"/>
          <w:sz w:val="24"/>
          <w14:ligatures w14:val="none"/>
        </w:rPr>
        <w:t xml:space="preserve"> 13R shall be applied as a minimum standard to all R occupancies.</w:t>
      </w:r>
    </w:p>
    <w:p w14:paraId="708778E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4</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D</w:t>
      </w:r>
      <w:r w:rsidRPr="006B4A66">
        <w:rPr>
          <w:rFonts w:ascii="Times New Roman" w:eastAsia="Calibri" w:hAnsi="Times New Roman" w:cs="Times New Roman"/>
          <w:color w:val="000000"/>
          <w:kern w:val="0"/>
          <w:sz w:val="24"/>
          <w14:ligatures w14:val="none"/>
        </w:rPr>
        <w:t>.  Procedures to allow for relaxation of the hydrant spacing requirements by as much as 50 percent, except when such allowances would unreasonably reduce fire protection to the area</w:t>
      </w:r>
      <w:r w:rsidRPr="006B4A66">
        <w:rPr>
          <w:rFonts w:ascii="Times New Roman" w:eastAsia="Calibri" w:hAnsi="Times New Roman" w:cs="Times New Roman"/>
          <w:color w:val="000000"/>
          <w:kern w:val="0"/>
          <w:sz w:val="24"/>
          <w:u w:val="single"/>
          <w14:ligatures w14:val="none"/>
        </w:rPr>
        <w:t>s</w:t>
      </w:r>
      <w:r w:rsidRPr="006B4A66">
        <w:rPr>
          <w:rFonts w:ascii="Times New Roman" w:eastAsia="Calibri" w:hAnsi="Times New Roman" w:cs="Times New Roman"/>
          <w:color w:val="000000"/>
          <w:kern w:val="0"/>
          <w:sz w:val="24"/>
          <w14:ligatures w14:val="none"/>
        </w:rPr>
        <w:t xml:space="preserve"> or structures served.</w:t>
      </w:r>
    </w:p>
    <w:p w14:paraId="18373960" w14:textId="687014E3"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203.</w:t>
      </w:r>
      <w:r w:rsidRPr="006B4A66">
        <w:rPr>
          <w:rFonts w:ascii="Times New Roman" w:eastAsia="Calibri" w:hAnsi="Times New Roman" w:cs="Times New Roman"/>
          <w:color w:val="000000"/>
          <w:kern w:val="0"/>
          <w:sz w:val="24"/>
          <w14:ligatures w14:val="none"/>
        </w:rPr>
        <w:t xml:space="preserve">  Ordinance 2910, Section 6, as amended, and K.C.C. 17.04.210 are each hereby amended to read as follows:</w:t>
      </w:r>
    </w:p>
    <w:p w14:paraId="19A0D58B" w14:textId="77777777" w:rsidR="006B4A66" w:rsidRPr="006B4A66" w:rsidRDefault="006B4A66" w:rsidP="0073496A">
      <w:pPr>
        <w:tabs>
          <w:tab w:val="left" w:pos="720"/>
        </w:tabs>
        <w:spacing w:after="0" w:line="480" w:lineRule="auto"/>
        <w:ind w:firstLine="720"/>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Section 104.1 of the International Fire Code is supplemented with the following:</w:t>
      </w:r>
    </w:p>
    <w:p w14:paraId="4A2CFBC7" w14:textId="77777777" w:rsidR="006B4A66" w:rsidRPr="006B4A66" w:rsidRDefault="006B4A66" w:rsidP="0073496A">
      <w:pPr>
        <w:tabs>
          <w:tab w:val="left" w:pos="720"/>
        </w:tabs>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Enforcement (IFC 104.1.1).</w:t>
      </w:r>
    </w:p>
    <w:p w14:paraId="3AC3E9AB" w14:textId="77777777" w:rsidR="006B4A66" w:rsidRPr="006B4A66" w:rsidRDefault="006B4A66" w:rsidP="0073496A">
      <w:pPr>
        <w:tabs>
          <w:tab w:val="left" w:pos="720"/>
        </w:tabs>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ab/>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strike/>
          <w:color w:val="000000"/>
          <w:kern w:val="0"/>
          <w:sz w:val="24"/>
          <w14:ligatures w14:val="none"/>
        </w:rPr>
        <w:t>1</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A</w:t>
      </w:r>
      <w:r w:rsidRPr="006B4A66">
        <w:rPr>
          <w:rFonts w:ascii="Times New Roman" w:eastAsia="Calibri" w:hAnsi="Times New Roman" w:cs="Times New Roman"/>
          <w:color w:val="000000"/>
          <w:kern w:val="0"/>
          <w:sz w:val="24"/>
          <w14:ligatures w14:val="none"/>
        </w:rPr>
        <w:t>.  The fire marshal is authorized to enforce the provisions of this title, the ordinances codified in it, and any adopted rules and regulations in accordance with the enforcement and penalty provisions of K.C.C. Title 23.</w:t>
      </w:r>
    </w:p>
    <w:p w14:paraId="08E81FF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2</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B</w:t>
      </w:r>
      <w:r w:rsidRPr="006B4A66">
        <w:rPr>
          <w:rFonts w:ascii="Times New Roman" w:eastAsia="Calibri" w:hAnsi="Times New Roman" w:cs="Times New Roman"/>
          <w:color w:val="000000"/>
          <w:kern w:val="0"/>
          <w:sz w:val="24"/>
          <w14:ligatures w14:val="none"/>
        </w:rPr>
        <w:t>.  The fire marshal, any officer of the department of public safety, and the chief of the fire district or designee, is authorized to take such lawful action, including ((</w:t>
      </w:r>
      <w:r w:rsidRPr="006B4A66">
        <w:rPr>
          <w:rFonts w:ascii="Times New Roman" w:eastAsia="Calibri" w:hAnsi="Times New Roman" w:cs="Times New Roman"/>
          <w:strike/>
          <w:color w:val="000000"/>
          <w:kern w:val="0"/>
          <w:sz w:val="24"/>
          <w14:ligatures w14:val="none"/>
        </w:rPr>
        <w:t>the writing and issuance of</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issuing</w:t>
      </w:r>
      <w:r w:rsidRPr="006B4A66">
        <w:rPr>
          <w:rFonts w:ascii="Times New Roman" w:eastAsia="Calibri" w:hAnsi="Times New Roman" w:cs="Times New Roman"/>
          <w:color w:val="000000"/>
          <w:kern w:val="0"/>
          <w:sz w:val="24"/>
          <w14:ligatures w14:val="none"/>
        </w:rPr>
        <w:t xml:space="preserve"> citations for civil infractions, as may be required to enforce the provisions of the fire lane ordinance codified in this title.</w:t>
      </w:r>
    </w:p>
    <w:p w14:paraId="4C1DF35B" w14:textId="2EDE382F"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204.</w:t>
      </w:r>
      <w:r w:rsidRPr="006B4A66">
        <w:rPr>
          <w:rFonts w:ascii="Times New Roman" w:eastAsia="Calibri" w:hAnsi="Times New Roman" w:cs="Times New Roman"/>
          <w:color w:val="000000"/>
          <w:kern w:val="0"/>
          <w:sz w:val="24"/>
          <w14:ligatures w14:val="none"/>
        </w:rPr>
        <w:t xml:space="preserve">  Ordinance 12560, Section 153, as amended, and K.C.C. 17.04.220 are each hereby amended to read as follows:</w:t>
      </w:r>
    </w:p>
    <w:p w14:paraId="340DDA9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Section 104.1 of the International Fire ((</w:t>
      </w:r>
      <w:r w:rsidRPr="006B4A66">
        <w:rPr>
          <w:rFonts w:ascii="Times New Roman" w:eastAsia="Calibri" w:hAnsi="Times New Roman" w:cs="Times New Roman"/>
          <w:strike/>
          <w:color w:val="000000"/>
          <w:kern w:val="0"/>
          <w:sz w:val="24"/>
          <w14:ligatures w14:val="none"/>
        </w:rPr>
        <w:t>c</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u w:val="single"/>
          <w14:ligatures w14:val="none"/>
        </w:rPr>
        <w:t>C</w:t>
      </w:r>
      <w:r w:rsidRPr="006B4A66">
        <w:rPr>
          <w:rFonts w:ascii="Times New Roman" w:eastAsia="Calibri" w:hAnsi="Times New Roman" w:cs="Times New Roman"/>
          <w:color w:val="000000"/>
          <w:kern w:val="0"/>
          <w:sz w:val="24"/>
          <w14:ligatures w14:val="none"/>
        </w:rPr>
        <w:t>ode is supplemented with the following:</w:t>
      </w:r>
    </w:p>
    <w:p w14:paraId="1288190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tab/>
        <w:t>Additional conditions (IFC 104.1.2).</w:t>
      </w:r>
      <w:r w:rsidRPr="006B4A66">
        <w:rPr>
          <w:rFonts w:ascii="Times New Roman" w:eastAsia="Calibri" w:hAnsi="Times New Roman" w:cs="Times New Roman"/>
          <w:color w:val="000000"/>
          <w:kern w:val="0"/>
          <w:sz w:val="24"/>
          <w14:ligatures w14:val="none"/>
        </w:rPr>
        <w:t xml:space="preserve">  The fire marshal or designee retains the authority to impose additional conditions, including but not limited to increased setbacks, use of fire</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retardant materials, installation of fire sprinkler systems, automatic fire suppression systems, automatic fire detection systems</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standpipes where determined necessary to mitigate identified fire protection impacts.</w:t>
      </w:r>
    </w:p>
    <w:p w14:paraId="0A357F56" w14:textId="0813DA32"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205.</w:t>
      </w:r>
      <w:r w:rsidRPr="006B4A66">
        <w:rPr>
          <w:rFonts w:ascii="Times New Roman" w:eastAsia="Calibri" w:hAnsi="Times New Roman" w:cs="Times New Roman"/>
          <w:color w:val="000000"/>
          <w:kern w:val="0"/>
          <w:sz w:val="24"/>
          <w14:ligatures w14:val="none"/>
        </w:rPr>
        <w:t xml:space="preserve">  Ordinance 12560, Section 149, as amended, and K.C.C. 17.04.280 are each hereby amended to read as follows:</w:t>
      </w:r>
    </w:p>
    <w:p w14:paraId="4162AC8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104 of the International Fire Code is supplemented with the following:</w:t>
      </w:r>
    </w:p>
    <w:p w14:paraId="0181B04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Notice to fire districts (IFC ((</w:t>
      </w:r>
      <w:r w:rsidRPr="006B4A66">
        <w:rPr>
          <w:rFonts w:ascii="Times New Roman" w:eastAsia="Calibri" w:hAnsi="Times New Roman" w:cs="Times New Roman"/>
          <w:b/>
          <w:bCs/>
          <w:strike/>
          <w:color w:val="000000"/>
          <w:kern w:val="0"/>
          <w:sz w:val="24"/>
          <w14:ligatures w14:val="none"/>
        </w:rPr>
        <w:t>104.12</w:t>
      </w:r>
      <w:r w:rsidRPr="006B4A66">
        <w:rPr>
          <w:rFonts w:ascii="Times New Roman" w:eastAsia="Calibri" w:hAnsi="Times New Roman" w:cs="Times New Roman"/>
          <w:b/>
          <w:bCs/>
          <w:color w:val="000000"/>
          <w:kern w:val="0"/>
          <w:sz w:val="24"/>
          <w14:ligatures w14:val="none"/>
        </w:rPr>
        <w:t xml:space="preserve">)) </w:t>
      </w:r>
      <w:r w:rsidRPr="006B4A66">
        <w:rPr>
          <w:rFonts w:ascii="Times New Roman" w:eastAsia="Calibri" w:hAnsi="Times New Roman" w:cs="Times New Roman"/>
          <w:b/>
          <w:bCs/>
          <w:color w:val="000000"/>
          <w:kern w:val="0"/>
          <w:sz w:val="24"/>
          <w:u w:val="single"/>
          <w14:ligatures w14:val="none"/>
        </w:rPr>
        <w:t>104.13</w:t>
      </w:r>
      <w:r w:rsidRPr="006B4A66">
        <w:rPr>
          <w:rFonts w:ascii="Times New Roman" w:eastAsia="Calibri" w:hAnsi="Times New Roman" w:cs="Times New Roman"/>
          <w:b/>
          <w:bCs/>
          <w:color w:val="000000"/>
          <w:kern w:val="0"/>
          <w:sz w:val="24"/>
          <w14:ligatures w14:val="none"/>
        </w:rPr>
        <w:t>).</w:t>
      </w:r>
    </w:p>
    <w:p w14:paraId="6754699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A.  Before submitting an application for a commercial building permit, site development permit, binding site plan, a preliminary subdivision or short subdivision approval, final plat or short plat </w:t>
      </w:r>
      <w:r w:rsidRPr="006B4A66">
        <w:rPr>
          <w:rFonts w:ascii="Times New Roman" w:eastAsia="Calibri" w:hAnsi="Times New Roman" w:cs="Times New Roman"/>
          <w:color w:val="000000"/>
          <w:kern w:val="0"/>
          <w:sz w:val="24"/>
          <w:u w:val="single"/>
          <w14:ligatures w14:val="none"/>
        </w:rPr>
        <w:t>approval</w:t>
      </w:r>
      <w:r w:rsidRPr="006B4A66">
        <w:rPr>
          <w:rFonts w:ascii="Times New Roman" w:eastAsia="Calibri" w:hAnsi="Times New Roman" w:cs="Times New Roman"/>
          <w:color w:val="000000"/>
          <w:kern w:val="0"/>
          <w:sz w:val="24"/>
          <w14:ligatures w14:val="none"/>
        </w:rPr>
        <w:t>, zoning reclassification, conditional use permit, and special use permit to the department:</w:t>
      </w:r>
    </w:p>
    <w:p w14:paraId="2C63788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  ((</w:t>
      </w:r>
      <w:r w:rsidRPr="006B4A66">
        <w:rPr>
          <w:rFonts w:ascii="Times New Roman" w:eastAsia="Calibri" w:hAnsi="Times New Roman" w:cs="Times New Roman"/>
          <w:strike/>
          <w:color w:val="000000"/>
          <w:kern w:val="0"/>
          <w:sz w:val="24"/>
          <w14:ligatures w14:val="none"/>
        </w:rPr>
        <w:t>t</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u w:val="single"/>
          <w14:ligatures w14:val="none"/>
        </w:rPr>
        <w:t>T</w:t>
      </w:r>
      <w:r w:rsidRPr="006B4A66">
        <w:rPr>
          <w:rFonts w:ascii="Times New Roman" w:eastAsia="Calibri" w:hAnsi="Times New Roman" w:cs="Times New Roman"/>
          <w:color w:val="000000"/>
          <w:kern w:val="0"/>
          <w:sz w:val="24"/>
          <w14:ligatures w14:val="none"/>
        </w:rPr>
        <w:t>he applicant shall submit a copy of the application to the fire district providing fire protection services to the proposed development;</w:t>
      </w:r>
    </w:p>
    <w:p w14:paraId="7F12F06F" w14:textId="4C237893"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2.  </w:t>
      </w:r>
      <w:r w:rsidRPr="006B4A66">
        <w:rPr>
          <w:rFonts w:ascii="Times New Roman" w:eastAsia="Calibri" w:hAnsi="Times New Roman" w:cs="Times New Roman"/>
          <w:color w:val="000000"/>
          <w:kern w:val="0"/>
          <w:sz w:val="24"/>
          <w:u w:val="single"/>
          <w14:ligatures w14:val="none"/>
        </w:rPr>
        <w:t>For</w:t>
      </w:r>
      <w:r w:rsidRPr="006B4A66">
        <w:rPr>
          <w:rFonts w:ascii="Times New Roman" w:eastAsia="Calibri" w:hAnsi="Times New Roman" w:cs="Times New Roman"/>
          <w:color w:val="000000"/>
          <w:kern w:val="0"/>
          <w:sz w:val="24"/>
          <w14:ligatures w14:val="none"/>
        </w:rPr>
        <w:t xml:space="preserve"> subdivisions and short subdivisions applied for and((</w:t>
      </w:r>
      <w:r w:rsidRPr="006B4A66">
        <w:rPr>
          <w:rFonts w:ascii="Times New Roman" w:eastAsia="Calibri" w:hAnsi="Times New Roman" w:cs="Times New Roman"/>
          <w:strike/>
          <w:color w:val="000000"/>
          <w:kern w:val="0"/>
          <w:sz w:val="24"/>
          <w14:ligatures w14:val="none"/>
        </w:rPr>
        <w:t>/ or</w:t>
      </w:r>
      <w:r w:rsidRPr="006B4A66">
        <w:rPr>
          <w:rFonts w:ascii="Times New Roman" w:eastAsia="Calibri" w:hAnsi="Times New Roman" w:cs="Times New Roman"/>
          <w:color w:val="000000"/>
          <w:kern w:val="0"/>
          <w:sz w:val="24"/>
          <w14:ligatures w14:val="none"/>
        </w:rPr>
        <w:t xml:space="preserve">)) recorded before February 1, 1989, </w:t>
      </w:r>
      <w:r w:rsidRPr="006B4A66">
        <w:rPr>
          <w:rFonts w:ascii="Times New Roman" w:eastAsia="Calibri" w:hAnsi="Times New Roman" w:cs="Times New Roman"/>
          <w:color w:val="000000"/>
          <w:kern w:val="0"/>
          <w:sz w:val="24"/>
          <w:u w:val="single"/>
          <w14:ligatures w14:val="none"/>
        </w:rPr>
        <w:t xml:space="preserve">the first building permit applicant </w:t>
      </w:r>
      <w:r w:rsidRPr="006B4A66">
        <w:rPr>
          <w:rFonts w:ascii="Times New Roman" w:eastAsia="Calibri" w:hAnsi="Times New Roman" w:cs="Times New Roman"/>
          <w:color w:val="000000"/>
          <w:kern w:val="0"/>
          <w:sz w:val="24"/>
          <w14:ligatures w14:val="none"/>
        </w:rPr>
        <w:t>shall ((</w:t>
      </w:r>
      <w:r w:rsidRPr="006B4A66">
        <w:rPr>
          <w:rFonts w:ascii="Times New Roman" w:eastAsia="Calibri" w:hAnsi="Times New Roman" w:cs="Times New Roman"/>
          <w:strike/>
          <w:color w:val="000000"/>
          <w:kern w:val="0"/>
          <w:sz w:val="24"/>
          <w14:ligatures w14:val="none"/>
        </w:rPr>
        <w:t>be submitted once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submit a copy of the application</w:t>
      </w:r>
      <w:r w:rsidRPr="006B4A66">
        <w:rPr>
          <w:rFonts w:ascii="Times New Roman" w:eastAsia="Calibri" w:hAnsi="Times New Roman" w:cs="Times New Roman"/>
          <w:color w:val="000000"/>
          <w:kern w:val="0"/>
          <w:sz w:val="24"/>
          <w14:ligatures w14:val="none"/>
        </w:rPr>
        <w:t xml:space="preserve"> to the ((</w:t>
      </w:r>
      <w:r w:rsidRPr="006B4A66">
        <w:rPr>
          <w:rFonts w:ascii="Times New Roman" w:eastAsia="Calibri" w:hAnsi="Times New Roman" w:cs="Times New Roman"/>
          <w:strike/>
          <w:color w:val="000000"/>
          <w:kern w:val="0"/>
          <w:sz w:val="24"/>
          <w14:ligatures w14:val="none"/>
        </w:rPr>
        <w:t>applicable</w:t>
      </w:r>
      <w:r w:rsidRPr="006B4A66">
        <w:rPr>
          <w:rFonts w:ascii="Times New Roman" w:eastAsia="Calibri" w:hAnsi="Times New Roman" w:cs="Times New Roman"/>
          <w:color w:val="000000"/>
          <w:kern w:val="0"/>
          <w:sz w:val="24"/>
          <w14:ligatures w14:val="none"/>
        </w:rPr>
        <w:t xml:space="preserve">)) fire district </w:t>
      </w:r>
      <w:r w:rsidRPr="006B4A66">
        <w:rPr>
          <w:rFonts w:ascii="Times New Roman" w:eastAsia="Calibri" w:hAnsi="Times New Roman" w:cs="Times New Roman"/>
          <w:color w:val="000000"/>
          <w:kern w:val="0"/>
          <w:sz w:val="24"/>
          <w:u w:val="single"/>
          <w14:ligatures w14:val="none"/>
        </w:rPr>
        <w:t>providing fire protection services to the development</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strike/>
          <w:color w:val="000000"/>
          <w:kern w:val="0"/>
          <w:sz w:val="24"/>
          <w14:ligatures w14:val="none"/>
        </w:rPr>
        <w:t>for review at the time of the first building permit by the applicant for that building permit)</w:t>
      </w:r>
      <w:r w:rsidRPr="006B4A66">
        <w:rPr>
          <w:rFonts w:ascii="Times New Roman" w:eastAsia="Calibri" w:hAnsi="Times New Roman" w:cs="Times New Roman"/>
          <w:color w:val="000000"/>
          <w:kern w:val="0"/>
          <w:sz w:val="24"/>
          <w14:ligatures w14:val="none"/>
        </w:rPr>
        <w:t>);</w:t>
      </w:r>
    </w:p>
    <w:p w14:paraId="149ED10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 xml:space="preserve">  3.  ((</w:t>
      </w:r>
      <w:r w:rsidRPr="006B4A66">
        <w:rPr>
          <w:rFonts w:ascii="Times New Roman" w:eastAsia="Calibri" w:hAnsi="Times New Roman" w:cs="Times New Roman"/>
          <w:strike/>
          <w:color w:val="000000"/>
          <w:kern w:val="0"/>
          <w:sz w:val="24"/>
          <w14:ligatures w14:val="none"/>
        </w:rPr>
        <w:t>i</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u w:val="single"/>
          <w14:ligatures w14:val="none"/>
        </w:rPr>
        <w:t>I</w:t>
      </w:r>
      <w:r w:rsidRPr="006B4A66">
        <w:rPr>
          <w:rFonts w:ascii="Times New Roman" w:eastAsia="Calibri" w:hAnsi="Times New Roman" w:cs="Times New Roman"/>
          <w:color w:val="000000"/>
          <w:kern w:val="0"/>
          <w:sz w:val="24"/>
          <w14:ligatures w14:val="none"/>
        </w:rPr>
        <w:t>t shall be the responsibility of the fire district to issue a receipt to the applicant the same day it receives a copy of a permit application. The receipt shall constitute proof ((</w:t>
      </w:r>
      <w:r w:rsidRPr="006B4A66">
        <w:rPr>
          <w:rFonts w:ascii="Times New Roman" w:eastAsia="Calibri" w:hAnsi="Times New Roman" w:cs="Times New Roman"/>
          <w:strike/>
          <w:color w:val="000000"/>
          <w:kern w:val="0"/>
          <w:sz w:val="24"/>
          <w14:ligatures w14:val="none"/>
        </w:rPr>
        <w:t>to the director</w:t>
      </w:r>
      <w:r w:rsidRPr="006B4A66">
        <w:rPr>
          <w:rFonts w:ascii="Times New Roman" w:eastAsia="Calibri" w:hAnsi="Times New Roman" w:cs="Times New Roman"/>
          <w:color w:val="000000"/>
          <w:kern w:val="0"/>
          <w:sz w:val="24"/>
          <w14:ligatures w14:val="none"/>
        </w:rPr>
        <w:t>)) of ((</w:t>
      </w:r>
      <w:r w:rsidRPr="006B4A66">
        <w:rPr>
          <w:rFonts w:ascii="Times New Roman" w:eastAsia="Calibri" w:hAnsi="Times New Roman" w:cs="Times New Roman"/>
          <w:strike/>
          <w:color w:val="000000"/>
          <w:kern w:val="0"/>
          <w:sz w:val="24"/>
          <w14:ligatures w14:val="none"/>
        </w:rPr>
        <w:t>the</w:t>
      </w:r>
      <w:r w:rsidRPr="006B4A66">
        <w:rPr>
          <w:rFonts w:ascii="Times New Roman" w:eastAsia="Calibri" w:hAnsi="Times New Roman" w:cs="Times New Roman"/>
          <w:color w:val="000000"/>
          <w:kern w:val="0"/>
          <w:sz w:val="24"/>
          <w14:ligatures w14:val="none"/>
        </w:rPr>
        <w:t xml:space="preserve">)) notification </w:t>
      </w:r>
      <w:r w:rsidRPr="006B4A66">
        <w:rPr>
          <w:rFonts w:ascii="Times New Roman" w:eastAsia="Calibri" w:hAnsi="Times New Roman" w:cs="Times New Roman"/>
          <w:color w:val="000000"/>
          <w:kern w:val="0"/>
          <w:sz w:val="24"/>
          <w:u w:val="single"/>
          <w14:ligatures w14:val="none"/>
        </w:rPr>
        <w:t>that the district has received a request to complete a fire district receipt</w:t>
      </w:r>
      <w:r w:rsidRPr="006B4A66">
        <w:rPr>
          <w:rFonts w:ascii="Times New Roman" w:eastAsia="Calibri" w:hAnsi="Times New Roman" w:cs="Times New Roman"/>
          <w:color w:val="000000"/>
          <w:kern w:val="0"/>
          <w:sz w:val="24"/>
          <w14:ligatures w14:val="none"/>
        </w:rPr>
        <w:t>;</w:t>
      </w:r>
    </w:p>
    <w:p w14:paraId="2BC5D96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4.  ((</w:t>
      </w:r>
      <w:r w:rsidRPr="006B4A66">
        <w:rPr>
          <w:rFonts w:ascii="Times New Roman" w:eastAsia="Calibri" w:hAnsi="Times New Roman" w:cs="Times New Roman"/>
          <w:strike/>
          <w:color w:val="000000"/>
          <w:kern w:val="0"/>
          <w:sz w:val="24"/>
          <w14:ligatures w14:val="none"/>
        </w:rPr>
        <w:t>t</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u w:val="single"/>
          <w14:ligatures w14:val="none"/>
        </w:rPr>
        <w:t>T</w:t>
      </w:r>
      <w:r w:rsidRPr="006B4A66">
        <w:rPr>
          <w:rFonts w:ascii="Times New Roman" w:eastAsia="Calibri" w:hAnsi="Times New Roman" w:cs="Times New Roman"/>
          <w:color w:val="000000"/>
          <w:kern w:val="0"/>
          <w:sz w:val="24"/>
          <w14:ligatures w14:val="none"/>
        </w:rPr>
        <w:t>he applicant shall include the fire district receipt with the permit application to the department;</w:t>
      </w:r>
    </w:p>
    <w:p w14:paraId="60311DE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5.  ((</w:t>
      </w:r>
      <w:r w:rsidRPr="006B4A66">
        <w:rPr>
          <w:rFonts w:ascii="Times New Roman" w:eastAsia="Calibri" w:hAnsi="Times New Roman" w:cs="Times New Roman"/>
          <w:strike/>
          <w:color w:val="000000"/>
          <w:kern w:val="0"/>
          <w:sz w:val="24"/>
          <w14:ligatures w14:val="none"/>
        </w:rPr>
        <w:t>i</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u w:val="single"/>
          <w14:ligatures w14:val="none"/>
        </w:rPr>
        <w:t>I</w:t>
      </w:r>
      <w:r w:rsidRPr="006B4A66">
        <w:rPr>
          <w:rFonts w:ascii="Times New Roman" w:eastAsia="Calibri" w:hAnsi="Times New Roman" w:cs="Times New Roman"/>
          <w:color w:val="000000"/>
          <w:kern w:val="0"/>
          <w:sz w:val="24"/>
          <w14:ligatures w14:val="none"/>
        </w:rPr>
        <w:t>t shall be the responsibility of the fire district to ((</w:t>
      </w:r>
      <w:r w:rsidRPr="006B4A66">
        <w:rPr>
          <w:rFonts w:ascii="Times New Roman" w:eastAsia="Calibri" w:hAnsi="Times New Roman" w:cs="Times New Roman"/>
          <w:strike/>
          <w:color w:val="000000"/>
          <w:kern w:val="0"/>
          <w:sz w:val="24"/>
          <w14:ligatures w14:val="none"/>
        </w:rPr>
        <w:t>notify</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provide any comments to</w:t>
      </w:r>
      <w:r w:rsidRPr="006B4A66">
        <w:rPr>
          <w:rFonts w:ascii="Times New Roman" w:eastAsia="Calibri" w:hAnsi="Times New Roman" w:cs="Times New Roman"/>
          <w:color w:val="000000"/>
          <w:kern w:val="0"/>
          <w:sz w:val="24"/>
          <w14:ligatures w14:val="none"/>
        </w:rPr>
        <w:t xml:space="preserve"> the fire marshal ((</w:t>
      </w:r>
      <w:r w:rsidRPr="006B4A66">
        <w:rPr>
          <w:rFonts w:ascii="Times New Roman" w:eastAsia="Calibri" w:hAnsi="Times New Roman" w:cs="Times New Roman"/>
          <w:strike/>
          <w:color w:val="000000"/>
          <w:kern w:val="0"/>
          <w:sz w:val="24"/>
          <w14:ligatures w14:val="none"/>
        </w:rPr>
        <w:t>of any comments</w:t>
      </w:r>
      <w:r w:rsidRPr="006B4A66">
        <w:rPr>
          <w:rFonts w:ascii="Times New Roman" w:eastAsia="Calibri" w:hAnsi="Times New Roman" w:cs="Times New Roman"/>
          <w:color w:val="000000"/>
          <w:kern w:val="0"/>
          <w:sz w:val="24"/>
          <w14:ligatures w14:val="none"/>
        </w:rPr>
        <w:t>)) within seven days of ((</w:t>
      </w:r>
      <w:r w:rsidRPr="006B4A66">
        <w:rPr>
          <w:rFonts w:ascii="Times New Roman" w:eastAsia="Calibri" w:hAnsi="Times New Roman" w:cs="Times New Roman"/>
          <w:strike/>
          <w:color w:val="000000"/>
          <w:kern w:val="0"/>
          <w:sz w:val="24"/>
          <w14:ligatures w14:val="none"/>
        </w:rPr>
        <w:t>the receipt of an applied for</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receiving a copy of the</w:t>
      </w:r>
      <w:r w:rsidRPr="006B4A66">
        <w:rPr>
          <w:rFonts w:ascii="Times New Roman" w:eastAsia="Calibri" w:hAnsi="Times New Roman" w:cs="Times New Roman"/>
          <w:color w:val="000000"/>
          <w:kern w:val="0"/>
          <w:sz w:val="24"/>
          <w14:ligatures w14:val="none"/>
        </w:rPr>
        <w:t xml:space="preserve"> permit </w:t>
      </w:r>
      <w:r w:rsidRPr="006B4A66">
        <w:rPr>
          <w:rFonts w:ascii="Times New Roman" w:eastAsia="Calibri" w:hAnsi="Times New Roman" w:cs="Times New Roman"/>
          <w:color w:val="000000"/>
          <w:kern w:val="0"/>
          <w:sz w:val="24"/>
          <w:u w:val="single"/>
          <w14:ligatures w14:val="none"/>
        </w:rPr>
        <w:t>application</w:t>
      </w:r>
      <w:r w:rsidRPr="006B4A66">
        <w:rPr>
          <w:rFonts w:ascii="Times New Roman" w:eastAsia="Calibri" w:hAnsi="Times New Roman" w:cs="Times New Roman"/>
          <w:color w:val="000000"/>
          <w:kern w:val="0"/>
          <w:sz w:val="24"/>
          <w14:ligatures w14:val="none"/>
        </w:rPr>
        <w:t>.</w:t>
      </w:r>
    </w:p>
    <w:p w14:paraId="5755F612" w14:textId="7CA65254"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206.</w:t>
      </w:r>
      <w:r w:rsidRPr="006B4A66">
        <w:rPr>
          <w:rFonts w:ascii="Times New Roman" w:eastAsia="Calibri" w:hAnsi="Times New Roman" w:cs="Times New Roman"/>
          <w:color w:val="000000"/>
          <w:kern w:val="0"/>
          <w:sz w:val="24"/>
          <w14:ligatures w14:val="none"/>
        </w:rPr>
        <w:t xml:space="preserve">  There is hereby added to K.C.C. chapter 17.04 a new section to read as follows:</w:t>
      </w:r>
    </w:p>
    <w:p w14:paraId="17CDFCB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105.3.1 of the International Fire Code is not adopted and the following is substituted:</w:t>
      </w:r>
    </w:p>
    <w:p w14:paraId="54659D39" w14:textId="63F850EC"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Expiration (IFC 105.3.1).</w:t>
      </w:r>
      <w:r w:rsidRPr="006B4A66">
        <w:rPr>
          <w:rFonts w:ascii="Times New Roman" w:eastAsia="Calibri" w:hAnsi="Times New Roman" w:cs="Times New Roman"/>
          <w:color w:val="000000"/>
          <w:kern w:val="0"/>
          <w:sz w:val="24"/>
          <w14:ligatures w14:val="none"/>
        </w:rPr>
        <w:t xml:space="preserve">  Expiration of permits under Title 17 shall be in accordance with Section K.C.C. 16.02.290.</w:t>
      </w:r>
    </w:p>
    <w:p w14:paraId="594D873F" w14:textId="13B15A21"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207.</w:t>
      </w:r>
      <w:r w:rsidRPr="006B4A66">
        <w:rPr>
          <w:rFonts w:ascii="Times New Roman" w:eastAsia="Times New Roman" w:hAnsi="Times New Roman" w:cs="Times New Roman"/>
          <w:color w:val="000000"/>
          <w:kern w:val="0"/>
          <w:sz w:val="24"/>
          <w:szCs w:val="24"/>
          <w14:ligatures w14:val="none"/>
        </w:rPr>
        <w:t xml:space="preserve">  Ordinance 12560, Section 156, as amended, and K.C.C. 17.04.290 are each hereby amended to read as follows:</w:t>
      </w:r>
    </w:p>
    <w:p w14:paraId="0E4A592D"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t>Section 105.3.6 of the International Fire Code is supplemented with the following:</w:t>
      </w:r>
    </w:p>
    <w:p w14:paraId="554BCC4B"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b/>
          <w:color w:val="000000"/>
          <w:kern w:val="0"/>
          <w:sz w:val="24"/>
          <w:szCs w:val="24"/>
          <w14:ligatures w14:val="none"/>
        </w:rPr>
        <w:tab/>
        <w:t>Penalties (IFC 105.3.6.1).</w:t>
      </w:r>
      <w:r w:rsidRPr="006B4A66">
        <w:rPr>
          <w:rFonts w:ascii="Times New Roman" w:eastAsia="Times New Roman" w:hAnsi="Times New Roman" w:cs="Times New Roman"/>
          <w:color w:val="000000"/>
          <w:kern w:val="0"/>
          <w:sz w:val="24"/>
          <w:szCs w:val="24"/>
          <w14:ligatures w14:val="none"/>
        </w:rPr>
        <w:t xml:space="preserve">  When installation of a fire protection system, ((</w:t>
      </w:r>
      <w:r w:rsidRPr="006B4A66">
        <w:rPr>
          <w:rFonts w:ascii="Times New Roman" w:eastAsia="Times New Roman" w:hAnsi="Times New Roman" w:cs="Times New Roman"/>
          <w:strike/>
          <w:color w:val="000000"/>
          <w:kern w:val="0"/>
          <w:sz w:val="24"/>
          <w:szCs w:val="24"/>
          <w14:ligatures w14:val="none"/>
        </w:rPr>
        <w:t>which requires approval of</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 xml:space="preserve">requiring </w:t>
      </w:r>
      <w:r w:rsidRPr="006B4A66">
        <w:rPr>
          <w:rFonts w:ascii="Times New Roman" w:eastAsia="Times New Roman" w:hAnsi="Times New Roman" w:cs="Times New Roman"/>
          <w:color w:val="000000"/>
          <w:kern w:val="0"/>
          <w:sz w:val="24"/>
          <w:szCs w:val="24"/>
          <w14:ligatures w14:val="none"/>
        </w:rPr>
        <w:t>the ((</w:t>
      </w:r>
      <w:r w:rsidRPr="006B4A66">
        <w:rPr>
          <w:rFonts w:ascii="Times New Roman" w:eastAsia="Times New Roman" w:hAnsi="Times New Roman" w:cs="Times New Roman"/>
          <w:strike/>
          <w:color w:val="000000"/>
          <w:kern w:val="0"/>
          <w:sz w:val="24"/>
          <w:szCs w:val="24"/>
          <w14:ligatures w14:val="none"/>
        </w:rPr>
        <w:t>F</w:t>
      </w:r>
      <w:r w:rsidRPr="006B4A66">
        <w:rPr>
          <w:rFonts w:ascii="Times New Roman" w:eastAsia="Times New Roman" w:hAnsi="Times New Roman" w:cs="Times New Roman"/>
          <w:color w:val="000000"/>
          <w:kern w:val="0"/>
          <w:sz w:val="24"/>
          <w:szCs w:val="24"/>
          <w14:ligatures w14:val="none"/>
        </w:rPr>
        <w:t>))fire ((</w:t>
      </w:r>
      <w:r w:rsidRPr="006B4A66">
        <w:rPr>
          <w:rFonts w:ascii="Times New Roman" w:eastAsia="Times New Roman" w:hAnsi="Times New Roman" w:cs="Times New Roman"/>
          <w:strike/>
          <w:color w:val="000000"/>
          <w:kern w:val="0"/>
          <w:sz w:val="24"/>
          <w:szCs w:val="24"/>
          <w14:ligatures w14:val="none"/>
        </w:rPr>
        <w:t>M</w:t>
      </w:r>
      <w:r w:rsidRPr="006B4A66">
        <w:rPr>
          <w:rFonts w:ascii="Times New Roman" w:eastAsia="Times New Roman" w:hAnsi="Times New Roman" w:cs="Times New Roman"/>
          <w:color w:val="000000"/>
          <w:kern w:val="0"/>
          <w:sz w:val="24"/>
          <w:szCs w:val="24"/>
          <w14:ligatures w14:val="none"/>
        </w:rPr>
        <w:t>))marshal'</w:t>
      </w:r>
      <w:r w:rsidRPr="006B4A66">
        <w:rPr>
          <w:rFonts w:ascii="Times New Roman" w:eastAsia="Times New Roman" w:hAnsi="Times New Roman" w:cs="Times New Roman"/>
          <w:color w:val="000000"/>
          <w:kern w:val="0"/>
          <w:sz w:val="24"/>
          <w:szCs w:val="24"/>
          <w:u w:val="single"/>
          <w14:ligatures w14:val="none"/>
        </w:rPr>
        <w:t>s approval</w:t>
      </w:r>
      <w:r w:rsidRPr="006B4A66">
        <w:rPr>
          <w:rFonts w:ascii="Times New Roman" w:eastAsia="Times New Roman" w:hAnsi="Times New Roman" w:cs="Times New Roman"/>
          <w:color w:val="000000"/>
          <w:kern w:val="0"/>
          <w:sz w:val="24"/>
          <w:szCs w:val="24"/>
          <w14:ligatures w14:val="none"/>
        </w:rPr>
        <w:t>, ((</w:t>
      </w:r>
      <w:r w:rsidRPr="006B4A66">
        <w:rPr>
          <w:rFonts w:ascii="Times New Roman" w:eastAsia="Times New Roman" w:hAnsi="Times New Roman" w:cs="Times New Roman"/>
          <w:strike/>
          <w:color w:val="000000"/>
          <w:kern w:val="0"/>
          <w:sz w:val="24"/>
          <w:szCs w:val="24"/>
          <w14:ligatures w14:val="none"/>
        </w:rPr>
        <w:t>is started or proceeded with prior to</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occurs before</w:t>
      </w:r>
      <w:r w:rsidRPr="006B4A66">
        <w:rPr>
          <w:rFonts w:ascii="Times New Roman" w:eastAsia="Times New Roman" w:hAnsi="Times New Roman" w:cs="Times New Roman"/>
          <w:color w:val="000000"/>
          <w:kern w:val="0"/>
          <w:sz w:val="24"/>
          <w:szCs w:val="24"/>
          <w14:ligatures w14:val="none"/>
        </w:rPr>
        <w:t xml:space="preserve"> obtaining ((</w:t>
      </w:r>
      <w:r w:rsidRPr="006B4A66">
        <w:rPr>
          <w:rFonts w:ascii="Times New Roman" w:eastAsia="Times New Roman" w:hAnsi="Times New Roman" w:cs="Times New Roman"/>
          <w:strike/>
          <w:color w:val="000000"/>
          <w:kern w:val="0"/>
          <w:sz w:val="24"/>
          <w:szCs w:val="24"/>
          <w14:ligatures w14:val="none"/>
        </w:rPr>
        <w:t>said</w:t>
      </w:r>
      <w:r w:rsidRPr="006B4A66">
        <w:rPr>
          <w:rFonts w:ascii="Times New Roman" w:eastAsia="Times New Roman" w:hAnsi="Times New Roman" w:cs="Times New Roman"/>
          <w:color w:val="000000"/>
          <w:kern w:val="0"/>
          <w:sz w:val="24"/>
          <w:szCs w:val="24"/>
          <w14:ligatures w14:val="none"/>
        </w:rPr>
        <w:t>)) approval, the ((</w:t>
      </w:r>
      <w:r w:rsidRPr="006B4A66">
        <w:rPr>
          <w:rFonts w:ascii="Times New Roman" w:eastAsia="Times New Roman" w:hAnsi="Times New Roman" w:cs="Times New Roman"/>
          <w:strike/>
          <w:color w:val="000000"/>
          <w:kern w:val="0"/>
          <w:sz w:val="24"/>
          <w:szCs w:val="24"/>
          <w14:ligatures w14:val="none"/>
        </w:rPr>
        <w:t>ordinary</w:t>
      </w:r>
      <w:r w:rsidRPr="006B4A66">
        <w:rPr>
          <w:rFonts w:ascii="Times New Roman" w:eastAsia="Times New Roman" w:hAnsi="Times New Roman" w:cs="Times New Roman"/>
          <w:color w:val="000000"/>
          <w:kern w:val="0"/>
          <w:sz w:val="24"/>
          <w:szCs w:val="24"/>
          <w14:ligatures w14:val="none"/>
        </w:rPr>
        <w:t xml:space="preserve">)) fees specified in K.C.C. Title 27 shall be doubled.  The payment of such double fee shall not </w:t>
      </w:r>
      <w:r w:rsidRPr="006B4A66">
        <w:rPr>
          <w:rFonts w:ascii="Times New Roman" w:eastAsia="Times New Roman" w:hAnsi="Times New Roman" w:cs="Times New Roman"/>
          <w:color w:val="000000"/>
          <w:kern w:val="0"/>
          <w:sz w:val="24"/>
          <w:szCs w:val="24"/>
          <w14:ligatures w14:val="none"/>
        </w:rPr>
        <w:lastRenderedPageBreak/>
        <w:t>relieve any persons from fully complying with ((</w:t>
      </w:r>
      <w:r w:rsidRPr="006B4A66">
        <w:rPr>
          <w:rFonts w:ascii="Times New Roman" w:eastAsia="Times New Roman" w:hAnsi="Times New Roman" w:cs="Times New Roman"/>
          <w:strike/>
          <w:color w:val="000000"/>
          <w:kern w:val="0"/>
          <w:sz w:val="24"/>
          <w:szCs w:val="24"/>
          <w14:ligatures w14:val="none"/>
        </w:rPr>
        <w:t>the</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this code's</w:t>
      </w:r>
      <w:r w:rsidRPr="006B4A66">
        <w:rPr>
          <w:rFonts w:ascii="Times New Roman" w:eastAsia="Times New Roman" w:hAnsi="Times New Roman" w:cs="Times New Roman"/>
          <w:color w:val="000000"/>
          <w:kern w:val="0"/>
          <w:sz w:val="24"/>
          <w:szCs w:val="24"/>
          <w14:ligatures w14:val="none"/>
        </w:rPr>
        <w:t xml:space="preserve"> requirement</w:t>
      </w:r>
      <w:r w:rsidRPr="006B4A66">
        <w:rPr>
          <w:rFonts w:ascii="Times New Roman" w:eastAsia="Times New Roman" w:hAnsi="Times New Roman" w:cs="Times New Roman"/>
          <w:color w:val="000000"/>
          <w:kern w:val="0"/>
          <w:sz w:val="24"/>
          <w:szCs w:val="24"/>
          <w:u w:val="single"/>
          <w14:ligatures w14:val="none"/>
        </w:rPr>
        <w:t>s</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strike/>
          <w:color w:val="000000"/>
          <w:kern w:val="0"/>
          <w:sz w:val="24"/>
          <w:szCs w:val="24"/>
          <w14:ligatures w14:val="none"/>
        </w:rPr>
        <w:t>of this code</w:t>
      </w:r>
      <w:r w:rsidRPr="006B4A66">
        <w:rPr>
          <w:rFonts w:ascii="Times New Roman" w:eastAsia="Times New Roman" w:hAnsi="Times New Roman" w:cs="Times New Roman"/>
          <w:color w:val="000000"/>
          <w:kern w:val="0"/>
          <w:sz w:val="24"/>
          <w:szCs w:val="24"/>
          <w14:ligatures w14:val="none"/>
        </w:rPr>
        <w:t>)) in the execution of the work ((</w:t>
      </w:r>
      <w:r w:rsidRPr="006B4A66">
        <w:rPr>
          <w:rFonts w:ascii="Times New Roman" w:eastAsia="Times New Roman" w:hAnsi="Times New Roman" w:cs="Times New Roman"/>
          <w:strike/>
          <w:color w:val="000000"/>
          <w:kern w:val="0"/>
          <w:sz w:val="24"/>
          <w:szCs w:val="24"/>
          <w14:ligatures w14:val="none"/>
        </w:rPr>
        <w:t>n</w:t>
      </w:r>
      <w:r w:rsidRPr="006B4A66">
        <w:rPr>
          <w:rFonts w:ascii="Times New Roman" w:eastAsia="Times New Roman" w:hAnsi="Times New Roman" w:cs="Times New Roman"/>
          <w:color w:val="000000"/>
          <w:kern w:val="0"/>
          <w:sz w:val="24"/>
          <w:szCs w:val="24"/>
          <w14:ligatures w14:val="none"/>
        </w:rPr>
        <w:t>))or from any other penalties prescribed herein.</w:t>
      </w:r>
    </w:p>
    <w:p w14:paraId="57E934E2" w14:textId="15DB4FF9"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208.</w:t>
      </w:r>
      <w:r w:rsidRPr="006B4A66">
        <w:rPr>
          <w:rFonts w:ascii="Times New Roman" w:eastAsia="Calibri" w:hAnsi="Times New Roman" w:cs="Times New Roman"/>
          <w:color w:val="000000"/>
          <w:kern w:val="0"/>
          <w:sz w:val="24"/>
          <w14:ligatures w14:val="none"/>
        </w:rPr>
        <w:t xml:space="preserve">  There is hereby added to K.C.C. chapter 17.04 a new section to read as follows:</w:t>
      </w:r>
    </w:p>
    <w:p w14:paraId="289EA19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105.5.38 of the International Fire Code is not adopted and the following is substituted:</w:t>
      </w:r>
    </w:p>
    <w:p w14:paraId="68A8D485"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shd w:val="clear" w:color="auto" w:fill="FFFFFF"/>
          <w14:ligatures w14:val="none"/>
        </w:rPr>
        <w:tab/>
      </w:r>
      <w:r w:rsidRPr="006B4A66">
        <w:rPr>
          <w:rFonts w:ascii="Times New Roman" w:eastAsia="Times New Roman" w:hAnsi="Times New Roman" w:cs="Times New Roman"/>
          <w:b/>
          <w:bCs/>
          <w:color w:val="000000"/>
          <w:kern w:val="0"/>
          <w:sz w:val="24"/>
          <w:szCs w:val="24"/>
          <w:shd w:val="clear" w:color="auto" w:fill="FFFFFF"/>
          <w14:ligatures w14:val="none"/>
        </w:rPr>
        <w:t>Outdoor assembly event (IFC 105.5.38).</w:t>
      </w:r>
      <w:r w:rsidRPr="006B4A66">
        <w:rPr>
          <w:rFonts w:ascii="Times New Roman" w:eastAsia="Times New Roman" w:hAnsi="Times New Roman" w:cs="Times New Roman"/>
          <w:color w:val="000000"/>
          <w:kern w:val="0"/>
          <w:sz w:val="24"/>
          <w:szCs w:val="24"/>
          <w:shd w:val="clear" w:color="auto" w:fill="FFFFFF"/>
          <w14:ligatures w14:val="none"/>
        </w:rPr>
        <w:t xml:space="preserve">  An operational permit is required to conduct an outdoor assembly event where planned attendance exceeds 50 persons.</w:t>
      </w:r>
    </w:p>
    <w:p w14:paraId="2FEDEFE6" w14:textId="1997CED6"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209.</w:t>
      </w:r>
      <w:r w:rsidRPr="006B4A66">
        <w:rPr>
          <w:rFonts w:ascii="Times New Roman" w:eastAsia="Calibri" w:hAnsi="Times New Roman" w:cs="Times New Roman"/>
          <w:color w:val="000000"/>
          <w:kern w:val="0"/>
          <w:sz w:val="24"/>
          <w14:ligatures w14:val="none"/>
        </w:rPr>
        <w:t xml:space="preserve">  Ordinance 17837, Section 75, as amended, and K.C.C. 17.04.295 are each hereby amended to read as follows:</w:t>
      </w:r>
    </w:p>
    <w:p w14:paraId="56190E8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w:t>
      </w:r>
      <w:r w:rsidRPr="006B4A66">
        <w:rPr>
          <w:rFonts w:ascii="Times New Roman" w:eastAsia="Calibri" w:hAnsi="Times New Roman" w:cs="Times New Roman"/>
          <w:strike/>
          <w:color w:val="000000"/>
          <w:kern w:val="0"/>
          <w:sz w:val="24"/>
          <w14:ligatures w14:val="none"/>
        </w:rPr>
        <w:t>105.7.21</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105.6.20</w:t>
      </w:r>
      <w:r w:rsidRPr="006B4A66">
        <w:rPr>
          <w:rFonts w:ascii="Times New Roman" w:eastAsia="Calibri" w:hAnsi="Times New Roman" w:cs="Times New Roman"/>
          <w:color w:val="000000"/>
          <w:kern w:val="0"/>
          <w:sz w:val="24"/>
          <w14:ligatures w14:val="none"/>
        </w:rPr>
        <w:t xml:space="preserve"> of the International Fire Code is not adopted and the following is substituted:</w:t>
      </w:r>
    </w:p>
    <w:p w14:paraId="1A4EAE2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Solar photovoltaic power systems (IFC ((</w:t>
      </w:r>
      <w:r w:rsidRPr="006B4A66">
        <w:rPr>
          <w:rFonts w:ascii="Times New Roman" w:eastAsia="Calibri" w:hAnsi="Times New Roman" w:cs="Times New Roman"/>
          <w:b/>
          <w:bCs/>
          <w:strike/>
          <w:color w:val="000000"/>
          <w:kern w:val="0"/>
          <w:sz w:val="24"/>
          <w14:ligatures w14:val="none"/>
        </w:rPr>
        <w:t>105.7.21</w:t>
      </w:r>
      <w:r w:rsidRPr="006B4A66">
        <w:rPr>
          <w:rFonts w:ascii="Times New Roman" w:eastAsia="Calibri" w:hAnsi="Times New Roman" w:cs="Times New Roman"/>
          <w:b/>
          <w:bCs/>
          <w:color w:val="000000"/>
          <w:kern w:val="0"/>
          <w:sz w:val="24"/>
          <w14:ligatures w14:val="none"/>
        </w:rPr>
        <w:t xml:space="preserve">)) </w:t>
      </w:r>
      <w:r w:rsidRPr="006B4A66">
        <w:rPr>
          <w:rFonts w:ascii="Times New Roman" w:eastAsia="Calibri" w:hAnsi="Times New Roman" w:cs="Times New Roman"/>
          <w:b/>
          <w:bCs/>
          <w:color w:val="000000"/>
          <w:kern w:val="0"/>
          <w:sz w:val="24"/>
          <w:u w:val="single"/>
          <w14:ligatures w14:val="none"/>
        </w:rPr>
        <w:t>105.6.20</w:t>
      </w:r>
      <w:r w:rsidRPr="006B4A66">
        <w:rPr>
          <w:rFonts w:ascii="Times New Roman" w:eastAsia="Calibri" w:hAnsi="Times New Roman" w:cs="Times New Roman"/>
          <w:b/>
          <w:bCs/>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A construction permit ((</w:t>
      </w:r>
      <w:r w:rsidRPr="006B4A66">
        <w:rPr>
          <w:rFonts w:ascii="Times New Roman" w:eastAsia="Calibri" w:hAnsi="Times New Roman" w:cs="Times New Roman"/>
          <w:strike/>
          <w:color w:val="000000"/>
          <w:kern w:val="0"/>
          <w:sz w:val="24"/>
          <w14:ligatures w14:val="none"/>
        </w:rPr>
        <w:t>shall be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is</w:t>
      </w:r>
      <w:r w:rsidRPr="006B4A66">
        <w:rPr>
          <w:rFonts w:ascii="Times New Roman" w:eastAsia="Calibri" w:hAnsi="Times New Roman" w:cs="Times New Roman"/>
          <w:color w:val="000000"/>
          <w:kern w:val="0"/>
          <w:sz w:val="24"/>
          <w14:ligatures w14:val="none"/>
        </w:rPr>
        <w:t xml:space="preserve"> required to install or modify solar photovoltaic power systems.</w:t>
      </w:r>
      <w:r w:rsidRPr="006B4A66">
        <w:rPr>
          <w:rFonts w:ascii="Times New Roman" w:eastAsia="Calibri" w:hAnsi="Times New Roman" w:cs="Times New Roman"/>
          <w:color w:val="000000"/>
          <w:kern w:val="0"/>
          <w:sz w:val="24"/>
          <w:u w:val="single"/>
          <w14:ligatures w14:val="none"/>
        </w:rPr>
        <w:t xml:space="preserve">  Maintenance performed in accordance with this code is not considered a modification and does not require a permit.</w:t>
      </w:r>
    </w:p>
    <w:p w14:paraId="577AE91A"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b/>
          <w:bCs/>
          <w:color w:val="000000"/>
          <w:kern w:val="0"/>
          <w:sz w:val="24"/>
          <w:szCs w:val="24"/>
          <w14:ligatures w14:val="none"/>
        </w:rPr>
        <w:t xml:space="preserve">EXCEPTION:  </w:t>
      </w:r>
      <w:r w:rsidRPr="006B4A66">
        <w:rPr>
          <w:rFonts w:ascii="Times New Roman" w:eastAsia="Times New Roman" w:hAnsi="Times New Roman" w:cs="Times New Roman"/>
          <w:color w:val="000000"/>
          <w:kern w:val="0"/>
          <w:sz w:val="24"/>
          <w:szCs w:val="24"/>
          <w14:ligatures w14:val="none"/>
        </w:rPr>
        <w:t>Roof-mounted photovoltaic solar panels on one</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 xml:space="preserve"> and two</w:t>
      </w:r>
      <w:r w:rsidRPr="006B4A66">
        <w:rPr>
          <w:rFonts w:ascii="Times New Roman" w:eastAsia="Times New Roman" w:hAnsi="Times New Roman" w:cs="Times New Roman"/>
          <w:color w:val="000000"/>
          <w:kern w:val="0"/>
          <w:sz w:val="24"/>
          <w:szCs w:val="24"/>
          <w:u w:val="single"/>
          <w14:ligatures w14:val="none"/>
        </w:rPr>
        <w:t>-</w:t>
      </w:r>
      <w:r w:rsidRPr="006B4A66">
        <w:rPr>
          <w:rFonts w:ascii="Times New Roman" w:eastAsia="Times New Roman" w:hAnsi="Times New Roman" w:cs="Times New Roman"/>
          <w:color w:val="000000"/>
          <w:kern w:val="0"/>
          <w:sz w:val="24"/>
          <w:szCs w:val="24"/>
          <w14:ligatures w14:val="none"/>
        </w:rPr>
        <w:t>family dwellings that have a total dead load not exceeding ((f</w:t>
      </w:r>
      <w:r w:rsidRPr="006B4A66">
        <w:rPr>
          <w:rFonts w:ascii="Times New Roman" w:eastAsia="Times New Roman" w:hAnsi="Times New Roman" w:cs="Times New Roman"/>
          <w:strike/>
          <w:color w:val="000000"/>
          <w:kern w:val="0"/>
          <w:sz w:val="24"/>
          <w:szCs w:val="24"/>
          <w14:ligatures w14:val="none"/>
        </w:rPr>
        <w:t>our</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4</w:t>
      </w:r>
      <w:r w:rsidRPr="006B4A66">
        <w:rPr>
          <w:rFonts w:ascii="Times New Roman" w:eastAsia="Times New Roman" w:hAnsi="Times New Roman" w:cs="Times New Roman"/>
          <w:color w:val="000000"/>
          <w:kern w:val="0"/>
          <w:sz w:val="24"/>
          <w:szCs w:val="24"/>
          <w14:ligatures w14:val="none"/>
        </w:rPr>
        <w:t xml:space="preserve"> pounds per square foot </w:t>
      </w:r>
      <w:r w:rsidRPr="006B4A66">
        <w:rPr>
          <w:rFonts w:ascii="Times New Roman" w:eastAsia="Times New Roman" w:hAnsi="Times New Roman" w:cs="Times New Roman"/>
          <w:color w:val="000000"/>
          <w:kern w:val="0"/>
          <w:sz w:val="24"/>
          <w:szCs w:val="24"/>
          <w:u w:val="single"/>
          <w14:ligatures w14:val="none"/>
        </w:rPr>
        <w:t>(20 kilograms per square meter)</w:t>
      </w:r>
      <w:r w:rsidRPr="006B4A66">
        <w:rPr>
          <w:rFonts w:ascii="Times New Roman" w:eastAsia="Times New Roman" w:hAnsi="Times New Roman" w:cs="Times New Roman"/>
          <w:color w:val="000000"/>
          <w:kern w:val="0"/>
          <w:sz w:val="24"/>
          <w:szCs w:val="24"/>
          <w14:ligatures w14:val="none"/>
        </w:rPr>
        <w:t xml:space="preserve"> and are mounted no more than ((</w:t>
      </w:r>
      <w:r w:rsidRPr="006B4A66">
        <w:rPr>
          <w:rFonts w:ascii="Times New Roman" w:eastAsia="Times New Roman" w:hAnsi="Times New Roman" w:cs="Times New Roman"/>
          <w:strike/>
          <w:color w:val="000000"/>
          <w:kern w:val="0"/>
          <w:sz w:val="24"/>
          <w:szCs w:val="24"/>
          <w14:ligatures w14:val="none"/>
        </w:rPr>
        <w:t>eighteen</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18</w:t>
      </w:r>
      <w:r w:rsidRPr="006B4A66">
        <w:rPr>
          <w:rFonts w:ascii="Times New Roman" w:eastAsia="Times New Roman" w:hAnsi="Times New Roman" w:cs="Times New Roman"/>
          <w:color w:val="000000"/>
          <w:kern w:val="0"/>
          <w:sz w:val="24"/>
          <w:szCs w:val="24"/>
          <w14:ligatures w14:val="none"/>
        </w:rPr>
        <w:t xml:space="preserve"> inches </w:t>
      </w:r>
      <w:r w:rsidRPr="006B4A66">
        <w:rPr>
          <w:rFonts w:ascii="Times New Roman" w:eastAsia="Times New Roman" w:hAnsi="Times New Roman" w:cs="Times New Roman"/>
          <w:color w:val="000000"/>
          <w:kern w:val="0"/>
          <w:sz w:val="24"/>
          <w:szCs w:val="24"/>
          <w:u w:val="single"/>
          <w14:ligatures w14:val="none"/>
        </w:rPr>
        <w:t>(457 millimeters)</w:t>
      </w:r>
      <w:r w:rsidRPr="006B4A66">
        <w:rPr>
          <w:rFonts w:ascii="Times New Roman" w:eastAsia="Times New Roman" w:hAnsi="Times New Roman" w:cs="Times New Roman"/>
          <w:color w:val="000000"/>
          <w:kern w:val="0"/>
          <w:sz w:val="24"/>
          <w:szCs w:val="24"/>
          <w14:ligatures w14:val="none"/>
        </w:rPr>
        <w:t xml:space="preserve"> above the roof or highest roof point on which they are mounted.</w:t>
      </w:r>
    </w:p>
    <w:p w14:paraId="214D5E5E" w14:textId="6FE6B73D"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210.</w:t>
      </w:r>
      <w:r w:rsidRPr="006B4A66">
        <w:rPr>
          <w:rFonts w:ascii="Times New Roman" w:eastAsia="Calibri" w:hAnsi="Times New Roman" w:cs="Times New Roman"/>
          <w:color w:val="000000"/>
          <w:kern w:val="0"/>
          <w:sz w:val="24"/>
          <w14:ligatures w14:val="none"/>
        </w:rPr>
        <w:t xml:space="preserve">  There is hereby added to K.C.C. chapter 17.04 a new section to read as follows:</w:t>
      </w:r>
    </w:p>
    <w:p w14:paraId="302A006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Section 105.6.21 of the International Fire Code is not adopted and the following is substituted:</w:t>
      </w:r>
    </w:p>
    <w:p w14:paraId="565E81D4" w14:textId="78DAB1AB"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 xml:space="preserve">Special event structure and assembly area (IFC 105.6.21). </w:t>
      </w:r>
      <w:r w:rsidRPr="006B4A66">
        <w:rPr>
          <w:rFonts w:ascii="Times New Roman" w:eastAsia="Calibri" w:hAnsi="Times New Roman" w:cs="Times New Roman"/>
          <w:color w:val="000000"/>
          <w:kern w:val="0"/>
          <w:sz w:val="24"/>
          <w14:ligatures w14:val="none"/>
        </w:rPr>
        <w:t xml:space="preserve"> A single special event permit is required to erect and take down a temporary special event structure.  An application for a special event structure or special event shall be made at least 30 </w:t>
      </w:r>
      <w:r w:rsidR="0097072B">
        <w:rPr>
          <w:rFonts w:ascii="Times New Roman" w:eastAsia="Calibri" w:hAnsi="Times New Roman" w:cs="Times New Roman"/>
          <w:color w:val="000000"/>
          <w:kern w:val="0"/>
          <w:sz w:val="24"/>
          <w14:ligatures w14:val="none"/>
        </w:rPr>
        <w:t xml:space="preserve">business </w:t>
      </w:r>
      <w:r w:rsidRPr="006B4A66">
        <w:rPr>
          <w:rFonts w:ascii="Times New Roman" w:eastAsia="Calibri" w:hAnsi="Times New Roman" w:cs="Times New Roman"/>
          <w:color w:val="000000"/>
          <w:kern w:val="0"/>
          <w:sz w:val="24"/>
          <w14:ligatures w14:val="none"/>
        </w:rPr>
        <w:t xml:space="preserve">days before the event: Applications submitted less than 30 business days before the event may be accepted if the department finds that there is adequate time to properly process the request.  All applications may require further review by </w:t>
      </w:r>
      <w:r w:rsidR="00084213">
        <w:rPr>
          <w:rFonts w:ascii="Times New Roman" w:eastAsia="Calibri" w:hAnsi="Times New Roman" w:cs="Times New Roman"/>
          <w:color w:val="000000"/>
          <w:kern w:val="0"/>
          <w:sz w:val="24"/>
          <w14:ligatures w14:val="none"/>
        </w:rPr>
        <w:t>one or more of</w:t>
      </w:r>
      <w:r w:rsidRPr="006B4A66">
        <w:rPr>
          <w:rFonts w:ascii="Times New Roman" w:eastAsia="Calibri" w:hAnsi="Times New Roman" w:cs="Times New Roman"/>
          <w:color w:val="000000"/>
          <w:kern w:val="0"/>
          <w:sz w:val="24"/>
          <w14:ligatures w14:val="none"/>
        </w:rPr>
        <w:t xml:space="preserve"> the following:</w:t>
      </w:r>
    </w:p>
    <w:p w14:paraId="02A7790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A.  King County permitting division;</w:t>
      </w:r>
    </w:p>
    <w:p w14:paraId="6DDA172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B.  King County roads division;</w:t>
      </w:r>
    </w:p>
    <w:p w14:paraId="62B6C2F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C.  King County sheriff's office;</w:t>
      </w:r>
    </w:p>
    <w:p w14:paraId="1862EE2E" w14:textId="4AFA8F08"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D.  </w:t>
      </w:r>
      <w:r w:rsidR="00084213">
        <w:rPr>
          <w:rFonts w:ascii="Times New Roman" w:eastAsia="Calibri" w:hAnsi="Times New Roman" w:cs="Times New Roman"/>
          <w:color w:val="000000"/>
          <w:kern w:val="0"/>
          <w:sz w:val="24"/>
          <w14:ligatures w14:val="none"/>
        </w:rPr>
        <w:t>P</w:t>
      </w:r>
      <w:r w:rsidRPr="006B4A66">
        <w:rPr>
          <w:rFonts w:ascii="Times New Roman" w:eastAsia="Calibri" w:hAnsi="Times New Roman" w:cs="Times New Roman"/>
          <w:color w:val="000000"/>
          <w:kern w:val="0"/>
          <w:sz w:val="24"/>
          <w14:ligatures w14:val="none"/>
        </w:rPr>
        <w:t xml:space="preserve">ublic health - Seattle &amp; King County; </w:t>
      </w:r>
      <w:r w:rsidR="00084213">
        <w:rPr>
          <w:rFonts w:ascii="Times New Roman" w:eastAsia="Calibri" w:hAnsi="Times New Roman" w:cs="Times New Roman"/>
          <w:color w:val="000000"/>
          <w:kern w:val="0"/>
          <w:sz w:val="24"/>
          <w14:ligatures w14:val="none"/>
        </w:rPr>
        <w:t>and</w:t>
      </w:r>
    </w:p>
    <w:p w14:paraId="265809C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E.  Washington state Department of Labor and Industries.</w:t>
      </w:r>
    </w:p>
    <w:p w14:paraId="1A7B80BE" w14:textId="011094A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color w:val="000000"/>
          <w:kern w:val="0"/>
          <w:sz w:val="24"/>
          <w:szCs w:val="24"/>
          <w:u w:val="single"/>
          <w14:ligatures w14:val="none"/>
        </w:rPr>
        <w:t>SECTION 211.</w:t>
      </w:r>
      <w:r w:rsidRPr="006B4A66">
        <w:rPr>
          <w:rFonts w:ascii="Times New Roman" w:eastAsia="Times New Roman" w:hAnsi="Times New Roman" w:cs="Times New Roman"/>
          <w:color w:val="000000"/>
          <w:kern w:val="0"/>
          <w:sz w:val="24"/>
          <w:szCs w:val="24"/>
          <w14:ligatures w14:val="none"/>
        </w:rPr>
        <w:t xml:space="preserve">  Ordinance 14915, Section 25, as amended, and K.C.C. 17.04.310 are each hereby amended to read as follows:</w:t>
      </w:r>
    </w:p>
    <w:p w14:paraId="0F06B90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w:t>
      </w:r>
      <w:r w:rsidRPr="006B4A66">
        <w:rPr>
          <w:rFonts w:ascii="Times New Roman" w:eastAsia="Calibri" w:hAnsi="Times New Roman" w:cs="Times New Roman"/>
          <w:strike/>
          <w:color w:val="000000"/>
          <w:kern w:val="0"/>
          <w:sz w:val="24"/>
          <w14:ligatures w14:val="none"/>
        </w:rPr>
        <w:t>s 109</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111</w:t>
      </w:r>
      <w:r w:rsidRPr="006B4A66">
        <w:rPr>
          <w:rFonts w:ascii="Times New Roman" w:eastAsia="Calibri" w:hAnsi="Times New Roman" w:cs="Times New Roman"/>
          <w:color w:val="000000"/>
          <w:kern w:val="0"/>
          <w:sz w:val="24"/>
          <w14:ligatures w14:val="none"/>
        </w:rPr>
        <w:t xml:space="preserve"> of the International Fire Code is not adopted.</w:t>
      </w:r>
    </w:p>
    <w:p w14:paraId="0FF48694" w14:textId="0F972F88"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212.</w:t>
      </w:r>
      <w:r w:rsidRPr="006B4A66">
        <w:rPr>
          <w:rFonts w:ascii="Times New Roman" w:eastAsia="Calibri" w:hAnsi="Times New Roman" w:cs="Times New Roman"/>
          <w:color w:val="000000"/>
          <w:kern w:val="0"/>
          <w:sz w:val="24"/>
          <w14:ligatures w14:val="none"/>
        </w:rPr>
        <w:t xml:space="preserve">  Ordinance 14915, Section 26, and K.C.C. 17.04.320 are each hereby amended to read as follows:</w:t>
      </w:r>
    </w:p>
    <w:p w14:paraId="32DB911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Sections ((</w:t>
      </w:r>
      <w:r w:rsidRPr="006B4A66">
        <w:rPr>
          <w:rFonts w:ascii="Times New Roman" w:eastAsia="Calibri" w:hAnsi="Times New Roman" w:cs="Times New Roman"/>
          <w:strike/>
          <w:color w:val="000000"/>
          <w:kern w:val="0"/>
          <w:sz w:val="24"/>
          <w14:ligatures w14:val="none"/>
        </w:rPr>
        <w:t>112.1 and 112.2</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113.1 and 113.2</w:t>
      </w:r>
      <w:r w:rsidRPr="006B4A66">
        <w:rPr>
          <w:rFonts w:ascii="Times New Roman" w:eastAsia="Calibri" w:hAnsi="Times New Roman" w:cs="Times New Roman"/>
          <w:color w:val="000000"/>
          <w:kern w:val="0"/>
          <w:sz w:val="24"/>
          <w14:ligatures w14:val="none"/>
        </w:rPr>
        <w:t xml:space="preserve"> of the International Fire Code are not adopted and the following is substituted:</w:t>
      </w:r>
    </w:p>
    <w:p w14:paraId="2C5AEBF7" w14:textId="117AD5E6"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w:t>
      </w:r>
      <w:r w:rsidRPr="006B4A66">
        <w:rPr>
          <w:rFonts w:ascii="Times New Roman" w:eastAsia="Calibri" w:hAnsi="Times New Roman" w:cs="Times New Roman"/>
          <w:b/>
          <w:bCs/>
          <w:strike/>
          <w:color w:val="000000"/>
          <w:kern w:val="0"/>
          <w:sz w:val="24"/>
          <w14:ligatures w14:val="none"/>
        </w:rPr>
        <w:t>Order and Issuance  (IFC 112.1 and 112.2)</w:t>
      </w:r>
      <w:r w:rsidRPr="006B4A66">
        <w:rPr>
          <w:rFonts w:ascii="Times New Roman" w:eastAsia="Calibri" w:hAnsi="Times New Roman" w:cs="Times New Roman"/>
          <w:b/>
          <w:bCs/>
          <w:color w:val="000000"/>
          <w:kern w:val="0"/>
          <w:sz w:val="24"/>
          <w14:ligatures w14:val="none"/>
        </w:rPr>
        <w:t xml:space="preserve">)) </w:t>
      </w:r>
      <w:r w:rsidRPr="006B4A66">
        <w:rPr>
          <w:rFonts w:ascii="Times New Roman" w:eastAsia="Calibri" w:hAnsi="Times New Roman" w:cs="Times New Roman"/>
          <w:b/>
          <w:bCs/>
          <w:color w:val="000000"/>
          <w:kern w:val="0"/>
          <w:sz w:val="24"/>
          <w:u w:val="single"/>
          <w14:ligatures w14:val="none"/>
        </w:rPr>
        <w:t>Authority (IFC 113.1)</w:t>
      </w:r>
      <w:r w:rsidRPr="006B4A66">
        <w:rPr>
          <w:rFonts w:ascii="Times New Roman" w:eastAsia="Calibri" w:hAnsi="Times New Roman" w:cs="Times New Roman"/>
          <w:b/>
          <w:bCs/>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strike/>
          <w:color w:val="000000"/>
          <w:kern w:val="0"/>
          <w:sz w:val="24"/>
          <w14:ligatures w14:val="none"/>
        </w:rPr>
        <w:t>Whenever</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Where</w:t>
      </w:r>
      <w:r w:rsidRPr="006B4A66">
        <w:rPr>
          <w:rFonts w:ascii="Times New Roman" w:eastAsia="Calibri" w:hAnsi="Times New Roman" w:cs="Times New Roman"/>
          <w:color w:val="000000"/>
          <w:kern w:val="0"/>
          <w:sz w:val="24"/>
          <w14:ligatures w14:val="none"/>
        </w:rPr>
        <w:t xml:space="preserve"> any work is being done contrary to the provisions of this code, the fire marshal may order the work stopped in accordance with K.C.C. Title 23 ((</w:t>
      </w:r>
      <w:r w:rsidRPr="006B4A66">
        <w:rPr>
          <w:rFonts w:ascii="Times New Roman" w:eastAsia="Calibri" w:hAnsi="Times New Roman" w:cs="Times New Roman"/>
          <w:strike/>
          <w:color w:val="000000"/>
          <w:kern w:val="0"/>
          <w:sz w:val="24"/>
          <w14:ligatures w14:val="none"/>
        </w:rPr>
        <w:t xml:space="preserve">by notice </w:t>
      </w:r>
      <w:r w:rsidRPr="006B4A66">
        <w:rPr>
          <w:rFonts w:ascii="Times New Roman" w:eastAsia="Calibri" w:hAnsi="Times New Roman" w:cs="Times New Roman"/>
          <w:strike/>
          <w:color w:val="000000"/>
          <w:kern w:val="0"/>
          <w:sz w:val="24"/>
          <w14:ligatures w14:val="none"/>
        </w:rPr>
        <w:lastRenderedPageBreak/>
        <w:t>in writing served on any persons engaged in the doing or causing such work to be done, or by posting such notice in a conspicuous place on the premises where the violation is occurring, and any such persons shall immediately stop such work until authorized by the fire marshal to proceed with the work</w:t>
      </w:r>
      <w:r w:rsidRPr="006B4A66">
        <w:rPr>
          <w:rFonts w:ascii="Times New Roman" w:eastAsia="Calibri" w:hAnsi="Times New Roman" w:cs="Times New Roman"/>
          <w:color w:val="000000"/>
          <w:kern w:val="0"/>
          <w:sz w:val="24"/>
          <w14:ligatures w14:val="none"/>
        </w:rPr>
        <w:t>)).</w:t>
      </w:r>
    </w:p>
    <w:p w14:paraId="371B21D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Whenever</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Where</w:t>
      </w:r>
      <w:r w:rsidRPr="006B4A66">
        <w:rPr>
          <w:rFonts w:ascii="Times New Roman" w:eastAsia="Calibri" w:hAnsi="Times New Roman" w:cs="Times New Roman"/>
          <w:color w:val="000000"/>
          <w:kern w:val="0"/>
          <w:sz w:val="24"/>
          <w14:ligatures w14:val="none"/>
        </w:rPr>
        <w:t xml:space="preserve"> any work is being done contrary to the provisions of this code, the fire marshal may order the violations corrected without ordering all work stopped by issuing a correction notice which identifies the violation.  The correction notice may require reinspection before ((</w:t>
      </w:r>
      <w:r w:rsidRPr="006B4A66">
        <w:rPr>
          <w:rFonts w:ascii="Times New Roman" w:eastAsia="Calibri" w:hAnsi="Times New Roman" w:cs="Times New Roman"/>
          <w:strike/>
          <w:color w:val="000000"/>
          <w:kern w:val="0"/>
          <w:sz w:val="24"/>
          <w14:ligatures w14:val="none"/>
        </w:rPr>
        <w:t>further construction</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work can resume</w:t>
      </w:r>
      <w:r w:rsidRPr="006B4A66">
        <w:rPr>
          <w:rFonts w:ascii="Times New Roman" w:eastAsia="Calibri" w:hAnsi="Times New Roman" w:cs="Times New Roman"/>
          <w:color w:val="000000"/>
          <w:kern w:val="0"/>
          <w:sz w:val="24"/>
          <w14:ligatures w14:val="none"/>
        </w:rPr>
        <w:t xml:space="preserve"> or at the time of the next required inspection.  The correction notice shall be served or posted in the same manner as a stop work order.</w:t>
      </w:r>
    </w:p>
    <w:p w14:paraId="26ED4CE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These remedies are in addition to those authorized elsewhere in the code.</w:t>
      </w:r>
    </w:p>
    <w:p w14:paraId="78AB3A89" w14:textId="4F0732F1"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213.</w:t>
      </w:r>
      <w:r w:rsidRPr="006B4A66">
        <w:rPr>
          <w:rFonts w:ascii="Times New Roman" w:eastAsia="Calibri" w:hAnsi="Times New Roman" w:cs="Times New Roman"/>
          <w:color w:val="000000"/>
          <w:kern w:val="0"/>
          <w:sz w:val="24"/>
          <w14:ligatures w14:val="none"/>
        </w:rPr>
        <w:t xml:space="preserve">  Ordinance 19485, Section 166, as amended, and K.C.C. 17.04.330 are each hereby amended to read as follows:</w:t>
      </w:r>
    </w:p>
    <w:p w14:paraId="5BF1A210"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6B4A66">
        <w:rPr>
          <w:rFonts w:ascii="Times New Roman" w:eastAsia="Times New Roman" w:hAnsi="Times New Roman" w:cs="Times New Roman"/>
          <w:color w:val="000000"/>
          <w:kern w:val="0"/>
          <w:sz w:val="24"/>
          <w:szCs w:val="24"/>
          <w14:ligatures w14:val="none"/>
        </w:rPr>
        <w:tab/>
      </w:r>
      <w:r w:rsidRPr="006B4A66">
        <w:rPr>
          <w:rFonts w:ascii="Times New Roman" w:eastAsia="Times New Roman" w:hAnsi="Times New Roman" w:cs="Times New Roman"/>
          <w:b/>
          <w:bCs/>
          <w:color w:val="000000"/>
          <w:kern w:val="0"/>
          <w:sz w:val="24"/>
          <w:szCs w:val="24"/>
          <w14:ligatures w14:val="none"/>
        </w:rPr>
        <w:t>Stop Work Order – Failure to Comply.</w:t>
      </w:r>
      <w:r w:rsidRPr="006B4A66">
        <w:rPr>
          <w:rFonts w:ascii="Times New Roman" w:eastAsia="Times New Roman" w:hAnsi="Times New Roman" w:cs="Times New Roman"/>
          <w:color w:val="000000"/>
          <w:kern w:val="0"/>
          <w:sz w:val="24"/>
          <w:szCs w:val="24"/>
          <w14:ligatures w14:val="none"/>
        </w:rPr>
        <w:t xml:space="preserve">  Section ((</w:t>
      </w:r>
      <w:r w:rsidRPr="006B4A66">
        <w:rPr>
          <w:rFonts w:ascii="Times New Roman" w:eastAsia="Times New Roman" w:hAnsi="Times New Roman" w:cs="Times New Roman"/>
          <w:strike/>
          <w:color w:val="000000"/>
          <w:kern w:val="0"/>
          <w:sz w:val="24"/>
          <w:szCs w:val="24"/>
          <w14:ligatures w14:val="none"/>
        </w:rPr>
        <w:t>112.4</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113.4</w:t>
      </w:r>
      <w:r w:rsidRPr="006B4A66">
        <w:rPr>
          <w:rFonts w:ascii="Times New Roman" w:eastAsia="Times New Roman" w:hAnsi="Times New Roman" w:cs="Times New Roman"/>
          <w:color w:val="000000"/>
          <w:kern w:val="0"/>
          <w:sz w:val="24"/>
          <w:szCs w:val="24"/>
          <w14:ligatures w14:val="none"/>
        </w:rPr>
        <w:t xml:space="preserve"> of the International Fire Code is not adopted ((</w:t>
      </w:r>
      <w:r w:rsidRPr="006B4A66">
        <w:rPr>
          <w:rFonts w:ascii="Times New Roman" w:eastAsia="Times New Roman" w:hAnsi="Times New Roman" w:cs="Times New Roman"/>
          <w:strike/>
          <w:color w:val="000000"/>
          <w:kern w:val="0"/>
          <w:sz w:val="24"/>
          <w:szCs w:val="24"/>
          <w14:ligatures w14:val="none"/>
        </w:rPr>
        <w:t>.</w:t>
      </w:r>
      <w:r w:rsidRPr="006B4A66">
        <w:rPr>
          <w:rFonts w:ascii="Times New Roman" w:eastAsia="Times New Roman" w:hAnsi="Times New Roman" w:cs="Times New Roman"/>
          <w:color w:val="000000"/>
          <w:kern w:val="0"/>
          <w:sz w:val="24"/>
          <w:szCs w:val="24"/>
          <w14:ligatures w14:val="none"/>
        </w:rPr>
        <w:t xml:space="preserve">)) </w:t>
      </w:r>
      <w:r w:rsidRPr="006B4A66">
        <w:rPr>
          <w:rFonts w:ascii="Times New Roman" w:eastAsia="Times New Roman" w:hAnsi="Times New Roman" w:cs="Times New Roman"/>
          <w:color w:val="000000"/>
          <w:kern w:val="0"/>
          <w:sz w:val="24"/>
          <w:szCs w:val="24"/>
          <w:u w:val="single"/>
          <w14:ligatures w14:val="none"/>
        </w:rPr>
        <w:t>and the following is substituted:</w:t>
      </w:r>
    </w:p>
    <w:p w14:paraId="5FE3293C" w14:textId="77777777" w:rsidR="006B4A66" w:rsidRPr="006B4A66" w:rsidRDefault="006B4A66" w:rsidP="0073496A">
      <w:pPr>
        <w:tabs>
          <w:tab w:val="left" w:pos="720"/>
        </w:tabs>
        <w:spacing w:after="0" w:line="480" w:lineRule="auto"/>
        <w:rPr>
          <w:rFonts w:ascii="Times New Roman" w:eastAsia="Calibri" w:hAnsi="Times New Roman" w:cs="Times New Roman"/>
          <w:b/>
          <w:bCs/>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u w:val="single"/>
          <w14:ligatures w14:val="none"/>
        </w:rPr>
        <w:t>Failure to comply (IFC 113.4).</w:t>
      </w:r>
      <w:r w:rsidRPr="006B4A66">
        <w:rPr>
          <w:rFonts w:ascii="Times New Roman" w:eastAsia="Calibri" w:hAnsi="Times New Roman" w:cs="Times New Roman"/>
          <w:color w:val="000000"/>
          <w:kern w:val="0"/>
          <w:sz w:val="24"/>
          <w:u w:val="single"/>
          <w14:ligatures w14:val="none"/>
        </w:rPr>
        <w:t xml:space="preserve">  The enforcement of a stop work order violation shall be in accordance with K.C.C. Title 23.</w:t>
      </w:r>
    </w:p>
    <w:p w14:paraId="28B1D271" w14:textId="6A9011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214.</w:t>
      </w:r>
      <w:r w:rsidRPr="006B4A66">
        <w:rPr>
          <w:rFonts w:ascii="Times New Roman" w:eastAsia="Calibri" w:hAnsi="Times New Roman" w:cs="Times New Roman"/>
          <w:color w:val="000000"/>
          <w:kern w:val="0"/>
          <w:sz w:val="24"/>
          <w14:ligatures w14:val="none"/>
        </w:rPr>
        <w:t xml:space="preserve">  Ordinance 19485, Section 178, and K.C.C. 17.04.341 are each hereby amended to read as follows:</w:t>
      </w:r>
    </w:p>
    <w:p w14:paraId="48E3054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202 of the International Fire Code is supplemented with the following:</w:t>
      </w:r>
    </w:p>
    <w:p w14:paraId="484D5E0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Definitions (IFC 202.1).</w:t>
      </w:r>
      <w:r w:rsidRPr="006B4A66">
        <w:rPr>
          <w:rFonts w:ascii="Times New Roman" w:eastAsia="Calibri" w:hAnsi="Times New Roman" w:cs="Times New Roman"/>
          <w:color w:val="000000"/>
          <w:kern w:val="0"/>
          <w:sz w:val="24"/>
          <w14:ligatures w14:val="none"/>
        </w:rPr>
        <w:t xml:space="preserve"> Definitions.  The definitions in this section apply throughout this title unless the context clearly requires otherwise.</w:t>
      </w:r>
    </w:p>
    <w:p w14:paraId="5B1D6DCA" w14:textId="00CE90B9"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A.  Applicant: a property owner</w:t>
      </w:r>
      <w:r w:rsidR="00D91219">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w:t>
      </w:r>
      <w:r w:rsidR="005A0398">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or</w:t>
      </w:r>
      <w:r w:rsidR="005A0398">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a public agency</w:t>
      </w:r>
      <w:r w:rsidR="005A0398">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w:t>
      </w:r>
      <w:r w:rsidR="005A0398">
        <w:rPr>
          <w:rFonts w:ascii="Times New Roman" w:eastAsia="Calibri" w:hAnsi="Times New Roman" w:cs="Times New Roman"/>
          <w:color w:val="000000"/>
          <w:kern w:val="0"/>
          <w:sz w:val="24"/>
          <w:u w:val="single"/>
          <w14:ligatures w14:val="none"/>
        </w:rPr>
        <w:t>a</w:t>
      </w:r>
      <w:r w:rsidR="005A0398">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14:ligatures w14:val="none"/>
        </w:rPr>
        <w:t xml:space="preserve">public or private utility </w:t>
      </w:r>
      <w:r w:rsidR="00AA6D19">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which</w:t>
      </w:r>
      <w:r w:rsidR="006D771F">
        <w:rPr>
          <w:rFonts w:ascii="Times New Roman" w:eastAsia="Calibri" w:hAnsi="Times New Roman" w:cs="Times New Roman"/>
          <w:color w:val="000000"/>
          <w:kern w:val="0"/>
          <w:sz w:val="24"/>
          <w14:ligatures w14:val="none"/>
        </w:rPr>
        <w:t xml:space="preserve">)) </w:t>
      </w:r>
      <w:r w:rsidR="006D771F">
        <w:rPr>
          <w:rFonts w:ascii="Times New Roman" w:eastAsia="Calibri" w:hAnsi="Times New Roman" w:cs="Times New Roman"/>
          <w:color w:val="000000"/>
          <w:kern w:val="0"/>
          <w:sz w:val="24"/>
          <w:u w:val="single"/>
          <w14:ligatures w14:val="none"/>
        </w:rPr>
        <w:t>that</w:t>
      </w:r>
      <w:r w:rsidRPr="006B4A66">
        <w:rPr>
          <w:rFonts w:ascii="Times New Roman" w:eastAsia="Calibri" w:hAnsi="Times New Roman" w:cs="Times New Roman"/>
          <w:color w:val="000000"/>
          <w:kern w:val="0"/>
          <w:sz w:val="24"/>
          <w14:ligatures w14:val="none"/>
        </w:rPr>
        <w:t xml:space="preserve"> owns a right-of-way or </w:t>
      </w:r>
      <w:r w:rsidR="006D771F">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associated</w:t>
      </w:r>
      <w:r w:rsidR="006D771F">
        <w:rPr>
          <w:rFonts w:ascii="Times New Roman" w:eastAsia="Calibri" w:hAnsi="Times New Roman" w:cs="Times New Roman"/>
          <w:color w:val="000000"/>
          <w:kern w:val="0"/>
          <w:sz w:val="24"/>
          <w14:ligatures w14:val="none"/>
        </w:rPr>
        <w:t xml:space="preserve">)) </w:t>
      </w:r>
      <w:r w:rsidR="006D771F">
        <w:rPr>
          <w:rFonts w:ascii="Times New Roman" w:eastAsia="Calibri" w:hAnsi="Times New Roman" w:cs="Times New Roman"/>
          <w:color w:val="000000"/>
          <w:kern w:val="0"/>
          <w:sz w:val="24"/>
          <w:u w:val="single"/>
          <w14:ligatures w14:val="none"/>
        </w:rPr>
        <w:t>other</w:t>
      </w:r>
      <w:r w:rsidRPr="006B4A66">
        <w:rPr>
          <w:rFonts w:ascii="Times New Roman" w:eastAsia="Calibri" w:hAnsi="Times New Roman" w:cs="Times New Roman"/>
          <w:color w:val="000000"/>
          <w:kern w:val="0"/>
          <w:sz w:val="24"/>
          <w14:ligatures w14:val="none"/>
        </w:rPr>
        <w:t xml:space="preserve"> easement or has been adjudicated the right to such an easement </w:t>
      </w:r>
      <w:r w:rsidR="006D771F">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pursuant to RCW 8.12.090</w:t>
      </w:r>
      <w:r w:rsidR="006D771F">
        <w:rPr>
          <w:rFonts w:ascii="Times New Roman" w:eastAsia="Calibri" w:hAnsi="Times New Roman" w:cs="Times New Roman"/>
          <w:color w:val="000000"/>
          <w:kern w:val="0"/>
          <w:sz w:val="24"/>
          <w14:ligatures w14:val="none"/>
        </w:rPr>
        <w:t xml:space="preserve">)) </w:t>
      </w:r>
      <w:r w:rsidR="006D771F">
        <w:rPr>
          <w:rFonts w:ascii="Times New Roman" w:eastAsia="Calibri" w:hAnsi="Times New Roman" w:cs="Times New Roman"/>
          <w:color w:val="000000"/>
          <w:kern w:val="0"/>
          <w:sz w:val="24"/>
          <w:u w:val="single"/>
          <w14:ligatures w14:val="none"/>
        </w:rPr>
        <w:t>in accordance with RCW 8.08.040</w:t>
      </w:r>
      <w:r w:rsidRPr="006B4A66">
        <w:rPr>
          <w:rFonts w:ascii="Times New Roman" w:eastAsia="Calibri" w:hAnsi="Times New Roman" w:cs="Times New Roman"/>
          <w:color w:val="000000"/>
          <w:kern w:val="0"/>
          <w:sz w:val="24"/>
          <w14:ligatures w14:val="none"/>
        </w:rPr>
        <w:t xml:space="preserve">, or any person or entity designated or named in writing by the property or easement owner to be the applicant, in an application for a </w:t>
      </w:r>
      <w:r w:rsidR="006D771F">
        <w:rPr>
          <w:rFonts w:ascii="Times New Roman" w:eastAsia="Calibri" w:hAnsi="Times New Roman" w:cs="Times New Roman"/>
          <w:color w:val="000000"/>
          <w:kern w:val="0"/>
          <w:sz w:val="24"/>
          <w:u w:val="single"/>
          <w14:ligatures w14:val="none"/>
        </w:rPr>
        <w:t>development proposal,</w:t>
      </w:r>
      <w:r w:rsidR="006D771F">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14:ligatures w14:val="none"/>
        </w:rPr>
        <w:t>permit</w:t>
      </w:r>
      <w:r w:rsidR="006D771F">
        <w:rPr>
          <w:rFonts w:ascii="Times New Roman" w:eastAsia="Calibri" w:hAnsi="Times New Roman" w:cs="Times New Roman"/>
          <w:color w:val="000000"/>
          <w:kern w:val="0"/>
          <w:sz w:val="24"/>
          <w:u w:val="single"/>
          <w14:ligatures w14:val="none"/>
        </w:rPr>
        <w:t>, or approval</w:t>
      </w:r>
      <w:r w:rsidRPr="006B4A66">
        <w:rPr>
          <w:rFonts w:ascii="Times New Roman" w:eastAsia="Calibri" w:hAnsi="Times New Roman" w:cs="Times New Roman"/>
          <w:color w:val="000000"/>
          <w:kern w:val="0"/>
          <w:sz w:val="24"/>
          <w14:ligatures w14:val="none"/>
        </w:rPr>
        <w:t>.</w:t>
      </w:r>
    </w:p>
    <w:p w14:paraId="1309B52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B.  ((</w:t>
      </w:r>
      <w:r w:rsidRPr="006B4A66">
        <w:rPr>
          <w:rFonts w:ascii="Times New Roman" w:eastAsia="Calibri" w:hAnsi="Times New Roman" w:cs="Times New Roman"/>
          <w:strike/>
          <w:color w:val="000000"/>
          <w:kern w:val="0"/>
          <w:sz w:val="24"/>
          <w14:ligatures w14:val="none"/>
        </w:rPr>
        <w:t>Critical fire service areas:  Areas that provide vital services for the coordination or implementation of fire suppression services, such as fire command centers, fire pump rooms, interior exit stairways, exit passageways, elevator lobbies, standpipe cabinets and sprinkler sectional valve locations, and other areas required by the fire marshal.</w:t>
      </w:r>
    </w:p>
    <w:p w14:paraId="767759A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C.</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Automatic</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strike/>
          <w:color w:val="000000"/>
          <w:kern w:val="0"/>
          <w:sz w:val="24"/>
          <w14:ligatures w14:val="none"/>
        </w:rPr>
        <w:t>F</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u w:val="single"/>
          <w14:ligatures w14:val="none"/>
        </w:rPr>
        <w:t>f</w:t>
      </w:r>
      <w:r w:rsidRPr="006B4A66">
        <w:rPr>
          <w:rFonts w:ascii="Times New Roman" w:eastAsia="Calibri" w:hAnsi="Times New Roman" w:cs="Times New Roman"/>
          <w:color w:val="000000"/>
          <w:kern w:val="0"/>
          <w:sz w:val="24"/>
          <w14:ligatures w14:val="none"/>
        </w:rPr>
        <w:t>ire detection system: a heat and/or smoke detection system monitored by a central and/or remote station conforming to the current edition of the International Fire Code as adopted by the Washington State Building Code Council ((</w:t>
      </w:r>
      <w:r w:rsidRPr="006B4A66">
        <w:rPr>
          <w:rFonts w:ascii="Times New Roman" w:eastAsia="Calibri" w:hAnsi="Times New Roman" w:cs="Times New Roman"/>
          <w:strike/>
          <w:color w:val="000000"/>
          <w:kern w:val="0"/>
          <w:sz w:val="24"/>
          <w14:ligatures w14:val="none"/>
        </w:rPr>
        <w:t>and/</w:t>
      </w:r>
      <w:r w:rsidRPr="006B4A66">
        <w:rPr>
          <w:rFonts w:ascii="Times New Roman" w:eastAsia="Calibri" w:hAnsi="Times New Roman" w:cs="Times New Roman"/>
          <w:color w:val="000000"/>
          <w:kern w:val="0"/>
          <w:sz w:val="24"/>
          <w14:ligatures w14:val="none"/>
        </w:rPr>
        <w:t>)) or the fire marshal or designee.</w:t>
      </w:r>
    </w:p>
    <w:p w14:paraId="5BB8511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D.</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C.</w:t>
      </w:r>
      <w:r w:rsidRPr="006B4A66">
        <w:rPr>
          <w:rFonts w:ascii="Times New Roman" w:eastAsia="Calibri" w:hAnsi="Times New Roman" w:cs="Times New Roman"/>
          <w:color w:val="000000"/>
          <w:kern w:val="0"/>
          <w:sz w:val="24"/>
          <w14:ligatures w14:val="none"/>
        </w:rPr>
        <w:t xml:space="preserve">  Fire marshal:  ((</w:t>
      </w:r>
      <w:r w:rsidRPr="006B4A66">
        <w:rPr>
          <w:rFonts w:ascii="Times New Roman" w:eastAsia="Calibri" w:hAnsi="Times New Roman" w:cs="Times New Roman"/>
          <w:strike/>
          <w:color w:val="000000"/>
          <w:kern w:val="0"/>
          <w:sz w:val="24"/>
          <w14:ligatures w14:val="none"/>
        </w:rPr>
        <w:t>T</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u w:val="single"/>
          <w14:ligatures w14:val="none"/>
        </w:rPr>
        <w:t>t</w:t>
      </w:r>
      <w:r w:rsidRPr="006B4A66">
        <w:rPr>
          <w:rFonts w:ascii="Times New Roman" w:eastAsia="Calibri" w:hAnsi="Times New Roman" w:cs="Times New Roman"/>
          <w:color w:val="000000"/>
          <w:kern w:val="0"/>
          <w:sz w:val="24"/>
          <w14:ligatures w14:val="none"/>
        </w:rPr>
        <w:t>he King County fire marshal as designated in K.C.C. 2.16.055, or designee.</w:t>
      </w:r>
    </w:p>
    <w:p w14:paraId="490C8466" w14:textId="05D219CE"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D.</w:t>
      </w:r>
      <w:r w:rsidRPr="006B4A66">
        <w:rPr>
          <w:rFonts w:ascii="Times New Roman" w:eastAsia="Calibri" w:hAnsi="Times New Roman" w:cs="Times New Roman"/>
          <w:color w:val="000000"/>
          <w:kern w:val="0"/>
          <w:sz w:val="24"/>
          <w14:ligatures w14:val="none"/>
        </w:rPr>
        <w:t xml:space="preserve">  Life safety/rescue access:  </w:t>
      </w:r>
      <w:r w:rsidR="0056054D">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an</w:t>
      </w:r>
      <w:r w:rsidR="0056054D">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unobstructed access to all floor levels and each roof level of a building on not less than ((</w:t>
      </w:r>
      <w:r w:rsidRPr="006B4A66">
        <w:rPr>
          <w:rFonts w:ascii="Times New Roman" w:eastAsia="Calibri" w:hAnsi="Times New Roman" w:cs="Times New Roman"/>
          <w:strike/>
          <w:color w:val="000000"/>
          <w:kern w:val="0"/>
          <w:sz w:val="24"/>
          <w14:ligatures w14:val="none"/>
        </w:rPr>
        <w:t>twenty</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20</w:t>
      </w:r>
      <w:r w:rsidRPr="006B4A66">
        <w:rPr>
          <w:rFonts w:ascii="Times New Roman" w:eastAsia="Calibri" w:hAnsi="Times New Roman" w:cs="Times New Roman"/>
          <w:color w:val="000000"/>
          <w:kern w:val="0"/>
          <w:sz w:val="24"/>
          <w14:ligatures w14:val="none"/>
        </w:rPr>
        <w:t xml:space="preserve"> percent of the building perimeter by utilizing a ((</w:t>
      </w:r>
      <w:r w:rsidRPr="006B4A66">
        <w:rPr>
          <w:rFonts w:ascii="Times New Roman" w:eastAsia="Calibri" w:hAnsi="Times New Roman" w:cs="Times New Roman"/>
          <w:strike/>
          <w:color w:val="000000"/>
          <w:kern w:val="0"/>
          <w:sz w:val="24"/>
          <w14:ligatures w14:val="none"/>
        </w:rPr>
        <w:t>thirty-five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35</w:t>
      </w:r>
      <w:r w:rsidRPr="006B4A66">
        <w:rPr>
          <w:rFonts w:ascii="Times New Roman" w:eastAsia="Calibri" w:hAnsi="Times New Roman" w:cs="Times New Roman"/>
          <w:color w:val="000000"/>
          <w:kern w:val="0"/>
          <w:sz w:val="24"/>
          <w14:ligatures w14:val="none"/>
        </w:rPr>
        <w:t xml:space="preserve"> foot </w:t>
      </w:r>
      <w:r w:rsidRPr="006B4A66">
        <w:rPr>
          <w:rFonts w:ascii="Times New Roman" w:eastAsia="Calibri" w:hAnsi="Times New Roman" w:cs="Times New Roman"/>
          <w:color w:val="000000"/>
          <w:kern w:val="0"/>
          <w:sz w:val="24"/>
          <w:u w:val="single"/>
          <w14:ligatures w14:val="none"/>
        </w:rPr>
        <w:t>(10</w:t>
      </w:r>
      <w:r w:rsidR="0056054D">
        <w:rPr>
          <w:rFonts w:ascii="Times New Roman" w:eastAsia="Calibri" w:hAnsi="Times New Roman" w:cs="Times New Roman"/>
          <w:color w:val="000000"/>
          <w:kern w:val="0"/>
          <w:sz w:val="24"/>
          <w:u w:val="single"/>
          <w14:ligatures w14:val="none"/>
        </w:rPr>
        <w:t>.7</w:t>
      </w:r>
      <w:r w:rsidRPr="006B4A66">
        <w:rPr>
          <w:rFonts w:ascii="Times New Roman" w:eastAsia="Calibri" w:hAnsi="Times New Roman" w:cs="Times New Roman"/>
          <w:color w:val="000000"/>
          <w:kern w:val="0"/>
          <w:sz w:val="24"/>
          <w:u w:val="single"/>
          <w14:ligatures w14:val="none"/>
        </w:rPr>
        <w:t xml:space="preserve"> meter)</w:t>
      </w:r>
      <w:r w:rsidRPr="006B4A66">
        <w:rPr>
          <w:rFonts w:ascii="Times New Roman" w:eastAsia="Calibri" w:hAnsi="Times New Roman" w:cs="Times New Roman"/>
          <w:color w:val="000000"/>
          <w:kern w:val="0"/>
          <w:sz w:val="24"/>
          <w14:ligatures w14:val="none"/>
        </w:rPr>
        <w:t xml:space="preserve"> ladder.  An alternate method would be at least one stairway enclosure with exit doorways from each floor level and with a door opening onto each roof level which conforms to the requirements of the International Building Code.</w:t>
      </w:r>
    </w:p>
    <w:p w14:paraId="0040261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w:t>
      </w:r>
      <w:r w:rsidRPr="006B4A66">
        <w:rPr>
          <w:rFonts w:ascii="Times New Roman" w:eastAsia="Calibri" w:hAnsi="Times New Roman" w:cs="Times New Roman"/>
          <w:strike/>
          <w:color w:val="000000"/>
          <w:kern w:val="0"/>
          <w:sz w:val="24"/>
          <w14:ligatures w14:val="none"/>
        </w:rPr>
        <w:t>F.</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E.</w:t>
      </w:r>
      <w:r w:rsidRPr="006B4A66">
        <w:rPr>
          <w:rFonts w:ascii="Times New Roman" w:eastAsia="Calibri" w:hAnsi="Times New Roman" w:cs="Times New Roman"/>
          <w:color w:val="000000"/>
          <w:kern w:val="0"/>
          <w:sz w:val="24"/>
          <w14:ligatures w14:val="none"/>
        </w:rPr>
        <w:t xml:space="preserve">  NFPA:  ((</w:t>
      </w:r>
      <w:r w:rsidRPr="006B4A66">
        <w:rPr>
          <w:rFonts w:ascii="Times New Roman" w:eastAsia="Calibri" w:hAnsi="Times New Roman" w:cs="Times New Roman"/>
          <w:strike/>
          <w:color w:val="000000"/>
          <w:kern w:val="0"/>
          <w:sz w:val="24"/>
          <w14:ligatures w14:val="none"/>
        </w:rPr>
        <w:t>T</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u w:val="single"/>
          <w14:ligatures w14:val="none"/>
        </w:rPr>
        <w:t>t</w:t>
      </w:r>
      <w:r w:rsidRPr="006B4A66">
        <w:rPr>
          <w:rFonts w:ascii="Times New Roman" w:eastAsia="Calibri" w:hAnsi="Times New Roman" w:cs="Times New Roman"/>
          <w:color w:val="000000"/>
          <w:kern w:val="0"/>
          <w:sz w:val="24"/>
          <w14:ligatures w14:val="none"/>
        </w:rPr>
        <w:t>he National Fire Protection Association.</w:t>
      </w:r>
    </w:p>
    <w:p w14:paraId="3802A69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G.</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F.</w:t>
      </w:r>
      <w:r w:rsidRPr="006B4A66">
        <w:rPr>
          <w:rFonts w:ascii="Times New Roman" w:eastAsia="Calibri" w:hAnsi="Times New Roman" w:cs="Times New Roman"/>
          <w:color w:val="000000"/>
          <w:kern w:val="0"/>
          <w:sz w:val="24"/>
          <w14:ligatures w14:val="none"/>
        </w:rPr>
        <w:t xml:space="preserve">  Water main:  piping used to deliver water to any fire hydrants or to one or more individual service connections.</w:t>
      </w:r>
    </w:p>
    <w:p w14:paraId="58BE8F7B" w14:textId="3BEA586A" w:rsidR="006B4A66" w:rsidRPr="006B4A66" w:rsidRDefault="006B4A66" w:rsidP="0073496A">
      <w:pPr>
        <w:widowControl w:val="0"/>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215.</w:t>
      </w:r>
      <w:r w:rsidRPr="006B4A66">
        <w:rPr>
          <w:rFonts w:ascii="Times New Roman" w:eastAsia="Calibri" w:hAnsi="Times New Roman" w:cs="Times New Roman"/>
          <w:color w:val="000000"/>
          <w:kern w:val="0"/>
          <w:sz w:val="24"/>
          <w14:ligatures w14:val="none"/>
        </w:rPr>
        <w:t xml:space="preserve">  There is hereby added to K.C.C. chapter 17.04 a new section to read as follows:</w:t>
      </w:r>
    </w:p>
    <w:p w14:paraId="21933D9F" w14:textId="77777777" w:rsidR="006B4A66" w:rsidRPr="006B4A66" w:rsidRDefault="006B4A66" w:rsidP="0073496A">
      <w:pPr>
        <w:tabs>
          <w:tab w:val="left" w:pos="720"/>
        </w:tabs>
        <w:spacing w:after="0" w:line="480" w:lineRule="auto"/>
        <w:rPr>
          <w:rFonts w:ascii="Times New Roman" w:eastAsia="Times New Roman" w:hAnsi="Times New Roman" w:cs="Times New Roman"/>
          <w:color w:val="000000"/>
          <w:kern w:val="0"/>
          <w:sz w:val="24"/>
          <w:szCs w:val="20"/>
          <w14:ligatures w14:val="none"/>
        </w:rPr>
      </w:pPr>
      <w:r w:rsidRPr="006B4A66">
        <w:rPr>
          <w:rFonts w:ascii="Times New Roman" w:eastAsia="Times New Roman" w:hAnsi="Times New Roman" w:cs="Times New Roman"/>
          <w:color w:val="000000"/>
          <w:kern w:val="0"/>
          <w:sz w:val="24"/>
          <w:szCs w:val="20"/>
          <w14:ligatures w14:val="none"/>
        </w:rPr>
        <w:tab/>
        <w:t>Section 322.4 of the International Fire Code is supplemented with the following:</w:t>
      </w:r>
    </w:p>
    <w:p w14:paraId="28AFD1B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tab/>
        <w:t xml:space="preserve">Lithium Batteries </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b/>
          <w:bCs/>
          <w:color w:val="000000"/>
          <w:kern w:val="0"/>
          <w:sz w:val="24"/>
          <w14:ligatures w14:val="none"/>
        </w:rPr>
        <w:t xml:space="preserve"> Signage (IFC 322.4.4).</w:t>
      </w:r>
      <w:r w:rsidRPr="006B4A66">
        <w:rPr>
          <w:rFonts w:ascii="Times New Roman" w:eastAsia="Calibri" w:hAnsi="Times New Roman" w:cs="Times New Roman"/>
          <w:color w:val="000000"/>
          <w:kern w:val="0"/>
          <w:sz w:val="24"/>
          <w14:ligatures w14:val="none"/>
        </w:rPr>
        <w:t xml:space="preserve">  The following signs or equivalent markings shall be durably posted at the locations indicated for each lithium-ion and lithium metal battery installation subject to IFC 322.2:</w:t>
      </w:r>
    </w:p>
    <w:p w14:paraId="7C0DCC0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A.  Warning signs.  The following warning signs shall be posted on the exterior of battery system enclosures:</w:t>
      </w:r>
    </w:p>
    <w:p w14:paraId="3858DAE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 "Danger: High Voltage," or equivalent complying with Electrical Code requirements; and</w:t>
      </w:r>
    </w:p>
    <w:p w14:paraId="43D25F6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2.  Hazard identification sign complying with NFPA Standard 704.</w:t>
      </w:r>
    </w:p>
    <w:p w14:paraId="78A3C97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B.  Identification, emergency contact, and emergency shut-down signs.  The following signs shall be posted at the fire department connection, if any, utility connection or other approved, conspicuous outdoor location on the premises that is accessible to emergency response personnel and that is a reasonable distance, but not less than 10 feet (3,048 millimeters), from the stationary storage battery system installation.  If the location of the signage would not be readily apparent to emergency response personnel, a sign with lettering not less than 3 inches (76 millimeters) high shall be posted on or adjacent to the battery installation indicating the location of the following signage:</w:t>
      </w:r>
    </w:p>
    <w:p w14:paraId="3E73BCA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 xml:space="preserve">  1.  Permit.  The permit for the installation, laminated, or weatherproofed.</w:t>
      </w:r>
    </w:p>
    <w:p w14:paraId="7919535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2.  Equipment specifications.  The manufacturer and model number of the battery system and electrical rating, including voltage and current.</w:t>
      </w:r>
    </w:p>
    <w:p w14:paraId="5B9E45E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3.  Monitoring facility contact information.  The telephone number of the battery management system remote monitoring facility, if any.</w:t>
      </w:r>
    </w:p>
    <w:p w14:paraId="61ECBC4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4.  Installation identification.  The number or other unique identifier used by the battery management system remote monitoring facility, if any, to identify the installation.</w:t>
      </w:r>
    </w:p>
    <w:p w14:paraId="5200F32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5.  Emergency shutdown procedures.  Emergency shutdown procedures for the battery energy storage system posted at the battery system emergency shut down control and at any attended on-site location.  Emergency shutdown instructions should indicate "GRID SUPPORT SYSTEM" in letters not less than 2 inches (51 millimeters) high if immediate shut down of the battery system could disrupt public utility operations.</w:t>
      </w:r>
    </w:p>
    <w:p w14:paraId="097DBBF9" w14:textId="6FB13D42"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216.</w:t>
      </w:r>
      <w:r w:rsidRPr="006B4A66">
        <w:rPr>
          <w:rFonts w:ascii="Times New Roman" w:eastAsia="Calibri" w:hAnsi="Times New Roman" w:cs="Times New Roman"/>
          <w:color w:val="000000"/>
          <w:kern w:val="0"/>
          <w:sz w:val="24"/>
          <w14:ligatures w14:val="none"/>
        </w:rPr>
        <w:t xml:space="preserve">  Ordinance 19485, Section 169, and K.C.C. 17.04.375 are each hereby amended to read as follows:</w:t>
      </w:r>
    </w:p>
    <w:p w14:paraId="37A102E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503.2 of the International Fire Code is not adopted and the following is substituted:</w:t>
      </w:r>
    </w:p>
    <w:p w14:paraId="36F8D0F3" w14:textId="72C2D05B"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Specifications (IFC 503.2).</w:t>
      </w:r>
      <w:r w:rsidRPr="006B4A66">
        <w:rPr>
          <w:rFonts w:ascii="Times New Roman" w:eastAsia="Calibri" w:hAnsi="Times New Roman" w:cs="Times New Roman"/>
          <w:color w:val="000000"/>
          <w:kern w:val="0"/>
          <w:sz w:val="24"/>
          <w14:ligatures w14:val="none"/>
        </w:rPr>
        <w:t xml:space="preserve">  Fire apparatus access roads shall be installed and arranged in accordance with IFC 503.2.1 </w:t>
      </w:r>
      <w:r w:rsidRPr="001216D4">
        <w:rPr>
          <w:rFonts w:ascii="Times New Roman" w:eastAsia="Calibri" w:hAnsi="Times New Roman" w:cs="Times New Roman"/>
          <w:color w:val="000000"/>
          <w:kern w:val="0"/>
          <w:sz w:val="24"/>
          <w14:ligatures w14:val="none"/>
        </w:rPr>
        <w:t>and</w:t>
      </w:r>
      <w:r w:rsidRPr="006B4A66" w:rsidDel="00652634">
        <w:rPr>
          <w:rFonts w:ascii="Times New Roman" w:eastAsia="Calibri" w:hAnsi="Times New Roman" w:cs="Times New Roman"/>
          <w:color w:val="000000"/>
          <w:kern w:val="0"/>
          <w:sz w:val="24"/>
          <w14:ligatures w14:val="none"/>
        </w:rPr>
        <w:t xml:space="preserve"> </w:t>
      </w:r>
      <w:r w:rsidRPr="006B4A66" w:rsidDel="00BA6ED1">
        <w:rPr>
          <w:rFonts w:ascii="Times New Roman" w:eastAsia="Calibri" w:hAnsi="Times New Roman" w:cs="Times New Roman"/>
          <w:color w:val="000000"/>
          <w:kern w:val="0"/>
          <w:sz w:val="24"/>
          <w:u w:val="single"/>
          <w14:ligatures w14:val="none"/>
        </w:rPr>
        <w:t>IFC</w:t>
      </w:r>
      <w:r w:rsidRPr="006B4A66" w:rsidDel="00BA6ED1">
        <w:rPr>
          <w:rFonts w:ascii="Times New Roman" w:eastAsia="Calibri" w:hAnsi="Times New Roman" w:cs="Times New Roman"/>
          <w:color w:val="000000"/>
          <w:kern w:val="0"/>
          <w:sz w:val="24"/>
          <w14:ligatures w14:val="none"/>
        </w:rPr>
        <w:t xml:space="preserve"> </w:t>
      </w:r>
      <w:r w:rsidRPr="001216D4">
        <w:rPr>
          <w:rFonts w:ascii="Times New Roman" w:eastAsia="Calibri" w:hAnsi="Times New Roman" w:cs="Times New Roman"/>
          <w:color w:val="000000"/>
          <w:kern w:val="0"/>
          <w:sz w:val="24"/>
          <w14:ligatures w14:val="none"/>
        </w:rPr>
        <w:t>503.2.2</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through 503.2.</w:t>
      </w:r>
      <w:r w:rsidR="006D579B">
        <w:rPr>
          <w:rFonts w:ascii="Times New Roman" w:eastAsia="Calibri" w:hAnsi="Times New Roman" w:cs="Times New Roman"/>
          <w:color w:val="000000"/>
          <w:kern w:val="0"/>
          <w:sz w:val="24"/>
          <w:u w:val="single"/>
          <w14:ligatures w14:val="none"/>
        </w:rPr>
        <w:t>5</w:t>
      </w:r>
      <w:r w:rsidRPr="006B4A66">
        <w:rPr>
          <w:rFonts w:ascii="Times New Roman" w:eastAsia="Calibri" w:hAnsi="Times New Roman" w:cs="Times New Roman"/>
          <w:color w:val="000000"/>
          <w:kern w:val="0"/>
          <w:sz w:val="24"/>
          <w:u w:val="single"/>
          <w14:ligatures w14:val="none"/>
        </w:rPr>
        <w:t xml:space="preserve"> and </w:t>
      </w:r>
      <w:r w:rsidR="00632B8A" w:rsidDel="00FC3B4B">
        <w:rPr>
          <w:rFonts w:ascii="Times New Roman" w:eastAsia="Calibri" w:hAnsi="Times New Roman" w:cs="Times New Roman"/>
          <w:color w:val="000000"/>
          <w:kern w:val="0"/>
          <w:sz w:val="24"/>
          <w:u w:val="single"/>
          <w14:ligatures w14:val="none"/>
        </w:rPr>
        <w:t>IFC Appendix D</w:t>
      </w:r>
      <w:r w:rsidRPr="006B4A66">
        <w:rPr>
          <w:rFonts w:ascii="Times New Roman" w:eastAsia="Calibri" w:hAnsi="Times New Roman" w:cs="Times New Roman"/>
          <w:color w:val="000000"/>
          <w:kern w:val="0"/>
          <w:sz w:val="24"/>
          <w14:ligatures w14:val="none"/>
        </w:rPr>
        <w:t>.</w:t>
      </w:r>
    </w:p>
    <w:p w14:paraId="0274D83E" w14:textId="65F3008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217.</w:t>
      </w:r>
      <w:r w:rsidRPr="006B4A66">
        <w:rPr>
          <w:rFonts w:ascii="Times New Roman" w:eastAsia="Calibri" w:hAnsi="Times New Roman" w:cs="Times New Roman"/>
          <w:color w:val="000000"/>
          <w:kern w:val="0"/>
          <w:sz w:val="24"/>
          <w14:ligatures w14:val="none"/>
        </w:rPr>
        <w:t xml:space="preserve">  Ordinance 19485, Section 170, and K.C.C. 17.04.377 are each hereby amended to read as follows:</w:t>
      </w:r>
    </w:p>
    <w:p w14:paraId="57986D75" w14:textId="081FBDB4"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503.2</w:t>
      </w:r>
      <w:r w:rsidR="009C458E">
        <w:rPr>
          <w:rFonts w:ascii="Times New Roman" w:eastAsia="Calibri" w:hAnsi="Times New Roman" w:cs="Times New Roman"/>
          <w:color w:val="000000"/>
          <w:kern w:val="0"/>
          <w:sz w:val="24"/>
          <w14:ligatures w14:val="none"/>
        </w:rPr>
        <w:t>.1</w:t>
      </w:r>
      <w:r w:rsidRPr="006B4A66">
        <w:rPr>
          <w:rFonts w:ascii="Times New Roman" w:eastAsia="Calibri" w:hAnsi="Times New Roman" w:cs="Times New Roman"/>
          <w:color w:val="000000"/>
          <w:kern w:val="0"/>
          <w:sz w:val="24"/>
          <w14:ligatures w14:val="none"/>
        </w:rPr>
        <w:t xml:space="preserve"> of the International Fire Code is not adopted and the following is substituted:</w:t>
      </w:r>
    </w:p>
    <w:p w14:paraId="0DABFE6C" w14:textId="53F2FF2E"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b/>
          <w:bCs/>
          <w:color w:val="000000"/>
          <w:kern w:val="0"/>
          <w:sz w:val="24"/>
          <w14:ligatures w14:val="none"/>
        </w:rPr>
        <w:t>Dimensions (IFC 503.2.1).</w:t>
      </w:r>
      <w:r w:rsidRPr="006B4A66">
        <w:rPr>
          <w:rFonts w:ascii="Times New Roman" w:eastAsia="Calibri" w:hAnsi="Times New Roman" w:cs="Times New Roman"/>
          <w:color w:val="000000"/>
          <w:kern w:val="0"/>
          <w:sz w:val="24"/>
          <w14:ligatures w14:val="none"/>
        </w:rPr>
        <w:t xml:space="preserve">  An approved fire apparatus access road shall be a minimum of 20 feet </w:t>
      </w:r>
      <w:r w:rsidRPr="006B4A66">
        <w:rPr>
          <w:rFonts w:ascii="Times New Roman" w:eastAsia="Calibri" w:hAnsi="Times New Roman" w:cs="Times New Roman"/>
          <w:color w:val="000000"/>
          <w:kern w:val="0"/>
          <w:sz w:val="24"/>
          <w:u w:val="single"/>
          <w14:ligatures w14:val="none"/>
        </w:rPr>
        <w:t>(6</w:t>
      </w:r>
      <w:r w:rsidR="009C458E">
        <w:rPr>
          <w:rFonts w:ascii="Times New Roman" w:eastAsia="Calibri" w:hAnsi="Times New Roman" w:cs="Times New Roman"/>
          <w:color w:val="000000"/>
          <w:kern w:val="0"/>
          <w:sz w:val="24"/>
          <w:u w:val="single"/>
          <w14:ligatures w14:val="none"/>
        </w:rPr>
        <w:t>.1</w:t>
      </w:r>
      <w:r w:rsidRPr="006B4A66">
        <w:rPr>
          <w:rFonts w:ascii="Times New Roman" w:eastAsia="Calibri" w:hAnsi="Times New Roman" w:cs="Times New Roman"/>
          <w:color w:val="000000"/>
          <w:kern w:val="0"/>
          <w:sz w:val="24"/>
          <w:u w:val="single"/>
          <w14:ligatures w14:val="none"/>
        </w:rPr>
        <w:t xml:space="preserve"> meters)</w:t>
      </w:r>
      <w:r w:rsidRPr="006B4A66">
        <w:rPr>
          <w:rFonts w:ascii="Times New Roman" w:eastAsia="Calibri" w:hAnsi="Times New Roman" w:cs="Times New Roman"/>
          <w:color w:val="000000"/>
          <w:kern w:val="0"/>
          <w:sz w:val="24"/>
          <w14:ligatures w14:val="none"/>
        </w:rPr>
        <w:t xml:space="preserve"> wide and provide a minimum unobstructed height of ((</w:t>
      </w:r>
      <w:r w:rsidRPr="006B4A66">
        <w:rPr>
          <w:rFonts w:ascii="Times New Roman" w:eastAsia="Calibri" w:hAnsi="Times New Roman" w:cs="Times New Roman"/>
          <w:strike/>
          <w:color w:val="000000"/>
          <w:kern w:val="0"/>
          <w:sz w:val="24"/>
          <w14:ligatures w14:val="none"/>
        </w:rPr>
        <w:t>13 feet 6 inches</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13.5 feet (4</w:t>
      </w:r>
      <w:r w:rsidR="009C458E">
        <w:rPr>
          <w:rFonts w:ascii="Times New Roman" w:eastAsia="Calibri" w:hAnsi="Times New Roman" w:cs="Times New Roman"/>
          <w:color w:val="000000"/>
          <w:kern w:val="0"/>
          <w:sz w:val="24"/>
          <w:u w:val="single"/>
          <w14:ligatures w14:val="none"/>
        </w:rPr>
        <w:t>.1</w:t>
      </w:r>
      <w:r w:rsidRPr="006B4A66">
        <w:rPr>
          <w:rFonts w:ascii="Times New Roman" w:eastAsia="Calibri" w:hAnsi="Times New Roman" w:cs="Times New Roman"/>
          <w:color w:val="000000"/>
          <w:kern w:val="0"/>
          <w:sz w:val="24"/>
          <w:u w:val="single"/>
          <w14:ligatures w14:val="none"/>
        </w:rPr>
        <w:t xml:space="preserve"> meters)</w:t>
      </w:r>
      <w:r w:rsidRPr="006B4A66">
        <w:rPr>
          <w:rFonts w:ascii="Times New Roman" w:eastAsia="Calibri" w:hAnsi="Times New Roman" w:cs="Times New Roman"/>
          <w:color w:val="000000"/>
          <w:kern w:val="0"/>
          <w:sz w:val="24"/>
          <w14:ligatures w14:val="none"/>
        </w:rPr>
        <w:t>.</w:t>
      </w:r>
    </w:p>
    <w:p w14:paraId="1A4C2258" w14:textId="53FB5C7E"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218.</w:t>
      </w:r>
      <w:r w:rsidRPr="006B4A66">
        <w:rPr>
          <w:rFonts w:ascii="Times New Roman" w:eastAsia="Calibri" w:hAnsi="Times New Roman" w:cs="Times New Roman"/>
          <w:color w:val="000000"/>
          <w:kern w:val="0"/>
          <w:sz w:val="24"/>
          <w14:ligatures w14:val="none"/>
        </w:rPr>
        <w:t xml:space="preserve">  Ordinance 12560, Section 165, and K.C.C. 17.04.380 are each hereby amended to read as follows:</w:t>
      </w:r>
    </w:p>
    <w:p w14:paraId="75CE4AC7" w14:textId="0159002C"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503.2.</w:t>
      </w:r>
      <w:r w:rsidRPr="006B4A66" w:rsidDel="007E56EC">
        <w:rPr>
          <w:rFonts w:ascii="Times New Roman" w:eastAsia="Calibri" w:hAnsi="Times New Roman" w:cs="Times New Roman"/>
          <w:color w:val="000000"/>
          <w:kern w:val="0"/>
          <w:sz w:val="24"/>
          <w14:ligatures w14:val="none"/>
        </w:rPr>
        <w:t>3</w:t>
      </w:r>
      <w:r w:rsidRPr="006B4A66">
        <w:rPr>
          <w:rFonts w:ascii="Times New Roman" w:eastAsia="Calibri" w:hAnsi="Times New Roman" w:cs="Times New Roman"/>
          <w:color w:val="000000"/>
          <w:kern w:val="0"/>
          <w:sz w:val="24"/>
          <w14:ligatures w14:val="none"/>
        </w:rPr>
        <w:t xml:space="preserve"> of the International Fire Code is not adopted and the following is substituted:</w:t>
      </w:r>
    </w:p>
    <w:p w14:paraId="0617B912" w14:textId="4E683DAC"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tab/>
        <w:t>Surface (IFC 503.2.</w:t>
      </w:r>
      <w:r w:rsidRPr="006B4A66" w:rsidDel="007E56EC">
        <w:rPr>
          <w:rFonts w:ascii="Times New Roman" w:eastAsia="Calibri" w:hAnsi="Times New Roman" w:cs="Times New Roman"/>
          <w:b/>
          <w:bCs/>
          <w:color w:val="000000"/>
          <w:kern w:val="0"/>
          <w:sz w:val="24"/>
          <w14:ligatures w14:val="none"/>
        </w:rPr>
        <w:t>3</w:t>
      </w:r>
      <w:r w:rsidRPr="006B4A66">
        <w:rPr>
          <w:rFonts w:ascii="Times New Roman" w:eastAsia="Calibri" w:hAnsi="Times New Roman" w:cs="Times New Roman"/>
          <w:b/>
          <w:bCs/>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Fire apparatus access roads shall be designed and maintained to be accessible with an asphalt, concrete</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other approved driving surface suitable for all-weather driving and capable of supporting the imposed load of fire apparatus weighing at least 75,000 pounds </w:t>
      </w:r>
      <w:r w:rsidRPr="006B4A66">
        <w:rPr>
          <w:rFonts w:ascii="Times New Roman" w:eastAsia="Calibri" w:hAnsi="Times New Roman" w:cs="Times New Roman"/>
          <w:color w:val="000000"/>
          <w:kern w:val="0"/>
          <w:sz w:val="24"/>
          <w:u w:val="single"/>
          <w14:ligatures w14:val="none"/>
        </w:rPr>
        <w:t>(34,019 kilograms)</w:t>
      </w:r>
      <w:r w:rsidRPr="006B4A66">
        <w:rPr>
          <w:rFonts w:ascii="Times New Roman" w:eastAsia="Calibri" w:hAnsi="Times New Roman" w:cs="Times New Roman"/>
          <w:color w:val="000000"/>
          <w:kern w:val="0"/>
          <w:sz w:val="24"/>
          <w14:ligatures w14:val="none"/>
        </w:rPr>
        <w:t>, or other weight as required by the fire marshal, and shall comply with K.C.C. chapter 14.42 and the provisions of this chapter.</w:t>
      </w:r>
    </w:p>
    <w:p w14:paraId="572395EB" w14:textId="56749883"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219.</w:t>
      </w:r>
      <w:r w:rsidRPr="006B4A66">
        <w:rPr>
          <w:rFonts w:ascii="Times New Roman" w:eastAsia="Calibri" w:hAnsi="Times New Roman" w:cs="Times New Roman"/>
          <w:color w:val="000000"/>
          <w:kern w:val="0"/>
          <w:sz w:val="24"/>
          <w14:ligatures w14:val="none"/>
        </w:rPr>
        <w:t xml:space="preserve">  Ordinance 12560, Section 166, as amended, and K.C.C. 17.04.390 are each hereby amended to read as follows:</w:t>
      </w:r>
    </w:p>
    <w:p w14:paraId="0B3B42EC" w14:textId="1012D75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503.2.</w:t>
      </w:r>
      <w:r w:rsidRPr="006B4A66" w:rsidDel="007E56EC">
        <w:rPr>
          <w:rFonts w:ascii="Times New Roman" w:eastAsia="Calibri" w:hAnsi="Times New Roman" w:cs="Times New Roman"/>
          <w:color w:val="000000"/>
          <w:kern w:val="0"/>
          <w:sz w:val="24"/>
          <w14:ligatures w14:val="none"/>
        </w:rPr>
        <w:t>4</w:t>
      </w:r>
      <w:r w:rsidRPr="006B4A66">
        <w:rPr>
          <w:rFonts w:ascii="Times New Roman" w:eastAsia="Calibri" w:hAnsi="Times New Roman" w:cs="Times New Roman"/>
          <w:color w:val="000000"/>
          <w:kern w:val="0"/>
          <w:sz w:val="24"/>
          <w14:ligatures w14:val="none"/>
        </w:rPr>
        <w:t xml:space="preserve"> of the International Fire Code is not adopted and the following is substituted:</w:t>
      </w:r>
    </w:p>
    <w:p w14:paraId="7B831672" w14:textId="18F08B95"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color w:val="000000"/>
          <w:kern w:val="0"/>
          <w:sz w:val="24"/>
          <w14:ligatures w14:val="none"/>
        </w:rPr>
        <w:t>Turning radius (IFC 503.2.</w:t>
      </w:r>
      <w:r w:rsidRPr="006B4A66" w:rsidDel="007E56EC">
        <w:rPr>
          <w:rFonts w:ascii="Times New Roman" w:eastAsia="Calibri" w:hAnsi="Times New Roman" w:cs="Times New Roman"/>
          <w:b/>
          <w:color w:val="000000"/>
          <w:kern w:val="0"/>
          <w:sz w:val="24"/>
          <w14:ligatures w14:val="none"/>
        </w:rPr>
        <w:t>4</w:t>
      </w:r>
      <w:r w:rsidRPr="006B4A66">
        <w:rPr>
          <w:rFonts w:ascii="Times New Roman" w:eastAsia="Calibri" w:hAnsi="Times New Roman" w:cs="Times New Roman"/>
          <w:b/>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The turning radius of a fire apparatus access road shall have a 20 foot </w:t>
      </w:r>
      <w:r w:rsidRPr="006B4A66">
        <w:rPr>
          <w:rFonts w:ascii="Times New Roman" w:eastAsia="Calibri" w:hAnsi="Times New Roman" w:cs="Times New Roman"/>
          <w:color w:val="000000"/>
          <w:kern w:val="0"/>
          <w:sz w:val="24"/>
          <w:u w:val="single"/>
          <w14:ligatures w14:val="none"/>
        </w:rPr>
        <w:t>(6</w:t>
      </w:r>
      <w:r w:rsidR="00F0719C">
        <w:rPr>
          <w:rFonts w:ascii="Times New Roman" w:eastAsia="Calibri" w:hAnsi="Times New Roman" w:cs="Times New Roman"/>
          <w:color w:val="000000"/>
          <w:kern w:val="0"/>
          <w:sz w:val="24"/>
          <w:u w:val="single"/>
          <w14:ligatures w14:val="none"/>
        </w:rPr>
        <w:t>.1</w:t>
      </w:r>
      <w:r w:rsidRPr="006B4A66">
        <w:rPr>
          <w:rFonts w:ascii="Times New Roman" w:eastAsia="Calibri" w:hAnsi="Times New Roman" w:cs="Times New Roman"/>
          <w:color w:val="000000"/>
          <w:kern w:val="0"/>
          <w:sz w:val="24"/>
          <w:u w:val="single"/>
          <w14:ligatures w14:val="none"/>
        </w:rPr>
        <w:t xml:space="preserve"> meters)</w:t>
      </w:r>
      <w:r w:rsidRPr="006B4A66">
        <w:rPr>
          <w:rFonts w:ascii="Times New Roman" w:eastAsia="Calibri" w:hAnsi="Times New Roman" w:cs="Times New Roman"/>
          <w:color w:val="000000"/>
          <w:kern w:val="0"/>
          <w:sz w:val="24"/>
          <w14:ligatures w14:val="none"/>
        </w:rPr>
        <w:t xml:space="preserve"> inside and 40 foot</w:t>
      </w:r>
      <w:r w:rsidRPr="006B4A66">
        <w:rPr>
          <w:rFonts w:ascii="Times New Roman" w:eastAsia="Calibri" w:hAnsi="Times New Roman" w:cs="Times New Roman"/>
          <w:color w:val="000000"/>
          <w:kern w:val="0"/>
          <w:sz w:val="24"/>
          <w:u w:val="single"/>
          <w14:ligatures w14:val="none"/>
        </w:rPr>
        <w:t xml:space="preserve"> (12</w:t>
      </w:r>
      <w:r w:rsidR="00F0719C">
        <w:rPr>
          <w:rFonts w:ascii="Times New Roman" w:eastAsia="Calibri" w:hAnsi="Times New Roman" w:cs="Times New Roman"/>
          <w:color w:val="000000"/>
          <w:kern w:val="0"/>
          <w:sz w:val="24"/>
          <w:u w:val="single"/>
          <w14:ligatures w14:val="none"/>
        </w:rPr>
        <w:t>.2</w:t>
      </w:r>
      <w:r w:rsidRPr="006B4A66">
        <w:rPr>
          <w:rFonts w:ascii="Times New Roman" w:eastAsia="Calibri" w:hAnsi="Times New Roman" w:cs="Times New Roman"/>
          <w:color w:val="000000"/>
          <w:kern w:val="0"/>
          <w:sz w:val="24"/>
          <w:u w:val="single"/>
          <w14:ligatures w14:val="none"/>
        </w:rPr>
        <w:t xml:space="preserve"> meters)</w:t>
      </w:r>
      <w:r w:rsidRPr="006B4A66">
        <w:rPr>
          <w:rFonts w:ascii="Times New Roman" w:eastAsia="Calibri" w:hAnsi="Times New Roman" w:cs="Times New Roman"/>
          <w:color w:val="000000"/>
          <w:kern w:val="0"/>
          <w:sz w:val="24"/>
          <w14:ligatures w14:val="none"/>
        </w:rPr>
        <w:t xml:space="preserve"> outside turning radius((</w:t>
      </w:r>
      <w:r w:rsidRPr="006B4A66">
        <w:rPr>
          <w:rFonts w:ascii="Times New Roman" w:eastAsia="Calibri" w:hAnsi="Times New Roman" w:cs="Times New Roman"/>
          <w:strike/>
          <w:color w:val="000000"/>
          <w:kern w:val="0"/>
          <w:sz w:val="24"/>
          <w14:ligatures w14:val="none"/>
        </w:rPr>
        <w:t>, or shall be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or as</w:t>
      </w:r>
      <w:r w:rsidRPr="006B4A66">
        <w:rPr>
          <w:rFonts w:ascii="Times New Roman" w:eastAsia="Calibri" w:hAnsi="Times New Roman" w:cs="Times New Roman"/>
          <w:color w:val="000000"/>
          <w:kern w:val="0"/>
          <w:sz w:val="24"/>
          <w14:ligatures w14:val="none"/>
        </w:rPr>
        <w:t xml:space="preserve"> otherwise approved by the ((</w:t>
      </w:r>
      <w:r w:rsidRPr="006B4A66">
        <w:rPr>
          <w:rFonts w:ascii="Times New Roman" w:eastAsia="Calibri" w:hAnsi="Times New Roman" w:cs="Times New Roman"/>
          <w:strike/>
          <w:color w:val="000000"/>
          <w:kern w:val="0"/>
          <w:sz w:val="24"/>
          <w14:ligatures w14:val="none"/>
        </w:rPr>
        <w:t>F</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u w:val="single"/>
          <w14:ligatures w14:val="none"/>
        </w:rPr>
        <w:t>f</w:t>
      </w:r>
      <w:r w:rsidRPr="006B4A66">
        <w:rPr>
          <w:rFonts w:ascii="Times New Roman" w:eastAsia="Calibri" w:hAnsi="Times New Roman" w:cs="Times New Roman"/>
          <w:color w:val="000000"/>
          <w:kern w:val="0"/>
          <w:sz w:val="24"/>
          <w14:ligatures w14:val="none"/>
        </w:rPr>
        <w:t>ire ((</w:t>
      </w:r>
      <w:r w:rsidRPr="006B4A66">
        <w:rPr>
          <w:rFonts w:ascii="Times New Roman" w:eastAsia="Calibri" w:hAnsi="Times New Roman" w:cs="Times New Roman"/>
          <w:strike/>
          <w:color w:val="000000"/>
          <w:kern w:val="0"/>
          <w:sz w:val="24"/>
          <w14:ligatures w14:val="none"/>
        </w:rPr>
        <w:t>M</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u w:val="single"/>
          <w14:ligatures w14:val="none"/>
        </w:rPr>
        <w:t>m</w:t>
      </w:r>
      <w:r w:rsidRPr="006B4A66">
        <w:rPr>
          <w:rFonts w:ascii="Times New Roman" w:eastAsia="Calibri" w:hAnsi="Times New Roman" w:cs="Times New Roman"/>
          <w:color w:val="000000"/>
          <w:kern w:val="0"/>
          <w:sz w:val="24"/>
          <w14:ligatures w14:val="none"/>
        </w:rPr>
        <w:t>arshal.</w:t>
      </w:r>
    </w:p>
    <w:p w14:paraId="6F0114E3" w14:textId="26904D64"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220.</w:t>
      </w:r>
      <w:r w:rsidRPr="006B4A66">
        <w:rPr>
          <w:rFonts w:ascii="Times New Roman" w:eastAsia="Calibri" w:hAnsi="Times New Roman" w:cs="Times New Roman"/>
          <w:color w:val="000000"/>
          <w:kern w:val="0"/>
          <w:sz w:val="24"/>
          <w14:ligatures w14:val="none"/>
        </w:rPr>
        <w:t xml:space="preserve">  Ordinance 14915, Section 45, as amended, and K.C.C. 17.04.400 are each hereby amended to read as follows:</w:t>
      </w:r>
    </w:p>
    <w:p w14:paraId="178B43E0" w14:textId="0994C34C"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Section 503.2.</w:t>
      </w:r>
      <w:r w:rsidR="008603A8">
        <w:rPr>
          <w:rFonts w:ascii="Times New Roman" w:eastAsia="Calibri" w:hAnsi="Times New Roman" w:cs="Times New Roman"/>
          <w:color w:val="000000"/>
          <w:kern w:val="0"/>
          <w:sz w:val="24"/>
          <w14:ligatures w14:val="none"/>
        </w:rPr>
        <w:t>((</w:t>
      </w:r>
      <w:r w:rsidR="007E56EC" w:rsidRPr="001216D4">
        <w:rPr>
          <w:rFonts w:ascii="Times New Roman" w:eastAsia="Calibri" w:hAnsi="Times New Roman" w:cs="Times New Roman"/>
          <w:strike/>
          <w:color w:val="000000"/>
          <w:kern w:val="0"/>
          <w:sz w:val="24"/>
          <w14:ligatures w14:val="none"/>
        </w:rPr>
        <w:t>4</w:t>
      </w:r>
      <w:r w:rsidR="008603A8">
        <w:rPr>
          <w:rFonts w:ascii="Times New Roman" w:eastAsia="Calibri" w:hAnsi="Times New Roman" w:cs="Times New Roman"/>
          <w:color w:val="000000"/>
          <w:kern w:val="0"/>
          <w:sz w:val="24"/>
          <w14:ligatures w14:val="none"/>
        </w:rPr>
        <w:t>))</w:t>
      </w:r>
      <w:r w:rsidR="008603A8">
        <w:rPr>
          <w:rFonts w:ascii="Times New Roman" w:eastAsia="Calibri" w:hAnsi="Times New Roman" w:cs="Times New Roman"/>
          <w:color w:val="000000"/>
          <w:kern w:val="0"/>
          <w:sz w:val="24"/>
          <w:u w:val="single"/>
          <w14:ligatures w14:val="none"/>
        </w:rPr>
        <w:t>5</w:t>
      </w:r>
      <w:r w:rsidRPr="006B4A66">
        <w:rPr>
          <w:rFonts w:ascii="Times New Roman" w:eastAsia="Calibri" w:hAnsi="Times New Roman" w:cs="Times New Roman"/>
          <w:color w:val="000000"/>
          <w:kern w:val="0"/>
          <w:sz w:val="24"/>
          <w14:ligatures w14:val="none"/>
        </w:rPr>
        <w:t xml:space="preserve"> of the International Fire Code is not adopted and the following is substituted:</w:t>
      </w:r>
    </w:p>
    <w:p w14:paraId="54B7A225" w14:textId="68BE1243"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tab/>
        <w:t>Dead ends (IFC 503.2.</w:t>
      </w:r>
      <w:r w:rsidR="008603A8">
        <w:rPr>
          <w:rFonts w:ascii="Times New Roman" w:eastAsia="Calibri" w:hAnsi="Times New Roman" w:cs="Times New Roman"/>
          <w:b/>
          <w:bCs/>
          <w:color w:val="000000"/>
          <w:kern w:val="0"/>
          <w:sz w:val="24"/>
          <w14:ligatures w14:val="none"/>
        </w:rPr>
        <w:t>((</w:t>
      </w:r>
      <w:r w:rsidR="007E56EC" w:rsidRPr="001216D4">
        <w:rPr>
          <w:rFonts w:ascii="Times New Roman" w:eastAsia="Calibri" w:hAnsi="Times New Roman" w:cs="Times New Roman"/>
          <w:b/>
          <w:bCs/>
          <w:strike/>
          <w:color w:val="000000"/>
          <w:kern w:val="0"/>
          <w:sz w:val="24"/>
          <w14:ligatures w14:val="none"/>
        </w:rPr>
        <w:t>4</w:t>
      </w:r>
      <w:r w:rsidR="008603A8">
        <w:rPr>
          <w:rFonts w:ascii="Times New Roman" w:eastAsia="Calibri" w:hAnsi="Times New Roman" w:cs="Times New Roman"/>
          <w:b/>
          <w:bCs/>
          <w:color w:val="000000"/>
          <w:kern w:val="0"/>
          <w:sz w:val="24"/>
          <w14:ligatures w14:val="none"/>
        </w:rPr>
        <w:t>))</w:t>
      </w:r>
      <w:r w:rsidR="008603A8">
        <w:rPr>
          <w:rFonts w:ascii="Times New Roman" w:eastAsia="Calibri" w:hAnsi="Times New Roman" w:cs="Times New Roman"/>
          <w:b/>
          <w:bCs/>
          <w:color w:val="000000"/>
          <w:kern w:val="0"/>
          <w:sz w:val="24"/>
          <w:u w:val="single"/>
          <w14:ligatures w14:val="none"/>
        </w:rPr>
        <w:t>5</w:t>
      </w:r>
      <w:r w:rsidRPr="006B4A66">
        <w:rPr>
          <w:rFonts w:ascii="Times New Roman" w:eastAsia="Calibri" w:hAnsi="Times New Roman" w:cs="Times New Roman"/>
          <w:b/>
          <w:bCs/>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Dead-end fire apparatus access roads in excess of 150 feet ((</w:t>
      </w:r>
      <w:r w:rsidRPr="006B4A66">
        <w:rPr>
          <w:rFonts w:ascii="Times New Roman" w:eastAsia="Calibri" w:hAnsi="Times New Roman" w:cs="Times New Roman"/>
          <w:strike/>
          <w:color w:val="000000"/>
          <w:kern w:val="0"/>
          <w:sz w:val="24"/>
          <w14:ligatures w14:val="none"/>
        </w:rPr>
        <w:t>(45.72 m)</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(45</w:t>
      </w:r>
      <w:r w:rsidR="00730BA8">
        <w:rPr>
          <w:rFonts w:ascii="Times New Roman" w:eastAsia="Calibri" w:hAnsi="Times New Roman" w:cs="Times New Roman"/>
          <w:color w:val="000000"/>
          <w:kern w:val="0"/>
          <w:sz w:val="24"/>
          <w:u w:val="single"/>
          <w14:ligatures w14:val="none"/>
        </w:rPr>
        <w:t>.7</w:t>
      </w:r>
      <w:r w:rsidRPr="006B4A66">
        <w:rPr>
          <w:rFonts w:ascii="Times New Roman" w:eastAsia="Calibri" w:hAnsi="Times New Roman" w:cs="Times New Roman"/>
          <w:color w:val="000000"/>
          <w:kern w:val="0"/>
          <w:sz w:val="24"/>
          <w:u w:val="single"/>
          <w14:ligatures w14:val="none"/>
        </w:rPr>
        <w:t xml:space="preserve"> meters)</w:t>
      </w:r>
      <w:r w:rsidRPr="006B4A66">
        <w:rPr>
          <w:rFonts w:ascii="Times New Roman" w:eastAsia="Calibri" w:hAnsi="Times New Roman" w:cs="Times New Roman"/>
          <w:color w:val="000000"/>
          <w:kern w:val="0"/>
          <w:sz w:val="24"/>
          <w14:ligatures w14:val="none"/>
        </w:rPr>
        <w:t xml:space="preserve"> in length shall be provided with an approved cul-de-sac having a 40 foot </w:t>
      </w:r>
      <w:r w:rsidRPr="006B4A66">
        <w:rPr>
          <w:rFonts w:ascii="Times New Roman" w:eastAsia="Calibri" w:hAnsi="Times New Roman" w:cs="Times New Roman"/>
          <w:color w:val="000000"/>
          <w:kern w:val="0"/>
          <w:sz w:val="24"/>
          <w:u w:val="single"/>
          <w14:ligatures w14:val="none"/>
        </w:rPr>
        <w:t>(12</w:t>
      </w:r>
      <w:r w:rsidR="00730BA8">
        <w:rPr>
          <w:rFonts w:ascii="Times New Roman" w:eastAsia="Calibri" w:hAnsi="Times New Roman" w:cs="Times New Roman"/>
          <w:color w:val="000000"/>
          <w:kern w:val="0"/>
          <w:sz w:val="24"/>
          <w:u w:val="single"/>
          <w14:ligatures w14:val="none"/>
        </w:rPr>
        <w:t>.2</w:t>
      </w:r>
      <w:r w:rsidRPr="006B4A66">
        <w:rPr>
          <w:rFonts w:ascii="Times New Roman" w:eastAsia="Calibri" w:hAnsi="Times New Roman" w:cs="Times New Roman"/>
          <w:color w:val="000000"/>
          <w:kern w:val="0"/>
          <w:sz w:val="24"/>
          <w:u w:val="single"/>
          <w14:ligatures w14:val="none"/>
        </w:rPr>
        <w:t xml:space="preserve"> meters) outside</w:t>
      </w:r>
      <w:r w:rsidRPr="006B4A66">
        <w:rPr>
          <w:rFonts w:ascii="Times New Roman" w:eastAsia="Calibri" w:hAnsi="Times New Roman" w:cs="Times New Roman"/>
          <w:color w:val="000000"/>
          <w:kern w:val="0"/>
          <w:sz w:val="24"/>
          <w14:ligatures w14:val="none"/>
        </w:rPr>
        <w:t xml:space="preserve"> turning radius, or a "hammerhead-like" turnaround designed as described </w:t>
      </w:r>
      <w:r w:rsidR="00000094">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in King County Administrative Rule for Chapter 17-04</w:t>
      </w:r>
      <w:r w:rsidR="00000094">
        <w:rPr>
          <w:rFonts w:ascii="Times New Roman" w:eastAsia="Calibri" w:hAnsi="Times New Roman" w:cs="Times New Roman"/>
          <w:color w:val="000000"/>
          <w:kern w:val="0"/>
          <w:sz w:val="24"/>
          <w14:ligatures w14:val="none"/>
        </w:rPr>
        <w:t xml:space="preserve">)) </w:t>
      </w:r>
      <w:r w:rsidR="00000094">
        <w:rPr>
          <w:rFonts w:ascii="Times New Roman" w:eastAsia="Calibri" w:hAnsi="Times New Roman" w:cs="Times New Roman"/>
          <w:color w:val="000000"/>
          <w:kern w:val="0"/>
          <w:sz w:val="24"/>
          <w:u w:val="single"/>
          <w14:ligatures w14:val="none"/>
        </w:rPr>
        <w:t>by Appendix D</w:t>
      </w:r>
      <w:r w:rsidR="00D268F9">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other designs approved by the ((</w:t>
      </w:r>
      <w:r w:rsidRPr="006B4A66">
        <w:rPr>
          <w:rFonts w:ascii="Times New Roman" w:eastAsia="Calibri" w:hAnsi="Times New Roman" w:cs="Times New Roman"/>
          <w:strike/>
          <w:color w:val="000000"/>
          <w:kern w:val="0"/>
          <w:sz w:val="24"/>
          <w14:ligatures w14:val="none"/>
        </w:rPr>
        <w:t>F</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u w:val="single"/>
          <w14:ligatures w14:val="none"/>
        </w:rPr>
        <w:t>f</w:t>
      </w:r>
      <w:r w:rsidRPr="006B4A66">
        <w:rPr>
          <w:rFonts w:ascii="Times New Roman" w:eastAsia="Calibri" w:hAnsi="Times New Roman" w:cs="Times New Roman"/>
          <w:color w:val="000000"/>
          <w:kern w:val="0"/>
          <w:sz w:val="24"/>
          <w14:ligatures w14:val="none"/>
        </w:rPr>
        <w:t>ire ((</w:t>
      </w:r>
      <w:r w:rsidRPr="006B4A66">
        <w:rPr>
          <w:rFonts w:ascii="Times New Roman" w:eastAsia="Calibri" w:hAnsi="Times New Roman" w:cs="Times New Roman"/>
          <w:strike/>
          <w:color w:val="000000"/>
          <w:kern w:val="0"/>
          <w:sz w:val="24"/>
          <w14:ligatures w14:val="none"/>
        </w:rPr>
        <w:t>M</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u w:val="single"/>
          <w14:ligatures w14:val="none"/>
        </w:rPr>
        <w:t>m</w:t>
      </w:r>
      <w:r w:rsidRPr="006B4A66">
        <w:rPr>
          <w:rFonts w:ascii="Times New Roman" w:eastAsia="Calibri" w:hAnsi="Times New Roman" w:cs="Times New Roman"/>
          <w:color w:val="000000"/>
          <w:kern w:val="0"/>
          <w:sz w:val="24"/>
          <w14:ligatures w14:val="none"/>
        </w:rPr>
        <w:t>arshal.</w:t>
      </w:r>
    </w:p>
    <w:p w14:paraId="23D44101" w14:textId="58F1381A"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221.</w:t>
      </w:r>
      <w:r w:rsidRPr="006B4A66">
        <w:rPr>
          <w:rFonts w:ascii="Times New Roman" w:eastAsia="Calibri" w:hAnsi="Times New Roman" w:cs="Times New Roman"/>
          <w:color w:val="000000"/>
          <w:kern w:val="0"/>
          <w:sz w:val="24"/>
          <w14:ligatures w14:val="none"/>
        </w:rPr>
        <w:t xml:space="preserve">  Ordinance 7980, Section 1, as amended, and K.C.C. 17.04.420 are each hereby amended to read as follows:</w:t>
      </w:r>
    </w:p>
    <w:p w14:paraId="20CE9BD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Sections 503.3 and 503.4 of the International Fire Code ((</w:t>
      </w:r>
      <w:r w:rsidRPr="006B4A66">
        <w:rPr>
          <w:rFonts w:ascii="Times New Roman" w:eastAsia="Calibri" w:hAnsi="Times New Roman" w:cs="Times New Roman"/>
          <w:strike/>
          <w:color w:val="000000"/>
          <w:kern w:val="0"/>
          <w:sz w:val="24"/>
          <w14:ligatures w14:val="none"/>
        </w:rPr>
        <w:t>is</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are</w:t>
      </w:r>
      <w:r w:rsidRPr="006B4A66">
        <w:rPr>
          <w:rFonts w:ascii="Times New Roman" w:eastAsia="Calibri" w:hAnsi="Times New Roman" w:cs="Times New Roman"/>
          <w:color w:val="000000"/>
          <w:kern w:val="0"/>
          <w:sz w:val="24"/>
          <w14:ligatures w14:val="none"/>
        </w:rPr>
        <w:t xml:space="preserve"> not adopted and the following is substituted:</w:t>
      </w:r>
    </w:p>
    <w:p w14:paraId="313DE7E4" w14:textId="2C92380E" w:rsidR="006B4A66" w:rsidRPr="006B4A66" w:rsidRDefault="006B4A66" w:rsidP="0073496A">
      <w:pPr>
        <w:tabs>
          <w:tab w:val="left" w:pos="720"/>
        </w:tabs>
        <w:spacing w:after="0" w:line="480" w:lineRule="auto"/>
        <w:rPr>
          <w:rFonts w:ascii="Times New Roman" w:eastAsia="Calibri" w:hAnsi="Times New Roman" w:cs="Times New Roman"/>
          <w:b/>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color w:val="000000"/>
          <w:kern w:val="0"/>
          <w:sz w:val="24"/>
          <w14:ligatures w14:val="none"/>
        </w:rPr>
        <w:t>Marking, establishment</w:t>
      </w:r>
      <w:r w:rsidRPr="006B4A66">
        <w:rPr>
          <w:rFonts w:ascii="Times New Roman" w:eastAsia="Calibri" w:hAnsi="Times New Roman" w:cs="Times New Roman"/>
          <w:b/>
          <w:color w:val="000000"/>
          <w:kern w:val="0"/>
          <w:sz w:val="24"/>
          <w:u w:val="single"/>
          <w14:ligatures w14:val="none"/>
        </w:rPr>
        <w:t>,</w:t>
      </w:r>
      <w:r w:rsidRPr="006B4A66">
        <w:rPr>
          <w:rFonts w:ascii="Times New Roman" w:eastAsia="Calibri" w:hAnsi="Times New Roman" w:cs="Times New Roman"/>
          <w:b/>
          <w:color w:val="000000"/>
          <w:kern w:val="0"/>
          <w:sz w:val="24"/>
          <w14:ligatures w14:val="none"/>
        </w:rPr>
        <w:t xml:space="preserve"> and obstruction of fire ((</w:t>
      </w:r>
      <w:r w:rsidRPr="006B4A66">
        <w:rPr>
          <w:rFonts w:ascii="Times New Roman" w:eastAsia="Calibri" w:hAnsi="Times New Roman" w:cs="Times New Roman"/>
          <w:b/>
          <w:strike/>
          <w:color w:val="000000"/>
          <w:kern w:val="0"/>
          <w:sz w:val="24"/>
          <w14:ligatures w14:val="none"/>
        </w:rPr>
        <w:t>lanes</w:t>
      </w:r>
      <w:r w:rsidRPr="006B4A66">
        <w:rPr>
          <w:rFonts w:ascii="Times New Roman" w:eastAsia="Calibri" w:hAnsi="Times New Roman" w:cs="Times New Roman"/>
          <w:b/>
          <w:color w:val="000000"/>
          <w:kern w:val="0"/>
          <w:sz w:val="24"/>
          <w14:ligatures w14:val="none"/>
        </w:rPr>
        <w:t xml:space="preserve">)) </w:t>
      </w:r>
      <w:r w:rsidRPr="006B4A66">
        <w:rPr>
          <w:rFonts w:ascii="Times New Roman" w:eastAsia="Calibri" w:hAnsi="Times New Roman" w:cs="Times New Roman"/>
          <w:b/>
          <w:color w:val="000000"/>
          <w:kern w:val="0"/>
          <w:sz w:val="24"/>
          <w:u w:val="single"/>
          <w14:ligatures w14:val="none"/>
        </w:rPr>
        <w:t>apparatus access roads</w:t>
      </w:r>
      <w:r w:rsidRPr="006B4A66">
        <w:rPr>
          <w:rFonts w:ascii="Times New Roman" w:eastAsia="Calibri" w:hAnsi="Times New Roman" w:cs="Times New Roman"/>
          <w:b/>
          <w:color w:val="000000"/>
          <w:kern w:val="0"/>
          <w:sz w:val="24"/>
          <w14:ligatures w14:val="none"/>
        </w:rPr>
        <w:t xml:space="preserve"> (IFC 503.3 and 503.4).</w:t>
      </w:r>
    </w:p>
    <w:p w14:paraId="2EF5ECA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1.</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A.</w:t>
      </w:r>
      <w:r w:rsidRPr="006B4A66">
        <w:rPr>
          <w:rFonts w:ascii="Times New Roman" w:eastAsia="Calibri" w:hAnsi="Times New Roman" w:cs="Times New Roman"/>
          <w:color w:val="000000"/>
          <w:kern w:val="0"/>
          <w:sz w:val="24"/>
          <w14:ligatures w14:val="none"/>
        </w:rPr>
        <w:t xml:space="preserve">  Establishment of fire ((</w:t>
      </w:r>
      <w:r w:rsidRPr="006B4A66">
        <w:rPr>
          <w:rFonts w:ascii="Times New Roman" w:eastAsia="Calibri" w:hAnsi="Times New Roman" w:cs="Times New Roman"/>
          <w:strike/>
          <w:color w:val="000000"/>
          <w:kern w:val="0"/>
          <w:sz w:val="24"/>
          <w14:ligatures w14:val="none"/>
        </w:rPr>
        <w:t>lanes</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u w:val="single"/>
          <w14:ligatures w14:val="none"/>
        </w:rPr>
        <w:t xml:space="preserve"> apparatus access roads</w:t>
      </w:r>
      <w:r w:rsidRPr="006B4A66">
        <w:rPr>
          <w:rFonts w:ascii="Times New Roman" w:eastAsia="Calibri" w:hAnsi="Times New Roman" w:cs="Times New Roman"/>
          <w:color w:val="000000"/>
          <w:kern w:val="0"/>
          <w:sz w:val="24"/>
          <w14:ligatures w14:val="none"/>
        </w:rPr>
        <w:t>.  Fire ((</w:t>
      </w:r>
      <w:r w:rsidRPr="006B4A66">
        <w:rPr>
          <w:rFonts w:ascii="Times New Roman" w:eastAsia="Calibri" w:hAnsi="Times New Roman" w:cs="Times New Roman"/>
          <w:strike/>
          <w:color w:val="000000"/>
          <w:kern w:val="0"/>
          <w:sz w:val="24"/>
          <w14:ligatures w14:val="none"/>
        </w:rPr>
        <w:t>lanes</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apparatus access roads</w:t>
      </w:r>
      <w:r w:rsidRPr="006B4A66">
        <w:rPr>
          <w:rFonts w:ascii="Times New Roman" w:eastAsia="Calibri" w:hAnsi="Times New Roman" w:cs="Times New Roman"/>
          <w:color w:val="000000"/>
          <w:kern w:val="0"/>
          <w:sz w:val="24"/>
          <w14:ligatures w14:val="none"/>
        </w:rPr>
        <w:t xml:space="preserve"> in conformance with this code shall be established by the fire marshal, and shall be referred to as </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designated fire lanes</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in this section.</w:t>
      </w:r>
    </w:p>
    <w:p w14:paraId="2B8549F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2.</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B.</w:t>
      </w:r>
      <w:r w:rsidRPr="006B4A66">
        <w:rPr>
          <w:rFonts w:ascii="Times New Roman" w:eastAsia="Calibri" w:hAnsi="Times New Roman" w:cs="Times New Roman"/>
          <w:color w:val="000000"/>
          <w:kern w:val="0"/>
          <w:sz w:val="24"/>
          <w14:ligatures w14:val="none"/>
        </w:rPr>
        <w:t xml:space="preserve">  Definition of fire lanes.  ((</w:t>
      </w:r>
      <w:r w:rsidRPr="006B4A66">
        <w:rPr>
          <w:rFonts w:ascii="Times New Roman" w:eastAsia="Calibri" w:hAnsi="Times New Roman" w:cs="Times New Roman"/>
          <w:strike/>
          <w:color w:val="000000"/>
          <w:kern w:val="0"/>
          <w:sz w:val="24"/>
          <w14:ligatures w14:val="none"/>
        </w:rPr>
        <w:t>The area within any public right</w:t>
      </w:r>
      <w:r w:rsidRPr="006B4A66">
        <w:rPr>
          <w:rFonts w:ascii="Times New Roman" w:eastAsia="Calibri" w:hAnsi="Times New Roman" w:cs="Times New Roman"/>
          <w:strike/>
          <w:color w:val="000000"/>
          <w:kern w:val="0"/>
          <w:sz w:val="24"/>
          <w14:ligatures w14:val="none"/>
        </w:rPr>
        <w:noBreakHyphen/>
        <w:t>of</w:t>
      </w:r>
      <w:r w:rsidRPr="006B4A66">
        <w:rPr>
          <w:rFonts w:ascii="Times New Roman" w:eastAsia="Calibri" w:hAnsi="Times New Roman" w:cs="Times New Roman"/>
          <w:strike/>
          <w:color w:val="000000"/>
          <w:kern w:val="0"/>
          <w:sz w:val="24"/>
          <w14:ligatures w14:val="none"/>
        </w:rPr>
        <w:noBreakHyphen/>
        <w:t>way, easement or on private property designated for the purpose of allowing fire trucks and other firefighting or emergency equipment to use, travel upon and park</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A road or other passageway developed to allow the passage of fire apparatus.  A fire lane is not necessarily intended for vehicular traffic other than fire apparatus</w:t>
      </w:r>
      <w:r w:rsidRPr="006B4A66">
        <w:rPr>
          <w:rFonts w:ascii="Times New Roman" w:eastAsia="Calibri" w:hAnsi="Times New Roman" w:cs="Times New Roman"/>
          <w:color w:val="000000"/>
          <w:kern w:val="0"/>
          <w:sz w:val="24"/>
          <w14:ligatures w14:val="none"/>
        </w:rPr>
        <w:t>.</w:t>
      </w:r>
    </w:p>
    <w:p w14:paraId="33736D8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3.</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C.</w:t>
      </w:r>
      <w:r w:rsidRPr="006B4A66">
        <w:rPr>
          <w:rFonts w:ascii="Times New Roman" w:eastAsia="Calibri" w:hAnsi="Times New Roman" w:cs="Times New Roman"/>
          <w:color w:val="000000"/>
          <w:kern w:val="0"/>
          <w:sz w:val="24"/>
          <w14:ligatures w14:val="none"/>
        </w:rPr>
        <w:t xml:space="preserve">  Marking of fire lanes.  All designated fire lanes shall be clearly marked as follows:</w:t>
      </w:r>
    </w:p>
    <w:p w14:paraId="6E3CF9D4" w14:textId="04DF9091"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 xml:space="preserve">  ((</w:t>
      </w:r>
      <w:r w:rsidRPr="006B4A66">
        <w:rPr>
          <w:rFonts w:ascii="Times New Roman" w:eastAsia="Calibri" w:hAnsi="Times New Roman" w:cs="Times New Roman"/>
          <w:strike/>
          <w:color w:val="000000"/>
          <w:kern w:val="0"/>
          <w:sz w:val="24"/>
          <w14:ligatures w14:val="none"/>
        </w:rPr>
        <w:t>3.</w:t>
      </w:r>
      <w:r w:rsidRPr="006B4A66">
        <w:rPr>
          <w:rFonts w:ascii="Times New Roman" w:eastAsia="Calibri" w:hAnsi="Times New Roman" w:cs="Times New Roman"/>
          <w:color w:val="000000"/>
          <w:kern w:val="0"/>
          <w:sz w:val="24"/>
          <w14:ligatures w14:val="none"/>
        </w:rPr>
        <w:t xml:space="preserve">))1.  Vertical curbs shall be painted red on the top and side, extending the length of the designated fire lane.  The pavement adjacent to the painted curbs shall be marked with minimum 18 inch </w:t>
      </w:r>
      <w:r w:rsidRPr="006B4A66">
        <w:rPr>
          <w:rFonts w:ascii="Times New Roman" w:eastAsia="Calibri" w:hAnsi="Times New Roman" w:cs="Times New Roman"/>
          <w:color w:val="000000"/>
          <w:kern w:val="0"/>
          <w:sz w:val="24"/>
          <w:u w:val="single"/>
          <w14:ligatures w14:val="none"/>
        </w:rPr>
        <w:t>(457 millimeters)</w:t>
      </w:r>
      <w:r w:rsidRPr="006B4A66">
        <w:rPr>
          <w:rFonts w:ascii="Times New Roman" w:eastAsia="Calibri" w:hAnsi="Times New Roman" w:cs="Times New Roman"/>
          <w:color w:val="000000"/>
          <w:kern w:val="0"/>
          <w:sz w:val="24"/>
          <w14:ligatures w14:val="none"/>
        </w:rPr>
        <w:t xml:space="preserve"> in height block lettering with a minimum 3((</w:t>
      </w:r>
      <w:r w:rsidRPr="006B4A66">
        <w:rPr>
          <w:rFonts w:ascii="Times New Roman" w:eastAsia="Calibri" w:hAnsi="Times New Roman" w:cs="Times New Roman"/>
          <w:strike/>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inch </w:t>
      </w:r>
      <w:r w:rsidRPr="006B4A66">
        <w:rPr>
          <w:rFonts w:ascii="Times New Roman" w:eastAsia="Calibri" w:hAnsi="Times New Roman" w:cs="Times New Roman"/>
          <w:color w:val="000000"/>
          <w:kern w:val="0"/>
          <w:sz w:val="24"/>
          <w:u w:val="single"/>
          <w14:ligatures w14:val="none"/>
        </w:rPr>
        <w:t>(76 millimeters)</w:t>
      </w:r>
      <w:r w:rsidRPr="006B4A66">
        <w:rPr>
          <w:rFonts w:ascii="Times New Roman" w:eastAsia="Calibri" w:hAnsi="Times New Roman" w:cs="Times New Roman"/>
          <w:color w:val="000000"/>
          <w:kern w:val="0"/>
          <w:sz w:val="24"/>
          <w14:ligatures w14:val="none"/>
        </w:rPr>
        <w:t xml:space="preserve"> brush stroke reading:  "NO PARKING </w:t>
      </w:r>
      <w:r w:rsidRPr="006B4A66">
        <w:rPr>
          <w:rFonts w:ascii="Times New Roman" w:eastAsia="Calibri" w:hAnsi="Times New Roman" w:cs="Times New Roman"/>
          <w:color w:val="000000"/>
          <w:kern w:val="0"/>
          <w:sz w:val="24"/>
          <w14:ligatures w14:val="none"/>
        </w:rPr>
        <w:noBreakHyphen/>
        <w:t xml:space="preserve"> FIRE LANE."  Lettering shall be white and spaced at 50 foot </w:t>
      </w:r>
      <w:r w:rsidRPr="006B4A66">
        <w:rPr>
          <w:rFonts w:ascii="Times New Roman" w:eastAsia="Calibri" w:hAnsi="Times New Roman" w:cs="Times New Roman"/>
          <w:color w:val="000000"/>
          <w:kern w:val="0"/>
          <w:sz w:val="24"/>
          <w:u w:val="single"/>
          <w14:ligatures w14:val="none"/>
        </w:rPr>
        <w:t>(15</w:t>
      </w:r>
      <w:r w:rsidR="00730924">
        <w:rPr>
          <w:rFonts w:ascii="Times New Roman" w:eastAsia="Calibri" w:hAnsi="Times New Roman" w:cs="Times New Roman"/>
          <w:color w:val="000000"/>
          <w:kern w:val="0"/>
          <w:sz w:val="24"/>
          <w:u w:val="single"/>
          <w14:ligatures w14:val="none"/>
        </w:rPr>
        <w:t>.2</w:t>
      </w:r>
      <w:r w:rsidRPr="006B4A66">
        <w:rPr>
          <w:rFonts w:ascii="Times New Roman" w:eastAsia="Calibri" w:hAnsi="Times New Roman" w:cs="Times New Roman"/>
          <w:color w:val="000000"/>
          <w:kern w:val="0"/>
          <w:sz w:val="24"/>
          <w:u w:val="single"/>
          <w14:ligatures w14:val="none"/>
        </w:rPr>
        <w:t xml:space="preserve"> meters) intervals</w:t>
      </w:r>
      <w:r w:rsidRPr="006B4A66">
        <w:rPr>
          <w:rFonts w:ascii="Times New Roman" w:eastAsia="Calibri" w:hAnsi="Times New Roman" w:cs="Times New Roman"/>
          <w:color w:val="000000"/>
          <w:kern w:val="0"/>
          <w:sz w:val="24"/>
          <w14:ligatures w14:val="none"/>
        </w:rPr>
        <w:t xml:space="preserve"> or portion thereof ((</w:t>
      </w:r>
      <w:r w:rsidRPr="006B4A66">
        <w:rPr>
          <w:rFonts w:ascii="Times New Roman" w:eastAsia="Calibri" w:hAnsi="Times New Roman" w:cs="Times New Roman"/>
          <w:strike/>
          <w:color w:val="000000"/>
          <w:kern w:val="0"/>
          <w:sz w:val="24"/>
          <w14:ligatures w14:val="none"/>
        </w:rPr>
        <w:t>intervals</w:t>
      </w:r>
      <w:r w:rsidRPr="006B4A66">
        <w:rPr>
          <w:rFonts w:ascii="Times New Roman" w:eastAsia="Calibri" w:hAnsi="Times New Roman" w:cs="Times New Roman"/>
          <w:color w:val="000000"/>
          <w:kern w:val="0"/>
          <w:sz w:val="24"/>
          <w14:ligatures w14:val="none"/>
        </w:rPr>
        <w:t>));</w:t>
      </w:r>
    </w:p>
    <w:p w14:paraId="34491F8B" w14:textId="651C8030"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3.</w:t>
      </w:r>
      <w:r w:rsidRPr="006B4A66">
        <w:rPr>
          <w:rFonts w:ascii="Times New Roman" w:eastAsia="Calibri" w:hAnsi="Times New Roman" w:cs="Times New Roman"/>
          <w:color w:val="000000"/>
          <w:kern w:val="0"/>
          <w:sz w:val="24"/>
          <w14:ligatures w14:val="none"/>
        </w:rPr>
        <w:t>))2.  Rolled curbs or surface without curbs shall have a red 6((</w:t>
      </w:r>
      <w:r w:rsidRPr="006B4A66">
        <w:rPr>
          <w:rFonts w:ascii="Times New Roman" w:eastAsia="Calibri" w:hAnsi="Times New Roman" w:cs="Times New Roman"/>
          <w:strike/>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inch-wide </w:t>
      </w:r>
      <w:r w:rsidRPr="006B4A66">
        <w:rPr>
          <w:rFonts w:ascii="Times New Roman" w:eastAsia="Calibri" w:hAnsi="Times New Roman" w:cs="Times New Roman"/>
          <w:color w:val="000000"/>
          <w:kern w:val="0"/>
          <w:sz w:val="24"/>
          <w:u w:val="single"/>
          <w14:ligatures w14:val="none"/>
        </w:rPr>
        <w:t>(152 millimeters)</w:t>
      </w:r>
      <w:r w:rsidRPr="006B4A66">
        <w:rPr>
          <w:rFonts w:ascii="Times New Roman" w:eastAsia="Calibri" w:hAnsi="Times New Roman" w:cs="Times New Roman"/>
          <w:color w:val="000000"/>
          <w:kern w:val="0"/>
          <w:sz w:val="24"/>
          <w14:ligatures w14:val="none"/>
        </w:rPr>
        <w:t xml:space="preserve"> stripe painted extending the length of the designated fire lane.  The surface adjacent to the stripe shall be marked with minimum 18 inch </w:t>
      </w:r>
      <w:r w:rsidRPr="006B4A66">
        <w:rPr>
          <w:rFonts w:ascii="Times New Roman" w:eastAsia="Calibri" w:hAnsi="Times New Roman" w:cs="Times New Roman"/>
          <w:color w:val="000000"/>
          <w:kern w:val="0"/>
          <w:sz w:val="24"/>
          <w:u w:val="single"/>
          <w14:ligatures w14:val="none"/>
        </w:rPr>
        <w:t xml:space="preserve">(457 millimeters) </w:t>
      </w:r>
      <w:r w:rsidRPr="006B4A66">
        <w:rPr>
          <w:rFonts w:ascii="Times New Roman" w:eastAsia="Calibri" w:hAnsi="Times New Roman" w:cs="Times New Roman"/>
          <w:color w:val="000000"/>
          <w:kern w:val="0"/>
          <w:sz w:val="24"/>
          <w14:ligatures w14:val="none"/>
        </w:rPr>
        <w:t>in height block lettering with a minimum 3((</w:t>
      </w:r>
      <w:r w:rsidRPr="006B4A66">
        <w:rPr>
          <w:rFonts w:ascii="Times New Roman" w:eastAsia="Calibri" w:hAnsi="Times New Roman" w:cs="Times New Roman"/>
          <w:strike/>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inch </w:t>
      </w:r>
      <w:r w:rsidRPr="006B4A66">
        <w:rPr>
          <w:rFonts w:ascii="Times New Roman" w:eastAsia="Calibri" w:hAnsi="Times New Roman" w:cs="Times New Roman"/>
          <w:color w:val="000000"/>
          <w:kern w:val="0"/>
          <w:sz w:val="24"/>
          <w:u w:val="single"/>
          <w14:ligatures w14:val="none"/>
        </w:rPr>
        <w:t>(76 millimeters)</w:t>
      </w:r>
      <w:r w:rsidRPr="006B4A66">
        <w:rPr>
          <w:rFonts w:ascii="Times New Roman" w:eastAsia="Calibri" w:hAnsi="Times New Roman" w:cs="Times New Roman"/>
          <w:color w:val="000000"/>
          <w:kern w:val="0"/>
          <w:sz w:val="24"/>
          <w14:ligatures w14:val="none"/>
        </w:rPr>
        <w:t xml:space="preserve"> brush stroke reading:  "NO PARKING </w:t>
      </w:r>
      <w:r w:rsidRPr="006B4A66">
        <w:rPr>
          <w:rFonts w:ascii="Times New Roman" w:eastAsia="Calibri" w:hAnsi="Times New Roman" w:cs="Times New Roman"/>
          <w:color w:val="000000"/>
          <w:kern w:val="0"/>
          <w:sz w:val="24"/>
          <w14:ligatures w14:val="none"/>
        </w:rPr>
        <w:noBreakHyphen/>
        <w:t xml:space="preserve"> FIRE LANE."  Lettering shall be in white and spaced at 50 ((</w:t>
      </w:r>
      <w:r w:rsidRPr="006B4A66">
        <w:rPr>
          <w:rFonts w:ascii="Times New Roman" w:eastAsia="Calibri" w:hAnsi="Times New Roman" w:cs="Times New Roman"/>
          <w:strike/>
          <w:color w:val="000000"/>
          <w:kern w:val="0"/>
          <w:sz w:val="24"/>
          <w14:ligatures w14:val="none"/>
        </w:rPr>
        <w:t>ft.</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feet (15</w:t>
      </w:r>
      <w:r w:rsidR="00730924">
        <w:rPr>
          <w:rFonts w:ascii="Times New Roman" w:eastAsia="Calibri" w:hAnsi="Times New Roman" w:cs="Times New Roman"/>
          <w:color w:val="000000"/>
          <w:kern w:val="0"/>
          <w:sz w:val="24"/>
          <w:u w:val="single"/>
          <w14:ligatures w14:val="none"/>
        </w:rPr>
        <w:t>.2</w:t>
      </w:r>
      <w:r w:rsidRPr="006B4A66">
        <w:rPr>
          <w:rFonts w:ascii="Times New Roman" w:eastAsia="Calibri" w:hAnsi="Times New Roman" w:cs="Times New Roman"/>
          <w:color w:val="000000"/>
          <w:kern w:val="0"/>
          <w:sz w:val="24"/>
          <w:u w:val="single"/>
          <w14:ligatures w14:val="none"/>
        </w:rPr>
        <w:t xml:space="preserve"> meters) intervals</w:t>
      </w:r>
      <w:r w:rsidRPr="006B4A66">
        <w:rPr>
          <w:rFonts w:ascii="Times New Roman" w:eastAsia="Calibri" w:hAnsi="Times New Roman" w:cs="Times New Roman"/>
          <w:color w:val="000000"/>
          <w:kern w:val="0"/>
          <w:sz w:val="24"/>
          <w14:ligatures w14:val="none"/>
        </w:rPr>
        <w:t xml:space="preserve"> or portion thereof ((</w:t>
      </w:r>
      <w:r w:rsidRPr="006B4A66">
        <w:rPr>
          <w:rFonts w:ascii="Times New Roman" w:eastAsia="Calibri" w:hAnsi="Times New Roman" w:cs="Times New Roman"/>
          <w:strike/>
          <w:color w:val="000000"/>
          <w:kern w:val="0"/>
          <w:sz w:val="24"/>
          <w14:ligatures w14:val="none"/>
        </w:rPr>
        <w:t>intervals</w:t>
      </w:r>
      <w:r w:rsidRPr="006B4A66">
        <w:rPr>
          <w:rFonts w:ascii="Times New Roman" w:eastAsia="Calibri" w:hAnsi="Times New Roman" w:cs="Times New Roman"/>
          <w:color w:val="000000"/>
          <w:kern w:val="0"/>
          <w:sz w:val="24"/>
          <w14:ligatures w14:val="none"/>
        </w:rPr>
        <w:t>)); or</w:t>
      </w:r>
    </w:p>
    <w:p w14:paraId="744BF62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3.</w:t>
      </w:r>
      <w:r w:rsidRPr="006B4A66">
        <w:rPr>
          <w:rFonts w:ascii="Times New Roman" w:eastAsia="Calibri" w:hAnsi="Times New Roman" w:cs="Times New Roman"/>
          <w:color w:val="000000"/>
          <w:kern w:val="0"/>
          <w:sz w:val="24"/>
          <w14:ligatures w14:val="none"/>
        </w:rPr>
        <w:t>))3.  Fire lane signs shall be installed as follows:</w:t>
      </w:r>
    </w:p>
    <w:p w14:paraId="212E39A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a.  Signs shall be a type "R8-31" reflective sign or of an equivalent reflectivity.</w:t>
      </w:r>
    </w:p>
    <w:p w14:paraId="0566008E" w14:textId="505885D2" w:rsid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 xml:space="preserve">    b.  Red letters on white background with the wording:  "NO PARKING </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FIRE LANE"</w:t>
      </w:r>
      <w:r w:rsidRPr="006B4A66">
        <w:rPr>
          <w:rFonts w:ascii="Times New Roman" w:eastAsia="Calibri" w:hAnsi="Times New Roman" w:cs="Times New Roman"/>
          <w:color w:val="000000"/>
          <w:kern w:val="0"/>
          <w:sz w:val="24"/>
          <w:u w:val="single"/>
          <w14:ligatures w14:val="none"/>
        </w:rPr>
        <w:t>.</w:t>
      </w:r>
      <w:r w:rsidR="009A3BB1">
        <w:rPr>
          <w:rFonts w:ascii="Times New Roman" w:eastAsia="Calibri" w:hAnsi="Times New Roman" w:cs="Times New Roman"/>
          <w:color w:val="000000"/>
          <w:kern w:val="0"/>
          <w:sz w:val="24"/>
          <w:u w:val="single"/>
          <w14:ligatures w14:val="none"/>
        </w:rPr>
        <w:t xml:space="preserve"> </w:t>
      </w:r>
      <w:r w:rsidR="00067D72">
        <w:rPr>
          <w:rFonts w:ascii="Times New Roman" w:eastAsia="Calibri" w:hAnsi="Times New Roman" w:cs="Times New Roman"/>
          <w:color w:val="000000"/>
          <w:kern w:val="0"/>
          <w:sz w:val="24"/>
          <w:u w:val="single"/>
          <w14:ligatures w14:val="none"/>
        </w:rPr>
        <w:t xml:space="preserve"> </w:t>
      </w:r>
      <w:r w:rsidR="009A3BB1">
        <w:rPr>
          <w:rFonts w:ascii="Times New Roman" w:eastAsia="Calibri" w:hAnsi="Times New Roman" w:cs="Times New Roman"/>
          <w:color w:val="000000"/>
          <w:kern w:val="0"/>
          <w:sz w:val="24"/>
          <w:u w:val="single"/>
          <w14:ligatures w14:val="none"/>
        </w:rPr>
        <w:t xml:space="preserve">See figure </w:t>
      </w:r>
      <w:r w:rsidR="00C156AC">
        <w:rPr>
          <w:rFonts w:ascii="Times New Roman" w:eastAsia="Calibri" w:hAnsi="Times New Roman" w:cs="Times New Roman"/>
          <w:color w:val="000000"/>
          <w:kern w:val="0"/>
          <w:sz w:val="24"/>
          <w:u w:val="single"/>
          <w14:ligatures w14:val="none"/>
        </w:rPr>
        <w:t>IFC 503.3</w:t>
      </w:r>
      <w:r w:rsidR="00067D72">
        <w:rPr>
          <w:rFonts w:ascii="Times New Roman" w:eastAsia="Calibri" w:hAnsi="Times New Roman" w:cs="Times New Roman"/>
          <w:color w:val="000000"/>
          <w:kern w:val="0"/>
          <w:sz w:val="24"/>
          <w:u w:val="single"/>
          <w14:ligatures w14:val="none"/>
        </w:rPr>
        <w:t>.1 as examples of approved signage.</w:t>
      </w:r>
    </w:p>
    <w:p w14:paraId="6E5F6E74" w14:textId="18A5C82C" w:rsidR="00067D72" w:rsidRDefault="00067D72" w:rsidP="00BD15DC">
      <w:pPr>
        <w:tabs>
          <w:tab w:val="left" w:pos="720"/>
          <w:tab w:val="left" w:pos="7773"/>
        </w:tabs>
        <w:spacing w:after="0" w:line="480" w:lineRule="auto"/>
        <w:rPr>
          <w:rFonts w:ascii="Times New Roman" w:eastAsia="Calibri" w:hAnsi="Times New Roman" w:cs="Times New Roman"/>
          <w:color w:val="000000"/>
          <w:kern w:val="0"/>
          <w:sz w:val="24"/>
          <w14:ligatures w14:val="none"/>
        </w:rPr>
      </w:pPr>
      <w:r w:rsidRPr="00067D72">
        <w:rPr>
          <w:rFonts w:ascii="Times New Roman" w:eastAsia="Calibri" w:hAnsi="Times New Roman" w:cs="Times New Roman"/>
          <w:noProof/>
          <w:color w:val="000000"/>
          <w:kern w:val="0"/>
          <w:sz w:val="24"/>
          <w:u w:val="single"/>
          <w14:ligatures w14:val="none"/>
        </w:rPr>
        <w:drawing>
          <wp:inline distT="0" distB="0" distL="0" distR="0" wp14:anchorId="5FA77CCA" wp14:editId="376B46B9">
            <wp:extent cx="4797670" cy="2282024"/>
            <wp:effectExtent l="0" t="0" r="3175" b="4445"/>
            <wp:docPr id="1673569565" name="Picture 1673569565" descr="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4797670" cy="2282024"/>
                    </a:xfrm>
                    <a:prstGeom prst="rect">
                      <a:avLst/>
                    </a:prstGeom>
                  </pic:spPr>
                </pic:pic>
              </a:graphicData>
            </a:graphic>
          </wp:inline>
        </w:drawing>
      </w:r>
    </w:p>
    <w:p w14:paraId="0938B5EA" w14:textId="3588802C" w:rsidR="00067D72" w:rsidRPr="00711471" w:rsidRDefault="00067D72" w:rsidP="0073496A">
      <w:pPr>
        <w:tabs>
          <w:tab w:val="left" w:pos="720"/>
        </w:tabs>
        <w:spacing w:after="0" w:line="480" w:lineRule="auto"/>
        <w:rPr>
          <w:rFonts w:ascii="Times New Roman" w:eastAsia="Calibri" w:hAnsi="Times New Roman" w:cs="Times New Roman"/>
          <w:b/>
          <w:bCs/>
          <w:color w:val="000000"/>
          <w:kern w:val="0"/>
          <w:sz w:val="24"/>
          <w14:ligatures w14:val="none"/>
        </w:rPr>
      </w:pPr>
      <w:r w:rsidRPr="00711471">
        <w:rPr>
          <w:rFonts w:ascii="Times New Roman" w:eastAsia="Calibri" w:hAnsi="Times New Roman" w:cs="Times New Roman"/>
          <w:b/>
          <w:bCs/>
          <w:color w:val="000000"/>
          <w:kern w:val="0"/>
          <w:sz w:val="24"/>
          <w14:ligatures w14:val="none"/>
        </w:rPr>
        <w:lastRenderedPageBreak/>
        <w:tab/>
        <w:t xml:space="preserve"> Figure </w:t>
      </w:r>
      <w:r w:rsidRPr="00711471">
        <w:rPr>
          <w:rFonts w:ascii="Times New Roman" w:eastAsia="Calibri" w:hAnsi="Times New Roman" w:cs="Times New Roman"/>
          <w:b/>
          <w:bCs/>
          <w:color w:val="000000"/>
          <w:kern w:val="0"/>
          <w:sz w:val="24"/>
          <w:u w:val="single"/>
          <w14:ligatures w14:val="none"/>
        </w:rPr>
        <w:t xml:space="preserve">503.3.1 </w:t>
      </w:r>
      <w:r w:rsidRPr="00711471">
        <w:rPr>
          <w:rFonts w:ascii="Times New Roman" w:eastAsia="Calibri" w:hAnsi="Times New Roman" w:cs="Times New Roman"/>
          <w:b/>
          <w:bCs/>
          <w:color w:val="000000"/>
          <w:kern w:val="0"/>
          <w:sz w:val="24"/>
          <w14:ligatures w14:val="none"/>
        </w:rPr>
        <w:t>Examples of approved designs.</w:t>
      </w:r>
    </w:p>
    <w:p w14:paraId="352FEF0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c.  Signs shall be no less than 12 inches </w:t>
      </w:r>
      <w:r w:rsidRPr="006B4A66">
        <w:rPr>
          <w:rFonts w:ascii="Times New Roman" w:eastAsia="Calibri" w:hAnsi="Times New Roman" w:cs="Times New Roman"/>
          <w:color w:val="000000"/>
          <w:kern w:val="0"/>
          <w:sz w:val="24"/>
          <w:u w:val="single"/>
          <w14:ligatures w14:val="none"/>
        </w:rPr>
        <w:t>(305 millimeters)</w:t>
      </w:r>
      <w:r w:rsidRPr="006B4A66">
        <w:rPr>
          <w:rFonts w:ascii="Times New Roman" w:eastAsia="Calibri" w:hAnsi="Times New Roman" w:cs="Times New Roman"/>
          <w:color w:val="000000"/>
          <w:kern w:val="0"/>
          <w:sz w:val="24"/>
          <w14:ligatures w14:val="none"/>
        </w:rPr>
        <w:t xml:space="preserve"> by 18 inches </w:t>
      </w:r>
      <w:r w:rsidRPr="006B4A66">
        <w:rPr>
          <w:rFonts w:ascii="Times New Roman" w:eastAsia="Calibri" w:hAnsi="Times New Roman" w:cs="Times New Roman"/>
          <w:color w:val="000000"/>
          <w:kern w:val="0"/>
          <w:sz w:val="24"/>
          <w:u w:val="single"/>
          <w14:ligatures w14:val="none"/>
        </w:rPr>
        <w:t>(457 millimeters)</w:t>
      </w:r>
      <w:r w:rsidRPr="006B4A66">
        <w:rPr>
          <w:rFonts w:ascii="Times New Roman" w:eastAsia="Calibri" w:hAnsi="Times New Roman" w:cs="Times New Roman"/>
          <w:color w:val="000000"/>
          <w:kern w:val="0"/>
          <w:sz w:val="24"/>
          <w14:ligatures w14:val="none"/>
        </w:rPr>
        <w:t xml:space="preserve"> in size and shall be placed at a maximum center-to-center spacing of 150 feet </w:t>
      </w:r>
      <w:r w:rsidRPr="006B4A66">
        <w:rPr>
          <w:rFonts w:ascii="Times New Roman" w:eastAsia="Calibri" w:hAnsi="Times New Roman" w:cs="Times New Roman"/>
          <w:color w:val="000000"/>
          <w:kern w:val="0"/>
          <w:sz w:val="24"/>
          <w:u w:val="single"/>
          <w14:ligatures w14:val="none"/>
        </w:rPr>
        <w:t>(45.7 meters)</w:t>
      </w:r>
      <w:r w:rsidRPr="006B4A66">
        <w:rPr>
          <w:rFonts w:ascii="Times New Roman" w:eastAsia="Calibri" w:hAnsi="Times New Roman" w:cs="Times New Roman"/>
          <w:color w:val="000000"/>
          <w:kern w:val="0"/>
          <w:sz w:val="24"/>
          <w14:ligatures w14:val="none"/>
        </w:rPr>
        <w:t xml:space="preserve"> on both sides of the fire lane, or an additional sign may be ((</w:t>
      </w:r>
      <w:r w:rsidRPr="006B4A66">
        <w:rPr>
          <w:rFonts w:ascii="Times New Roman" w:eastAsia="Calibri" w:hAnsi="Times New Roman" w:cs="Times New Roman"/>
          <w:strike/>
          <w:color w:val="000000"/>
          <w:kern w:val="0"/>
          <w:sz w:val="24"/>
          <w14:ligatures w14:val="none"/>
        </w:rPr>
        <w:t>put</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placed</w:t>
      </w:r>
      <w:r w:rsidRPr="006B4A66">
        <w:rPr>
          <w:rFonts w:ascii="Times New Roman" w:eastAsia="Calibri" w:hAnsi="Times New Roman" w:cs="Times New Roman"/>
          <w:color w:val="000000"/>
          <w:kern w:val="0"/>
          <w:sz w:val="24"/>
          <w14:ligatures w14:val="none"/>
        </w:rPr>
        <w:t xml:space="preserve"> beneath the fire lane sign lettered as:  "BOTH SIDES"</w:t>
      </w:r>
      <w:r w:rsidRPr="006B4A66">
        <w:rPr>
          <w:rFonts w:ascii="Times New Roman" w:eastAsia="Calibri" w:hAnsi="Times New Roman" w:cs="Times New Roman"/>
          <w:color w:val="000000"/>
          <w:kern w:val="0"/>
          <w:sz w:val="24"/>
          <w:u w:val="single"/>
          <w14:ligatures w14:val="none"/>
        </w:rPr>
        <w:t>.</w:t>
      </w:r>
    </w:p>
    <w:p w14:paraId="0AF09B4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d.  Signs shall be posted at a minimum height of 7 feet </w:t>
      </w:r>
      <w:r w:rsidRPr="006B4A66">
        <w:rPr>
          <w:rFonts w:ascii="Times New Roman" w:eastAsia="Calibri" w:hAnsi="Times New Roman" w:cs="Times New Roman"/>
          <w:color w:val="000000"/>
          <w:kern w:val="0"/>
          <w:sz w:val="24"/>
          <w:u w:val="single"/>
          <w14:ligatures w14:val="none"/>
        </w:rPr>
        <w:t>(2,134 millimeters)</w:t>
      </w:r>
      <w:r w:rsidRPr="006B4A66">
        <w:rPr>
          <w:rFonts w:ascii="Times New Roman" w:eastAsia="Calibri" w:hAnsi="Times New Roman" w:cs="Times New Roman"/>
          <w:color w:val="000000"/>
          <w:kern w:val="0"/>
          <w:sz w:val="24"/>
          <w14:ligatures w14:val="none"/>
        </w:rPr>
        <w:t xml:space="preserve"> measured from the road or sidewalk to the bottom of the sign, unless required otherwise by this section.</w:t>
      </w:r>
    </w:p>
    <w:p w14:paraId="4B82E40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e.  Signs may be placed on a fence or building when approved by the fire marshal.  When signs are wall or fence mounted, they shall be posted at a minimum height of 5 feet </w:t>
      </w:r>
      <w:r w:rsidRPr="006B4A66">
        <w:rPr>
          <w:rFonts w:ascii="Times New Roman" w:eastAsia="Calibri" w:hAnsi="Times New Roman" w:cs="Times New Roman"/>
          <w:color w:val="000000"/>
          <w:kern w:val="0"/>
          <w:sz w:val="24"/>
          <w:u w:val="single"/>
          <w14:ligatures w14:val="none"/>
        </w:rPr>
        <w:t>(1,524 millimeters)</w:t>
      </w:r>
      <w:r w:rsidRPr="006B4A66">
        <w:rPr>
          <w:rFonts w:ascii="Times New Roman" w:eastAsia="Calibri" w:hAnsi="Times New Roman" w:cs="Times New Roman"/>
          <w:color w:val="000000"/>
          <w:kern w:val="0"/>
          <w:sz w:val="24"/>
          <w14:ligatures w14:val="none"/>
        </w:rPr>
        <w:t xml:space="preserve"> measured from the road or sidewalk to the top of the sign.</w:t>
      </w:r>
    </w:p>
    <w:p w14:paraId="7773324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f.  When posts are required, they shall meet current road standards in K.C.C. chapter 14.42.  Signs shall be placed so they face the direction of the vehicular travel.</w:t>
      </w:r>
    </w:p>
    <w:p w14:paraId="195C445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g.  Sign numbers and spacing may be modified by the King County fire marshal.</w:t>
      </w:r>
    </w:p>
    <w:p w14:paraId="03B70F0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4.</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D.</w:t>
      </w:r>
      <w:r w:rsidRPr="006B4A66">
        <w:rPr>
          <w:rFonts w:ascii="Times New Roman" w:eastAsia="Calibri" w:hAnsi="Times New Roman" w:cs="Times New Roman"/>
          <w:color w:val="000000"/>
          <w:kern w:val="0"/>
          <w:sz w:val="24"/>
          <w14:ligatures w14:val="none"/>
        </w:rPr>
        <w:t xml:space="preserve">  Obstruction of Fire Lanes Prohibited.  Unless required otherwise by this chapter, the obstruction of a designated fire lane by a parked vehicle or any other object is prohibited, shall constitute a traffic hazard as defined in state law and an immediate hazard to life and property.</w:t>
      </w:r>
    </w:p>
    <w:p w14:paraId="20C873A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5.</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E.</w:t>
      </w:r>
      <w:r w:rsidRPr="006B4A66">
        <w:rPr>
          <w:rFonts w:ascii="Times New Roman" w:eastAsia="Calibri" w:hAnsi="Times New Roman" w:cs="Times New Roman"/>
          <w:color w:val="000000"/>
          <w:kern w:val="0"/>
          <w:sz w:val="24"/>
          <w14:ligatures w14:val="none"/>
        </w:rPr>
        <w:t xml:space="preserve">  Alternate materials and methods.  The fire marshal may modify any of the provisions of this section where practical difficulties exist.  ((</w:t>
      </w:r>
      <w:r w:rsidRPr="006B4A66">
        <w:rPr>
          <w:rFonts w:ascii="Times New Roman" w:eastAsia="Calibri" w:hAnsi="Times New Roman" w:cs="Times New Roman"/>
          <w:strike/>
          <w:color w:val="000000"/>
          <w:kern w:val="0"/>
          <w:sz w:val="24"/>
          <w14:ligatures w14:val="none"/>
        </w:rPr>
        <w:t>The particulars of a</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lastRenderedPageBreak/>
        <w:t>Any</w:t>
      </w:r>
      <w:r w:rsidRPr="006B4A66">
        <w:rPr>
          <w:rFonts w:ascii="Times New Roman" w:eastAsia="Calibri" w:hAnsi="Times New Roman" w:cs="Times New Roman"/>
          <w:color w:val="000000"/>
          <w:kern w:val="0"/>
          <w:sz w:val="24"/>
          <w14:ligatures w14:val="none"/>
        </w:rPr>
        <w:t xml:space="preserve"> modification</w:t>
      </w:r>
      <w:r w:rsidRPr="006B4A66">
        <w:rPr>
          <w:rFonts w:ascii="Times New Roman" w:eastAsia="Calibri" w:hAnsi="Times New Roman" w:cs="Times New Roman"/>
          <w:color w:val="000000"/>
          <w:kern w:val="0"/>
          <w:sz w:val="24"/>
          <w:u w:val="single"/>
          <w14:ligatures w14:val="none"/>
        </w:rPr>
        <w:t>s</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strike/>
          <w:color w:val="000000"/>
          <w:kern w:val="0"/>
          <w:sz w:val="24"/>
          <w14:ligatures w14:val="none"/>
        </w:rPr>
        <w:t>that are</w:t>
      </w:r>
      <w:r w:rsidRPr="006B4A66">
        <w:rPr>
          <w:rFonts w:ascii="Times New Roman" w:eastAsia="Calibri" w:hAnsi="Times New Roman" w:cs="Times New Roman"/>
          <w:color w:val="000000"/>
          <w:kern w:val="0"/>
          <w:sz w:val="24"/>
          <w14:ligatures w14:val="none"/>
        </w:rPr>
        <w:t>)) approved by the fire marshal shall be entered into the final records for the project permit.</w:t>
      </w:r>
    </w:p>
    <w:p w14:paraId="450AC8E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6.</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F.</w:t>
      </w:r>
      <w:r w:rsidRPr="006B4A66">
        <w:rPr>
          <w:rFonts w:ascii="Times New Roman" w:eastAsia="Calibri" w:hAnsi="Times New Roman" w:cs="Times New Roman"/>
          <w:color w:val="000000"/>
          <w:kern w:val="0"/>
          <w:sz w:val="24"/>
          <w14:ligatures w14:val="none"/>
        </w:rPr>
        <w:t xml:space="preserve">  Existing fire lane signs and markings.</w:t>
      </w:r>
    </w:p>
    <w:p w14:paraId="49C9447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6.1.</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1.</w:t>
      </w:r>
      <w:r w:rsidRPr="006B4A66">
        <w:rPr>
          <w:rFonts w:ascii="Times New Roman" w:eastAsia="Calibri" w:hAnsi="Times New Roman" w:cs="Times New Roman"/>
          <w:color w:val="000000"/>
          <w:kern w:val="0"/>
          <w:sz w:val="24"/>
          <w14:ligatures w14:val="none"/>
        </w:rPr>
        <w:t xml:space="preserve">  Signs that are a minimum 9 inches by 16 inches </w:t>
      </w:r>
      <w:r w:rsidRPr="006B4A66">
        <w:rPr>
          <w:rFonts w:ascii="Times New Roman" w:eastAsia="Calibri" w:hAnsi="Times New Roman" w:cs="Times New Roman"/>
          <w:color w:val="000000"/>
          <w:kern w:val="0"/>
          <w:sz w:val="24"/>
          <w:u w:val="single"/>
          <w14:ligatures w14:val="none"/>
        </w:rPr>
        <w:t>(229 millimeters by 406 millimeters)</w:t>
      </w:r>
      <w:r w:rsidRPr="006B4A66">
        <w:rPr>
          <w:rFonts w:ascii="Times New Roman" w:eastAsia="Calibri" w:hAnsi="Times New Roman" w:cs="Times New Roman"/>
          <w:color w:val="000000"/>
          <w:kern w:val="0"/>
          <w:sz w:val="24"/>
          <w14:ligatures w14:val="none"/>
        </w:rPr>
        <w:t xml:space="preserve"> may be allowed to remain until there is a need for replacement and at that time a 12 inch </w:t>
      </w:r>
      <w:r w:rsidRPr="006B4A66">
        <w:rPr>
          <w:rFonts w:ascii="Times New Roman" w:eastAsia="Calibri" w:hAnsi="Times New Roman" w:cs="Times New Roman"/>
          <w:color w:val="000000"/>
          <w:kern w:val="0"/>
          <w:sz w:val="24"/>
          <w:u w:val="single"/>
          <w14:ligatures w14:val="none"/>
        </w:rPr>
        <w:t>(305 millimeters)</w:t>
      </w:r>
      <w:r w:rsidRPr="006B4A66">
        <w:rPr>
          <w:rFonts w:ascii="Times New Roman" w:eastAsia="Calibri" w:hAnsi="Times New Roman" w:cs="Times New Roman"/>
          <w:color w:val="000000"/>
          <w:kern w:val="0"/>
          <w:sz w:val="24"/>
          <w14:ligatures w14:val="none"/>
        </w:rPr>
        <w:t xml:space="preserve"> by 18 inch </w:t>
      </w:r>
      <w:r w:rsidRPr="006B4A66">
        <w:rPr>
          <w:rFonts w:ascii="Times New Roman" w:eastAsia="Calibri" w:hAnsi="Times New Roman" w:cs="Times New Roman"/>
          <w:color w:val="000000"/>
          <w:kern w:val="0"/>
          <w:sz w:val="24"/>
          <w:u w:val="single"/>
          <w14:ligatures w14:val="none"/>
        </w:rPr>
        <w:t>(457 millimeters)</w:t>
      </w:r>
      <w:r w:rsidRPr="006B4A66">
        <w:rPr>
          <w:rFonts w:ascii="Times New Roman" w:eastAsia="Calibri" w:hAnsi="Times New Roman" w:cs="Times New Roman"/>
          <w:color w:val="000000"/>
          <w:kern w:val="0"/>
          <w:sz w:val="24"/>
          <w14:ligatures w14:val="none"/>
        </w:rPr>
        <w:t xml:space="preserve"> sign shall be installed.</w:t>
      </w:r>
    </w:p>
    <w:p w14:paraId="495381A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6.2.</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2.</w:t>
      </w:r>
      <w:r w:rsidRPr="006B4A66">
        <w:rPr>
          <w:rFonts w:ascii="Times New Roman" w:eastAsia="Calibri" w:hAnsi="Times New Roman" w:cs="Times New Roman"/>
          <w:color w:val="000000"/>
          <w:kern w:val="0"/>
          <w:sz w:val="24"/>
          <w14:ligatures w14:val="none"/>
        </w:rPr>
        <w:t xml:space="preserve">  Markings may be allowed to remain until there is a need for repainting.  When markings are repainted, they shall comply with subsection ((</w:t>
      </w:r>
      <w:r w:rsidRPr="006B4A66">
        <w:rPr>
          <w:rFonts w:ascii="Times New Roman" w:eastAsia="Calibri" w:hAnsi="Times New Roman" w:cs="Times New Roman"/>
          <w:strike/>
          <w:color w:val="000000"/>
          <w:kern w:val="0"/>
          <w:sz w:val="24"/>
          <w14:ligatures w14:val="none"/>
        </w:rPr>
        <w:t>3.</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C.</w:t>
      </w:r>
      <w:r w:rsidRPr="006B4A66">
        <w:rPr>
          <w:rFonts w:ascii="Times New Roman" w:eastAsia="Calibri" w:hAnsi="Times New Roman" w:cs="Times New Roman"/>
          <w:color w:val="000000"/>
          <w:kern w:val="0"/>
          <w:sz w:val="24"/>
          <w14:ligatures w14:val="none"/>
        </w:rPr>
        <w:t xml:space="preserve"> of this section.</w:t>
      </w:r>
    </w:p>
    <w:p w14:paraId="23A3003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7.</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G.</w:t>
      </w:r>
      <w:r w:rsidRPr="006B4A66">
        <w:rPr>
          <w:rFonts w:ascii="Times New Roman" w:eastAsia="Calibri" w:hAnsi="Times New Roman" w:cs="Times New Roman"/>
          <w:color w:val="000000"/>
          <w:kern w:val="0"/>
          <w:sz w:val="24"/>
          <w14:ligatures w14:val="none"/>
        </w:rPr>
        <w:t xml:space="preserve">  Maintenance. Fire lane markings shall be maintained at the </w:t>
      </w:r>
      <w:r w:rsidRPr="006B4A66">
        <w:rPr>
          <w:rFonts w:ascii="Times New Roman" w:eastAsia="Calibri" w:hAnsi="Times New Roman" w:cs="Times New Roman"/>
          <w:color w:val="000000"/>
          <w:kern w:val="0"/>
          <w:sz w:val="24"/>
          <w:u w:val="single"/>
          <w14:ligatures w14:val="none"/>
        </w:rPr>
        <w:t>property owner's</w:t>
      </w:r>
      <w:r w:rsidRPr="006B4A66">
        <w:rPr>
          <w:rFonts w:ascii="Times New Roman" w:eastAsia="Calibri" w:hAnsi="Times New Roman" w:cs="Times New Roman"/>
          <w:color w:val="000000"/>
          <w:kern w:val="0"/>
          <w:sz w:val="24"/>
          <w14:ligatures w14:val="none"/>
        </w:rPr>
        <w:t xml:space="preserve"> expense ((</w:t>
      </w:r>
      <w:r w:rsidRPr="006B4A66">
        <w:rPr>
          <w:rFonts w:ascii="Times New Roman" w:eastAsia="Calibri" w:hAnsi="Times New Roman" w:cs="Times New Roman"/>
          <w:strike/>
          <w:color w:val="000000"/>
          <w:kern w:val="0"/>
          <w:sz w:val="24"/>
          <w14:ligatures w14:val="none"/>
        </w:rPr>
        <w:t>of the property owner</w:t>
      </w:r>
      <w:r w:rsidRPr="006B4A66">
        <w:rPr>
          <w:rFonts w:ascii="Times New Roman" w:eastAsia="Calibri" w:hAnsi="Times New Roman" w:cs="Times New Roman"/>
          <w:color w:val="000000"/>
          <w:kern w:val="0"/>
          <w:sz w:val="24"/>
          <w14:ligatures w14:val="none"/>
        </w:rPr>
        <w:t>)) as often as needed to clearly identify the ((</w:t>
      </w:r>
      <w:r w:rsidRPr="006B4A66">
        <w:rPr>
          <w:rFonts w:ascii="Times New Roman" w:eastAsia="Calibri" w:hAnsi="Times New Roman" w:cs="Times New Roman"/>
          <w:strike/>
          <w:color w:val="000000"/>
          <w:kern w:val="0"/>
          <w:sz w:val="24"/>
          <w14:ligatures w14:val="none"/>
        </w:rPr>
        <w:t>designated</w:t>
      </w:r>
      <w:r w:rsidRPr="006B4A66">
        <w:rPr>
          <w:rFonts w:ascii="Times New Roman" w:eastAsia="Calibri" w:hAnsi="Times New Roman" w:cs="Times New Roman"/>
          <w:color w:val="000000"/>
          <w:kern w:val="0"/>
          <w:sz w:val="24"/>
          <w14:ligatures w14:val="none"/>
        </w:rPr>
        <w:t>)) area as ((</w:t>
      </w:r>
      <w:r w:rsidRPr="006B4A66">
        <w:rPr>
          <w:rFonts w:ascii="Times New Roman" w:eastAsia="Calibri" w:hAnsi="Times New Roman" w:cs="Times New Roman"/>
          <w:strike/>
          <w:color w:val="000000"/>
          <w:kern w:val="0"/>
          <w:sz w:val="24"/>
          <w14:ligatures w14:val="none"/>
        </w:rPr>
        <w:t>being</w:t>
      </w:r>
      <w:r w:rsidRPr="006B4A66">
        <w:rPr>
          <w:rFonts w:ascii="Times New Roman" w:eastAsia="Calibri" w:hAnsi="Times New Roman" w:cs="Times New Roman"/>
          <w:color w:val="000000"/>
          <w:kern w:val="0"/>
          <w:sz w:val="24"/>
          <w14:ligatures w14:val="none"/>
        </w:rPr>
        <w:t xml:space="preserve">)) a </w:t>
      </w:r>
      <w:r w:rsidRPr="006B4A66">
        <w:rPr>
          <w:rFonts w:ascii="Times New Roman" w:eastAsia="Calibri" w:hAnsi="Times New Roman" w:cs="Times New Roman"/>
          <w:color w:val="000000"/>
          <w:kern w:val="0"/>
          <w:sz w:val="24"/>
          <w:u w:val="single"/>
          <w14:ligatures w14:val="none"/>
        </w:rPr>
        <w:t xml:space="preserve">designated </w:t>
      </w:r>
      <w:r w:rsidRPr="006B4A66">
        <w:rPr>
          <w:rFonts w:ascii="Times New Roman" w:eastAsia="Calibri" w:hAnsi="Times New Roman" w:cs="Times New Roman"/>
          <w:color w:val="000000"/>
          <w:kern w:val="0"/>
          <w:sz w:val="24"/>
          <w14:ligatures w14:val="none"/>
        </w:rPr>
        <w:t>fire lane.</w:t>
      </w:r>
    </w:p>
    <w:p w14:paraId="3F4C68E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8.</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H.</w:t>
      </w:r>
      <w:r w:rsidRPr="006B4A66">
        <w:rPr>
          <w:rFonts w:ascii="Times New Roman" w:eastAsia="Calibri" w:hAnsi="Times New Roman" w:cs="Times New Roman"/>
          <w:color w:val="000000"/>
          <w:kern w:val="0"/>
          <w:sz w:val="24"/>
          <w14:ligatures w14:val="none"/>
        </w:rPr>
        <w:t xml:space="preserve">  Towing notification.  At each entrance to property ((</w:t>
      </w:r>
      <w:r w:rsidRPr="006B4A66">
        <w:rPr>
          <w:rFonts w:ascii="Times New Roman" w:eastAsia="Calibri" w:hAnsi="Times New Roman" w:cs="Times New Roman"/>
          <w:strike/>
          <w:color w:val="000000"/>
          <w:kern w:val="0"/>
          <w:sz w:val="24"/>
          <w14:ligatures w14:val="none"/>
        </w:rPr>
        <w:t>where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with designated</w:t>
      </w:r>
      <w:r w:rsidRPr="006B4A66">
        <w:rPr>
          <w:rFonts w:ascii="Times New Roman" w:eastAsia="Calibri" w:hAnsi="Times New Roman" w:cs="Times New Roman"/>
          <w:color w:val="000000"/>
          <w:kern w:val="0"/>
          <w:sz w:val="24"/>
          <w14:ligatures w14:val="none"/>
        </w:rPr>
        <w:t xml:space="preserve"> fire lanes ((</w:t>
      </w:r>
      <w:r w:rsidRPr="006B4A66">
        <w:rPr>
          <w:rFonts w:ascii="Times New Roman" w:eastAsia="Calibri" w:hAnsi="Times New Roman" w:cs="Times New Roman"/>
          <w:strike/>
          <w:color w:val="000000"/>
          <w:kern w:val="0"/>
          <w:sz w:val="24"/>
          <w14:ligatures w14:val="none"/>
        </w:rPr>
        <w:t>have been designated</w:t>
      </w:r>
      <w:r w:rsidRPr="006B4A66">
        <w:rPr>
          <w:rFonts w:ascii="Times New Roman" w:eastAsia="Calibri" w:hAnsi="Times New Roman" w:cs="Times New Roman"/>
          <w:color w:val="000000"/>
          <w:kern w:val="0"/>
          <w:sz w:val="24"/>
          <w14:ligatures w14:val="none"/>
        </w:rPr>
        <w:t>)), signs shall be posted in a clearly conspicuous location and shall clearly state that vehicles parked in fire lanes may be impounded, and the name, telephone number</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and address of the towing firm where the vehicle may be collected.</w:t>
      </w:r>
    </w:p>
    <w:p w14:paraId="7160D90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9.</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I.</w:t>
      </w:r>
      <w:r w:rsidRPr="006B4A66">
        <w:rPr>
          <w:rFonts w:ascii="Times New Roman" w:eastAsia="Calibri" w:hAnsi="Times New Roman" w:cs="Times New Roman"/>
          <w:color w:val="000000"/>
          <w:kern w:val="0"/>
          <w:sz w:val="24"/>
          <w14:ligatures w14:val="none"/>
        </w:rPr>
        <w:t xml:space="preserve">  Property owner responsible.  The owner, manager, or person in charge of any property upon which designated fire lanes have been established shall prevent the parking of vehicles or placement of other obstructions in such fire lanes.</w:t>
      </w:r>
    </w:p>
    <w:p w14:paraId="2B72D87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10.</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J.</w:t>
      </w:r>
      <w:r w:rsidRPr="006B4A66">
        <w:rPr>
          <w:rFonts w:ascii="Times New Roman" w:eastAsia="Calibri" w:hAnsi="Times New Roman" w:cs="Times New Roman"/>
          <w:color w:val="000000"/>
          <w:kern w:val="0"/>
          <w:sz w:val="24"/>
          <w14:ligatures w14:val="none"/>
        </w:rPr>
        <w:t xml:space="preserve">  Violation - Civil infraction.  Any person who fails to mark or maintain the marking of a designated fire lane as prescribed in this chapter, or who parks a vehicle in, allows the parking of a vehicle in, obstructs, or allows the obstruction of a designated </w:t>
      </w:r>
      <w:r w:rsidRPr="006B4A66">
        <w:rPr>
          <w:rFonts w:ascii="Times New Roman" w:eastAsia="Calibri" w:hAnsi="Times New Roman" w:cs="Times New Roman"/>
          <w:color w:val="000000"/>
          <w:kern w:val="0"/>
          <w:sz w:val="24"/>
          <w14:ligatures w14:val="none"/>
        </w:rPr>
        <w:lastRenderedPageBreak/>
        <w:t>fire lane commits a civil infraction to which the provisions of chapter 7.80 RCW shall apply.  The penalty for failing to mark or maintain the marking of a designated fire lane shall be one hundred and fifty dollars.  The penalty for parking a vehicle in, allowing the parking of a vehicle in, obstructing, or allowing the obstruction of a designated fire lane shall be fifty dollars.</w:t>
      </w:r>
    </w:p>
    <w:p w14:paraId="6FE6BE2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11.</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K.</w:t>
      </w:r>
      <w:r w:rsidRPr="006B4A66">
        <w:rPr>
          <w:rFonts w:ascii="Times New Roman" w:eastAsia="Calibri" w:hAnsi="Times New Roman" w:cs="Times New Roman"/>
          <w:color w:val="000000"/>
          <w:kern w:val="0"/>
          <w:sz w:val="24"/>
          <w14:ligatures w14:val="none"/>
        </w:rPr>
        <w:t xml:space="preserve">  Violation - Civil penalty. In addition to, or as an alternative to, the provisions of subsection ((</w:t>
      </w:r>
      <w:r w:rsidRPr="006B4A66">
        <w:rPr>
          <w:rFonts w:ascii="Times New Roman" w:eastAsia="Calibri" w:hAnsi="Times New Roman" w:cs="Times New Roman"/>
          <w:strike/>
          <w:color w:val="000000"/>
          <w:kern w:val="0"/>
          <w:sz w:val="24"/>
          <w14:ligatures w14:val="none"/>
        </w:rPr>
        <w:t>10.</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J.</w:t>
      </w:r>
      <w:r w:rsidRPr="006B4A66">
        <w:rPr>
          <w:rFonts w:ascii="Times New Roman" w:eastAsia="Calibri" w:hAnsi="Times New Roman" w:cs="Times New Roman"/>
          <w:color w:val="000000"/>
          <w:kern w:val="0"/>
          <w:sz w:val="24"/>
          <w14:ligatures w14:val="none"/>
        </w:rPr>
        <w:t xml:space="preserve"> of this section, any person who fails to meet the provisions of the fire lane requirements codified in this title ((</w:t>
      </w:r>
      <w:r w:rsidRPr="006B4A66">
        <w:rPr>
          <w:rFonts w:ascii="Times New Roman" w:eastAsia="Calibri" w:hAnsi="Times New Roman" w:cs="Times New Roman"/>
          <w:strike/>
          <w:color w:val="000000"/>
          <w:kern w:val="0"/>
          <w:sz w:val="24"/>
          <w14:ligatures w14:val="none"/>
        </w:rPr>
        <w:t>shall</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may</w:t>
      </w:r>
      <w:r w:rsidRPr="006B4A66">
        <w:rPr>
          <w:rFonts w:ascii="Times New Roman" w:eastAsia="Calibri" w:hAnsi="Times New Roman" w:cs="Times New Roman"/>
          <w:color w:val="000000"/>
          <w:kern w:val="0"/>
          <w:sz w:val="24"/>
          <w14:ligatures w14:val="none"/>
        </w:rPr>
        <w:t xml:space="preserve"> be subject to civil penalties ((</w:t>
      </w:r>
      <w:r w:rsidRPr="006B4A66">
        <w:rPr>
          <w:rFonts w:ascii="Times New Roman" w:eastAsia="Calibri" w:hAnsi="Times New Roman" w:cs="Times New Roman"/>
          <w:strike/>
          <w:color w:val="000000"/>
          <w:kern w:val="0"/>
          <w:sz w:val="24"/>
          <w14:ligatures w14:val="none"/>
        </w:rPr>
        <w:t>in conformance with</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under</w:t>
      </w:r>
      <w:r w:rsidRPr="006B4A66">
        <w:rPr>
          <w:rFonts w:ascii="Times New Roman" w:eastAsia="Calibri" w:hAnsi="Times New Roman" w:cs="Times New Roman"/>
          <w:color w:val="000000"/>
          <w:kern w:val="0"/>
          <w:sz w:val="24"/>
          <w14:ligatures w14:val="none"/>
        </w:rPr>
        <w:t xml:space="preserve"> K.C.C. Title 23.</w:t>
      </w:r>
    </w:p>
    <w:p w14:paraId="021A644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12.</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L.</w:t>
      </w:r>
      <w:r w:rsidRPr="006B4A66">
        <w:rPr>
          <w:rFonts w:ascii="Times New Roman" w:eastAsia="Calibri" w:hAnsi="Times New Roman" w:cs="Times New Roman"/>
          <w:color w:val="000000"/>
          <w:kern w:val="0"/>
          <w:sz w:val="24"/>
          <w14:ligatures w14:val="none"/>
        </w:rPr>
        <w:t xml:space="preserve">  Impoundment. Any vehicle or object obstructing a designated fire lane is hereby declared a traffic hazard and may be abated without prior notification to its owner by impoundment in accordance with the applicable state law.</w:t>
      </w:r>
    </w:p>
    <w:p w14:paraId="49856D3A" w14:textId="23187C9A"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222.</w:t>
      </w:r>
      <w:r w:rsidRPr="006B4A66">
        <w:rPr>
          <w:rFonts w:ascii="Times New Roman" w:eastAsia="Calibri" w:hAnsi="Times New Roman" w:cs="Times New Roman"/>
          <w:color w:val="000000"/>
          <w:kern w:val="0"/>
          <w:sz w:val="24"/>
          <w14:ligatures w14:val="none"/>
        </w:rPr>
        <w:t xml:space="preserve">  Ordinance 19485, Section 173, and K.C.C. 17.04.425 are each hereby amended to read as follows:</w:t>
      </w:r>
    </w:p>
    <w:p w14:paraId="1EBC32D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503.6 of the International Fire Code is not adopted and the following is substituted.</w:t>
      </w:r>
    </w:p>
    <w:p w14:paraId="34F69096" w14:textId="77777777" w:rsidR="006B4A66" w:rsidRPr="006B4A66" w:rsidRDefault="006B4A66" w:rsidP="0073496A">
      <w:pPr>
        <w:tabs>
          <w:tab w:val="left" w:pos="720"/>
        </w:tabs>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ab/>
        <w:t>Security gates, bollards</w:t>
      </w:r>
      <w:r w:rsidRPr="006B4A66">
        <w:rPr>
          <w:rFonts w:ascii="Times New Roman" w:eastAsia="Calibri" w:hAnsi="Times New Roman" w:cs="Times New Roman"/>
          <w:b/>
          <w:bCs/>
          <w:color w:val="000000"/>
          <w:kern w:val="0"/>
          <w:sz w:val="24"/>
          <w:u w:val="single"/>
          <w14:ligatures w14:val="none"/>
        </w:rPr>
        <w:t>,</w:t>
      </w:r>
      <w:r w:rsidRPr="006B4A66">
        <w:rPr>
          <w:rFonts w:ascii="Times New Roman" w:eastAsia="Calibri" w:hAnsi="Times New Roman" w:cs="Times New Roman"/>
          <w:b/>
          <w:bCs/>
          <w:color w:val="000000"/>
          <w:kern w:val="0"/>
          <w:sz w:val="24"/>
          <w14:ligatures w14:val="none"/>
        </w:rPr>
        <w:t xml:space="preserve"> or other obstructions (IFC 503.6).</w:t>
      </w:r>
    </w:p>
    <w:p w14:paraId="72158C5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1.</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A.</w:t>
      </w:r>
      <w:r w:rsidRPr="006B4A66">
        <w:rPr>
          <w:rFonts w:ascii="Times New Roman" w:eastAsia="Calibri" w:hAnsi="Times New Roman" w:cs="Times New Roman"/>
          <w:color w:val="000000"/>
          <w:kern w:val="0"/>
          <w:sz w:val="24"/>
          <w14:ligatures w14:val="none"/>
        </w:rPr>
        <w:t xml:space="preserve">  The installation of security gates, bollards</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other obstructions across a fire apparatus access road shall not be allowed unless approved by the fire marshal.  The use of directional-limiting devices, such as tire spikes, is prohibited.  Where security gates, bollards</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other obstructions are installed, they shall have an approved means of emergency operation.  The security gates, bollards</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other obstructions and the emergency operation shall be maintained so that they are operational at all times.</w:t>
      </w:r>
    </w:p>
    <w:p w14:paraId="3FB64BE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w:t>
      </w:r>
      <w:r w:rsidRPr="006B4A66">
        <w:rPr>
          <w:rFonts w:ascii="Times New Roman" w:eastAsia="Calibri" w:hAnsi="Times New Roman" w:cs="Times New Roman"/>
          <w:strike/>
          <w:color w:val="000000"/>
          <w:kern w:val="0"/>
          <w:sz w:val="24"/>
          <w14:ligatures w14:val="none"/>
        </w:rPr>
        <w:t>2.</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B.</w:t>
      </w:r>
      <w:r w:rsidRPr="006B4A66">
        <w:rPr>
          <w:rFonts w:ascii="Times New Roman" w:eastAsia="Calibri" w:hAnsi="Times New Roman" w:cs="Times New Roman"/>
          <w:color w:val="000000"/>
          <w:kern w:val="0"/>
          <w:sz w:val="24"/>
          <w14:ligatures w14:val="none"/>
        </w:rPr>
        <w:t xml:space="preserve">  Electric gate operators</w:t>
      </w:r>
      <w:r w:rsidRPr="006B4A66">
        <w:rPr>
          <w:rFonts w:ascii="Times New Roman" w:eastAsia="Calibri" w:hAnsi="Times New Roman" w:cs="Times New Roman"/>
          <w:color w:val="000000"/>
          <w:kern w:val="0"/>
          <w:sz w:val="24"/>
          <w:u w:val="single"/>
          <w14:ligatures w14:val="none"/>
        </w:rPr>
        <w:t>, where provided,</w:t>
      </w:r>
      <w:r w:rsidRPr="006B4A66">
        <w:rPr>
          <w:rFonts w:ascii="Times New Roman" w:eastAsia="Calibri" w:hAnsi="Times New Roman" w:cs="Times New Roman"/>
          <w:color w:val="000000"/>
          <w:kern w:val="0"/>
          <w:sz w:val="24"/>
          <w14:ligatures w14:val="none"/>
        </w:rPr>
        <w:t xml:space="preserve"> shall be listed in accordance with Underwriter Laboratories (UL) 325.  Gates intended for automatic operation shall be designed, constructed</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and installed to comply with the requirements of American Society for Testing and Materials (ASTM) F 2200 and shall be equipped with equipment approved by the fire marshal that allows for operation of the gate by fire and police personnel from their vehicle.</w:t>
      </w:r>
    </w:p>
    <w:p w14:paraId="4F8BF7C0" w14:textId="54E0092F"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3.</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C.</w:t>
      </w:r>
      <w:r w:rsidRPr="006B4A66">
        <w:rPr>
          <w:rFonts w:ascii="Times New Roman" w:eastAsia="Calibri" w:hAnsi="Times New Roman" w:cs="Times New Roman"/>
          <w:color w:val="000000"/>
          <w:kern w:val="0"/>
          <w:sz w:val="24"/>
          <w14:ligatures w14:val="none"/>
        </w:rPr>
        <w:t xml:space="preserve">  Gates shall be at a minimum as wide as the required fire apparatus access road width.  Gates, bollards</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other obstructions on commercial properties shall be set back at least 30 feet </w:t>
      </w:r>
      <w:r w:rsidRPr="006B4A66">
        <w:rPr>
          <w:rFonts w:ascii="Times New Roman" w:eastAsia="Calibri" w:hAnsi="Times New Roman" w:cs="Times New Roman"/>
          <w:color w:val="000000"/>
          <w:kern w:val="0"/>
          <w:sz w:val="24"/>
          <w:u w:val="single"/>
          <w14:ligatures w14:val="none"/>
        </w:rPr>
        <w:t>(9</w:t>
      </w:r>
      <w:r w:rsidR="007B0073">
        <w:rPr>
          <w:rFonts w:ascii="Times New Roman" w:eastAsia="Calibri" w:hAnsi="Times New Roman" w:cs="Times New Roman"/>
          <w:color w:val="000000"/>
          <w:kern w:val="0"/>
          <w:sz w:val="24"/>
          <w:u w:val="single"/>
          <w14:ligatures w14:val="none"/>
        </w:rPr>
        <w:t>.1</w:t>
      </w:r>
      <w:r w:rsidRPr="006B4A66">
        <w:rPr>
          <w:rFonts w:ascii="Times New Roman" w:eastAsia="Calibri" w:hAnsi="Times New Roman" w:cs="Times New Roman"/>
          <w:color w:val="000000"/>
          <w:kern w:val="0"/>
          <w:sz w:val="24"/>
          <w:u w:val="single"/>
          <w14:ligatures w14:val="none"/>
        </w:rPr>
        <w:t xml:space="preserve"> meters)</w:t>
      </w:r>
      <w:r w:rsidRPr="006B4A66">
        <w:rPr>
          <w:rFonts w:ascii="Times New Roman" w:eastAsia="Calibri" w:hAnsi="Times New Roman" w:cs="Times New Roman"/>
          <w:color w:val="000000"/>
          <w:kern w:val="0"/>
          <w:sz w:val="24"/>
          <w14:ligatures w14:val="none"/>
        </w:rPr>
        <w:t xml:space="preserve"> from roadway edge of pavement.  Where a fence is provided on each side of a gate for a commercial property, an access door shall be provided at an approved location with a secure key box that is approved by the fire marshal.</w:t>
      </w:r>
    </w:p>
    <w:p w14:paraId="47AC581E" w14:textId="2A881CBF"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w:t>
      </w:r>
      <w:r w:rsidRPr="006B4A66">
        <w:rPr>
          <w:rFonts w:ascii="Times New Roman" w:eastAsia="Calibri" w:hAnsi="Times New Roman" w:cs="Times New Roman"/>
          <w:color w:val="000000"/>
          <w:kern w:val="0"/>
          <w:sz w:val="24"/>
          <w14:ligatures w14:val="none"/>
        </w:rPr>
        <w:t xml:space="preserve">  Automated gates with equipment approved by the fire marshal that allow for operation of the gate by fire and police personnel from their vehicle are not required to be set back 30 feet </w:t>
      </w:r>
      <w:r w:rsidRPr="006B4A66">
        <w:rPr>
          <w:rFonts w:ascii="Times New Roman" w:eastAsia="Calibri" w:hAnsi="Times New Roman" w:cs="Times New Roman"/>
          <w:color w:val="000000"/>
          <w:kern w:val="0"/>
          <w:sz w:val="24"/>
          <w:u w:val="single"/>
          <w14:ligatures w14:val="none"/>
        </w:rPr>
        <w:t>(9</w:t>
      </w:r>
      <w:r w:rsidR="0060783A">
        <w:rPr>
          <w:rFonts w:ascii="Times New Roman" w:eastAsia="Calibri" w:hAnsi="Times New Roman" w:cs="Times New Roman"/>
          <w:color w:val="000000"/>
          <w:kern w:val="0"/>
          <w:sz w:val="24"/>
          <w:u w:val="single"/>
          <w14:ligatures w14:val="none"/>
        </w:rPr>
        <w:t>.1</w:t>
      </w:r>
      <w:r w:rsidRPr="006B4A66">
        <w:rPr>
          <w:rFonts w:ascii="Times New Roman" w:eastAsia="Calibri" w:hAnsi="Times New Roman" w:cs="Times New Roman"/>
          <w:color w:val="000000"/>
          <w:kern w:val="0"/>
          <w:sz w:val="24"/>
          <w:u w:val="single"/>
          <w14:ligatures w14:val="none"/>
        </w:rPr>
        <w:t xml:space="preserve"> meters)</w:t>
      </w:r>
      <w:r w:rsidRPr="006B4A66">
        <w:rPr>
          <w:rFonts w:ascii="Times New Roman" w:eastAsia="Calibri" w:hAnsi="Times New Roman" w:cs="Times New Roman"/>
          <w:color w:val="000000"/>
          <w:kern w:val="0"/>
          <w:sz w:val="24"/>
          <w14:ligatures w14:val="none"/>
        </w:rPr>
        <w:t xml:space="preserve"> from the roadway edge of pavement if the roadway is not a principal or collector arterial or a road with lane markers.</w:t>
      </w:r>
    </w:p>
    <w:p w14:paraId="39BD48CC" w14:textId="71B2AB1F"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223.</w:t>
      </w:r>
      <w:r w:rsidRPr="006B4A66">
        <w:rPr>
          <w:rFonts w:ascii="Times New Roman" w:eastAsia="Calibri" w:hAnsi="Times New Roman" w:cs="Times New Roman"/>
          <w:color w:val="000000"/>
          <w:kern w:val="0"/>
          <w:sz w:val="24"/>
          <w14:ligatures w14:val="none"/>
        </w:rPr>
        <w:t xml:space="preserve">  Ordinance 19485, Section 175, as amended, and K.C.C. 17.04.447 are each hereby amended to read as follows:</w:t>
      </w:r>
    </w:p>
    <w:p w14:paraId="2D9E820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504 of the International Fire Code is supplemented with the following:</w:t>
      </w:r>
    </w:p>
    <w:p w14:paraId="34EFA1DC" w14:textId="18657361"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Buildings with enclosed interior courtyards (IFC 504.5).</w:t>
      </w:r>
      <w:r w:rsidRPr="006B4A66">
        <w:rPr>
          <w:rFonts w:ascii="Times New Roman" w:eastAsia="Calibri" w:hAnsi="Times New Roman" w:cs="Times New Roman"/>
          <w:color w:val="000000"/>
          <w:kern w:val="0"/>
          <w:sz w:val="24"/>
          <w14:ligatures w14:val="none"/>
        </w:rPr>
        <w:t xml:space="preserve">  New buildings with enclosed interior courtyards shall have a straight, direct access corridor or stairway or both from the exterior to the courtyard at a location acceptable to the fire marshal. Stairways shall comply with IFC 1011 and corridors shall comply with IFC 1020.  The </w:t>
      </w:r>
      <w:r w:rsidRPr="006B4A66">
        <w:rPr>
          <w:rFonts w:ascii="Times New Roman" w:eastAsia="Calibri" w:hAnsi="Times New Roman" w:cs="Times New Roman"/>
          <w:color w:val="000000"/>
          <w:kern w:val="0"/>
          <w:sz w:val="24"/>
          <w14:ligatures w14:val="none"/>
        </w:rPr>
        <w:lastRenderedPageBreak/>
        <w:t xml:space="preserve">access shall have a minimum width of 4 feet </w:t>
      </w:r>
      <w:r w:rsidRPr="006B4A66">
        <w:rPr>
          <w:rFonts w:ascii="Times New Roman" w:eastAsia="Calibri" w:hAnsi="Times New Roman" w:cs="Times New Roman"/>
          <w:color w:val="000000"/>
          <w:kern w:val="0"/>
          <w:sz w:val="24"/>
          <w:u w:val="single"/>
          <w14:ligatures w14:val="none"/>
        </w:rPr>
        <w:t>(1,219 millimeters)</w:t>
      </w:r>
      <w:r w:rsidRPr="006B4A66">
        <w:rPr>
          <w:rFonts w:ascii="Times New Roman" w:eastAsia="Calibri" w:hAnsi="Times New Roman" w:cs="Times New Roman"/>
          <w:color w:val="000000"/>
          <w:kern w:val="0"/>
          <w:sz w:val="24"/>
          <w14:ligatures w14:val="none"/>
        </w:rPr>
        <w:t>, or an alternative width as ((</w:t>
      </w:r>
      <w:r w:rsidRPr="006B4A66">
        <w:rPr>
          <w:rFonts w:ascii="Times New Roman" w:eastAsia="Calibri" w:hAnsi="Times New Roman" w:cs="Times New Roman"/>
          <w:strike/>
          <w:color w:val="000000"/>
          <w:kern w:val="0"/>
          <w:sz w:val="24"/>
          <w14:ligatures w14:val="none"/>
        </w:rPr>
        <w:t>directed</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approved</w:t>
      </w:r>
      <w:r w:rsidRPr="006B4A66">
        <w:rPr>
          <w:rFonts w:ascii="Times New Roman" w:eastAsia="Calibri" w:hAnsi="Times New Roman" w:cs="Times New Roman"/>
          <w:color w:val="000000"/>
          <w:kern w:val="0"/>
          <w:sz w:val="24"/>
          <w14:ligatures w14:val="none"/>
        </w:rPr>
        <w:t xml:space="preserve"> by the fire marshal((</w:t>
      </w:r>
      <w:r w:rsidRPr="006B4A66">
        <w:rPr>
          <w:rFonts w:ascii="Times New Roman" w:eastAsia="Calibri" w:hAnsi="Times New Roman" w:cs="Times New Roman"/>
          <w:strike/>
          <w:color w:val="000000"/>
          <w:kern w:val="0"/>
          <w:sz w:val="24"/>
          <w14:ligatures w14:val="none"/>
        </w:rPr>
        <w:t>,</w:t>
      </w:r>
      <w:r w:rsidRPr="006B4A66">
        <w:rPr>
          <w:rFonts w:ascii="Times New Roman" w:eastAsia="Calibri" w:hAnsi="Times New Roman" w:cs="Times New Roman"/>
          <w:color w:val="000000"/>
          <w:kern w:val="0"/>
          <w:sz w:val="24"/>
          <w14:ligatures w14:val="none"/>
        </w:rPr>
        <w:t>)) and be large enough to carry a 35-foot</w:t>
      </w:r>
      <w:r w:rsidR="0060783A">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-long</w:t>
      </w:r>
      <w:r w:rsidR="0060783A">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(10</w:t>
      </w:r>
      <w:r w:rsidR="0060783A">
        <w:rPr>
          <w:rFonts w:ascii="Times New Roman" w:eastAsia="Calibri" w:hAnsi="Times New Roman" w:cs="Times New Roman"/>
          <w:color w:val="000000"/>
          <w:kern w:val="0"/>
          <w:sz w:val="24"/>
          <w:u w:val="single"/>
          <w14:ligatures w14:val="none"/>
        </w:rPr>
        <w:t xml:space="preserve">.7 </w:t>
      </w:r>
      <w:r w:rsidRPr="006B4A66">
        <w:rPr>
          <w:rFonts w:ascii="Times New Roman" w:eastAsia="Calibri" w:hAnsi="Times New Roman" w:cs="Times New Roman"/>
          <w:color w:val="000000"/>
          <w:kern w:val="0"/>
          <w:sz w:val="24"/>
          <w:u w:val="single"/>
          <w14:ligatures w14:val="none"/>
        </w:rPr>
        <w:t>meter)</w:t>
      </w:r>
      <w:r w:rsidRPr="006B4A66">
        <w:rPr>
          <w:rFonts w:ascii="Times New Roman" w:eastAsia="Calibri" w:hAnsi="Times New Roman" w:cs="Times New Roman"/>
          <w:color w:val="000000"/>
          <w:kern w:val="0"/>
          <w:sz w:val="24"/>
          <w14:ligatures w14:val="none"/>
        </w:rPr>
        <w:t xml:space="preserve"> sectional ladder, with a minimum folded length of 20 feet </w:t>
      </w:r>
      <w:r w:rsidRPr="006B4A66">
        <w:rPr>
          <w:rFonts w:ascii="Times New Roman" w:eastAsia="Calibri" w:hAnsi="Times New Roman" w:cs="Times New Roman"/>
          <w:color w:val="000000"/>
          <w:kern w:val="0"/>
          <w:sz w:val="24"/>
          <w:u w:val="single"/>
          <w14:ligatures w14:val="none"/>
        </w:rPr>
        <w:t>(6</w:t>
      </w:r>
      <w:r w:rsidR="00AA451E">
        <w:rPr>
          <w:rFonts w:ascii="Times New Roman" w:eastAsia="Calibri" w:hAnsi="Times New Roman" w:cs="Times New Roman"/>
          <w:color w:val="000000"/>
          <w:kern w:val="0"/>
          <w:sz w:val="24"/>
          <w:u w:val="single"/>
          <w14:ligatures w14:val="none"/>
        </w:rPr>
        <w:t>.1</w:t>
      </w:r>
      <w:r w:rsidRPr="006B4A66">
        <w:rPr>
          <w:rFonts w:ascii="Times New Roman" w:eastAsia="Calibri" w:hAnsi="Times New Roman" w:cs="Times New Roman"/>
          <w:color w:val="000000"/>
          <w:kern w:val="0"/>
          <w:sz w:val="24"/>
          <w:u w:val="single"/>
          <w14:ligatures w14:val="none"/>
        </w:rPr>
        <w:t xml:space="preserve"> meters)</w:t>
      </w:r>
      <w:r w:rsidRPr="006B4A66">
        <w:rPr>
          <w:rFonts w:ascii="Times New Roman" w:eastAsia="Calibri" w:hAnsi="Times New Roman" w:cs="Times New Roman"/>
          <w:color w:val="000000"/>
          <w:kern w:val="0"/>
          <w:sz w:val="24"/>
          <w14:ligatures w14:val="none"/>
        </w:rPr>
        <w:t>, directly from the exterior to the courtyard without obstructions.  The access door shall be marked at the road as "Direct access to courtyard."</w:t>
      </w:r>
    </w:p>
    <w:p w14:paraId="682141CC" w14:textId="4EACFC16"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224.</w:t>
      </w:r>
      <w:r w:rsidRPr="006B4A66">
        <w:rPr>
          <w:rFonts w:ascii="Times New Roman" w:eastAsia="Calibri" w:hAnsi="Times New Roman" w:cs="Times New Roman"/>
          <w:color w:val="000000"/>
          <w:kern w:val="0"/>
          <w:sz w:val="24"/>
          <w14:ligatures w14:val="none"/>
        </w:rPr>
        <w:t xml:space="preserve">  Ordinance 19485, Section 178, and K.C.C. 17.04.462 are each hereby amended to read as follows:</w:t>
      </w:r>
    </w:p>
    <w:p w14:paraId="5EE616E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510.1 of the International Fire Code is not adopted and the following is substituted:</w:t>
      </w:r>
    </w:p>
    <w:p w14:paraId="3C08CBE5" w14:textId="0B66580F"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Emergency responder ((</w:t>
      </w:r>
      <w:r w:rsidRPr="006B4A66">
        <w:rPr>
          <w:rFonts w:ascii="Times New Roman" w:eastAsia="Calibri" w:hAnsi="Times New Roman" w:cs="Times New Roman"/>
          <w:b/>
          <w:bCs/>
          <w:strike/>
          <w:color w:val="000000"/>
          <w:kern w:val="0"/>
          <w:sz w:val="24"/>
          <w14:ligatures w14:val="none"/>
        </w:rPr>
        <w:t>radio</w:t>
      </w:r>
      <w:r w:rsidRPr="006B4A66">
        <w:rPr>
          <w:rFonts w:ascii="Times New Roman" w:eastAsia="Calibri" w:hAnsi="Times New Roman" w:cs="Times New Roman"/>
          <w:b/>
          <w:bCs/>
          <w:color w:val="000000"/>
          <w:kern w:val="0"/>
          <w:sz w:val="24"/>
          <w14:ligatures w14:val="none"/>
        </w:rPr>
        <w:t xml:space="preserve">)) </w:t>
      </w:r>
      <w:r w:rsidRPr="006B4A66">
        <w:rPr>
          <w:rFonts w:ascii="Times New Roman" w:eastAsia="Calibri" w:hAnsi="Times New Roman" w:cs="Times New Roman"/>
          <w:b/>
          <w:bCs/>
          <w:color w:val="000000"/>
          <w:kern w:val="0"/>
          <w:sz w:val="24"/>
          <w:u w:val="single"/>
          <w14:ligatures w14:val="none"/>
        </w:rPr>
        <w:t>communication</w:t>
      </w:r>
      <w:r w:rsidRPr="006B4A66">
        <w:rPr>
          <w:rFonts w:ascii="Times New Roman" w:eastAsia="Calibri" w:hAnsi="Times New Roman" w:cs="Times New Roman"/>
          <w:b/>
          <w:bCs/>
          <w:color w:val="000000"/>
          <w:kern w:val="0"/>
          <w:sz w:val="24"/>
          <w14:ligatures w14:val="none"/>
        </w:rPr>
        <w:t xml:space="preserve"> coverage in new buildings (IFC 510.1).</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strike/>
          <w:color w:val="000000"/>
          <w:kern w:val="0"/>
          <w:sz w:val="24"/>
          <w14:ligatures w14:val="none"/>
        </w:rPr>
        <w:t>New buildings meeting the conditions of this section shall have an approved radio coverage system for emergency responders installed in accordance with IFC 510.4 through 510.5.5 and NFPA 1221.  Radio coverage is based upon the existing coverage levels of the public safety communication systems of the jurisdiction at the exterior of the building.</w:t>
      </w:r>
      <w:r w:rsidR="00325FAD" w:rsidRPr="001216D4">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Approved in-building, emergency responder communications enhancement system (ERCES) for emergency responders shall be provided in new buildings, as defined by this section.  In-building ERCES within the building shall be based on the existing coverage levels of the public safety communication systems utilized by the jurisdiction, measured at the exterior of the building.  Where required, the two-way emergency responder communications coverage system, shall be of a type determined by the fire code official and the frequency license holder(s).</w:t>
      </w:r>
      <w:r w:rsidRPr="001216D4">
        <w:rPr>
          <w:rFonts w:ascii="Times New Roman" w:eastAsia="Calibri" w:hAnsi="Times New Roman" w:cs="Times New Roman"/>
          <w:color w:val="000000"/>
          <w:kern w:val="0"/>
          <w:sz w:val="24"/>
          <w14:ligatures w14:val="none"/>
        </w:rPr>
        <w:t xml:space="preserve">  This section shall not require improvement</w:t>
      </w:r>
      <w:r w:rsidR="00042D68">
        <w:rPr>
          <w:rFonts w:ascii="Times New Roman" w:eastAsia="Calibri" w:hAnsi="Times New Roman" w:cs="Times New Roman"/>
          <w:color w:val="000000"/>
          <w:kern w:val="0"/>
          <w:sz w:val="24"/>
          <w14:ligatures w14:val="none"/>
        </w:rPr>
        <w:t>((</w:t>
      </w:r>
      <w:r w:rsidR="00042D68" w:rsidRPr="001216D4">
        <w:rPr>
          <w:rFonts w:ascii="Times New Roman" w:eastAsia="Calibri" w:hAnsi="Times New Roman" w:cs="Times New Roman"/>
          <w:strike/>
          <w:color w:val="000000"/>
          <w:kern w:val="0"/>
          <w:sz w:val="24"/>
          <w14:ligatures w14:val="none"/>
        </w:rPr>
        <w:t>s</w:t>
      </w:r>
      <w:r w:rsidR="00042D68">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color w:val="000000"/>
          <w:kern w:val="0"/>
          <w:sz w:val="24"/>
          <w14:ligatures w14:val="none"/>
        </w:rPr>
        <w:t xml:space="preserve"> of the existing public safety communication system.</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14:ligatures w14:val="none"/>
        </w:rPr>
        <w:lastRenderedPageBreak/>
        <w:t>An approved ((</w:t>
      </w:r>
      <w:r w:rsidRPr="006B4A66">
        <w:rPr>
          <w:rFonts w:ascii="Times New Roman" w:eastAsia="Calibri" w:hAnsi="Times New Roman" w:cs="Times New Roman"/>
          <w:strike/>
          <w:color w:val="000000"/>
          <w:kern w:val="0"/>
          <w:sz w:val="24"/>
          <w14:ligatures w14:val="none"/>
        </w:rPr>
        <w:t>radio coverage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communication enhancement</w:t>
      </w:r>
      <w:r w:rsidRPr="006B4A66">
        <w:rPr>
          <w:rFonts w:ascii="Times New Roman" w:eastAsia="Calibri" w:hAnsi="Times New Roman" w:cs="Times New Roman"/>
          <w:color w:val="000000"/>
          <w:kern w:val="0"/>
          <w:sz w:val="24"/>
          <w14:ligatures w14:val="none"/>
        </w:rPr>
        <w:t xml:space="preserve"> system shall be provided within new buildings meeting any of the following conditions:</w:t>
      </w:r>
    </w:p>
    <w:p w14:paraId="3882EA5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1.</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A.</w:t>
      </w:r>
      <w:r w:rsidRPr="006B4A66">
        <w:rPr>
          <w:rFonts w:ascii="Times New Roman" w:eastAsia="Calibri" w:hAnsi="Times New Roman" w:cs="Times New Roman"/>
          <w:color w:val="000000"/>
          <w:kern w:val="0"/>
          <w:sz w:val="24"/>
          <w14:ligatures w14:val="none"/>
        </w:rPr>
        <w:t xml:space="preserve">  High-rise buildings;</w:t>
      </w:r>
    </w:p>
    <w:p w14:paraId="1164861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2.  The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B.  Buildings with</w:t>
      </w:r>
      <w:r w:rsidRPr="006B4A66">
        <w:rPr>
          <w:rFonts w:ascii="Times New Roman" w:eastAsia="Calibri" w:hAnsi="Times New Roman" w:cs="Times New Roman"/>
          <w:color w:val="000000"/>
          <w:kern w:val="0"/>
          <w:sz w:val="24"/>
          <w14:ligatures w14:val="none"/>
        </w:rPr>
        <w:t xml:space="preserve"> total building area ((</w:t>
      </w:r>
      <w:r w:rsidRPr="006B4A66">
        <w:rPr>
          <w:rFonts w:ascii="Times New Roman" w:eastAsia="Calibri" w:hAnsi="Times New Roman" w:cs="Times New Roman"/>
          <w:strike/>
          <w:color w:val="000000"/>
          <w:kern w:val="0"/>
          <w:sz w:val="24"/>
          <w14:ligatures w14:val="none"/>
        </w:rPr>
        <w:t>is</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of</w:t>
      </w:r>
      <w:r w:rsidRPr="006B4A66">
        <w:rPr>
          <w:rFonts w:ascii="Times New Roman" w:eastAsia="Calibri" w:hAnsi="Times New Roman" w:cs="Times New Roman"/>
          <w:color w:val="000000"/>
          <w:kern w:val="0"/>
          <w:sz w:val="24"/>
          <w14:ligatures w14:val="none"/>
        </w:rPr>
        <w:t xml:space="preserve"> 50,000 square feet </w:t>
      </w:r>
      <w:r w:rsidRPr="006B4A66">
        <w:rPr>
          <w:rFonts w:ascii="Times New Roman" w:eastAsia="Calibri" w:hAnsi="Times New Roman" w:cs="Times New Roman"/>
          <w:color w:val="000000"/>
          <w:kern w:val="0"/>
          <w:sz w:val="24"/>
          <w:u w:val="single"/>
          <w14:ligatures w14:val="none"/>
        </w:rPr>
        <w:t>(4,645.2 square meters)</w:t>
      </w:r>
      <w:r w:rsidRPr="006B4A66">
        <w:rPr>
          <w:rFonts w:ascii="Times New Roman" w:eastAsia="Calibri" w:hAnsi="Times New Roman" w:cs="Times New Roman"/>
          <w:color w:val="000000"/>
          <w:kern w:val="0"/>
          <w:sz w:val="24"/>
          <w14:ligatures w14:val="none"/>
        </w:rPr>
        <w:t xml:space="preserve"> or more;</w:t>
      </w:r>
    </w:p>
    <w:p w14:paraId="5877DCB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3.  The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C.  Buildings with</w:t>
      </w:r>
      <w:r w:rsidRPr="006B4A66">
        <w:rPr>
          <w:rFonts w:ascii="Times New Roman" w:eastAsia="Calibri" w:hAnsi="Times New Roman" w:cs="Times New Roman"/>
          <w:color w:val="000000"/>
          <w:kern w:val="0"/>
          <w:sz w:val="24"/>
          <w14:ligatures w14:val="none"/>
        </w:rPr>
        <w:t xml:space="preserve"> total basement area ((</w:t>
      </w:r>
      <w:r w:rsidRPr="006B4A66">
        <w:rPr>
          <w:rFonts w:ascii="Times New Roman" w:eastAsia="Calibri" w:hAnsi="Times New Roman" w:cs="Times New Roman"/>
          <w:strike/>
          <w:color w:val="000000"/>
          <w:kern w:val="0"/>
          <w:sz w:val="24"/>
          <w14:ligatures w14:val="none"/>
        </w:rPr>
        <w:t>is</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of</w:t>
      </w:r>
      <w:r w:rsidRPr="006B4A66">
        <w:rPr>
          <w:rFonts w:ascii="Times New Roman" w:eastAsia="Calibri" w:hAnsi="Times New Roman" w:cs="Times New Roman"/>
          <w:color w:val="000000"/>
          <w:kern w:val="0"/>
          <w:sz w:val="24"/>
          <w14:ligatures w14:val="none"/>
        </w:rPr>
        <w:t xml:space="preserve"> 10,000 square feet </w:t>
      </w:r>
      <w:r w:rsidRPr="006B4A66">
        <w:rPr>
          <w:rFonts w:ascii="Times New Roman" w:eastAsia="Calibri" w:hAnsi="Times New Roman" w:cs="Times New Roman"/>
          <w:color w:val="000000"/>
          <w:kern w:val="0"/>
          <w:sz w:val="24"/>
          <w:u w:val="single"/>
          <w14:ligatures w14:val="none"/>
        </w:rPr>
        <w:t>(929 square meters)</w:t>
      </w:r>
      <w:r w:rsidRPr="006B4A66">
        <w:rPr>
          <w:rFonts w:ascii="Times New Roman" w:eastAsia="Calibri" w:hAnsi="Times New Roman" w:cs="Times New Roman"/>
          <w:color w:val="000000"/>
          <w:kern w:val="0"/>
          <w:sz w:val="24"/>
          <w14:ligatures w14:val="none"/>
        </w:rPr>
        <w:t xml:space="preserve"> or more;</w:t>
      </w:r>
    </w:p>
    <w:p w14:paraId="095B4E9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4.  There are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D.  Buildings with</w:t>
      </w:r>
      <w:r w:rsidRPr="006B4A66">
        <w:rPr>
          <w:rFonts w:ascii="Times New Roman" w:eastAsia="Calibri" w:hAnsi="Times New Roman" w:cs="Times New Roman"/>
          <w:color w:val="000000"/>
          <w:kern w:val="0"/>
          <w:sz w:val="24"/>
          <w14:ligatures w14:val="none"/>
        </w:rPr>
        <w:t xml:space="preserve"> floors used for human occupancy more than 30 feet </w:t>
      </w:r>
      <w:r w:rsidRPr="006B4A66">
        <w:rPr>
          <w:rFonts w:ascii="Times New Roman" w:eastAsia="Calibri" w:hAnsi="Times New Roman" w:cs="Times New Roman"/>
          <w:color w:val="000000"/>
          <w:kern w:val="0"/>
          <w:sz w:val="24"/>
          <w:u w:val="single"/>
          <w14:ligatures w14:val="none"/>
        </w:rPr>
        <w:t>(9,144 millimeters)</w:t>
      </w:r>
      <w:r w:rsidRPr="006B4A66">
        <w:rPr>
          <w:rFonts w:ascii="Times New Roman" w:eastAsia="Calibri" w:hAnsi="Times New Roman" w:cs="Times New Roman"/>
          <w:color w:val="000000"/>
          <w:kern w:val="0"/>
          <w:sz w:val="24"/>
          <w14:ligatures w14:val="none"/>
        </w:rPr>
        <w:t xml:space="preserve"> below the finished floor of the lowest level of exit discharge; or</w:t>
      </w:r>
    </w:p>
    <w:p w14:paraId="0EE1F4B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5.</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E.</w:t>
      </w:r>
      <w:r w:rsidRPr="006B4A66">
        <w:rPr>
          <w:rFonts w:ascii="Times New Roman" w:eastAsia="Calibri" w:hAnsi="Times New Roman" w:cs="Times New Roman"/>
          <w:color w:val="000000"/>
          <w:kern w:val="0"/>
          <w:sz w:val="24"/>
          <w14:ligatures w14:val="none"/>
        </w:rPr>
        <w:t xml:space="preserve">  Buildings or structures where the fire marshal determines, in consultation with the fire chief, that in-building radio coverage is critical because of its unique design, location, use</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occupancy.</w:t>
      </w:r>
    </w:p>
    <w:p w14:paraId="0D758A0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EXCEPTIONS:</w:t>
      </w:r>
    </w:p>
    <w:p w14:paraId="713D63A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Buildings and areas of buildings that have minimum radio coverage signal strength levels of the public safety radio operator within the building in accordance with IFC 510.4.1 without the use of a radio coverage system.</w:t>
      </w:r>
    </w:p>
    <w:p w14:paraId="5B248BC1" w14:textId="29682D2C"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In facilities where emergency responder radio coverage is required and such systems, components</w:t>
      </w:r>
      <w:r w:rsidR="002B153C">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equipment required could have a negative impact on the normal operations of that facility, the fire marshal shall have the authority to accept an automatically activated emergency responder radio coverage system.</w:t>
      </w:r>
    </w:p>
    <w:p w14:paraId="24124AA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3.  One- and two-family dwellings and townhouses.</w:t>
      </w:r>
    </w:p>
    <w:p w14:paraId="6CC68C7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4.  Where ((</w:t>
      </w:r>
      <w:r w:rsidRPr="006B4A66">
        <w:rPr>
          <w:rFonts w:ascii="Times New Roman" w:eastAsia="Calibri" w:hAnsi="Times New Roman" w:cs="Times New Roman"/>
          <w:strike/>
          <w:color w:val="000000"/>
          <w:kern w:val="0"/>
          <w:sz w:val="24"/>
          <w14:ligatures w14:val="none"/>
        </w:rPr>
        <w:t>it is determined by</w:t>
      </w:r>
      <w:r w:rsidRPr="006B4A66">
        <w:rPr>
          <w:rFonts w:ascii="Times New Roman" w:eastAsia="Calibri" w:hAnsi="Times New Roman" w:cs="Times New Roman"/>
          <w:color w:val="000000"/>
          <w:kern w:val="0"/>
          <w:sz w:val="24"/>
          <w14:ligatures w14:val="none"/>
        </w:rPr>
        <w:t xml:space="preserve">)) the fire marshal </w:t>
      </w:r>
      <w:r w:rsidRPr="006B4A66">
        <w:rPr>
          <w:rFonts w:ascii="Times New Roman" w:eastAsia="Calibri" w:hAnsi="Times New Roman" w:cs="Times New Roman"/>
          <w:color w:val="000000"/>
          <w:kern w:val="0"/>
          <w:sz w:val="24"/>
          <w:u w:val="single"/>
          <w14:ligatures w14:val="none"/>
        </w:rPr>
        <w:t>determines</w:t>
      </w:r>
      <w:r w:rsidRPr="006B4A66">
        <w:rPr>
          <w:rFonts w:ascii="Times New Roman" w:eastAsia="Calibri" w:hAnsi="Times New Roman" w:cs="Times New Roman"/>
          <w:color w:val="000000"/>
          <w:kern w:val="0"/>
          <w:sz w:val="24"/>
          <w14:ligatures w14:val="none"/>
        </w:rPr>
        <w:t xml:space="preserve"> that the radio coverage system is not needed.</w:t>
      </w:r>
    </w:p>
    <w:p w14:paraId="18084425" w14:textId="704CECDF"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 xml:space="preserve">5.  Where approved by the building official and the fire marshal, a wired communication system in accordance with </w:t>
      </w:r>
      <w:r w:rsidR="002B153C">
        <w:rPr>
          <w:rFonts w:ascii="Times New Roman" w:eastAsia="Calibri" w:hAnsi="Times New Roman" w:cs="Times New Roman"/>
          <w:color w:val="000000"/>
          <w:kern w:val="0"/>
          <w:sz w:val="24"/>
          <w:u w:val="single"/>
          <w14:ligatures w14:val="none"/>
        </w:rPr>
        <w:t xml:space="preserve">IFC </w:t>
      </w:r>
      <w:r w:rsidRPr="006B4A66">
        <w:rPr>
          <w:rFonts w:ascii="Times New Roman" w:eastAsia="Calibri" w:hAnsi="Times New Roman" w:cs="Times New Roman"/>
          <w:color w:val="000000"/>
          <w:kern w:val="0"/>
          <w:sz w:val="24"/>
          <w:u w:val="single"/>
          <w14:ligatures w14:val="none"/>
        </w:rPr>
        <w:t>Section 907.2.13.2 shall be permitted to be installed or maintained instead of an approved communication coverage system.</w:t>
      </w:r>
    </w:p>
    <w:p w14:paraId="102B03DB" w14:textId="53831FC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225.</w:t>
      </w:r>
      <w:r w:rsidRPr="006B4A66">
        <w:rPr>
          <w:rFonts w:ascii="Times New Roman" w:eastAsia="Calibri" w:hAnsi="Times New Roman" w:cs="Times New Roman"/>
          <w:color w:val="000000"/>
          <w:kern w:val="0"/>
          <w:sz w:val="24"/>
          <w14:ligatures w14:val="none"/>
        </w:rPr>
        <w:t xml:space="preserve">  Ordinance 19485, Section 180, and K.C.C. 17.04.467 are each hereby amended to read as follows:</w:t>
      </w:r>
    </w:p>
    <w:p w14:paraId="5D3F95D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510.4.1.2 of the International Fire Code is not adopted and the following is substituted:</w:t>
      </w:r>
    </w:p>
    <w:p w14:paraId="6B6341A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Minimum signal strength out of the building (IFC 510.4.1.2).</w:t>
      </w:r>
      <w:r w:rsidRPr="006B4A66">
        <w:rPr>
          <w:rFonts w:ascii="Times New Roman" w:eastAsia="Calibri" w:hAnsi="Times New Roman" w:cs="Times New Roman"/>
          <w:color w:val="000000"/>
          <w:kern w:val="0"/>
          <w:sz w:val="24"/>
          <w14:ligatures w14:val="none"/>
        </w:rPr>
        <w:t xml:space="preserve">  The minimum outbound signal strength shall be sufficient to provide usable voice communications throughout the coverage area as specified by the fire marshal.  The outbound signal level shall be sufficient to provide not less than a DAQ of 3((</w:t>
      </w:r>
      <w:r w:rsidRPr="006B4A66">
        <w:rPr>
          <w:rFonts w:ascii="Times New Roman" w:eastAsia="Calibri" w:hAnsi="Times New Roman" w:cs="Times New Roman"/>
          <w:strike/>
          <w:color w:val="000000"/>
          <w:kern w:val="0"/>
          <w:sz w:val="24"/>
          <w14:ligatures w14:val="none"/>
        </w:rPr>
        <w:t>.4</w:t>
      </w:r>
      <w:r w:rsidRPr="006B4A66">
        <w:rPr>
          <w:rFonts w:ascii="Times New Roman" w:eastAsia="Calibri" w:hAnsi="Times New Roman" w:cs="Times New Roman"/>
          <w:color w:val="000000"/>
          <w:kern w:val="0"/>
          <w:sz w:val="24"/>
          <w14:ligatures w14:val="none"/>
        </w:rPr>
        <w:t>)) or an equivalent SINR applicable to the technology for either analog or digital signals.  A minimum signal strength of -100 dBm shall be received by the public safety radio operator when transmitted from within the building.</w:t>
      </w:r>
    </w:p>
    <w:p w14:paraId="59DB6004" w14:textId="50247AB2"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226.</w:t>
      </w:r>
      <w:r w:rsidRPr="006B4A66">
        <w:rPr>
          <w:rFonts w:ascii="Times New Roman" w:eastAsia="Calibri" w:hAnsi="Times New Roman" w:cs="Times New Roman"/>
          <w:color w:val="000000"/>
          <w:kern w:val="0"/>
          <w:sz w:val="24"/>
          <w14:ligatures w14:val="none"/>
        </w:rPr>
        <w:t xml:space="preserve">  Ordinance 19485, Section 184, and K.C.C. 17.04.476 are each hereby amended to read as follows:</w:t>
      </w:r>
    </w:p>
    <w:p w14:paraId="4FFF4F1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w:t>
      </w:r>
      <w:r w:rsidRPr="006B4A66">
        <w:rPr>
          <w:rFonts w:ascii="Times New Roman" w:eastAsia="Calibri" w:hAnsi="Times New Roman" w:cs="Times New Roman"/>
          <w:strike/>
          <w:color w:val="000000"/>
          <w:kern w:val="0"/>
          <w:sz w:val="24"/>
          <w14:ligatures w14:val="none"/>
        </w:rPr>
        <w:t>510.5.1</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510.5.2</w:t>
      </w:r>
      <w:r w:rsidRPr="006B4A66">
        <w:rPr>
          <w:rFonts w:ascii="Times New Roman" w:eastAsia="Calibri" w:hAnsi="Times New Roman" w:cs="Times New Roman"/>
          <w:color w:val="000000"/>
          <w:kern w:val="0"/>
          <w:sz w:val="24"/>
          <w14:ligatures w14:val="none"/>
        </w:rPr>
        <w:t xml:space="preserve"> of the International Fire Code is not adopted and the following is substituted:</w:t>
      </w:r>
    </w:p>
    <w:p w14:paraId="108A3D2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Approval prior to installation (IFC ((</w:t>
      </w:r>
      <w:r w:rsidRPr="006B4A66">
        <w:rPr>
          <w:rFonts w:ascii="Times New Roman" w:eastAsia="Calibri" w:hAnsi="Times New Roman" w:cs="Times New Roman"/>
          <w:b/>
          <w:bCs/>
          <w:strike/>
          <w:color w:val="000000"/>
          <w:kern w:val="0"/>
          <w:sz w:val="24"/>
          <w14:ligatures w14:val="none"/>
        </w:rPr>
        <w:t>510.5.1</w:t>
      </w:r>
      <w:r w:rsidRPr="006B4A66">
        <w:rPr>
          <w:rFonts w:ascii="Times New Roman" w:eastAsia="Calibri" w:hAnsi="Times New Roman" w:cs="Times New Roman"/>
          <w:b/>
          <w:bCs/>
          <w:color w:val="000000"/>
          <w:kern w:val="0"/>
          <w:sz w:val="24"/>
          <w14:ligatures w14:val="none"/>
        </w:rPr>
        <w:t xml:space="preserve">)) </w:t>
      </w:r>
      <w:r w:rsidRPr="006B4A66">
        <w:rPr>
          <w:rFonts w:ascii="Times New Roman" w:eastAsia="Calibri" w:hAnsi="Times New Roman" w:cs="Times New Roman"/>
          <w:b/>
          <w:bCs/>
          <w:color w:val="000000"/>
          <w:kern w:val="0"/>
          <w:sz w:val="24"/>
          <w:u w:val="single"/>
          <w14:ligatures w14:val="none"/>
        </w:rPr>
        <w:t>510.5.2</w:t>
      </w:r>
      <w:r w:rsidRPr="006B4A66">
        <w:rPr>
          <w:rFonts w:ascii="Times New Roman" w:eastAsia="Calibri" w:hAnsi="Times New Roman" w:cs="Times New Roman"/>
          <w:b/>
          <w:bCs/>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Amplification systems capable of operating on frequencies licensed to any public safety agency by the FCC or </w:t>
      </w:r>
      <w:r w:rsidRPr="006B4A66">
        <w:rPr>
          <w:rFonts w:ascii="Times New Roman" w:eastAsia="Calibri" w:hAnsi="Times New Roman" w:cs="Times New Roman"/>
          <w:color w:val="000000"/>
          <w:kern w:val="0"/>
          <w:sz w:val="24"/>
          <w14:ligatures w14:val="none"/>
        </w:rPr>
        <w:lastRenderedPageBreak/>
        <w:t>other radio licensing authority shall not be activated to rebroadcast without prior coordination and approval of the fire marshal and public safety radio system operator.</w:t>
      </w:r>
    </w:p>
    <w:p w14:paraId="225927E3" w14:textId="37661AEA"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227.</w:t>
      </w:r>
      <w:r w:rsidRPr="006B4A66">
        <w:rPr>
          <w:rFonts w:ascii="Times New Roman" w:eastAsia="Calibri" w:hAnsi="Times New Roman" w:cs="Times New Roman"/>
          <w:color w:val="000000"/>
          <w:kern w:val="0"/>
          <w:sz w:val="24"/>
          <w14:ligatures w14:val="none"/>
        </w:rPr>
        <w:t xml:space="preserve">  Ordinance 19485, Section 192, and K.C.C. 17.04.489 are each hereby amended to read as follows:</w:t>
      </w:r>
    </w:p>
    <w:p w14:paraId="515BE8B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901.1 of the International Fire Code is not adopted and the following is substituted:</w:t>
      </w:r>
    </w:p>
    <w:p w14:paraId="4DFB5F44" w14:textId="2BEEE020"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Scope (IFC 901.1).</w:t>
      </w:r>
      <w:r w:rsidRPr="006B4A66">
        <w:rPr>
          <w:rFonts w:ascii="Times New Roman" w:eastAsia="Calibri" w:hAnsi="Times New Roman" w:cs="Times New Roman"/>
          <w:color w:val="000000"/>
          <w:kern w:val="0"/>
          <w:sz w:val="24"/>
          <w14:ligatures w14:val="none"/>
        </w:rPr>
        <w:t xml:space="preserve">  This chapter specifies where fire protection and life safety systems are required and applies to the design, installation, inspection, operation, testing</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and maintenance of fire protection </w:t>
      </w:r>
      <w:r w:rsidR="002B153C">
        <w:rPr>
          <w:rFonts w:ascii="Times New Roman" w:eastAsia="Calibri" w:hAnsi="Times New Roman" w:cs="Times New Roman"/>
          <w:color w:val="000000"/>
          <w:kern w:val="0"/>
          <w:sz w:val="24"/>
          <w:u w:val="single"/>
          <w14:ligatures w14:val="none"/>
        </w:rPr>
        <w:t>and life safety</w:t>
      </w:r>
      <w:r w:rsidR="002B153C">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14:ligatures w14:val="none"/>
        </w:rPr>
        <w:t>systems.</w:t>
      </w:r>
    </w:p>
    <w:p w14:paraId="3F8282A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1. ADDITIONAL REQUIREMENTS.</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A.  Additional requirements:</w:t>
      </w:r>
    </w:p>
    <w:p w14:paraId="0CDC11E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1.</w:t>
      </w:r>
      <w:r w:rsidRPr="006B4A66">
        <w:rPr>
          <w:rFonts w:ascii="Times New Roman" w:eastAsia="Calibri" w:hAnsi="Times New Roman" w:cs="Times New Roman"/>
          <w:color w:val="000000"/>
          <w:kern w:val="0"/>
          <w:sz w:val="24"/>
          <w14:ligatures w14:val="none"/>
        </w:rPr>
        <w:t>))1.  The fire marshal retains the authority under the IFC to impose additional conditions, including but not limited to increased setbacks, use of fire</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retardant materials</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standpipes where determined necessary to mitigate identified fire protection impacts.</w:t>
      </w:r>
    </w:p>
    <w:p w14:paraId="71A853D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1.</w:t>
      </w:r>
      <w:r w:rsidRPr="006B4A66">
        <w:rPr>
          <w:rFonts w:ascii="Times New Roman" w:eastAsia="Calibri" w:hAnsi="Times New Roman" w:cs="Times New Roman"/>
          <w:color w:val="000000"/>
          <w:kern w:val="0"/>
          <w:sz w:val="24"/>
          <w14:ligatures w14:val="none"/>
        </w:rPr>
        <w:t>))2.  This chapter applies to all buildings or structures undergoing a substantial improvement as defined in K.C.C. chapter 21A.06.</w:t>
      </w:r>
    </w:p>
    <w:p w14:paraId="61A629E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1.</w:t>
      </w:r>
      <w:r w:rsidRPr="006B4A66">
        <w:rPr>
          <w:rFonts w:ascii="Times New Roman" w:eastAsia="Calibri" w:hAnsi="Times New Roman" w:cs="Times New Roman"/>
          <w:color w:val="000000"/>
          <w:kern w:val="0"/>
          <w:sz w:val="24"/>
          <w14:ligatures w14:val="none"/>
        </w:rPr>
        <w:t>))3.  Any additions to an existing building or structure shall be considered new construction and subject the entire structure to the provisions of this chapter.</w:t>
      </w:r>
    </w:p>
    <w:p w14:paraId="3EA2CDC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1.</w:t>
      </w:r>
      <w:r w:rsidRPr="006B4A66">
        <w:rPr>
          <w:rFonts w:ascii="Times New Roman" w:eastAsia="Calibri" w:hAnsi="Times New Roman" w:cs="Times New Roman"/>
          <w:color w:val="000000"/>
          <w:kern w:val="0"/>
          <w:sz w:val="24"/>
          <w14:ligatures w14:val="none"/>
        </w:rPr>
        <w:t>))4.  All condominiums shall have the following wording in the recorded Declaration of Covenants and a copy of the document shall be provided to the fire marshal:</w:t>
      </w:r>
    </w:p>
    <w:p w14:paraId="06BC0D2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1.4.1.</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a.</w:t>
      </w:r>
      <w:r w:rsidRPr="006B4A66">
        <w:rPr>
          <w:rFonts w:ascii="Times New Roman" w:eastAsia="Calibri" w:hAnsi="Times New Roman" w:cs="Times New Roman"/>
          <w:color w:val="000000"/>
          <w:kern w:val="0"/>
          <w:sz w:val="24"/>
          <w14:ligatures w14:val="none"/>
        </w:rPr>
        <w:t xml:space="preserve">  If any unit is equipped with a sprinkler system, nothing shall be hung from the sprinklers comprising a part of the system nor shall any such sprinklers be painted, covered</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otherwise changed, tampered with</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altered ((</w:t>
      </w:r>
      <w:r w:rsidRPr="006B4A66">
        <w:rPr>
          <w:rFonts w:ascii="Times New Roman" w:eastAsia="Calibri" w:hAnsi="Times New Roman" w:cs="Times New Roman"/>
          <w:strike/>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 and</w:t>
      </w:r>
    </w:p>
    <w:p w14:paraId="77505E5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 xml:space="preserve">    ((</w:t>
      </w:r>
      <w:r w:rsidRPr="006B4A66">
        <w:rPr>
          <w:rFonts w:ascii="Times New Roman" w:eastAsia="Calibri" w:hAnsi="Times New Roman" w:cs="Times New Roman"/>
          <w:strike/>
          <w:color w:val="000000"/>
          <w:kern w:val="0"/>
          <w:sz w:val="24"/>
          <w14:ligatures w14:val="none"/>
        </w:rPr>
        <w:t>1.4.2.</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b.</w:t>
      </w:r>
      <w:r w:rsidRPr="006B4A66">
        <w:rPr>
          <w:rFonts w:ascii="Times New Roman" w:eastAsia="Calibri" w:hAnsi="Times New Roman" w:cs="Times New Roman"/>
          <w:color w:val="000000"/>
          <w:kern w:val="0"/>
          <w:sz w:val="24"/>
          <w14:ligatures w14:val="none"/>
        </w:rPr>
        <w:t xml:space="preserve">  Before any alteration, amendment, modification</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change ((</w:t>
      </w:r>
      <w:r w:rsidRPr="006B4A66">
        <w:rPr>
          <w:rFonts w:ascii="Times New Roman" w:eastAsia="Calibri" w:hAnsi="Times New Roman" w:cs="Times New Roman"/>
          <w:strike/>
          <w:color w:val="000000"/>
          <w:kern w:val="0"/>
          <w:sz w:val="24"/>
          <w14:ligatures w14:val="none"/>
        </w:rPr>
        <w:t>thereof</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to any part of the sprinkler system</w:t>
      </w:r>
      <w:r w:rsidRPr="006B4A66">
        <w:rPr>
          <w:rFonts w:ascii="Times New Roman" w:eastAsia="Calibri" w:hAnsi="Times New Roman" w:cs="Times New Roman"/>
          <w:color w:val="000000"/>
          <w:kern w:val="0"/>
          <w:sz w:val="24"/>
          <w14:ligatures w14:val="none"/>
        </w:rPr>
        <w:t>, the owners or their agents shall submit such alteration, amendment, modification</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change to the fire marshal for approval and agree to comply with all applicable sprinkler requirements.</w:t>
      </w:r>
    </w:p>
    <w:p w14:paraId="613F0D29" w14:textId="5E9103CC"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228.</w:t>
      </w:r>
      <w:r w:rsidRPr="006B4A66">
        <w:rPr>
          <w:rFonts w:ascii="Times New Roman" w:eastAsia="Calibri" w:hAnsi="Times New Roman" w:cs="Times New Roman"/>
          <w:color w:val="000000"/>
          <w:kern w:val="0"/>
          <w:sz w:val="24"/>
          <w14:ligatures w14:val="none"/>
        </w:rPr>
        <w:t xml:space="preserve">  Ordinance 12560, Section 171, and K.C.C. 17.04.520 are each hereby amended to read as follows:</w:t>
      </w:r>
    </w:p>
    <w:p w14:paraId="4AE8BF8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903.1 of the International Fire Code is not adopted and the following is substituted:</w:t>
      </w:r>
    </w:p>
    <w:p w14:paraId="5E086B84" w14:textId="77777777" w:rsidR="006B4A66" w:rsidRPr="006B4A66" w:rsidRDefault="006B4A66" w:rsidP="0073496A">
      <w:pPr>
        <w:tabs>
          <w:tab w:val="left" w:pos="720"/>
        </w:tabs>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b/>
          <w:bCs/>
          <w:color w:val="000000"/>
          <w:kern w:val="0"/>
          <w:sz w:val="24"/>
          <w14:ligatures w14:val="none"/>
        </w:rPr>
        <w:tab/>
        <w:t>General (IFC 903.1).</w:t>
      </w:r>
    </w:p>
    <w:p w14:paraId="0411A01E" w14:textId="57D625D9"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1.</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A.</w:t>
      </w:r>
      <w:r w:rsidRPr="006B4A66">
        <w:rPr>
          <w:rFonts w:ascii="Times New Roman" w:eastAsia="Calibri" w:hAnsi="Times New Roman" w:cs="Times New Roman"/>
          <w:color w:val="000000"/>
          <w:kern w:val="0"/>
          <w:sz w:val="24"/>
          <w14:ligatures w14:val="none"/>
        </w:rPr>
        <w:t xml:space="preserve">  An automatic fire ((</w:t>
      </w:r>
      <w:r w:rsidRPr="006B4A66">
        <w:rPr>
          <w:rFonts w:ascii="Times New Roman" w:eastAsia="Calibri" w:hAnsi="Times New Roman" w:cs="Times New Roman"/>
          <w:strike/>
          <w:color w:val="000000"/>
          <w:kern w:val="0"/>
          <w:sz w:val="24"/>
          <w14:ligatures w14:val="none"/>
        </w:rPr>
        <w:t>-extinguishing</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sprinkler</w:t>
      </w:r>
      <w:r w:rsidRPr="006B4A66">
        <w:rPr>
          <w:rFonts w:ascii="Times New Roman" w:eastAsia="Calibri" w:hAnsi="Times New Roman" w:cs="Times New Roman"/>
          <w:color w:val="000000"/>
          <w:kern w:val="0"/>
          <w:sz w:val="24"/>
          <w14:ligatures w14:val="none"/>
        </w:rPr>
        <w:t xml:space="preserve"> system shall be installed in the occupancies and locations in accordance with IFC </w:t>
      </w:r>
      <w:r w:rsidRPr="001216D4">
        <w:rPr>
          <w:rFonts w:ascii="Times New Roman" w:eastAsia="Calibri" w:hAnsi="Times New Roman" w:cs="Times New Roman"/>
          <w:color w:val="000000"/>
          <w:kern w:val="0"/>
          <w:sz w:val="24"/>
          <w14:ligatures w14:val="none"/>
        </w:rPr>
        <w:t>903.2</w:t>
      </w:r>
      <w:r w:rsidRPr="006B4A66">
        <w:rPr>
          <w:rFonts w:ascii="Times New Roman" w:eastAsia="Calibri" w:hAnsi="Times New Roman" w:cs="Times New Roman"/>
          <w:color w:val="000000"/>
          <w:kern w:val="0"/>
          <w:sz w:val="24"/>
          <w14:ligatures w14:val="none"/>
        </w:rPr>
        <w:t>.</w:t>
      </w:r>
    </w:p>
    <w:p w14:paraId="3338475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For provisions on special hazards and hazardous materials, see IFC 901.4.4.</w:t>
      </w:r>
    </w:p>
    <w:p w14:paraId="1116719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2.</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B.</w:t>
      </w:r>
      <w:r w:rsidRPr="006B4A66">
        <w:rPr>
          <w:rFonts w:ascii="Times New Roman" w:eastAsia="Calibri" w:hAnsi="Times New Roman" w:cs="Times New Roman"/>
          <w:color w:val="000000"/>
          <w:kern w:val="0"/>
          <w:sz w:val="24"/>
          <w14:ligatures w14:val="none"/>
        </w:rPr>
        <w:t xml:space="preserve">  The provisions of this section shall apply to all buildings undergoing a substantial improvement as defined in K.C.C. chapter 21A.06.</w:t>
      </w:r>
    </w:p>
    <w:p w14:paraId="250F4C5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3.</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C.</w:t>
      </w:r>
      <w:r w:rsidRPr="006B4A66">
        <w:rPr>
          <w:rFonts w:ascii="Times New Roman" w:eastAsia="Calibri" w:hAnsi="Times New Roman" w:cs="Times New Roman"/>
          <w:color w:val="000000"/>
          <w:kern w:val="0"/>
          <w:sz w:val="24"/>
          <w14:ligatures w14:val="none"/>
        </w:rPr>
        <w:t xml:space="preserve">  Any additions to an existing structure shall be considered new construction and subject the entire structure to the provisions of this section.</w:t>
      </w:r>
    </w:p>
    <w:p w14:paraId="56EFC9A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EXCEPTION:</w:t>
      </w:r>
      <w:r w:rsidRPr="006B4A66">
        <w:rPr>
          <w:rFonts w:ascii="Times New Roman" w:eastAsia="Calibri" w:hAnsi="Times New Roman" w:cs="Times New Roman"/>
          <w:color w:val="000000"/>
          <w:kern w:val="0"/>
          <w:sz w:val="24"/>
          <w14:ligatures w14:val="none"/>
        </w:rPr>
        <w:t xml:space="preserve">  A one</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time exemption for buildings regulated by the International Residential Code </w:t>
      </w:r>
      <w:r w:rsidRPr="006B4A66">
        <w:rPr>
          <w:rFonts w:ascii="Times New Roman" w:eastAsia="Calibri" w:hAnsi="Times New Roman" w:cs="Times New Roman"/>
          <w:color w:val="000000"/>
          <w:kern w:val="0"/>
          <w:sz w:val="24"/>
          <w:u w:val="single"/>
          <w14:ligatures w14:val="none"/>
        </w:rPr>
        <w:t>(IRC)</w:t>
      </w:r>
      <w:r w:rsidRPr="006B4A66">
        <w:rPr>
          <w:rFonts w:ascii="Times New Roman" w:eastAsia="Calibri" w:hAnsi="Times New Roman" w:cs="Times New Roman"/>
          <w:color w:val="000000"/>
          <w:kern w:val="0"/>
          <w:sz w:val="24"/>
          <w14:ligatures w14:val="none"/>
        </w:rPr>
        <w:t xml:space="preserve"> shall be allowed for a single addition not to exceed 500 square feet </w:t>
      </w:r>
      <w:r w:rsidRPr="006B4A66">
        <w:rPr>
          <w:rFonts w:ascii="Times New Roman" w:eastAsia="Calibri" w:hAnsi="Times New Roman" w:cs="Times New Roman"/>
          <w:color w:val="000000"/>
          <w:kern w:val="0"/>
          <w:sz w:val="24"/>
          <w:u w:val="single"/>
          <w14:ligatures w14:val="none"/>
        </w:rPr>
        <w:t>(46.5 square meters)</w:t>
      </w:r>
      <w:r w:rsidRPr="006B4A66">
        <w:rPr>
          <w:rFonts w:ascii="Times New Roman" w:eastAsia="Calibri" w:hAnsi="Times New Roman" w:cs="Times New Roman"/>
          <w:color w:val="000000"/>
          <w:kern w:val="0"/>
          <w:sz w:val="24"/>
          <w14:ligatures w14:val="none"/>
        </w:rPr>
        <w:t>, unless sprinklers or other fire protection systems are required by other statutes.</w:t>
      </w:r>
    </w:p>
    <w:p w14:paraId="481883D5"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4. All condominiums shall have the following wording in the recorded Declaration of Covenants and a copy of the document shall be provided to the fire marshal:</w:t>
      </w:r>
    </w:p>
    <w:p w14:paraId="6F864CA1"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 xml:space="preserve">  </w:t>
      </w:r>
      <w:r w:rsidRPr="006B4A66">
        <w:rPr>
          <w:rFonts w:ascii="Times New Roman" w:eastAsia="Calibri" w:hAnsi="Times New Roman" w:cs="Times New Roman"/>
          <w:strike/>
          <w:color w:val="000000"/>
          <w:kern w:val="0"/>
          <w:sz w:val="24"/>
          <w14:ligatures w14:val="none"/>
        </w:rPr>
        <w:t>4.1.  If any unit is equipped with a sprinkler system, nothing shall be hung from the sprinklers comprising a part of the system nor shall any such sprinklers be painted, covered or otherwise changed, tampered with or altered.</w:t>
      </w:r>
    </w:p>
    <w:p w14:paraId="0E36BCE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4.2.  Before any alteration, amendment, modification or change thereof, the owners or their agents shall submit such alteration, amendment, modification or change to the fire marshal for approval and agrees to comply with all applicable sprinkler requirements</w:t>
      </w:r>
      <w:r w:rsidRPr="006B4A66">
        <w:rPr>
          <w:rFonts w:ascii="Times New Roman" w:eastAsia="Calibri" w:hAnsi="Times New Roman" w:cs="Times New Roman"/>
          <w:color w:val="000000"/>
          <w:kern w:val="0"/>
          <w:sz w:val="24"/>
          <w14:ligatures w14:val="none"/>
        </w:rPr>
        <w:t>.))</w:t>
      </w:r>
    </w:p>
    <w:p w14:paraId="64FA43BC" w14:textId="784771CF"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229.</w:t>
      </w:r>
      <w:r w:rsidRPr="006B4A66">
        <w:rPr>
          <w:rFonts w:ascii="Times New Roman" w:eastAsia="Calibri" w:hAnsi="Times New Roman" w:cs="Times New Roman"/>
          <w:color w:val="000000"/>
          <w:kern w:val="0"/>
          <w:sz w:val="24"/>
          <w14:ligatures w14:val="none"/>
        </w:rPr>
        <w:t xml:space="preserve">  Ordinance 12560, Section 174, as amended, and K.C.C. 17.04.560 are each hereby amended to read as follows:</w:t>
      </w:r>
    </w:p>
    <w:p w14:paraId="70055E4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903.2.11 of the International Fire Code is supplemented with the following:</w:t>
      </w:r>
    </w:p>
    <w:p w14:paraId="18FDF77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tab/>
        <w:t>Habitable space of structures built under the IRC (IFC 903.2.11.8)</w:t>
      </w:r>
      <w:r w:rsidRPr="006B4A66">
        <w:rPr>
          <w:rFonts w:ascii="Times New Roman" w:eastAsia="Calibri" w:hAnsi="Times New Roman" w:cs="Times New Roman"/>
          <w:color w:val="000000"/>
          <w:kern w:val="0"/>
          <w:sz w:val="24"/>
          <w14:ligatures w14:val="none"/>
        </w:rPr>
        <w:t>.  An automatic sprinkler system shall be installed in the habitable space of structures built under the ((</w:t>
      </w:r>
      <w:r w:rsidRPr="006B4A66">
        <w:rPr>
          <w:rFonts w:ascii="Times New Roman" w:eastAsia="Calibri" w:hAnsi="Times New Roman" w:cs="Times New Roman"/>
          <w:strike/>
          <w:color w:val="000000"/>
          <w:kern w:val="0"/>
          <w:sz w:val="24"/>
          <w14:ligatures w14:val="none"/>
        </w:rPr>
        <w:t>International Residential Code (</w:t>
      </w:r>
      <w:r w:rsidRPr="006B4A66">
        <w:rPr>
          <w:rFonts w:ascii="Times New Roman" w:eastAsia="Calibri" w:hAnsi="Times New Roman" w:cs="Times New Roman"/>
          <w:color w:val="000000"/>
          <w:kern w:val="0"/>
          <w:sz w:val="24"/>
          <w14:ligatures w14:val="none"/>
        </w:rPr>
        <w:t>))IRC((</w:t>
      </w:r>
      <w:r w:rsidRPr="006B4A66">
        <w:rPr>
          <w:rFonts w:ascii="Times New Roman" w:eastAsia="Calibri" w:hAnsi="Times New Roman" w:cs="Times New Roman"/>
          <w:strike/>
          <w:color w:val="000000"/>
          <w:kern w:val="0"/>
          <w:sz w:val="24"/>
          <w14:ligatures w14:val="none"/>
        </w:rPr>
        <w:t>)</w:t>
      </w:r>
      <w:r w:rsidRPr="006B4A66">
        <w:rPr>
          <w:rFonts w:ascii="Times New Roman" w:eastAsia="Calibri" w:hAnsi="Times New Roman" w:cs="Times New Roman"/>
          <w:color w:val="000000"/>
          <w:kern w:val="0"/>
          <w:sz w:val="24"/>
          <w14:ligatures w14:val="none"/>
        </w:rPr>
        <w:t>)) when:</w:t>
      </w:r>
    </w:p>
    <w:p w14:paraId="620AB8CA" w14:textId="7C2A6232"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1.</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A.</w:t>
      </w:r>
      <w:r w:rsidRPr="006B4A66">
        <w:rPr>
          <w:rFonts w:ascii="Times New Roman" w:eastAsia="Calibri" w:hAnsi="Times New Roman" w:cs="Times New Roman"/>
          <w:color w:val="000000"/>
          <w:kern w:val="0"/>
          <w:sz w:val="24"/>
          <w14:ligatures w14:val="none"/>
        </w:rPr>
        <w:t xml:space="preserve">  There is no approved fire access </w:t>
      </w:r>
      <w:r w:rsidR="00CE5A27">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as defined in K.C.C. Title 14 and</w:t>
      </w:r>
      <w:r w:rsidR="00CE5A27" w:rsidRPr="001216D4">
        <w:rPr>
          <w:rFonts w:ascii="Times New Roman" w:eastAsia="Calibri" w:hAnsi="Times New Roman" w:cs="Times New Roman"/>
          <w:strike/>
          <w:color w:val="000000"/>
          <w:kern w:val="0"/>
          <w:sz w:val="24"/>
          <w14:ligatures w14:val="none"/>
        </w:rPr>
        <w:t>)</w:t>
      </w:r>
      <w:r w:rsidR="00CE5A27">
        <w:rPr>
          <w:rFonts w:ascii="Times New Roman" w:eastAsia="Calibri" w:hAnsi="Times New Roman" w:cs="Times New Roman"/>
          <w:color w:val="000000"/>
          <w:kern w:val="0"/>
          <w:sz w:val="24"/>
          <w14:ligatures w14:val="none"/>
        </w:rPr>
        <w:t xml:space="preserve">) </w:t>
      </w:r>
      <w:r w:rsidR="00CE5A27">
        <w:rPr>
          <w:rFonts w:ascii="Times New Roman" w:eastAsia="Calibri" w:hAnsi="Times New Roman" w:cs="Times New Roman"/>
          <w:color w:val="000000"/>
          <w:kern w:val="0"/>
          <w:sz w:val="24"/>
          <w:u w:val="single"/>
          <w14:ligatures w14:val="none"/>
        </w:rPr>
        <w:t>in accordance with</w:t>
      </w:r>
      <w:r w:rsidRPr="006B4A66">
        <w:rPr>
          <w:rFonts w:ascii="Times New Roman" w:eastAsia="Calibri" w:hAnsi="Times New Roman" w:cs="Times New Roman"/>
          <w:color w:val="000000"/>
          <w:kern w:val="0"/>
          <w:sz w:val="24"/>
          <w14:ligatures w14:val="none"/>
        </w:rPr>
        <w:t xml:space="preserve"> IFC 503; </w:t>
      </w:r>
      <w:r w:rsidRPr="006B4A66">
        <w:rPr>
          <w:rFonts w:ascii="Times New Roman" w:eastAsia="Calibri" w:hAnsi="Times New Roman" w:cs="Times New Roman"/>
          <w:color w:val="000000"/>
          <w:kern w:val="0"/>
          <w:sz w:val="24"/>
          <w:u w:val="single"/>
          <w14:ligatures w14:val="none"/>
        </w:rPr>
        <w:t>or</w:t>
      </w:r>
    </w:p>
    <w:p w14:paraId="505FF83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2.</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B.</w:t>
      </w:r>
      <w:r w:rsidRPr="006B4A66">
        <w:rPr>
          <w:rFonts w:ascii="Times New Roman" w:eastAsia="Calibri" w:hAnsi="Times New Roman" w:cs="Times New Roman"/>
          <w:color w:val="000000"/>
          <w:kern w:val="0"/>
          <w:sz w:val="24"/>
          <w14:ligatures w14:val="none"/>
        </w:rPr>
        <w:t xml:space="preserve">  The structure has a total floor area, including basements, that exceed 10,000 square feet </w:t>
      </w:r>
      <w:r w:rsidRPr="006B4A66">
        <w:rPr>
          <w:rFonts w:ascii="Times New Roman" w:eastAsia="Calibri" w:hAnsi="Times New Roman" w:cs="Times New Roman"/>
          <w:color w:val="000000"/>
          <w:kern w:val="0"/>
          <w:sz w:val="24"/>
          <w:u w:val="single"/>
          <w14:ligatures w14:val="none"/>
        </w:rPr>
        <w:t>(929 square meters)</w:t>
      </w:r>
      <w:r w:rsidRPr="006B4A66">
        <w:rPr>
          <w:rFonts w:ascii="Times New Roman" w:eastAsia="Calibri" w:hAnsi="Times New Roman" w:cs="Times New Roman"/>
          <w:color w:val="000000"/>
          <w:kern w:val="0"/>
          <w:sz w:val="24"/>
          <w14:ligatures w14:val="none"/>
        </w:rPr>
        <w:t>; or((</w:t>
      </w:r>
      <w:r w:rsidRPr="006B4A66">
        <w:rPr>
          <w:rFonts w:ascii="Times New Roman" w:eastAsia="Calibri" w:hAnsi="Times New Roman" w:cs="Times New Roman"/>
          <w:strike/>
          <w:color w:val="000000"/>
          <w:kern w:val="0"/>
          <w:sz w:val="24"/>
          <w14:ligatures w14:val="none"/>
        </w:rPr>
        <w:t>:</w:t>
      </w:r>
      <w:r w:rsidRPr="006B4A66">
        <w:rPr>
          <w:rFonts w:ascii="Times New Roman" w:eastAsia="Calibri" w:hAnsi="Times New Roman" w:cs="Times New Roman"/>
          <w:color w:val="000000"/>
          <w:kern w:val="0"/>
          <w:sz w:val="24"/>
          <w14:ligatures w14:val="none"/>
        </w:rPr>
        <w:t>))</w:t>
      </w:r>
    </w:p>
    <w:p w14:paraId="0CC175B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3.</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C.</w:t>
      </w:r>
      <w:r w:rsidRPr="006B4A66">
        <w:rPr>
          <w:rFonts w:ascii="Times New Roman" w:eastAsia="Calibri" w:hAnsi="Times New Roman" w:cs="Times New Roman"/>
          <w:color w:val="000000"/>
          <w:kern w:val="0"/>
          <w:sz w:val="24"/>
          <w14:ligatures w14:val="none"/>
        </w:rPr>
        <w:t xml:space="preserve">  There is not:</w:t>
      </w:r>
    </w:p>
    <w:p w14:paraId="74CD1E34"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3.</w:t>
      </w:r>
      <w:r w:rsidRPr="006B4A66">
        <w:rPr>
          <w:rFonts w:ascii="Times New Roman" w:eastAsia="Calibri" w:hAnsi="Times New Roman" w:cs="Times New Roman"/>
          <w:color w:val="000000"/>
          <w:kern w:val="0"/>
          <w:sz w:val="24"/>
          <w14:ligatures w14:val="none"/>
        </w:rPr>
        <w:t>))1</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A minimum fire flow of 1,000 gallons per minute </w:t>
      </w:r>
      <w:r w:rsidRPr="006B4A66">
        <w:rPr>
          <w:rFonts w:ascii="Times New Roman" w:eastAsia="Calibri" w:hAnsi="Times New Roman" w:cs="Times New Roman"/>
          <w:color w:val="000000"/>
          <w:kern w:val="0"/>
          <w:sz w:val="24"/>
          <w:u w:val="single"/>
          <w14:ligatures w14:val="none"/>
        </w:rPr>
        <w:t>(63.1 liters per second)</w:t>
      </w:r>
      <w:r w:rsidRPr="006B4A66">
        <w:rPr>
          <w:rFonts w:ascii="Times New Roman" w:eastAsia="Calibri" w:hAnsi="Times New Roman" w:cs="Times New Roman"/>
          <w:color w:val="000000"/>
          <w:kern w:val="0"/>
          <w:sz w:val="24"/>
          <w14:ligatures w14:val="none"/>
        </w:rPr>
        <w:t xml:space="preserve"> as defined in IFC Appendix B; or</w:t>
      </w:r>
    </w:p>
    <w:p w14:paraId="7C0CAA59" w14:textId="78BEA8AA"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 xml:space="preserve">  ((</w:t>
      </w:r>
      <w:r w:rsidRPr="006B4A66">
        <w:rPr>
          <w:rFonts w:ascii="Times New Roman" w:eastAsia="Calibri" w:hAnsi="Times New Roman" w:cs="Times New Roman"/>
          <w:strike/>
          <w:color w:val="000000"/>
          <w:kern w:val="0"/>
          <w:sz w:val="24"/>
          <w14:ligatures w14:val="none"/>
        </w:rPr>
        <w:t>3.</w:t>
      </w:r>
      <w:r w:rsidRPr="006B4A66">
        <w:rPr>
          <w:rFonts w:ascii="Times New Roman" w:eastAsia="Calibri" w:hAnsi="Times New Roman" w:cs="Times New Roman"/>
          <w:color w:val="000000"/>
          <w:kern w:val="0"/>
          <w:sz w:val="24"/>
          <w14:ligatures w14:val="none"/>
        </w:rPr>
        <w:t>))2</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A fire hydrant within ((</w:t>
      </w:r>
      <w:r w:rsidRPr="006B4A66">
        <w:rPr>
          <w:rFonts w:ascii="Times New Roman" w:eastAsia="Calibri" w:hAnsi="Times New Roman" w:cs="Times New Roman"/>
          <w:strike/>
          <w:color w:val="000000"/>
          <w:kern w:val="0"/>
          <w:sz w:val="24"/>
          <w14:ligatures w14:val="none"/>
        </w:rPr>
        <w:t>400 feet or</w:t>
      </w:r>
      <w:r w:rsidRPr="006B4A66">
        <w:rPr>
          <w:rFonts w:ascii="Times New Roman" w:eastAsia="Calibri" w:hAnsi="Times New Roman" w:cs="Times New Roman"/>
          <w:color w:val="000000"/>
          <w:kern w:val="0"/>
          <w:sz w:val="24"/>
          <w14:ligatures w14:val="none"/>
        </w:rPr>
        <w:t xml:space="preserve">)) 600 feet </w:t>
      </w:r>
      <w:r w:rsidRPr="006B4A66">
        <w:rPr>
          <w:rFonts w:ascii="Times New Roman" w:eastAsia="Calibri" w:hAnsi="Times New Roman" w:cs="Times New Roman"/>
          <w:color w:val="000000"/>
          <w:kern w:val="0"/>
          <w:sz w:val="24"/>
          <w:u w:val="single"/>
          <w14:ligatures w14:val="none"/>
        </w:rPr>
        <w:t>(182</w:t>
      </w:r>
      <w:r w:rsidR="0060736D">
        <w:rPr>
          <w:rFonts w:ascii="Times New Roman" w:eastAsia="Calibri" w:hAnsi="Times New Roman" w:cs="Times New Roman"/>
          <w:color w:val="000000"/>
          <w:kern w:val="0"/>
          <w:sz w:val="24"/>
          <w:u w:val="single"/>
          <w14:ligatures w14:val="none"/>
        </w:rPr>
        <w:t>.8</w:t>
      </w:r>
      <w:r w:rsidRPr="006B4A66">
        <w:rPr>
          <w:rFonts w:ascii="Times New Roman" w:eastAsia="Calibri" w:hAnsi="Times New Roman" w:cs="Times New Roman"/>
          <w:color w:val="000000"/>
          <w:kern w:val="0"/>
          <w:sz w:val="24"/>
          <w:u w:val="single"/>
          <w14:ligatures w14:val="none"/>
        </w:rPr>
        <w:t xml:space="preserve"> meters)</w:t>
      </w:r>
      <w:r w:rsidRPr="006B4A66">
        <w:rPr>
          <w:rFonts w:ascii="Times New Roman" w:eastAsia="Calibri" w:hAnsi="Times New Roman" w:cs="Times New Roman"/>
          <w:color w:val="000000"/>
          <w:kern w:val="0"/>
          <w:sz w:val="24"/>
          <w14:ligatures w14:val="none"/>
        </w:rPr>
        <w:t xml:space="preserve"> of the property line </w:t>
      </w:r>
      <w:r w:rsidRPr="006B4A66">
        <w:rPr>
          <w:rFonts w:ascii="Times New Roman" w:eastAsia="Calibri" w:hAnsi="Times New Roman" w:cs="Times New Roman"/>
          <w:color w:val="000000"/>
          <w:kern w:val="0"/>
          <w:sz w:val="24"/>
          <w:u w:val="single"/>
          <w14:ligatures w14:val="none"/>
        </w:rPr>
        <w:t>for R-3 and U occupancies, and 400 feet (121</w:t>
      </w:r>
      <w:r w:rsidR="0036544D">
        <w:rPr>
          <w:rFonts w:ascii="Times New Roman" w:eastAsia="Calibri" w:hAnsi="Times New Roman" w:cs="Times New Roman"/>
          <w:color w:val="000000"/>
          <w:kern w:val="0"/>
          <w:sz w:val="24"/>
          <w:u w:val="single"/>
          <w14:ligatures w14:val="none"/>
        </w:rPr>
        <w:t>.9</w:t>
      </w:r>
      <w:r w:rsidRPr="006B4A66">
        <w:rPr>
          <w:rFonts w:ascii="Times New Roman" w:eastAsia="Calibri" w:hAnsi="Times New Roman" w:cs="Times New Roman"/>
          <w:color w:val="000000"/>
          <w:kern w:val="0"/>
          <w:sz w:val="24"/>
          <w:u w:val="single"/>
          <w14:ligatures w14:val="none"/>
        </w:rPr>
        <w:t xml:space="preserve"> meters) for all other occupancies,</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strike/>
          <w:color w:val="000000"/>
          <w:kern w:val="0"/>
          <w:sz w:val="24"/>
          <w14:ligatures w14:val="none"/>
        </w:rPr>
        <w:t>of the property line</w:t>
      </w:r>
      <w:r w:rsidRPr="006B4A66">
        <w:rPr>
          <w:rFonts w:ascii="Times New Roman" w:eastAsia="Calibri" w:hAnsi="Times New Roman" w:cs="Times New Roman"/>
          <w:color w:val="000000"/>
          <w:kern w:val="0"/>
          <w:sz w:val="24"/>
          <w14:ligatures w14:val="none"/>
        </w:rPr>
        <w:t>)) as outlined in IFC 507.5.1.</w:t>
      </w:r>
    </w:p>
    <w:p w14:paraId="0CF0031C"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b/>
          <w:bCs/>
          <w:strike/>
          <w:color w:val="000000"/>
          <w:kern w:val="0"/>
          <w:sz w:val="24"/>
          <w14:ligatures w14:val="none"/>
        </w:rPr>
        <w:t>EXCEPTIONS:</w:t>
      </w:r>
      <w:r w:rsidRPr="006B4A66">
        <w:rPr>
          <w:rFonts w:ascii="Times New Roman" w:eastAsia="Calibri" w:hAnsi="Times New Roman" w:cs="Times New Roman"/>
          <w:strike/>
          <w:color w:val="000000"/>
          <w:kern w:val="0"/>
          <w:sz w:val="24"/>
          <w14:ligatures w14:val="none"/>
        </w:rPr>
        <w:t xml:space="preserve">  Structures are located on lots that:</w:t>
      </w:r>
    </w:p>
    <w:p w14:paraId="6EB3F680"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1.  Are sized 35,000 square feet or larger;</w:t>
      </w:r>
    </w:p>
    <w:p w14:paraId="09048896"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2.  Are outside the Urban Growth Area; and</w:t>
      </w:r>
    </w:p>
    <w:p w14:paraId="0DF88E2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strike/>
          <w:color w:val="000000"/>
          <w:kern w:val="0"/>
          <w:sz w:val="24"/>
          <w14:ligatures w14:val="none"/>
        </w:rPr>
        <w:t>3.  Have a residential use as the primary land use.</w:t>
      </w:r>
      <w:r w:rsidRPr="006B4A66">
        <w:rPr>
          <w:rFonts w:ascii="Times New Roman" w:eastAsia="Calibri" w:hAnsi="Times New Roman" w:cs="Times New Roman"/>
          <w:color w:val="000000"/>
          <w:kern w:val="0"/>
          <w:sz w:val="24"/>
          <w14:ligatures w14:val="none"/>
        </w:rPr>
        <w:t>))</w:t>
      </w:r>
    </w:p>
    <w:p w14:paraId="13732A38" w14:textId="7DCD68A6"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bookmarkStart w:id="16" w:name="_Hlk171947347"/>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230.</w:t>
      </w:r>
      <w:r w:rsidRPr="006B4A66">
        <w:rPr>
          <w:rFonts w:ascii="Times New Roman" w:eastAsia="Calibri" w:hAnsi="Times New Roman" w:cs="Times New Roman"/>
          <w:color w:val="000000"/>
          <w:kern w:val="0"/>
          <w:sz w:val="24"/>
          <w14:ligatures w14:val="none"/>
        </w:rPr>
        <w:t xml:space="preserve">  Ordinance 19485, Section 196, as amended, and K.C.C. 17.04.563 are each hereby amended to read as follows:</w:t>
      </w:r>
    </w:p>
    <w:p w14:paraId="44275FF7" w14:textId="79328139" w:rsidR="006B4A66" w:rsidRPr="006B4A66" w:rsidRDefault="006B4A66" w:rsidP="0073496A">
      <w:pPr>
        <w:tabs>
          <w:tab w:val="left" w:pos="720"/>
        </w:tabs>
        <w:spacing w:after="0" w:line="480" w:lineRule="auto"/>
        <w:rPr>
          <w:rFonts w:ascii="Times New Roman" w:eastAsia="Calibri" w:hAnsi="Times New Roman" w:cs="Times New Roman"/>
          <w:b/>
          <w:bCs/>
          <w:color w:val="000000"/>
          <w:kern w:val="0"/>
          <w:sz w:val="24"/>
          <w14:ligatures w14:val="none"/>
        </w:rPr>
      </w:pPr>
      <w:r w:rsidRPr="006B4A66">
        <w:rPr>
          <w:rFonts w:ascii="Times New Roman" w:eastAsia="Calibri" w:hAnsi="Times New Roman" w:cs="Times New Roman"/>
          <w:color w:val="000000"/>
          <w:kern w:val="0"/>
          <w:sz w:val="24"/>
          <w14:ligatures w14:val="none"/>
        </w:rPr>
        <w:tab/>
        <w:t>Section 903.2 of the International Fire Code is supplemented with the following:</w:t>
      </w:r>
      <w:r w:rsidRPr="006B4A66">
        <w:rPr>
          <w:rFonts w:ascii="Times New Roman" w:eastAsia="Calibri" w:hAnsi="Times New Roman" w:cs="Times New Roman"/>
          <w:b/>
          <w:bCs/>
          <w:color w:val="000000"/>
          <w:kern w:val="0"/>
          <w:sz w:val="24"/>
          <w14:ligatures w14:val="none"/>
        </w:rPr>
        <w:tab/>
        <w:t xml:space="preserve">Specific buildings areas </w:t>
      </w:r>
      <w:bookmarkEnd w:id="16"/>
      <w:r w:rsidRPr="006B4A66">
        <w:rPr>
          <w:rFonts w:ascii="Times New Roman" w:eastAsia="Calibri" w:hAnsi="Times New Roman" w:cs="Times New Roman"/>
          <w:b/>
          <w:bCs/>
          <w:color w:val="000000"/>
          <w:kern w:val="0"/>
          <w:sz w:val="24"/>
          <w14:ligatures w14:val="none"/>
        </w:rPr>
        <w:t xml:space="preserve">and hazards – Buildings exceeding 10,000 square feet </w:t>
      </w:r>
      <w:r w:rsidRPr="006B4A66">
        <w:rPr>
          <w:rFonts w:ascii="Times New Roman" w:eastAsia="Calibri" w:hAnsi="Times New Roman" w:cs="Times New Roman"/>
          <w:b/>
          <w:bCs/>
          <w:color w:val="000000"/>
          <w:kern w:val="0"/>
          <w:sz w:val="24"/>
          <w:u w:val="single"/>
          <w14:ligatures w14:val="none"/>
        </w:rPr>
        <w:t>(929 square meters)</w:t>
      </w:r>
      <w:r w:rsidRPr="006B4A66">
        <w:rPr>
          <w:rFonts w:ascii="Times New Roman" w:eastAsia="Calibri" w:hAnsi="Times New Roman" w:cs="Times New Roman"/>
          <w:b/>
          <w:bCs/>
          <w:color w:val="000000"/>
          <w:kern w:val="0"/>
          <w:sz w:val="24"/>
          <w14:ligatures w14:val="none"/>
        </w:rPr>
        <w:t xml:space="preserve"> (IFC 903.2.13)</w:t>
      </w:r>
      <w:r w:rsidRPr="006B4A66">
        <w:rPr>
          <w:rFonts w:ascii="Times New Roman" w:eastAsia="Calibri" w:hAnsi="Times New Roman" w:cs="Times New Roman"/>
          <w:color w:val="000000"/>
          <w:kern w:val="0"/>
          <w:sz w:val="24"/>
          <w14:ligatures w14:val="none"/>
        </w:rPr>
        <w:t>.  An automatic sprinkler system, installed in accordance with IFC 903.2</w:t>
      </w:r>
      <w:r w:rsidR="0063791C">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w:t>
      </w:r>
      <w:r w:rsidR="0063791C">
        <w:rPr>
          <w:rFonts w:ascii="Times New Roman" w:eastAsia="Calibri" w:hAnsi="Times New Roman" w:cs="Times New Roman"/>
          <w:color w:val="000000"/>
          <w:kern w:val="0"/>
          <w:sz w:val="24"/>
          <w14:ligatures w14:val="none"/>
        </w:rPr>
        <w:t xml:space="preserve">)) </w:t>
      </w:r>
      <w:r w:rsidR="0063791C">
        <w:rPr>
          <w:rFonts w:ascii="Times New Roman" w:eastAsia="Calibri" w:hAnsi="Times New Roman" w:cs="Times New Roman"/>
          <w:color w:val="000000"/>
          <w:kern w:val="0"/>
          <w:sz w:val="24"/>
          <w:u w:val="single"/>
          <w14:ligatures w14:val="none"/>
        </w:rPr>
        <w:t>and</w:t>
      </w:r>
      <w:r w:rsidRPr="006B4A66">
        <w:rPr>
          <w:rFonts w:ascii="Times New Roman" w:eastAsia="Calibri" w:hAnsi="Times New Roman" w:cs="Times New Roman"/>
          <w:color w:val="000000"/>
          <w:kern w:val="0"/>
          <w:sz w:val="24"/>
          <w14:ligatures w14:val="none"/>
        </w:rPr>
        <w:t xml:space="preserve"> 901.4.3 </w:t>
      </w:r>
      <w:r w:rsidR="0063791C">
        <w:rPr>
          <w:rFonts w:ascii="Times New Roman" w:eastAsia="Calibri" w:hAnsi="Times New Roman" w:cs="Times New Roman"/>
          <w:color w:val="000000"/>
          <w:kern w:val="0"/>
          <w:sz w:val="24"/>
          <w14:ligatures w14:val="none"/>
        </w:rPr>
        <w:t>(</w:t>
      </w:r>
      <w:r w:rsidR="0063791C" w:rsidRPr="001216D4">
        <w:rPr>
          <w:rFonts w:ascii="Times New Roman" w:eastAsia="Calibri" w:hAnsi="Times New Roman" w:cs="Times New Roman"/>
          <w:strike/>
          <w:color w:val="000000"/>
          <w:kern w:val="0"/>
          <w:sz w:val="24"/>
          <w14:ligatures w14:val="none"/>
        </w:rPr>
        <w:t>(</w:t>
      </w:r>
      <w:r w:rsidRPr="001216D4">
        <w:rPr>
          <w:rFonts w:ascii="Times New Roman" w:eastAsia="Calibri" w:hAnsi="Times New Roman" w:cs="Times New Roman"/>
          <w:strike/>
          <w:color w:val="000000"/>
          <w:kern w:val="0"/>
          <w:sz w:val="24"/>
          <w14:ligatures w14:val="none"/>
        </w:rPr>
        <w:t>and 901.4.4</w:t>
      </w:r>
      <w:r w:rsidR="0063791C">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 shall be provided throughout all buildings where the total floor area, including basements, exceeds 10,000 square feet </w:t>
      </w:r>
      <w:r w:rsidRPr="006B4A66">
        <w:rPr>
          <w:rFonts w:ascii="Times New Roman" w:eastAsia="Calibri" w:hAnsi="Times New Roman" w:cs="Times New Roman"/>
          <w:color w:val="000000"/>
          <w:kern w:val="0"/>
          <w:sz w:val="24"/>
          <w:u w:val="single"/>
          <w14:ligatures w14:val="none"/>
        </w:rPr>
        <w:t>(929 square meters)</w:t>
      </w:r>
      <w:r w:rsidRPr="006B4A66">
        <w:rPr>
          <w:rFonts w:ascii="Times New Roman" w:eastAsia="Calibri" w:hAnsi="Times New Roman" w:cs="Times New Roman"/>
          <w:color w:val="000000"/>
          <w:kern w:val="0"/>
          <w:sz w:val="24"/>
          <w14:ligatures w14:val="none"/>
        </w:rPr>
        <w:t>.  For the purposes of this section, portions of buildings separated by one or more fire walls shall not be considered a separate building.</w:t>
      </w:r>
    </w:p>
    <w:p w14:paraId="3599545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Existing buildings shall comply with this section when an addition is made to the building and the new total floor area, including basements, exceeds 10,000 square feet </w:t>
      </w:r>
      <w:r w:rsidRPr="006B4A66">
        <w:rPr>
          <w:rFonts w:ascii="Times New Roman" w:eastAsia="Calibri" w:hAnsi="Times New Roman" w:cs="Times New Roman"/>
          <w:color w:val="000000"/>
          <w:kern w:val="0"/>
          <w:sz w:val="24"/>
          <w:u w:val="single"/>
          <w14:ligatures w14:val="none"/>
        </w:rPr>
        <w:t>(929 square meters)</w:t>
      </w:r>
      <w:r w:rsidRPr="006B4A66">
        <w:rPr>
          <w:rFonts w:ascii="Times New Roman" w:eastAsia="Calibri" w:hAnsi="Times New Roman" w:cs="Times New Roman"/>
          <w:color w:val="000000"/>
          <w:kern w:val="0"/>
          <w:sz w:val="24"/>
          <w14:ligatures w14:val="none"/>
        </w:rPr>
        <w:t xml:space="preserve">, or an existing building exceeding 10,000 square feet </w:t>
      </w:r>
      <w:r w:rsidRPr="006B4A66">
        <w:rPr>
          <w:rFonts w:ascii="Times New Roman" w:eastAsia="Calibri" w:hAnsi="Times New Roman" w:cs="Times New Roman"/>
          <w:color w:val="000000"/>
          <w:kern w:val="0"/>
          <w:sz w:val="24"/>
          <w:u w:val="single"/>
          <w14:ligatures w14:val="none"/>
        </w:rPr>
        <w:t>(929 square meters)</w:t>
      </w:r>
      <w:r w:rsidRPr="006B4A66">
        <w:rPr>
          <w:rFonts w:ascii="Times New Roman" w:eastAsia="Calibri" w:hAnsi="Times New Roman" w:cs="Times New Roman"/>
          <w:color w:val="000000"/>
          <w:kern w:val="0"/>
          <w:sz w:val="24"/>
          <w14:ligatures w14:val="none"/>
        </w:rPr>
        <w:t xml:space="preserve"> is substantially improved as defined in K.C.C. chapter 21A.06.</w:t>
      </w:r>
    </w:p>
    <w:p w14:paraId="564607CA" w14:textId="19400B6D"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231.</w:t>
      </w:r>
      <w:r w:rsidRPr="006B4A66">
        <w:rPr>
          <w:rFonts w:ascii="Times New Roman" w:eastAsia="Calibri" w:hAnsi="Times New Roman" w:cs="Times New Roman"/>
          <w:color w:val="000000"/>
          <w:kern w:val="0"/>
          <w:sz w:val="24"/>
          <w14:ligatures w14:val="none"/>
        </w:rPr>
        <w:t xml:space="preserve">  Ordinance 19485, Section 7, and K.C.C. 17.04.572 are each hereby amended to read as follows:</w:t>
      </w:r>
    </w:p>
    <w:p w14:paraId="57A5BD54" w14:textId="2AFD0751"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Section 903.3.1 of the International Fire Code is not adopted and the following is substituted:</w:t>
      </w:r>
    </w:p>
    <w:p w14:paraId="0C5D1D67" w14:textId="480E8544"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Installation requirements – standards (IFC 903.3.1).</w:t>
      </w:r>
      <w:r w:rsidRPr="006B4A66">
        <w:rPr>
          <w:rFonts w:ascii="Times New Roman" w:eastAsia="Calibri" w:hAnsi="Times New Roman" w:cs="Times New Roman"/>
          <w:color w:val="000000"/>
          <w:kern w:val="0"/>
          <w:sz w:val="24"/>
          <w14:ligatures w14:val="none"/>
        </w:rPr>
        <w:t xml:space="preserve">  Sprinkler systems shall be designed and installed in accordance with IFC 903.3.1.1, unless otherwise permitted by IFC 903.3.1.2, 903.3.1.3</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and other chapters of this code, as applicable. In addition, sprinkler systems shall be designed with a buffer to account for water system fluctuations to include a low reservoir condition. Such buffer shall be ((</w:t>
      </w:r>
      <w:r w:rsidRPr="006B4A66">
        <w:rPr>
          <w:rFonts w:ascii="Times New Roman" w:eastAsia="Calibri" w:hAnsi="Times New Roman" w:cs="Times New Roman"/>
          <w:strike/>
          <w:color w:val="000000"/>
          <w:kern w:val="0"/>
          <w:sz w:val="24"/>
          <w14:ligatures w14:val="none"/>
        </w:rPr>
        <w:t>five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5</w:t>
      </w:r>
      <w:r w:rsidRPr="006B4A66">
        <w:rPr>
          <w:rFonts w:ascii="Times New Roman" w:eastAsia="Calibri" w:hAnsi="Times New Roman" w:cs="Times New Roman"/>
          <w:color w:val="000000"/>
          <w:kern w:val="0"/>
          <w:sz w:val="24"/>
          <w14:ligatures w14:val="none"/>
        </w:rPr>
        <w:t xml:space="preserve"> pounds per square inch (PSI) </w:t>
      </w:r>
      <w:r w:rsidRPr="006B4A66">
        <w:rPr>
          <w:rFonts w:ascii="Times New Roman" w:eastAsia="Calibri" w:hAnsi="Times New Roman" w:cs="Times New Roman"/>
          <w:color w:val="000000"/>
          <w:kern w:val="0"/>
          <w:sz w:val="24"/>
          <w:u w:val="single"/>
          <w14:ligatures w14:val="none"/>
        </w:rPr>
        <w:t>(</w:t>
      </w:r>
      <w:r w:rsidR="005C0BC8">
        <w:rPr>
          <w:rFonts w:ascii="Times New Roman" w:eastAsia="Calibri" w:hAnsi="Times New Roman" w:cs="Times New Roman"/>
          <w:color w:val="000000"/>
          <w:kern w:val="0"/>
          <w:sz w:val="24"/>
          <w:u w:val="single"/>
          <w14:ligatures w14:val="none"/>
        </w:rPr>
        <w:t xml:space="preserve">34.5 </w:t>
      </w:r>
      <w:r w:rsidRPr="006B4A66">
        <w:rPr>
          <w:rFonts w:ascii="Times New Roman" w:eastAsia="Calibri" w:hAnsi="Times New Roman" w:cs="Times New Roman"/>
          <w:color w:val="000000"/>
          <w:kern w:val="0"/>
          <w:sz w:val="24"/>
          <w:u w:val="single"/>
          <w14:ligatures w14:val="none"/>
        </w:rPr>
        <w:t>kilopascals)</w:t>
      </w:r>
      <w:r w:rsidRPr="006B4A66">
        <w:rPr>
          <w:rFonts w:ascii="Times New Roman" w:eastAsia="Calibri" w:hAnsi="Times New Roman" w:cs="Times New Roman"/>
          <w:color w:val="000000"/>
          <w:kern w:val="0"/>
          <w:sz w:val="24"/>
          <w14:ligatures w14:val="none"/>
        </w:rPr>
        <w:t xml:space="preserve"> for static pressures less than 50 PSI </w:t>
      </w:r>
      <w:r w:rsidRPr="006B4A66">
        <w:rPr>
          <w:rFonts w:ascii="Times New Roman" w:eastAsia="Calibri" w:hAnsi="Times New Roman" w:cs="Times New Roman"/>
          <w:color w:val="000000"/>
          <w:kern w:val="0"/>
          <w:sz w:val="24"/>
          <w:u w:val="single"/>
          <w14:ligatures w14:val="none"/>
        </w:rPr>
        <w:t>(</w:t>
      </w:r>
      <w:r w:rsidR="005C0BC8">
        <w:rPr>
          <w:rFonts w:ascii="Times New Roman" w:eastAsia="Calibri" w:hAnsi="Times New Roman" w:cs="Times New Roman"/>
          <w:color w:val="000000"/>
          <w:kern w:val="0"/>
          <w:sz w:val="24"/>
          <w:u w:val="single"/>
          <w14:ligatures w14:val="none"/>
        </w:rPr>
        <w:t xml:space="preserve">344.7 </w:t>
      </w:r>
      <w:r w:rsidRPr="006B4A66">
        <w:rPr>
          <w:rFonts w:ascii="Times New Roman" w:eastAsia="Calibri" w:hAnsi="Times New Roman" w:cs="Times New Roman"/>
          <w:color w:val="000000"/>
          <w:kern w:val="0"/>
          <w:sz w:val="24"/>
          <w:u w:val="single"/>
          <w14:ligatures w14:val="none"/>
        </w:rPr>
        <w:t>kilopascals)</w:t>
      </w:r>
      <w:r w:rsidRPr="006B4A66">
        <w:rPr>
          <w:rFonts w:ascii="Times New Roman" w:eastAsia="Calibri" w:hAnsi="Times New Roman" w:cs="Times New Roman"/>
          <w:color w:val="000000"/>
          <w:kern w:val="0"/>
          <w:sz w:val="24"/>
          <w14:ligatures w14:val="none"/>
        </w:rPr>
        <w:t xml:space="preserve"> and 10 PSI </w:t>
      </w:r>
      <w:r w:rsidRPr="006B4A66">
        <w:rPr>
          <w:rFonts w:ascii="Times New Roman" w:eastAsia="Calibri" w:hAnsi="Times New Roman" w:cs="Times New Roman"/>
          <w:color w:val="000000"/>
          <w:kern w:val="0"/>
          <w:sz w:val="24"/>
          <w:u w:val="single"/>
          <w14:ligatures w14:val="none"/>
        </w:rPr>
        <w:t>(</w:t>
      </w:r>
      <w:r w:rsidR="00FF187D">
        <w:rPr>
          <w:rFonts w:ascii="Times New Roman" w:eastAsia="Calibri" w:hAnsi="Times New Roman" w:cs="Times New Roman"/>
          <w:color w:val="000000"/>
          <w:kern w:val="0"/>
          <w:sz w:val="24"/>
          <w:u w:val="single"/>
          <w14:ligatures w14:val="none"/>
        </w:rPr>
        <w:t xml:space="preserve">69 </w:t>
      </w:r>
      <w:r w:rsidRPr="006B4A66">
        <w:rPr>
          <w:rFonts w:ascii="Times New Roman" w:eastAsia="Calibri" w:hAnsi="Times New Roman" w:cs="Times New Roman"/>
          <w:color w:val="000000"/>
          <w:kern w:val="0"/>
          <w:sz w:val="24"/>
          <w:u w:val="single"/>
          <w14:ligatures w14:val="none"/>
        </w:rPr>
        <w:t>kilopascals)</w:t>
      </w:r>
      <w:r w:rsidRPr="006B4A66">
        <w:rPr>
          <w:rFonts w:ascii="Times New Roman" w:eastAsia="Calibri" w:hAnsi="Times New Roman" w:cs="Times New Roman"/>
          <w:color w:val="000000"/>
          <w:kern w:val="0"/>
          <w:sz w:val="24"/>
          <w14:ligatures w14:val="none"/>
        </w:rPr>
        <w:t xml:space="preserve"> for static pressures above 50 PSI </w:t>
      </w:r>
      <w:r w:rsidRPr="006B4A66">
        <w:rPr>
          <w:rFonts w:ascii="Times New Roman" w:eastAsia="Calibri" w:hAnsi="Times New Roman" w:cs="Times New Roman"/>
          <w:color w:val="000000"/>
          <w:kern w:val="0"/>
          <w:sz w:val="24"/>
          <w:u w:val="single"/>
          <w14:ligatures w14:val="none"/>
        </w:rPr>
        <w:t>(</w:t>
      </w:r>
      <w:r w:rsidR="00FF187D">
        <w:rPr>
          <w:rFonts w:ascii="Times New Roman" w:eastAsia="Calibri" w:hAnsi="Times New Roman" w:cs="Times New Roman"/>
          <w:color w:val="000000"/>
          <w:kern w:val="0"/>
          <w:sz w:val="24"/>
          <w:u w:val="single"/>
          <w14:ligatures w14:val="none"/>
        </w:rPr>
        <w:t xml:space="preserve">344.7 </w:t>
      </w:r>
      <w:r w:rsidRPr="006B4A66">
        <w:rPr>
          <w:rFonts w:ascii="Times New Roman" w:eastAsia="Calibri" w:hAnsi="Times New Roman" w:cs="Times New Roman"/>
          <w:color w:val="000000"/>
          <w:kern w:val="0"/>
          <w:sz w:val="24"/>
          <w:u w:val="single"/>
          <w14:ligatures w14:val="none"/>
        </w:rPr>
        <w:t>kilopascals)</w:t>
      </w:r>
      <w:r w:rsidRPr="006B4A66">
        <w:rPr>
          <w:rFonts w:ascii="Times New Roman" w:eastAsia="Calibri" w:hAnsi="Times New Roman" w:cs="Times New Roman"/>
          <w:color w:val="000000"/>
          <w:kern w:val="0"/>
          <w:sz w:val="24"/>
          <w14:ligatures w14:val="none"/>
        </w:rPr>
        <w:t>.  Permit applicants shall independently verify site specific static pressure at the following intervals:</w:t>
      </w:r>
    </w:p>
    <w:p w14:paraId="6B3DC2B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Before initiating sprinkler system;</w:t>
      </w:r>
    </w:p>
    <w:p w14:paraId="3B64FA6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Before installing sprinkler piping, including the underground supply; and</w:t>
      </w:r>
    </w:p>
    <w:p w14:paraId="2BE7BD6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3.  Before requesting a cover inspection.</w:t>
      </w:r>
    </w:p>
    <w:p w14:paraId="7459ECC9" w14:textId="13FAB6D8"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232.</w:t>
      </w:r>
      <w:r w:rsidRPr="006B4A66">
        <w:rPr>
          <w:rFonts w:ascii="Times New Roman" w:eastAsia="Calibri" w:hAnsi="Times New Roman" w:cs="Times New Roman"/>
          <w:color w:val="000000"/>
          <w:kern w:val="0"/>
          <w:sz w:val="24"/>
          <w14:ligatures w14:val="none"/>
        </w:rPr>
        <w:t xml:space="preserve">  Ordinance 19485, Section 198, as amended, and K.C.C. 17.04.574 are each hereby amended to read as follows:</w:t>
      </w:r>
    </w:p>
    <w:p w14:paraId="38DDC91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903.4.3 of the International Fire Code is not adopted and the following is substituted:</w:t>
      </w:r>
    </w:p>
    <w:p w14:paraId="2F784AC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tab/>
        <w:t xml:space="preserve">Floor control valves (IFC 903.4.3). </w:t>
      </w:r>
      <w:r w:rsidRPr="006B4A66">
        <w:rPr>
          <w:rFonts w:ascii="Times New Roman" w:eastAsia="Calibri" w:hAnsi="Times New Roman" w:cs="Times New Roman"/>
          <w:color w:val="000000"/>
          <w:kern w:val="0"/>
          <w:sz w:val="24"/>
          <w14:ligatures w14:val="none"/>
        </w:rPr>
        <w:t>Approved supervised indicating control valves shall be provided at the point of connection to the riser on each floor.  The floor control valves shall be located within stair enclosures and within ((</w:t>
      </w:r>
      <w:r w:rsidRPr="006B4A66">
        <w:rPr>
          <w:rFonts w:ascii="Times New Roman" w:eastAsia="Calibri" w:hAnsi="Times New Roman" w:cs="Times New Roman"/>
          <w:strike/>
          <w:color w:val="000000"/>
          <w:kern w:val="0"/>
          <w:sz w:val="24"/>
          <w14:ligatures w14:val="none"/>
        </w:rPr>
        <w:t>six</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6</w:t>
      </w:r>
      <w:r w:rsidRPr="006B4A66">
        <w:rPr>
          <w:rFonts w:ascii="Times New Roman" w:eastAsia="Calibri" w:hAnsi="Times New Roman" w:cs="Times New Roman"/>
          <w:color w:val="000000"/>
          <w:kern w:val="0"/>
          <w:sz w:val="24"/>
          <w14:ligatures w14:val="none"/>
        </w:rPr>
        <w:t xml:space="preserve"> feet </w:t>
      </w:r>
      <w:r w:rsidRPr="006B4A66">
        <w:rPr>
          <w:rFonts w:ascii="Times New Roman" w:eastAsia="Calibri" w:hAnsi="Times New Roman" w:cs="Times New Roman"/>
          <w:color w:val="000000"/>
          <w:kern w:val="0"/>
          <w:sz w:val="24"/>
          <w:u w:val="single"/>
          <w14:ligatures w14:val="none"/>
        </w:rPr>
        <w:t>(1,829 millimeters)</w:t>
      </w:r>
      <w:r w:rsidRPr="006B4A66">
        <w:rPr>
          <w:rFonts w:ascii="Times New Roman" w:eastAsia="Calibri" w:hAnsi="Times New Roman" w:cs="Times New Roman"/>
          <w:color w:val="000000"/>
          <w:kern w:val="0"/>
          <w:sz w:val="24"/>
          <w14:ligatures w14:val="none"/>
        </w:rPr>
        <w:t xml:space="preserve"> of floors or landings unless chains or other approved devices are readily available.</w:t>
      </w:r>
    </w:p>
    <w:p w14:paraId="34D887F5"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lastRenderedPageBreak/>
        <w:tab/>
        <w:t>EXCEPTION</w:t>
      </w:r>
      <w:r w:rsidRPr="006B4A66">
        <w:rPr>
          <w:rFonts w:ascii="Times New Roman" w:eastAsia="Calibri" w:hAnsi="Times New Roman" w:cs="Times New Roman"/>
          <w:color w:val="000000"/>
          <w:kern w:val="0"/>
          <w:sz w:val="24"/>
          <w14:ligatures w14:val="none"/>
        </w:rPr>
        <w:t>:  In buildings without stair enclosures, the location of the floor control valves shall be determined by the fire marshal.</w:t>
      </w:r>
    </w:p>
    <w:p w14:paraId="71E4A488" w14:textId="405DE548"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233.</w:t>
      </w:r>
      <w:r w:rsidRPr="006B4A66">
        <w:rPr>
          <w:rFonts w:ascii="Times New Roman" w:eastAsia="Calibri" w:hAnsi="Times New Roman" w:cs="Times New Roman"/>
          <w:color w:val="000000"/>
          <w:kern w:val="0"/>
          <w:sz w:val="24"/>
          <w14:ligatures w14:val="none"/>
        </w:rPr>
        <w:t xml:space="preserve">  Ordinance 19485, Section 200, as amended, and K.C.C. 17.04.582 are each hereby amended to read as follows:</w:t>
      </w:r>
    </w:p>
    <w:p w14:paraId="6B88F02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905.3.1 of the International Fire Code is not adopted and the following is substituted:</w:t>
      </w:r>
    </w:p>
    <w:p w14:paraId="7F715CE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tab/>
        <w:t>Height (IFC 905.3.1)</w:t>
      </w:r>
      <w:r w:rsidRPr="006B4A66">
        <w:rPr>
          <w:rFonts w:ascii="Times New Roman" w:eastAsia="Calibri" w:hAnsi="Times New Roman" w:cs="Times New Roman"/>
          <w:color w:val="000000"/>
          <w:kern w:val="0"/>
          <w:sz w:val="24"/>
          <w14:ligatures w14:val="none"/>
        </w:rPr>
        <w:t>.  Class I standpipe systems shall be installed throughout buildings</w:t>
      </w:r>
      <w:r w:rsidRPr="006B4A66">
        <w:rPr>
          <w:rFonts w:ascii="Times New Roman" w:eastAsia="Calibri" w:hAnsi="Times New Roman" w:cs="Times New Roman"/>
          <w:b/>
          <w:bCs/>
          <w:color w:val="000000"/>
          <w:kern w:val="0"/>
          <w:sz w:val="24"/>
          <w14:ligatures w14:val="none"/>
        </w:rPr>
        <w:t xml:space="preserve"> </w:t>
      </w:r>
      <w:r w:rsidRPr="006B4A66">
        <w:rPr>
          <w:rFonts w:ascii="Times New Roman" w:eastAsia="Calibri" w:hAnsi="Times New Roman" w:cs="Times New Roman"/>
          <w:color w:val="000000"/>
          <w:kern w:val="0"/>
          <w:sz w:val="24"/>
          <w14:ligatures w14:val="none"/>
        </w:rPr>
        <w:t>where any of the following conditions exist:</w:t>
      </w:r>
    </w:p>
    <w:p w14:paraId="3B071E28" w14:textId="6FCA48C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Four or more stories are above or below grade plane((</w:t>
      </w:r>
      <w:r w:rsidRPr="006B4A66">
        <w:rPr>
          <w:rFonts w:ascii="Times New Roman" w:eastAsia="Calibri" w:hAnsi="Times New Roman" w:cs="Times New Roman"/>
          <w:strike/>
          <w:color w:val="000000"/>
          <w:kern w:val="0"/>
          <w:sz w:val="24"/>
          <w14:ligatures w14:val="none"/>
        </w:rPr>
        <w:t>.</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u w:val="single"/>
          <w14:ligatures w14:val="none"/>
        </w:rPr>
        <w:t>;</w:t>
      </w:r>
    </w:p>
    <w:p w14:paraId="1B1CBC93" w14:textId="35C5E5C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The floor level of the highest story is located more than 30 feet (</w:t>
      </w:r>
      <w:r w:rsidR="00EB08A6">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 xml:space="preserve">9144 </w:t>
      </w:r>
      <w:r w:rsidRPr="006B4A66">
        <w:rPr>
          <w:rFonts w:ascii="Times New Roman" w:eastAsia="Calibri" w:hAnsi="Times New Roman" w:cs="Times New Roman"/>
          <w:strike/>
          <w:color w:val="000000"/>
          <w:kern w:val="0"/>
          <w:sz w:val="24"/>
          <w14:ligatures w14:val="none"/>
        </w:rPr>
        <w:t>mm</w:t>
      </w:r>
      <w:r w:rsidRPr="006B4A66">
        <w:rPr>
          <w:rFonts w:ascii="Times New Roman" w:eastAsia="Calibri" w:hAnsi="Times New Roman" w:cs="Times New Roman"/>
          <w:color w:val="000000"/>
          <w:kern w:val="0"/>
          <w:sz w:val="24"/>
          <w14:ligatures w14:val="none"/>
        </w:rPr>
        <w:t xml:space="preserve">)) </w:t>
      </w:r>
      <w:r w:rsidR="00EB08A6">
        <w:rPr>
          <w:rFonts w:ascii="Times New Roman" w:eastAsia="Calibri" w:hAnsi="Times New Roman" w:cs="Times New Roman"/>
          <w:color w:val="000000"/>
          <w:kern w:val="0"/>
          <w:sz w:val="24"/>
          <w:u w:val="single"/>
          <w14:ligatures w14:val="none"/>
        </w:rPr>
        <w:t xml:space="preserve">9.1 </w:t>
      </w:r>
      <w:r w:rsidRPr="006B4A66">
        <w:rPr>
          <w:rFonts w:ascii="Times New Roman" w:eastAsia="Calibri" w:hAnsi="Times New Roman" w:cs="Times New Roman"/>
          <w:color w:val="000000"/>
          <w:kern w:val="0"/>
          <w:sz w:val="24"/>
          <w:u w:val="single"/>
          <w14:ligatures w14:val="none"/>
        </w:rPr>
        <w:t>meters</w:t>
      </w:r>
      <w:r w:rsidRPr="006B4A66">
        <w:rPr>
          <w:rFonts w:ascii="Times New Roman" w:eastAsia="Calibri" w:hAnsi="Times New Roman" w:cs="Times New Roman"/>
          <w:color w:val="000000"/>
          <w:kern w:val="0"/>
          <w:sz w:val="24"/>
          <w14:ligatures w14:val="none"/>
        </w:rPr>
        <w:t>) above the lowest level of the fire apparatus access((</w:t>
      </w:r>
      <w:r w:rsidRPr="006B4A66">
        <w:rPr>
          <w:rFonts w:ascii="Times New Roman" w:eastAsia="Calibri" w:hAnsi="Times New Roman" w:cs="Times New Roman"/>
          <w:strike/>
          <w:color w:val="000000"/>
          <w:kern w:val="0"/>
          <w:sz w:val="24"/>
          <w14:ligatures w14:val="none"/>
        </w:rPr>
        <w:t>.</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u w:val="single"/>
          <w14:ligatures w14:val="none"/>
        </w:rPr>
        <w:t>; or</w:t>
      </w:r>
    </w:p>
    <w:p w14:paraId="387B174A" w14:textId="11C4B471"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3.  The floor level of the lowest story is located more than 30 feet (</w:t>
      </w:r>
      <w:r w:rsidR="00EB08A6">
        <w:rPr>
          <w:rFonts w:ascii="Times New Roman" w:eastAsia="Calibri" w:hAnsi="Times New Roman" w:cs="Times New Roman"/>
          <w:color w:val="000000"/>
          <w:kern w:val="0"/>
          <w:sz w:val="24"/>
          <w14:ligatures w14:val="none"/>
        </w:rPr>
        <w:t>((</w:t>
      </w:r>
      <w:r w:rsidRPr="001216D4">
        <w:rPr>
          <w:rFonts w:ascii="Times New Roman" w:eastAsia="Calibri" w:hAnsi="Times New Roman" w:cs="Times New Roman"/>
          <w:strike/>
          <w:color w:val="000000"/>
          <w:kern w:val="0"/>
          <w:sz w:val="24"/>
          <w14:ligatures w14:val="none"/>
        </w:rPr>
        <w:t xml:space="preserve">9144 </w:t>
      </w:r>
      <w:r w:rsidRPr="006B4A66">
        <w:rPr>
          <w:rFonts w:ascii="Times New Roman" w:eastAsia="Calibri" w:hAnsi="Times New Roman" w:cs="Times New Roman"/>
          <w:strike/>
          <w:color w:val="000000"/>
          <w:kern w:val="0"/>
          <w:sz w:val="24"/>
          <w14:ligatures w14:val="none"/>
        </w:rPr>
        <w:t>mm</w:t>
      </w:r>
      <w:r w:rsidRPr="006B4A66">
        <w:rPr>
          <w:rFonts w:ascii="Times New Roman" w:eastAsia="Calibri" w:hAnsi="Times New Roman" w:cs="Times New Roman"/>
          <w:color w:val="000000"/>
          <w:kern w:val="0"/>
          <w:sz w:val="24"/>
          <w14:ligatures w14:val="none"/>
        </w:rPr>
        <w:t xml:space="preserve">)) </w:t>
      </w:r>
      <w:r w:rsidR="00EB08A6">
        <w:rPr>
          <w:rFonts w:ascii="Times New Roman" w:eastAsia="Calibri" w:hAnsi="Times New Roman" w:cs="Times New Roman"/>
          <w:color w:val="000000"/>
          <w:kern w:val="0"/>
          <w:sz w:val="24"/>
          <w:u w:val="single"/>
          <w14:ligatures w14:val="none"/>
        </w:rPr>
        <w:t xml:space="preserve">9.1 </w:t>
      </w:r>
      <w:r w:rsidRPr="006B4A66">
        <w:rPr>
          <w:rFonts w:ascii="Times New Roman" w:eastAsia="Calibri" w:hAnsi="Times New Roman" w:cs="Times New Roman"/>
          <w:color w:val="000000"/>
          <w:kern w:val="0"/>
          <w:sz w:val="24"/>
          <w:u w:val="single"/>
          <w14:ligatures w14:val="none"/>
        </w:rPr>
        <w:t>meters</w:t>
      </w:r>
      <w:r w:rsidRPr="006B4A66">
        <w:rPr>
          <w:rFonts w:ascii="Times New Roman" w:eastAsia="Calibri" w:hAnsi="Times New Roman" w:cs="Times New Roman"/>
          <w:color w:val="000000"/>
          <w:kern w:val="0"/>
          <w:sz w:val="24"/>
          <w14:ligatures w14:val="none"/>
        </w:rPr>
        <w:t>) below the highest level of fire apparatus access.</w:t>
      </w:r>
    </w:p>
    <w:p w14:paraId="65393B1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tab/>
        <w:t>EXCEPTIONS:</w:t>
      </w:r>
    </w:p>
    <w:p w14:paraId="5F9CA69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1.  Class II standpipes may be used for hose connections in open parking garages in accordance with IFC 905.5.</w:t>
      </w:r>
    </w:p>
    <w:p w14:paraId="17AFC26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In determining the lowest level of fire apparatus access, the following does not apply:</w:t>
      </w:r>
    </w:p>
    <w:p w14:paraId="4CC1B133"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2.1.  Recessed loading docks for four vehicles or less.</w:t>
      </w:r>
    </w:p>
    <w:p w14:paraId="3DB7CBD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2.2.  Conditions where topography makes access from the fire apparatus to the building impractical or impossible.</w:t>
      </w:r>
    </w:p>
    <w:p w14:paraId="4F12E60B" w14:textId="29D3C2AF"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234.</w:t>
      </w:r>
      <w:r w:rsidRPr="006B4A66">
        <w:rPr>
          <w:rFonts w:ascii="Times New Roman" w:eastAsia="Calibri" w:hAnsi="Times New Roman" w:cs="Times New Roman"/>
          <w:color w:val="000000"/>
          <w:kern w:val="0"/>
          <w:sz w:val="24"/>
          <w14:ligatures w14:val="none"/>
        </w:rPr>
        <w:t xml:space="preserve">  Ordinance 19485, Section 201, as amended, and K.C.C. 17.04.590 are each hereby amended to read as follows:</w:t>
      </w:r>
    </w:p>
    <w:p w14:paraId="23101B06"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Section 912.2 of the International Fire Code is supplemented with the following:</w:t>
      </w:r>
    </w:p>
    <w:p w14:paraId="3BE985A7" w14:textId="77777777" w:rsid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tab/>
        <w:t>Distance (IFC 912.2.3).</w:t>
      </w:r>
      <w:r w:rsidRPr="006B4A66">
        <w:rPr>
          <w:rFonts w:ascii="Times New Roman" w:eastAsia="Calibri" w:hAnsi="Times New Roman" w:cs="Times New Roman"/>
          <w:color w:val="000000"/>
          <w:kern w:val="0"/>
          <w:sz w:val="24"/>
          <w14:ligatures w14:val="none"/>
        </w:rPr>
        <w:t xml:space="preserve">  Fire apparatus connections shall not be located on a building unless approved by the fire marshal, and shall be located within 50 feet </w:t>
      </w:r>
      <w:r w:rsidRPr="006B4A66">
        <w:rPr>
          <w:rFonts w:ascii="Times New Roman" w:eastAsia="Calibri" w:hAnsi="Times New Roman" w:cs="Times New Roman"/>
          <w:color w:val="000000"/>
          <w:kern w:val="0"/>
          <w:sz w:val="24"/>
          <w:u w:val="single"/>
          <w14:ligatures w14:val="none"/>
        </w:rPr>
        <w:t>(15,240 millimeters)</w:t>
      </w:r>
      <w:r w:rsidRPr="006B4A66">
        <w:rPr>
          <w:rFonts w:ascii="Times New Roman" w:eastAsia="Calibri" w:hAnsi="Times New Roman" w:cs="Times New Roman"/>
          <w:color w:val="000000"/>
          <w:kern w:val="0"/>
          <w:sz w:val="24"/>
          <w14:ligatures w14:val="none"/>
        </w:rPr>
        <w:t xml:space="preserve"> of a required fire hydrant.</w:t>
      </w:r>
    </w:p>
    <w:p w14:paraId="480715FD" w14:textId="08D601CD" w:rsidR="00644BCD" w:rsidRPr="006B4A66" w:rsidRDefault="00644BCD"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235.</w:t>
      </w:r>
      <w:r w:rsidRPr="006B4A66">
        <w:rPr>
          <w:rFonts w:ascii="Times New Roman" w:eastAsia="Calibri" w:hAnsi="Times New Roman" w:cs="Times New Roman"/>
          <w:color w:val="000000"/>
          <w:kern w:val="0"/>
          <w:sz w:val="24"/>
          <w14:ligatures w14:val="none"/>
        </w:rPr>
        <w:t xml:space="preserve">  </w:t>
      </w:r>
      <w:r w:rsidR="00573F85" w:rsidRPr="006B4A66">
        <w:rPr>
          <w:rFonts w:ascii="Times New Roman" w:eastAsia="Calibri" w:hAnsi="Times New Roman" w:cs="Times New Roman"/>
          <w:color w:val="000000"/>
          <w:kern w:val="0"/>
          <w:sz w:val="24"/>
          <w14:ligatures w14:val="none"/>
        </w:rPr>
        <w:t>There is hereby added to K.C.C. chapter 17.04 a new section to read as follows:</w:t>
      </w:r>
    </w:p>
    <w:p w14:paraId="52E35F34" w14:textId="77777777" w:rsidR="00644BCD" w:rsidRPr="006B4A66" w:rsidRDefault="00644BCD"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tab/>
      </w:r>
      <w:r w:rsidRPr="006B4A66">
        <w:rPr>
          <w:rFonts w:ascii="Times New Roman" w:eastAsia="Calibri" w:hAnsi="Times New Roman" w:cs="Times New Roman"/>
          <w:color w:val="000000"/>
          <w:kern w:val="0"/>
          <w:sz w:val="24"/>
          <w14:ligatures w14:val="none"/>
        </w:rPr>
        <w:t>Section D103.2 of the International Fire Code is not adopted and the following is substituted:</w:t>
      </w:r>
    </w:p>
    <w:p w14:paraId="77C834FD" w14:textId="21EF4E87" w:rsidR="00644BCD" w:rsidRPr="006B4A66" w:rsidRDefault="00644BCD"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Grade (IFC D103.2)</w:t>
      </w:r>
      <w:r w:rsidRPr="006B4A66">
        <w:rPr>
          <w:rFonts w:ascii="Times New Roman" w:eastAsia="Calibri" w:hAnsi="Times New Roman" w:cs="Times New Roman"/>
          <w:color w:val="000000"/>
          <w:kern w:val="0"/>
          <w:sz w:val="24"/>
          <w14:ligatures w14:val="none"/>
        </w:rPr>
        <w:t>.  The gradient for a fire apparatus access road shall not exceed 15 percent at any point.</w:t>
      </w:r>
    </w:p>
    <w:p w14:paraId="56A5CBB7" w14:textId="406D8D67" w:rsidR="00644BCD" w:rsidRPr="006B4A66" w:rsidRDefault="00644BCD"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236.</w:t>
      </w:r>
      <w:r w:rsidRPr="006B4A66">
        <w:rPr>
          <w:rFonts w:ascii="Times New Roman" w:eastAsia="Calibri" w:hAnsi="Times New Roman" w:cs="Times New Roman"/>
          <w:color w:val="000000"/>
          <w:kern w:val="0"/>
          <w:sz w:val="24"/>
          <w14:ligatures w14:val="none"/>
        </w:rPr>
        <w:t xml:space="preserve">  </w:t>
      </w:r>
      <w:r w:rsidR="00573F85" w:rsidRPr="006B4A66">
        <w:rPr>
          <w:rFonts w:ascii="Times New Roman" w:eastAsia="Calibri" w:hAnsi="Times New Roman" w:cs="Times New Roman"/>
          <w:color w:val="000000"/>
          <w:kern w:val="0"/>
          <w:sz w:val="24"/>
          <w14:ligatures w14:val="none"/>
        </w:rPr>
        <w:t>There is hereby added to K.C.C. chapter 17.04 a new section to read as follows:</w:t>
      </w:r>
    </w:p>
    <w:p w14:paraId="3185046C" w14:textId="77777777" w:rsidR="00644BCD" w:rsidRPr="006B4A66" w:rsidRDefault="00644BCD"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tab/>
      </w:r>
      <w:r w:rsidRPr="006B4A66">
        <w:rPr>
          <w:rFonts w:ascii="Times New Roman" w:eastAsia="Calibri" w:hAnsi="Times New Roman" w:cs="Times New Roman"/>
          <w:color w:val="000000"/>
          <w:kern w:val="0"/>
          <w:sz w:val="24"/>
          <w14:ligatures w14:val="none"/>
        </w:rPr>
        <w:t>Section D103.3 of the International Fire Code is not adopted and the following is substituted:</w:t>
      </w:r>
    </w:p>
    <w:p w14:paraId="57076E03" w14:textId="77777777" w:rsidR="00644BCD" w:rsidRPr="006B4A66" w:rsidRDefault="00644BCD"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Turning radius (IFC D103.3)</w:t>
      </w:r>
      <w:r w:rsidRPr="006B4A66">
        <w:rPr>
          <w:rFonts w:ascii="Times New Roman" w:eastAsia="Calibri" w:hAnsi="Times New Roman" w:cs="Times New Roman"/>
          <w:color w:val="000000"/>
          <w:kern w:val="0"/>
          <w:sz w:val="24"/>
          <w14:ligatures w14:val="none"/>
        </w:rPr>
        <w:t>.  The turning radius of a fire apparatus access road shall have a 20 foot (6</w:t>
      </w:r>
      <w:r>
        <w:rPr>
          <w:rFonts w:ascii="Times New Roman" w:eastAsia="Calibri" w:hAnsi="Times New Roman" w:cs="Times New Roman"/>
          <w:color w:val="000000"/>
          <w:kern w:val="0"/>
          <w:sz w:val="24"/>
          <w14:ligatures w14:val="none"/>
        </w:rPr>
        <w:t>.1</w:t>
      </w:r>
      <w:r w:rsidRPr="006B4A66">
        <w:rPr>
          <w:rFonts w:ascii="Times New Roman" w:eastAsia="Calibri" w:hAnsi="Times New Roman" w:cs="Times New Roman"/>
          <w:color w:val="000000"/>
          <w:kern w:val="0"/>
          <w:sz w:val="24"/>
          <w14:ligatures w14:val="none"/>
        </w:rPr>
        <w:t xml:space="preserve"> meters) inside and 40 foot (12</w:t>
      </w:r>
      <w:r>
        <w:rPr>
          <w:rFonts w:ascii="Times New Roman" w:eastAsia="Calibri" w:hAnsi="Times New Roman" w:cs="Times New Roman"/>
          <w:color w:val="000000"/>
          <w:kern w:val="0"/>
          <w:sz w:val="24"/>
          <w14:ligatures w14:val="none"/>
        </w:rPr>
        <w:t>.2</w:t>
      </w:r>
      <w:r w:rsidRPr="006B4A66">
        <w:rPr>
          <w:rFonts w:ascii="Times New Roman" w:eastAsia="Calibri" w:hAnsi="Times New Roman" w:cs="Times New Roman"/>
          <w:color w:val="000000"/>
          <w:kern w:val="0"/>
          <w:sz w:val="24"/>
          <w14:ligatures w14:val="none"/>
        </w:rPr>
        <w:t xml:space="preserve"> meters) outside turning radius or as otherwise approved by the fire marshal.</w:t>
      </w:r>
    </w:p>
    <w:p w14:paraId="53144D91" w14:textId="45D67166" w:rsidR="00644BCD" w:rsidRPr="006B4A66" w:rsidRDefault="00644BCD"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237.</w:t>
      </w:r>
      <w:r w:rsidRPr="006B4A66">
        <w:rPr>
          <w:rFonts w:ascii="Times New Roman" w:eastAsia="Calibri" w:hAnsi="Times New Roman" w:cs="Times New Roman"/>
          <w:color w:val="000000"/>
          <w:kern w:val="0"/>
          <w:sz w:val="24"/>
          <w14:ligatures w14:val="none"/>
        </w:rPr>
        <w:t xml:space="preserve">  </w:t>
      </w:r>
      <w:r w:rsidR="00573F85" w:rsidRPr="006B4A66">
        <w:rPr>
          <w:rFonts w:ascii="Times New Roman" w:eastAsia="Calibri" w:hAnsi="Times New Roman" w:cs="Times New Roman"/>
          <w:color w:val="000000"/>
          <w:kern w:val="0"/>
          <w:sz w:val="24"/>
          <w14:ligatures w14:val="none"/>
        </w:rPr>
        <w:t>There is hereby added to K.C.C. chapter 17.04 a new section to read as follows:</w:t>
      </w:r>
    </w:p>
    <w:p w14:paraId="4CF0A3C5" w14:textId="77777777" w:rsidR="00644BCD" w:rsidRPr="006B4A66" w:rsidRDefault="00644BCD"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tab/>
      </w:r>
      <w:r w:rsidRPr="006B4A66">
        <w:rPr>
          <w:rFonts w:ascii="Times New Roman" w:eastAsia="Calibri" w:hAnsi="Times New Roman" w:cs="Times New Roman"/>
          <w:color w:val="000000"/>
          <w:kern w:val="0"/>
          <w:sz w:val="24"/>
          <w14:ligatures w14:val="none"/>
        </w:rPr>
        <w:t>Section D103.4 of the International Fire Code is not adopted and the following is substituted:</w:t>
      </w:r>
    </w:p>
    <w:p w14:paraId="46C78C37" w14:textId="7020B658" w:rsidR="00644BCD" w:rsidRPr="006B4A66" w:rsidRDefault="00644BCD"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Dead ends (IFC D103.4)</w:t>
      </w:r>
      <w:r w:rsidRPr="006B4A66">
        <w:rPr>
          <w:rFonts w:ascii="Times New Roman" w:eastAsia="Calibri" w:hAnsi="Times New Roman" w:cs="Times New Roman"/>
          <w:color w:val="000000"/>
          <w:kern w:val="0"/>
          <w:sz w:val="24"/>
          <w14:ligatures w14:val="none"/>
        </w:rPr>
        <w:t>.  Dead-end fire apparatus access roads in excess of 150 feet (45</w:t>
      </w:r>
      <w:r>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14:ligatures w14:val="none"/>
        </w:rPr>
        <w:t xml:space="preserve">7 meters) in length shall be provided with an approved cul-de-sac having a 40 </w:t>
      </w:r>
      <w:r w:rsidRPr="006B4A66">
        <w:rPr>
          <w:rFonts w:ascii="Times New Roman" w:eastAsia="Calibri" w:hAnsi="Times New Roman" w:cs="Times New Roman"/>
          <w:color w:val="000000"/>
          <w:kern w:val="0"/>
          <w:sz w:val="24"/>
          <w14:ligatures w14:val="none"/>
        </w:rPr>
        <w:lastRenderedPageBreak/>
        <w:t>foot (12</w:t>
      </w:r>
      <w:r>
        <w:rPr>
          <w:rFonts w:ascii="Times New Roman" w:eastAsia="Calibri" w:hAnsi="Times New Roman" w:cs="Times New Roman"/>
          <w:color w:val="000000"/>
          <w:kern w:val="0"/>
          <w:sz w:val="24"/>
          <w14:ligatures w14:val="none"/>
        </w:rPr>
        <w:t>.2</w:t>
      </w:r>
      <w:r w:rsidRPr="006B4A66">
        <w:rPr>
          <w:rFonts w:ascii="Times New Roman" w:eastAsia="Calibri" w:hAnsi="Times New Roman" w:cs="Times New Roman"/>
          <w:color w:val="000000"/>
          <w:kern w:val="0"/>
          <w:sz w:val="24"/>
          <w14:ligatures w14:val="none"/>
        </w:rPr>
        <w:t xml:space="preserve"> meters) turning radius, or "hammerhead-like" turnaround designed as described </w:t>
      </w:r>
      <w:r>
        <w:rPr>
          <w:rFonts w:ascii="Times New Roman" w:eastAsia="Calibri" w:hAnsi="Times New Roman" w:cs="Times New Roman"/>
          <w:color w:val="000000"/>
          <w:kern w:val="0"/>
          <w:sz w:val="24"/>
          <w14:ligatures w14:val="none"/>
        </w:rPr>
        <w:t>by this Appendix D</w:t>
      </w:r>
      <w:r w:rsidRPr="006B4A66">
        <w:rPr>
          <w:rFonts w:ascii="Times New Roman" w:eastAsia="Calibri" w:hAnsi="Times New Roman" w:cs="Times New Roman"/>
          <w:color w:val="000000"/>
          <w:kern w:val="0"/>
          <w:sz w:val="24"/>
          <w14:ligatures w14:val="none"/>
        </w:rPr>
        <w:t xml:space="preserve"> or other designs approved by the fire marshal.  See figure D103.4.1 for examples of approved designs.</w:t>
      </w:r>
    </w:p>
    <w:p w14:paraId="705AF70A" w14:textId="77777777" w:rsidR="00644BCD" w:rsidRPr="006B4A66" w:rsidRDefault="00644BCD"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noProof/>
          <w:color w:val="000000"/>
          <w:kern w:val="0"/>
          <w:sz w:val="24"/>
          <w14:ligatures w14:val="none"/>
        </w:rPr>
        <w:drawing>
          <wp:inline distT="0" distB="0" distL="0" distR="0" wp14:anchorId="70E1D7BB" wp14:editId="231E27F5">
            <wp:extent cx="5271718" cy="3894930"/>
            <wp:effectExtent l="0" t="0" r="5715" b="0"/>
            <wp:docPr id="1540155006" name="Picture 1540155006" descr="Diagram, engineering draw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engineering drawing&#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271718" cy="3894930"/>
                    </a:xfrm>
                    <a:prstGeom prst="rect">
                      <a:avLst/>
                    </a:prstGeom>
                  </pic:spPr>
                </pic:pic>
              </a:graphicData>
            </a:graphic>
          </wp:inline>
        </w:drawing>
      </w:r>
      <w:r w:rsidRPr="006B4A66">
        <w:rPr>
          <w:rFonts w:ascii="Times New Roman" w:eastAsia="Calibri" w:hAnsi="Times New Roman" w:cs="Times New Roman"/>
          <w:color w:val="000000"/>
          <w:kern w:val="0"/>
          <w:sz w:val="24"/>
          <w14:ligatures w14:val="none"/>
        </w:rPr>
        <w:tab/>
        <w:t>For SI: 1 foot = 305 millimeters</w:t>
      </w:r>
    </w:p>
    <w:p w14:paraId="6CC42B66" w14:textId="77777777" w:rsidR="00644BCD" w:rsidRPr="006B4A66" w:rsidRDefault="00644BCD"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D103.4.1 Examples of approved designs.</w:t>
      </w:r>
    </w:p>
    <w:p w14:paraId="3CC1D021" w14:textId="4EC92CBF" w:rsidR="00644BCD" w:rsidRPr="006B4A66" w:rsidRDefault="00644BCD"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NEW SECTION.  SECTION 238.</w:t>
      </w:r>
      <w:r w:rsidRPr="006B4A66">
        <w:rPr>
          <w:rFonts w:ascii="Times New Roman" w:eastAsia="Calibri" w:hAnsi="Times New Roman" w:cs="Times New Roman"/>
          <w:color w:val="000000"/>
          <w:kern w:val="0"/>
          <w:sz w:val="24"/>
          <w14:ligatures w14:val="none"/>
        </w:rPr>
        <w:t xml:space="preserve">  </w:t>
      </w:r>
      <w:r w:rsidR="00573F85" w:rsidRPr="006B4A66">
        <w:rPr>
          <w:rFonts w:ascii="Times New Roman" w:eastAsia="Calibri" w:hAnsi="Times New Roman" w:cs="Times New Roman"/>
          <w:color w:val="000000"/>
          <w:kern w:val="0"/>
          <w:sz w:val="24"/>
          <w14:ligatures w14:val="none"/>
        </w:rPr>
        <w:t>There is hereby added to K.C.C. chapter 17.04 a new section to read as follows:</w:t>
      </w:r>
    </w:p>
    <w:p w14:paraId="725A675D" w14:textId="77777777" w:rsidR="00644BCD" w:rsidRPr="006B4A66" w:rsidRDefault="00644BCD"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D103.5 of the International Fire Code is not adopted and the following is substituted:</w:t>
      </w:r>
    </w:p>
    <w:p w14:paraId="5219DD7D" w14:textId="2BB364E9" w:rsidR="00644BCD" w:rsidRPr="006B4A66" w:rsidRDefault="00644BCD"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Fire apparatus access road gates (IFC D103.5)</w:t>
      </w:r>
      <w:r w:rsidRPr="006B4A66">
        <w:rPr>
          <w:rFonts w:ascii="Times New Roman" w:eastAsia="Calibri" w:hAnsi="Times New Roman" w:cs="Times New Roman"/>
          <w:color w:val="000000"/>
          <w:kern w:val="0"/>
          <w:sz w:val="24"/>
          <w14:ligatures w14:val="none"/>
        </w:rPr>
        <w:t>.</w:t>
      </w:r>
      <w:r w:rsidR="00782D78">
        <w:rPr>
          <w:rFonts w:ascii="Times New Roman" w:eastAsia="Calibri" w:hAnsi="Times New Roman" w:cs="Times New Roman"/>
          <w:color w:val="000000"/>
          <w:kern w:val="0"/>
          <w:sz w:val="24"/>
          <w14:ligatures w14:val="none"/>
        </w:rPr>
        <w:t xml:space="preserve">  </w:t>
      </w:r>
      <w:r>
        <w:rPr>
          <w:rFonts w:ascii="Times New Roman" w:eastAsia="Calibri" w:hAnsi="Times New Roman" w:cs="Times New Roman"/>
          <w:color w:val="000000"/>
          <w:kern w:val="0"/>
          <w:sz w:val="24"/>
          <w14:ligatures w14:val="none"/>
        </w:rPr>
        <w:t>Fire apparatus access road gates shall comply with IFC 503.6.</w:t>
      </w:r>
    </w:p>
    <w:p w14:paraId="4552E5F7" w14:textId="16C67B4C" w:rsidR="00644BCD" w:rsidRPr="006B4A66" w:rsidRDefault="00644BCD"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color w:val="000000"/>
          <w:kern w:val="0"/>
          <w:sz w:val="24"/>
          <w:u w:val="single"/>
          <w14:ligatures w14:val="none"/>
        </w:rPr>
        <w:t>NEW SECTION.  SECTION 239.</w:t>
      </w:r>
      <w:r w:rsidRPr="006B4A66">
        <w:rPr>
          <w:rFonts w:ascii="Times New Roman" w:eastAsia="Calibri" w:hAnsi="Times New Roman" w:cs="Times New Roman"/>
          <w:color w:val="000000"/>
          <w:kern w:val="0"/>
          <w:sz w:val="24"/>
          <w14:ligatures w14:val="none"/>
        </w:rPr>
        <w:t xml:space="preserve">  </w:t>
      </w:r>
      <w:r w:rsidR="00573F85" w:rsidRPr="006B4A66">
        <w:rPr>
          <w:rFonts w:ascii="Times New Roman" w:eastAsia="Calibri" w:hAnsi="Times New Roman" w:cs="Times New Roman"/>
          <w:color w:val="000000"/>
          <w:kern w:val="0"/>
          <w:sz w:val="24"/>
          <w14:ligatures w14:val="none"/>
        </w:rPr>
        <w:t>There is hereby added to K.C.C. chapter 17.04 a new section to read as follows:</w:t>
      </w:r>
    </w:p>
    <w:p w14:paraId="184D219B" w14:textId="77777777" w:rsidR="00644BCD" w:rsidRPr="006B4A66" w:rsidRDefault="00644BCD"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Section D103.6 of the International Fire Code is not adopted and the following is substituted:</w:t>
      </w:r>
    </w:p>
    <w:p w14:paraId="48B85885" w14:textId="1126CD30" w:rsidR="0002659F" w:rsidRPr="006B4A66" w:rsidRDefault="00644BCD" w:rsidP="0073496A">
      <w:pPr>
        <w:tabs>
          <w:tab w:val="left" w:pos="720"/>
        </w:tabs>
        <w:spacing w:after="0" w:line="480" w:lineRule="auto"/>
        <w:rPr>
          <w:rFonts w:ascii="Times New Roman" w:eastAsia="Calibri" w:hAnsi="Times New Roman" w:cs="Times New Roman"/>
          <w:color w:val="000000"/>
          <w:kern w:val="0"/>
          <w:sz w:val="24"/>
          <w:u w:val="single"/>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b/>
          <w:bCs/>
          <w:color w:val="000000"/>
          <w:kern w:val="0"/>
          <w:sz w:val="24"/>
          <w14:ligatures w14:val="none"/>
        </w:rPr>
        <w:t>Signs (IFC D103.6)</w:t>
      </w:r>
      <w:r w:rsidRPr="006B4A66">
        <w:rPr>
          <w:rFonts w:ascii="Times New Roman" w:eastAsia="Calibri" w:hAnsi="Times New Roman" w:cs="Times New Roman"/>
          <w:color w:val="000000"/>
          <w:kern w:val="0"/>
          <w:sz w:val="24"/>
          <w14:ligatures w14:val="none"/>
        </w:rPr>
        <w:t xml:space="preserve">.  Signs shall comply with </w:t>
      </w:r>
      <w:r>
        <w:rPr>
          <w:rFonts w:ascii="Times New Roman" w:eastAsia="Calibri" w:hAnsi="Times New Roman" w:cs="Times New Roman"/>
          <w:color w:val="000000"/>
          <w:kern w:val="0"/>
          <w:sz w:val="24"/>
          <w14:ligatures w14:val="none"/>
        </w:rPr>
        <w:t>IFC 503.3</w:t>
      </w:r>
      <w:r w:rsidRPr="006B4A66">
        <w:rPr>
          <w:rFonts w:ascii="Times New Roman" w:eastAsia="Calibri" w:hAnsi="Times New Roman" w:cs="Times New Roman"/>
          <w:color w:val="000000"/>
          <w:kern w:val="0"/>
          <w:sz w:val="24"/>
          <w14:ligatures w14:val="none"/>
        </w:rPr>
        <w:t>.</w:t>
      </w:r>
    </w:p>
    <w:p w14:paraId="6E8CCD18" w14:textId="150FBE89" w:rsidR="00AA7C6E" w:rsidRPr="00AA7C6E" w:rsidRDefault="00AA7C6E" w:rsidP="0073496A">
      <w:pPr>
        <w:tabs>
          <w:tab w:val="left" w:pos="720"/>
        </w:tabs>
        <w:spacing w:after="0" w:line="480" w:lineRule="auto"/>
        <w:rPr>
          <w:rFonts w:asciiTheme="majorHAnsi" w:eastAsia="Calibri" w:hAnsiTheme="majorHAnsi" w:cstheme="majorHAnsi"/>
          <w:color w:val="000000"/>
          <w:kern w:val="0"/>
          <w:sz w:val="24"/>
          <w:szCs w:val="24"/>
          <w14:ligatures w14:val="none"/>
        </w:rPr>
      </w:pPr>
      <w:r w:rsidRPr="00AA7C6E">
        <w:rPr>
          <w:rFonts w:asciiTheme="majorHAnsi" w:eastAsia="Calibri" w:hAnsiTheme="majorHAnsi" w:cstheme="majorHAnsi"/>
          <w:color w:val="000000"/>
          <w:kern w:val="0"/>
          <w:sz w:val="24"/>
          <w:szCs w:val="24"/>
          <w14:ligatures w14:val="none"/>
        </w:rPr>
        <w:tab/>
      </w:r>
      <w:r w:rsidRPr="00AA7C6E">
        <w:rPr>
          <w:rFonts w:asciiTheme="majorHAnsi" w:eastAsia="Calibri" w:hAnsiTheme="majorHAnsi" w:cstheme="majorHAnsi"/>
          <w:color w:val="000000"/>
          <w:kern w:val="0"/>
          <w:sz w:val="24"/>
          <w:szCs w:val="24"/>
          <w:u w:val="single"/>
          <w14:ligatures w14:val="none"/>
        </w:rPr>
        <w:t>SECTION 240.</w:t>
      </w:r>
      <w:r w:rsidRPr="00AA7C6E">
        <w:rPr>
          <w:rFonts w:asciiTheme="majorHAnsi" w:eastAsia="Calibri" w:hAnsiTheme="majorHAnsi" w:cstheme="majorHAnsi"/>
          <w:color w:val="000000"/>
          <w:kern w:val="0"/>
          <w:sz w:val="24"/>
          <w:szCs w:val="24"/>
          <w14:ligatures w14:val="none"/>
        </w:rPr>
        <w:t xml:space="preserve">  Ordinance 5828, Section 3, as amended, and K.C.C. 17.08.020 are each hereby amended to read as follows:</w:t>
      </w:r>
    </w:p>
    <w:p w14:paraId="512B06FC" w14:textId="679332A3" w:rsidR="00B232E5" w:rsidRPr="00AA7C6E" w:rsidRDefault="00F961AA" w:rsidP="0073496A">
      <w:pPr>
        <w:spacing w:after="0" w:line="480" w:lineRule="auto"/>
        <w:rPr>
          <w:rFonts w:asciiTheme="majorHAnsi" w:eastAsia="Times New Roman" w:hAnsiTheme="majorHAnsi" w:cstheme="majorHAnsi"/>
          <w:color w:val="000000"/>
          <w:kern w:val="0"/>
          <w:sz w:val="24"/>
          <w:szCs w:val="24"/>
          <w14:ligatures w14:val="none"/>
        </w:rPr>
      </w:pPr>
      <w:r>
        <w:rPr>
          <w:rFonts w:asciiTheme="majorHAnsi" w:eastAsia="Times New Roman" w:hAnsiTheme="majorHAnsi" w:cstheme="majorHAnsi"/>
          <w:color w:val="000000"/>
          <w:spacing w:val="-2"/>
          <w:kern w:val="0"/>
          <w:sz w:val="24"/>
          <w:szCs w:val="24"/>
          <w14:ligatures w14:val="none"/>
        </w:rPr>
        <w:tab/>
      </w:r>
      <w:r w:rsidR="00B232E5" w:rsidRPr="00AA7C6E">
        <w:rPr>
          <w:rFonts w:asciiTheme="majorHAnsi" w:eastAsia="Times New Roman" w:hAnsiTheme="majorHAnsi" w:cstheme="majorHAnsi"/>
          <w:color w:val="000000"/>
          <w:spacing w:val="-2"/>
          <w:kern w:val="0"/>
          <w:sz w:val="24"/>
          <w:szCs w:val="24"/>
          <w14:ligatures w14:val="none"/>
        </w:rPr>
        <w:t>A.</w:t>
      </w:r>
      <w:r>
        <w:rPr>
          <w:rFonts w:asciiTheme="majorHAnsi" w:eastAsia="Times New Roman" w:hAnsiTheme="majorHAnsi" w:cstheme="majorHAnsi"/>
          <w:color w:val="000000"/>
          <w:spacing w:val="-2"/>
          <w:kern w:val="0"/>
          <w:sz w:val="24"/>
          <w:szCs w:val="24"/>
          <w14:ligatures w14:val="none"/>
        </w:rPr>
        <w:t xml:space="preserve"> </w:t>
      </w:r>
      <w:r w:rsidR="00B232E5" w:rsidRPr="00AA7C6E">
        <w:rPr>
          <w:rFonts w:asciiTheme="majorHAnsi" w:eastAsia="Times New Roman" w:hAnsiTheme="majorHAnsi" w:cstheme="majorHAnsi"/>
          <w:color w:val="000000"/>
          <w:spacing w:val="-2"/>
          <w:kern w:val="0"/>
          <w:sz w:val="24"/>
          <w:szCs w:val="24"/>
          <w14:ligatures w14:val="none"/>
        </w:rPr>
        <w:t xml:space="preserve"> Subdivisions and short subdivisions are required to be provided with water mains and fire hydrants meeting IFC Appendix C, consistent with county standards and state Department of Social and Health Services principles of water system design as a condition of final plat or short plat approval unless exempt under K.C.C. 17.08.030.</w:t>
      </w:r>
    </w:p>
    <w:p w14:paraId="7AB7CBAF" w14:textId="4E662353" w:rsidR="00B232E5" w:rsidRPr="00AA7C6E" w:rsidRDefault="00F961AA" w:rsidP="0073496A">
      <w:pPr>
        <w:spacing w:after="0" w:line="480" w:lineRule="auto"/>
        <w:rPr>
          <w:rFonts w:asciiTheme="majorHAnsi" w:eastAsia="Times New Roman" w:hAnsiTheme="majorHAnsi" w:cstheme="majorHAnsi"/>
          <w:color w:val="000000"/>
          <w:kern w:val="0"/>
          <w:sz w:val="24"/>
          <w:szCs w:val="24"/>
          <w14:ligatures w14:val="none"/>
        </w:rPr>
      </w:pPr>
      <w:r>
        <w:rPr>
          <w:rFonts w:asciiTheme="majorHAnsi" w:eastAsia="Times New Roman" w:hAnsiTheme="majorHAnsi" w:cstheme="majorHAnsi"/>
          <w:color w:val="000000"/>
          <w:spacing w:val="-2"/>
          <w:kern w:val="0"/>
          <w:sz w:val="24"/>
          <w:szCs w:val="24"/>
          <w14:ligatures w14:val="none"/>
        </w:rPr>
        <w:tab/>
      </w:r>
      <w:r w:rsidR="00B232E5" w:rsidRPr="00AA7C6E">
        <w:rPr>
          <w:rFonts w:asciiTheme="majorHAnsi" w:eastAsia="Times New Roman" w:hAnsiTheme="majorHAnsi" w:cstheme="majorHAnsi"/>
          <w:color w:val="000000"/>
          <w:spacing w:val="-2"/>
          <w:kern w:val="0"/>
          <w:sz w:val="24"/>
          <w:szCs w:val="24"/>
          <w14:ligatures w14:val="none"/>
        </w:rPr>
        <w:t>B.</w:t>
      </w:r>
      <w:r>
        <w:rPr>
          <w:rFonts w:asciiTheme="majorHAnsi" w:eastAsia="Times New Roman" w:hAnsiTheme="majorHAnsi" w:cstheme="majorHAnsi"/>
          <w:color w:val="000000"/>
          <w:spacing w:val="-2"/>
          <w:kern w:val="0"/>
          <w:sz w:val="24"/>
          <w:szCs w:val="24"/>
          <w14:ligatures w14:val="none"/>
        </w:rPr>
        <w:t xml:space="preserve"> </w:t>
      </w:r>
      <w:r w:rsidR="00B232E5" w:rsidRPr="00AA7C6E">
        <w:rPr>
          <w:rFonts w:asciiTheme="majorHAnsi" w:eastAsia="Times New Roman" w:hAnsiTheme="majorHAnsi" w:cstheme="majorHAnsi"/>
          <w:color w:val="000000"/>
          <w:spacing w:val="-2"/>
          <w:kern w:val="0"/>
          <w:sz w:val="24"/>
          <w:szCs w:val="24"/>
          <w14:ligatures w14:val="none"/>
        </w:rPr>
        <w:t xml:space="preserve"> All structures or additions thereto erected under a building permit shall be served by operational water mains and fire hydrants consistent with county standards before:</w:t>
      </w:r>
    </w:p>
    <w:p w14:paraId="780DE61E" w14:textId="4757E0E9" w:rsidR="00B232E5" w:rsidRPr="00AA7C6E" w:rsidRDefault="00AB3FCA" w:rsidP="0073496A">
      <w:pPr>
        <w:spacing w:after="0" w:line="480" w:lineRule="auto"/>
        <w:rPr>
          <w:rFonts w:asciiTheme="majorHAnsi" w:eastAsia="Times New Roman" w:hAnsiTheme="majorHAnsi" w:cstheme="majorHAnsi"/>
          <w:color w:val="000000"/>
          <w:kern w:val="0"/>
          <w:sz w:val="24"/>
          <w:szCs w:val="24"/>
          <w14:ligatures w14:val="none"/>
        </w:rPr>
      </w:pPr>
      <w:r>
        <w:rPr>
          <w:rFonts w:asciiTheme="majorHAnsi" w:eastAsia="Times New Roman" w:hAnsiTheme="majorHAnsi" w:cstheme="majorHAnsi"/>
          <w:color w:val="000000"/>
          <w:spacing w:val="-2"/>
          <w:kern w:val="0"/>
          <w:sz w:val="24"/>
          <w:szCs w:val="24"/>
          <w14:ligatures w14:val="none"/>
        </w:rPr>
        <w:tab/>
        <w:t xml:space="preserve"> </w:t>
      </w:r>
      <w:r w:rsidR="00B232E5" w:rsidRPr="00AA7C6E">
        <w:rPr>
          <w:rFonts w:asciiTheme="majorHAnsi" w:eastAsia="Times New Roman" w:hAnsiTheme="majorHAnsi" w:cstheme="majorHAnsi"/>
          <w:color w:val="000000"/>
          <w:spacing w:val="-2"/>
          <w:kern w:val="0"/>
          <w:sz w:val="24"/>
          <w:szCs w:val="24"/>
          <w14:ligatures w14:val="none"/>
        </w:rPr>
        <w:t xml:space="preserve"> 1.</w:t>
      </w:r>
      <w:r>
        <w:rPr>
          <w:rFonts w:asciiTheme="majorHAnsi" w:eastAsia="Times New Roman" w:hAnsiTheme="majorHAnsi" w:cstheme="majorHAnsi"/>
          <w:color w:val="000000"/>
          <w:spacing w:val="-2"/>
          <w:kern w:val="0"/>
          <w:sz w:val="24"/>
          <w:szCs w:val="24"/>
          <w14:ligatures w14:val="none"/>
        </w:rPr>
        <w:t xml:space="preserve"> </w:t>
      </w:r>
      <w:r w:rsidR="00B232E5" w:rsidRPr="00AA7C6E">
        <w:rPr>
          <w:rFonts w:asciiTheme="majorHAnsi" w:eastAsia="Times New Roman" w:hAnsiTheme="majorHAnsi" w:cstheme="majorHAnsi"/>
          <w:color w:val="000000"/>
          <w:spacing w:val="-2"/>
          <w:kern w:val="0"/>
          <w:sz w:val="24"/>
          <w:szCs w:val="24"/>
          <w14:ligatures w14:val="none"/>
        </w:rPr>
        <w:t xml:space="preserve"> the start or installation of combustible construction; or</w:t>
      </w:r>
    </w:p>
    <w:p w14:paraId="4841FC51" w14:textId="17AE3230" w:rsidR="00B232E5" w:rsidRPr="00AA7C6E" w:rsidRDefault="00AB3FCA" w:rsidP="0073496A">
      <w:pPr>
        <w:spacing w:after="0" w:line="480" w:lineRule="auto"/>
        <w:rPr>
          <w:rFonts w:asciiTheme="majorHAnsi" w:eastAsia="Times New Roman" w:hAnsiTheme="majorHAnsi" w:cstheme="majorHAnsi"/>
          <w:color w:val="000000"/>
          <w:kern w:val="0"/>
          <w:sz w:val="24"/>
          <w:szCs w:val="24"/>
          <w14:ligatures w14:val="none"/>
        </w:rPr>
      </w:pPr>
      <w:r>
        <w:rPr>
          <w:rFonts w:asciiTheme="majorHAnsi" w:eastAsia="Times New Roman" w:hAnsiTheme="majorHAnsi" w:cstheme="majorHAnsi"/>
          <w:color w:val="000000"/>
          <w:spacing w:val="-2"/>
          <w:kern w:val="0"/>
          <w:sz w:val="24"/>
          <w:szCs w:val="24"/>
          <w14:ligatures w14:val="none"/>
        </w:rPr>
        <w:tab/>
        <w:t xml:space="preserve"> </w:t>
      </w:r>
      <w:r w:rsidRPr="00AA7C6E">
        <w:rPr>
          <w:rFonts w:asciiTheme="majorHAnsi" w:eastAsia="Times New Roman" w:hAnsiTheme="majorHAnsi" w:cstheme="majorHAnsi"/>
          <w:color w:val="000000"/>
          <w:spacing w:val="-2"/>
          <w:kern w:val="0"/>
          <w:sz w:val="24"/>
          <w:szCs w:val="24"/>
          <w14:ligatures w14:val="none"/>
        </w:rPr>
        <w:t xml:space="preserve"> </w:t>
      </w:r>
      <w:r w:rsidR="00B232E5" w:rsidRPr="00AA7C6E">
        <w:rPr>
          <w:rFonts w:asciiTheme="majorHAnsi" w:eastAsia="Times New Roman" w:hAnsiTheme="majorHAnsi" w:cstheme="majorHAnsi"/>
          <w:color w:val="000000"/>
          <w:spacing w:val="-2"/>
          <w:kern w:val="0"/>
          <w:sz w:val="24"/>
          <w:szCs w:val="24"/>
          <w14:ligatures w14:val="none"/>
        </w:rPr>
        <w:t>2.</w:t>
      </w:r>
      <w:r>
        <w:rPr>
          <w:rFonts w:asciiTheme="majorHAnsi" w:eastAsia="Times New Roman" w:hAnsiTheme="majorHAnsi" w:cstheme="majorHAnsi"/>
          <w:color w:val="000000"/>
          <w:spacing w:val="-2"/>
          <w:kern w:val="0"/>
          <w:sz w:val="24"/>
          <w:szCs w:val="24"/>
          <w14:ligatures w14:val="none"/>
        </w:rPr>
        <w:t xml:space="preserve"> </w:t>
      </w:r>
      <w:r w:rsidR="00B232E5" w:rsidRPr="00AA7C6E">
        <w:rPr>
          <w:rFonts w:asciiTheme="majorHAnsi" w:eastAsia="Times New Roman" w:hAnsiTheme="majorHAnsi" w:cstheme="majorHAnsi"/>
          <w:color w:val="000000"/>
          <w:spacing w:val="-2"/>
          <w:kern w:val="0"/>
          <w:sz w:val="24"/>
          <w:szCs w:val="24"/>
          <w14:ligatures w14:val="none"/>
        </w:rPr>
        <w:t xml:space="preserve"> construction of a second floor if the building is noncombustible, whichever occurs first, unless exempt under K.C.C. 17.08.030.</w:t>
      </w:r>
    </w:p>
    <w:p w14:paraId="26798D2A" w14:textId="655B7F67" w:rsidR="00B232E5" w:rsidRPr="00AA7C6E" w:rsidRDefault="00AB3FCA" w:rsidP="0073496A">
      <w:pPr>
        <w:spacing w:after="0" w:line="480" w:lineRule="auto"/>
        <w:rPr>
          <w:rFonts w:asciiTheme="majorHAnsi" w:eastAsia="Times New Roman" w:hAnsiTheme="majorHAnsi" w:cstheme="majorHAnsi"/>
          <w:color w:val="000000"/>
          <w:kern w:val="0"/>
          <w:sz w:val="24"/>
          <w:szCs w:val="24"/>
          <w14:ligatures w14:val="none"/>
        </w:rPr>
      </w:pPr>
      <w:r>
        <w:rPr>
          <w:rFonts w:asciiTheme="majorHAnsi" w:eastAsia="Times New Roman" w:hAnsiTheme="majorHAnsi" w:cstheme="majorHAnsi"/>
          <w:color w:val="000000"/>
          <w:spacing w:val="-2"/>
          <w:kern w:val="0"/>
          <w:sz w:val="24"/>
          <w:szCs w:val="24"/>
          <w14:ligatures w14:val="none"/>
        </w:rPr>
        <w:tab/>
      </w:r>
      <w:r w:rsidR="00B232E5" w:rsidRPr="00AA7C6E">
        <w:rPr>
          <w:rFonts w:asciiTheme="majorHAnsi" w:eastAsia="Times New Roman" w:hAnsiTheme="majorHAnsi" w:cstheme="majorHAnsi"/>
          <w:color w:val="000000"/>
          <w:spacing w:val="-2"/>
          <w:kern w:val="0"/>
          <w:sz w:val="24"/>
          <w:szCs w:val="24"/>
          <w14:ligatures w14:val="none"/>
        </w:rPr>
        <w:t>C.</w:t>
      </w:r>
      <w:r>
        <w:rPr>
          <w:rFonts w:asciiTheme="majorHAnsi" w:eastAsia="Times New Roman" w:hAnsiTheme="majorHAnsi" w:cstheme="majorHAnsi"/>
          <w:color w:val="000000"/>
          <w:spacing w:val="-2"/>
          <w:kern w:val="0"/>
          <w:sz w:val="24"/>
          <w:szCs w:val="24"/>
          <w14:ligatures w14:val="none"/>
        </w:rPr>
        <w:t xml:space="preserve"> </w:t>
      </w:r>
      <w:r w:rsidR="00B232E5" w:rsidRPr="00AA7C6E">
        <w:rPr>
          <w:rFonts w:asciiTheme="majorHAnsi" w:eastAsia="Times New Roman" w:hAnsiTheme="majorHAnsi" w:cstheme="majorHAnsi"/>
          <w:color w:val="000000"/>
          <w:spacing w:val="-2"/>
          <w:kern w:val="0"/>
          <w:sz w:val="24"/>
          <w:szCs w:val="24"/>
          <w14:ligatures w14:val="none"/>
        </w:rPr>
        <w:t xml:space="preserve"> </w:t>
      </w:r>
      <w:r w:rsidR="00AA7C6E">
        <w:rPr>
          <w:rFonts w:asciiTheme="majorHAnsi" w:eastAsia="Times New Roman" w:hAnsiTheme="majorHAnsi" w:cstheme="majorHAnsi"/>
          <w:color w:val="000000"/>
          <w:spacing w:val="-2"/>
          <w:kern w:val="0"/>
          <w:sz w:val="24"/>
          <w:szCs w:val="24"/>
          <w14:ligatures w14:val="none"/>
        </w:rPr>
        <w:t>((</w:t>
      </w:r>
      <w:r w:rsidR="00B232E5" w:rsidRPr="001216D4">
        <w:rPr>
          <w:rFonts w:asciiTheme="majorHAnsi" w:eastAsia="Times New Roman" w:hAnsiTheme="majorHAnsi" w:cstheme="majorHAnsi"/>
          <w:strike/>
          <w:color w:val="000000"/>
          <w:spacing w:val="-2"/>
          <w:kern w:val="0"/>
          <w:sz w:val="24"/>
          <w:szCs w:val="24"/>
          <w14:ligatures w14:val="none"/>
        </w:rPr>
        <w:t>Mobile home parks</w:t>
      </w:r>
      <w:r w:rsidR="000013D2">
        <w:rPr>
          <w:rFonts w:asciiTheme="majorHAnsi" w:eastAsia="Times New Roman" w:hAnsiTheme="majorHAnsi" w:cstheme="majorHAnsi"/>
          <w:color w:val="000000"/>
          <w:spacing w:val="-2"/>
          <w:kern w:val="0"/>
          <w:sz w:val="24"/>
          <w:szCs w:val="24"/>
          <w14:ligatures w14:val="none"/>
        </w:rPr>
        <w:t xml:space="preserve">)) </w:t>
      </w:r>
      <w:r w:rsidR="000013D2">
        <w:rPr>
          <w:rFonts w:asciiTheme="majorHAnsi" w:eastAsia="Times New Roman" w:hAnsiTheme="majorHAnsi" w:cstheme="majorHAnsi"/>
          <w:color w:val="000000"/>
          <w:spacing w:val="-2"/>
          <w:kern w:val="0"/>
          <w:sz w:val="24"/>
          <w:szCs w:val="24"/>
          <w:u w:val="single"/>
          <w14:ligatures w14:val="none"/>
        </w:rPr>
        <w:t>Manufactured home communities</w:t>
      </w:r>
      <w:r w:rsidR="00B232E5" w:rsidRPr="00AA7C6E">
        <w:rPr>
          <w:rFonts w:asciiTheme="majorHAnsi" w:eastAsia="Times New Roman" w:hAnsiTheme="majorHAnsi" w:cstheme="majorHAnsi"/>
          <w:color w:val="000000"/>
          <w:spacing w:val="-2"/>
          <w:kern w:val="0"/>
          <w:sz w:val="24"/>
          <w:szCs w:val="24"/>
          <w14:ligatures w14:val="none"/>
        </w:rPr>
        <w:t xml:space="preserve"> and recreational vehicle parks shall be required to provide water mains and fire hydrants consistent with county standards as a condition of final site plan approval.</w:t>
      </w:r>
    </w:p>
    <w:p w14:paraId="202940A7" w14:textId="0D1A0BA1" w:rsidR="00B232E5" w:rsidRPr="00AA7C6E" w:rsidRDefault="00AB3FCA" w:rsidP="0073496A">
      <w:pPr>
        <w:spacing w:after="0" w:line="480" w:lineRule="auto"/>
        <w:rPr>
          <w:rFonts w:asciiTheme="majorHAnsi" w:eastAsia="Times New Roman" w:hAnsiTheme="majorHAnsi" w:cstheme="majorHAnsi"/>
          <w:color w:val="000000"/>
          <w:kern w:val="0"/>
          <w:sz w:val="24"/>
          <w:szCs w:val="24"/>
          <w14:ligatures w14:val="none"/>
        </w:rPr>
      </w:pPr>
      <w:r>
        <w:rPr>
          <w:rFonts w:asciiTheme="majorHAnsi" w:eastAsia="Times New Roman" w:hAnsiTheme="majorHAnsi" w:cstheme="majorHAnsi"/>
          <w:color w:val="000000"/>
          <w:spacing w:val="-2"/>
          <w:kern w:val="0"/>
          <w:sz w:val="24"/>
          <w:szCs w:val="24"/>
          <w14:ligatures w14:val="none"/>
        </w:rPr>
        <w:tab/>
      </w:r>
      <w:r w:rsidR="00B232E5" w:rsidRPr="00AA7C6E">
        <w:rPr>
          <w:rFonts w:asciiTheme="majorHAnsi" w:eastAsia="Times New Roman" w:hAnsiTheme="majorHAnsi" w:cstheme="majorHAnsi"/>
          <w:color w:val="000000"/>
          <w:spacing w:val="-2"/>
          <w:kern w:val="0"/>
          <w:sz w:val="24"/>
          <w:szCs w:val="24"/>
          <w14:ligatures w14:val="none"/>
        </w:rPr>
        <w:t>D.</w:t>
      </w:r>
      <w:r>
        <w:rPr>
          <w:rFonts w:asciiTheme="majorHAnsi" w:eastAsia="Times New Roman" w:hAnsiTheme="majorHAnsi" w:cstheme="majorHAnsi"/>
          <w:color w:val="000000"/>
          <w:spacing w:val="-2"/>
          <w:kern w:val="0"/>
          <w:sz w:val="24"/>
          <w:szCs w:val="24"/>
          <w14:ligatures w14:val="none"/>
        </w:rPr>
        <w:t xml:space="preserve"> </w:t>
      </w:r>
      <w:r w:rsidR="00B232E5" w:rsidRPr="00AA7C6E">
        <w:rPr>
          <w:rFonts w:asciiTheme="majorHAnsi" w:eastAsia="Times New Roman" w:hAnsiTheme="majorHAnsi" w:cstheme="majorHAnsi"/>
          <w:color w:val="000000"/>
          <w:spacing w:val="-2"/>
          <w:kern w:val="0"/>
          <w:sz w:val="24"/>
          <w:szCs w:val="24"/>
          <w14:ligatures w14:val="none"/>
        </w:rPr>
        <w:t xml:space="preserve"> Permits or approvals for uses not involving a structure shall be served by water mains and fire hydrants consistent with county standards.</w:t>
      </w:r>
    </w:p>
    <w:p w14:paraId="69A20994" w14:textId="1647B15A" w:rsidR="00B232E5" w:rsidRPr="00AA7C6E" w:rsidRDefault="00AB3FCA" w:rsidP="0073496A">
      <w:pPr>
        <w:spacing w:after="0" w:line="480" w:lineRule="auto"/>
        <w:rPr>
          <w:rFonts w:asciiTheme="majorHAnsi" w:eastAsia="Times New Roman" w:hAnsiTheme="majorHAnsi" w:cstheme="majorHAnsi"/>
          <w:color w:val="000000"/>
          <w:kern w:val="0"/>
          <w:sz w:val="24"/>
          <w:szCs w:val="24"/>
          <w14:ligatures w14:val="none"/>
        </w:rPr>
      </w:pPr>
      <w:r>
        <w:rPr>
          <w:rFonts w:asciiTheme="majorHAnsi" w:eastAsia="Times New Roman" w:hAnsiTheme="majorHAnsi" w:cstheme="majorHAnsi"/>
          <w:color w:val="000000"/>
          <w:spacing w:val="-2"/>
          <w:kern w:val="0"/>
          <w:sz w:val="24"/>
          <w:szCs w:val="24"/>
          <w14:ligatures w14:val="none"/>
        </w:rPr>
        <w:lastRenderedPageBreak/>
        <w:tab/>
      </w:r>
      <w:r w:rsidR="00B232E5" w:rsidRPr="00AA7C6E">
        <w:rPr>
          <w:rFonts w:asciiTheme="majorHAnsi" w:eastAsia="Times New Roman" w:hAnsiTheme="majorHAnsi" w:cstheme="majorHAnsi"/>
          <w:color w:val="000000"/>
          <w:spacing w:val="-2"/>
          <w:kern w:val="0"/>
          <w:sz w:val="24"/>
          <w:szCs w:val="24"/>
          <w14:ligatures w14:val="none"/>
        </w:rPr>
        <w:t>E.</w:t>
      </w:r>
      <w:r>
        <w:rPr>
          <w:rFonts w:asciiTheme="majorHAnsi" w:eastAsia="Times New Roman" w:hAnsiTheme="majorHAnsi" w:cstheme="majorHAnsi"/>
          <w:color w:val="000000"/>
          <w:spacing w:val="-2"/>
          <w:kern w:val="0"/>
          <w:sz w:val="24"/>
          <w:szCs w:val="24"/>
          <w14:ligatures w14:val="none"/>
        </w:rPr>
        <w:t xml:space="preserve"> </w:t>
      </w:r>
      <w:r w:rsidR="00B232E5" w:rsidRPr="00AA7C6E">
        <w:rPr>
          <w:rFonts w:asciiTheme="majorHAnsi" w:eastAsia="Times New Roman" w:hAnsiTheme="majorHAnsi" w:cstheme="majorHAnsi"/>
          <w:color w:val="000000"/>
          <w:spacing w:val="-2"/>
          <w:kern w:val="0"/>
          <w:sz w:val="24"/>
          <w:szCs w:val="24"/>
          <w14:ligatures w14:val="none"/>
        </w:rPr>
        <w:t xml:space="preserve"> All new water mains and all additions and extensions to existing water mains shall mee the requirements of this chapter if water mains which serve only uses exempt under K.C.C. 17.08.030 are also exempt from the requirements of this chapter.</w:t>
      </w:r>
    </w:p>
    <w:p w14:paraId="0856547A" w14:textId="55AD249D" w:rsidR="00B232E5" w:rsidRPr="00AA7C6E" w:rsidRDefault="00AB3FCA" w:rsidP="0073496A">
      <w:pPr>
        <w:spacing w:after="0" w:line="480" w:lineRule="auto"/>
        <w:rPr>
          <w:rFonts w:asciiTheme="majorHAnsi" w:eastAsia="Times New Roman" w:hAnsiTheme="majorHAnsi" w:cstheme="majorHAnsi"/>
          <w:color w:val="000000"/>
          <w:kern w:val="0"/>
          <w:sz w:val="24"/>
          <w:szCs w:val="24"/>
          <w14:ligatures w14:val="none"/>
        </w:rPr>
      </w:pPr>
      <w:r>
        <w:rPr>
          <w:rFonts w:asciiTheme="majorHAnsi" w:eastAsia="Times New Roman" w:hAnsiTheme="majorHAnsi" w:cstheme="majorHAnsi"/>
          <w:color w:val="000000"/>
          <w:spacing w:val="-2"/>
          <w:kern w:val="0"/>
          <w:sz w:val="24"/>
          <w:szCs w:val="24"/>
          <w14:ligatures w14:val="none"/>
        </w:rPr>
        <w:tab/>
      </w:r>
      <w:r w:rsidR="00B232E5" w:rsidRPr="00AA7C6E">
        <w:rPr>
          <w:rFonts w:asciiTheme="majorHAnsi" w:eastAsia="Times New Roman" w:hAnsiTheme="majorHAnsi" w:cstheme="majorHAnsi"/>
          <w:color w:val="000000"/>
          <w:spacing w:val="-2"/>
          <w:kern w:val="0"/>
          <w:sz w:val="24"/>
          <w:szCs w:val="24"/>
          <w14:ligatures w14:val="none"/>
        </w:rPr>
        <w:t>F.</w:t>
      </w:r>
      <w:r>
        <w:rPr>
          <w:rFonts w:asciiTheme="majorHAnsi" w:eastAsia="Times New Roman" w:hAnsiTheme="majorHAnsi" w:cstheme="majorHAnsi"/>
          <w:color w:val="000000"/>
          <w:spacing w:val="-2"/>
          <w:kern w:val="0"/>
          <w:sz w:val="24"/>
          <w:szCs w:val="24"/>
          <w14:ligatures w14:val="none"/>
        </w:rPr>
        <w:t xml:space="preserve"> </w:t>
      </w:r>
      <w:r w:rsidR="00B232E5" w:rsidRPr="00AA7C6E">
        <w:rPr>
          <w:rFonts w:asciiTheme="majorHAnsi" w:eastAsia="Times New Roman" w:hAnsiTheme="majorHAnsi" w:cstheme="majorHAnsi"/>
          <w:color w:val="000000"/>
          <w:spacing w:val="-2"/>
          <w:kern w:val="0"/>
          <w:sz w:val="24"/>
          <w:szCs w:val="24"/>
          <w14:ligatures w14:val="none"/>
        </w:rPr>
        <w:t xml:space="preserve"> All water purveyor comprehensive plans approved under K.C.C. chapter 13.24 shall be consistent with this chapter.</w:t>
      </w:r>
    </w:p>
    <w:p w14:paraId="7CD378A2" w14:textId="567495A5" w:rsidR="00AA7C6E" w:rsidRPr="00AA7C6E" w:rsidRDefault="00AB3FCA" w:rsidP="0073496A">
      <w:pPr>
        <w:spacing w:after="0" w:line="480" w:lineRule="auto"/>
        <w:rPr>
          <w:rFonts w:asciiTheme="majorHAnsi" w:eastAsia="Calibri" w:hAnsiTheme="majorHAnsi" w:cstheme="majorHAnsi"/>
          <w:color w:val="000000"/>
          <w:kern w:val="0"/>
          <w:sz w:val="24"/>
          <w:szCs w:val="24"/>
          <w14:ligatures w14:val="none"/>
        </w:rPr>
      </w:pPr>
      <w:r>
        <w:rPr>
          <w:rFonts w:asciiTheme="majorHAnsi" w:eastAsia="Times New Roman" w:hAnsiTheme="majorHAnsi" w:cstheme="majorHAnsi"/>
          <w:color w:val="000000"/>
          <w:spacing w:val="-2"/>
          <w:kern w:val="0"/>
          <w:sz w:val="24"/>
          <w:szCs w:val="24"/>
          <w14:ligatures w14:val="none"/>
        </w:rPr>
        <w:tab/>
      </w:r>
      <w:r w:rsidR="00B232E5" w:rsidRPr="00AA7C6E">
        <w:rPr>
          <w:rFonts w:asciiTheme="majorHAnsi" w:eastAsia="Times New Roman" w:hAnsiTheme="majorHAnsi" w:cstheme="majorHAnsi"/>
          <w:color w:val="000000"/>
          <w:spacing w:val="-2"/>
          <w:kern w:val="0"/>
          <w:sz w:val="24"/>
          <w:szCs w:val="24"/>
          <w14:ligatures w14:val="none"/>
        </w:rPr>
        <w:t>G.</w:t>
      </w:r>
      <w:r>
        <w:rPr>
          <w:rFonts w:asciiTheme="majorHAnsi" w:eastAsia="Times New Roman" w:hAnsiTheme="majorHAnsi" w:cstheme="majorHAnsi"/>
          <w:color w:val="000000"/>
          <w:spacing w:val="-2"/>
          <w:kern w:val="0"/>
          <w:sz w:val="24"/>
          <w:szCs w:val="24"/>
          <w14:ligatures w14:val="none"/>
        </w:rPr>
        <w:t xml:space="preserve"> </w:t>
      </w:r>
      <w:r w:rsidR="00B232E5" w:rsidRPr="00AA7C6E">
        <w:rPr>
          <w:rFonts w:asciiTheme="majorHAnsi" w:eastAsia="Times New Roman" w:hAnsiTheme="majorHAnsi" w:cstheme="majorHAnsi"/>
          <w:color w:val="000000"/>
          <w:spacing w:val="-2"/>
          <w:kern w:val="0"/>
          <w:sz w:val="24"/>
          <w:szCs w:val="24"/>
          <w14:ligatures w14:val="none"/>
        </w:rPr>
        <w:t xml:space="preserve"> All water mains and fire hydrants shall be served by a water district or water purveyor in accordance with a current water comprehensive plan approved under K.C.C. chapter 13.24, or by other adequate means providing service levels consistent with the provisions of this chapter.</w:t>
      </w:r>
    </w:p>
    <w:p w14:paraId="08B934A8" w14:textId="52A63BDD"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241.</w:t>
      </w:r>
      <w:r w:rsidRPr="006B4A66">
        <w:rPr>
          <w:rFonts w:ascii="Times New Roman" w:eastAsia="Calibri" w:hAnsi="Times New Roman" w:cs="Times New Roman"/>
          <w:color w:val="000000"/>
          <w:kern w:val="0"/>
          <w:sz w:val="24"/>
          <w14:ligatures w14:val="none"/>
        </w:rPr>
        <w:t xml:space="preserve">  Ordinance 5828, Section 4, as amended, and K.C.C. 17.08.030 are each hereby amended to read as follows:</w:t>
      </w:r>
    </w:p>
    <w:p w14:paraId="4425D477"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A.  The following permits and approvals are exempt from the fire flow and fire hydrant requirements of this title.  These exemptions do not exempt any development from compliance with the requirements of state law.</w:t>
      </w:r>
    </w:p>
    <w:p w14:paraId="7A54C559"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  ((</w:t>
      </w:r>
      <w:r w:rsidRPr="006B4A66">
        <w:rPr>
          <w:rFonts w:ascii="Times New Roman" w:eastAsia="Calibri" w:hAnsi="Times New Roman" w:cs="Times New Roman"/>
          <w:strike/>
          <w:color w:val="000000"/>
          <w:kern w:val="0"/>
          <w:sz w:val="24"/>
          <w14:ligatures w14:val="none"/>
        </w:rPr>
        <w:t>Subdivisions and short subdivisions located outside the Urban Growth Area and that do not contain a lot less than thirty-five thousand square feet in size.</w:t>
      </w:r>
    </w:p>
    <w:p w14:paraId="2123EBA8"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2.  Building permits for buildings with one or two dwelling units located outside the Urban Growth Area, only if the lot is at least thirty-five thousand square feet in size.</w:t>
      </w:r>
    </w:p>
    <w:p w14:paraId="7A145D7A"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3.</w:t>
      </w:r>
      <w:r w:rsidRPr="006B4A66">
        <w:rPr>
          <w:rFonts w:ascii="Times New Roman" w:eastAsia="Calibri" w:hAnsi="Times New Roman" w:cs="Times New Roman"/>
          <w:color w:val="000000"/>
          <w:kern w:val="0"/>
          <w:sz w:val="24"/>
          <w14:ligatures w14:val="none"/>
        </w:rPr>
        <w:t>))  Building permits for structures classified as Group U occupancies under the ((</w:t>
      </w:r>
      <w:r w:rsidRPr="006B4A66">
        <w:rPr>
          <w:rFonts w:ascii="Times New Roman" w:eastAsia="Calibri" w:hAnsi="Times New Roman" w:cs="Times New Roman"/>
          <w:strike/>
          <w:color w:val="000000"/>
          <w:kern w:val="0"/>
          <w:sz w:val="24"/>
          <w14:ligatures w14:val="none"/>
        </w:rPr>
        <w:t>International Building Code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IBC</w:t>
      </w:r>
      <w:r w:rsidRPr="006B4A66">
        <w:rPr>
          <w:rFonts w:ascii="Times New Roman" w:eastAsia="Calibri" w:hAnsi="Times New Roman" w:cs="Times New Roman"/>
          <w:color w:val="000000"/>
          <w:kern w:val="0"/>
          <w:sz w:val="24"/>
          <w14:ligatures w14:val="none"/>
        </w:rPr>
        <w:t xml:space="preserve"> that conform to the definition of agricultural buildings in Appendix C of the ((</w:t>
      </w:r>
      <w:r w:rsidRPr="006B4A66">
        <w:rPr>
          <w:rFonts w:ascii="Times New Roman" w:eastAsia="Calibri" w:hAnsi="Times New Roman" w:cs="Times New Roman"/>
          <w:strike/>
          <w:color w:val="000000"/>
          <w:kern w:val="0"/>
          <w:sz w:val="24"/>
          <w14:ligatures w14:val="none"/>
        </w:rPr>
        <w:t>International Building Code)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IBC</w:t>
      </w:r>
      <w:r w:rsidRPr="006B4A66">
        <w:rPr>
          <w:rFonts w:ascii="Times New Roman" w:eastAsia="Calibri" w:hAnsi="Times New Roman" w:cs="Times New Roman"/>
          <w:color w:val="000000"/>
          <w:kern w:val="0"/>
          <w:sz w:val="24"/>
          <w14:ligatures w14:val="none"/>
        </w:rPr>
        <w:t xml:space="preserve"> only if the structures are located outside the Urban Growth Area.</w:t>
      </w:r>
    </w:p>
    <w:p w14:paraId="7A52FC2A"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4.  Building permits for structures that are:</w:t>
      </w:r>
    </w:p>
    <w:p w14:paraId="5CA0D85C"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 xml:space="preserve">    </w:t>
      </w:r>
      <w:r w:rsidRPr="006B4A66">
        <w:rPr>
          <w:rFonts w:ascii="Times New Roman" w:eastAsia="Calibri" w:hAnsi="Times New Roman" w:cs="Times New Roman"/>
          <w:strike/>
          <w:color w:val="000000"/>
          <w:kern w:val="0"/>
          <w:sz w:val="24"/>
          <w14:ligatures w14:val="none"/>
        </w:rPr>
        <w:t>a.  two-thousand-five hundred square feet in floor area, excluding garage or less;</w:t>
      </w:r>
    </w:p>
    <w:p w14:paraId="21991A10"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b.  served by a Group B water system; and</w:t>
      </w:r>
    </w:p>
    <w:p w14:paraId="0989AD16"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c.  located outside the Urban Growth Area.</w:t>
      </w:r>
    </w:p>
    <w:p w14:paraId="01C1CD3C" w14:textId="77777777" w:rsidR="006B4A66" w:rsidRPr="006B4A66" w:rsidRDefault="006B4A66" w:rsidP="0073496A">
      <w:pPr>
        <w:tabs>
          <w:tab w:val="left" w:pos="720"/>
        </w:tabs>
        <w:spacing w:after="0" w:line="480" w:lineRule="auto"/>
        <w:rPr>
          <w:rFonts w:ascii="Times New Roman" w:eastAsia="Calibri" w:hAnsi="Times New Roman" w:cs="Times New Roman"/>
          <w:strike/>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w:t>
      </w:r>
      <w:r w:rsidRPr="006B4A66">
        <w:rPr>
          <w:rFonts w:ascii="Times New Roman" w:eastAsia="Calibri" w:hAnsi="Times New Roman" w:cs="Times New Roman"/>
          <w:strike/>
          <w:color w:val="000000"/>
          <w:kern w:val="0"/>
          <w:sz w:val="24"/>
          <w14:ligatures w14:val="none"/>
        </w:rPr>
        <w:t>5.  Building permits for structures that are more than two-thousand-five hundred square feet in floor area (excluding garages) and comply with subsection A.4.b. and c. of this section, shall be exempt if the fire marshal determines that the project will not create a substantial fire hazard.</w:t>
      </w:r>
      <w:r w:rsidRPr="006B4A66">
        <w:rPr>
          <w:rFonts w:ascii="Times New Roman" w:eastAsia="Calibri" w:hAnsi="Times New Roman" w:cs="Times New Roman"/>
          <w:color w:val="000000"/>
          <w:kern w:val="0"/>
          <w:sz w:val="24"/>
          <w14:ligatures w14:val="none"/>
        </w:rPr>
        <w:t>))</w:t>
      </w:r>
    </w:p>
    <w:p w14:paraId="02EB18AB"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B.  The fire marshal shall have the authority to impose conditions including, but not limited to, increased setbacks, use of fire</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retardant materials</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sprinkler system requirements on permits exempt under subsection A. of this section where necessary to mitigate identified fire ((</w:t>
      </w:r>
      <w:r w:rsidRPr="006B4A66">
        <w:rPr>
          <w:rFonts w:ascii="Times New Roman" w:eastAsia="Calibri" w:hAnsi="Times New Roman" w:cs="Times New Roman"/>
          <w:strike/>
          <w:color w:val="000000"/>
          <w:kern w:val="0"/>
          <w:sz w:val="24"/>
          <w14:ligatures w14:val="none"/>
        </w:rPr>
        <w:t>hazards</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protection impacts</w:t>
      </w:r>
      <w:r w:rsidRPr="006B4A66">
        <w:rPr>
          <w:rFonts w:ascii="Times New Roman" w:eastAsia="Calibri" w:hAnsi="Times New Roman" w:cs="Times New Roman"/>
          <w:color w:val="000000"/>
          <w:kern w:val="0"/>
          <w:sz w:val="24"/>
          <w14:ligatures w14:val="none"/>
        </w:rPr>
        <w:t>.</w:t>
      </w:r>
    </w:p>
    <w:p w14:paraId="101E0F8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C.  Building permits and subdivisions and short subdivisions exempt under subsection A. of this section shall as a condition of approval, record a covenant running with the land which acknowledges the absence of fire hydrants and by which owners of the property and their successors are deemed to have agreed to participate in and not oppose or protest annexation to a public water district or the formation of a utility local improvement district for installation of water mains and fire hydrants consistent with applicable county standards.  However, this condition shall not apply when the lot is five acres or larger, or the proposed subdivision, short subdivision or structure is located outside the Urban Growth Area.</w:t>
      </w:r>
      <w:r w:rsidRPr="006B4A66">
        <w:rPr>
          <w:rFonts w:ascii="Times New Roman" w:eastAsia="Calibri" w:hAnsi="Times New Roman" w:cs="Times New Roman"/>
          <w:color w:val="000000"/>
          <w:kern w:val="0"/>
          <w:sz w:val="24"/>
          <w14:ligatures w14:val="none"/>
        </w:rPr>
        <w:t>))</w:t>
      </w:r>
    </w:p>
    <w:p w14:paraId="6C454E86" w14:textId="729C31CB"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242.</w:t>
      </w:r>
      <w:r w:rsidRPr="006B4A66">
        <w:rPr>
          <w:rFonts w:ascii="Times New Roman" w:eastAsia="Calibri" w:hAnsi="Times New Roman" w:cs="Times New Roman"/>
          <w:color w:val="000000"/>
          <w:kern w:val="0"/>
          <w:sz w:val="24"/>
          <w14:ligatures w14:val="none"/>
        </w:rPr>
        <w:t xml:space="preserve">  Ordinance 5828, Section 10, as amended, and K.C.C. 17.08.090 are each hereby amended to read as follows:</w:t>
      </w:r>
    </w:p>
    <w:p w14:paraId="39E269A1"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t>A.  The fire marshal shall have the authority to approve deviations from the standards established under this chapter when it is shown that:</w:t>
      </w:r>
    </w:p>
    <w:p w14:paraId="3DFB0BFF"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  Strict compliance would require unreasonable fire hydrant locations, fire flow requirements</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water main sizes; and</w:t>
      </w:r>
    </w:p>
    <w:p w14:paraId="63080C8D"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2.  The variance would not unreasonably affect adequate fire protection to the area or structures served.</w:t>
      </w:r>
    </w:p>
    <w:p w14:paraId="46D6720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B.  The fire marshal may approve variances, except as provided in subsection C. of this section for connections to single family residences served by </w:t>
      </w:r>
      <w:r w:rsidRPr="006B4A66">
        <w:rPr>
          <w:rFonts w:ascii="Times New Roman" w:eastAsia="Calibri" w:hAnsi="Times New Roman" w:cs="Times New Roman"/>
          <w:color w:val="000000"/>
          <w:kern w:val="0"/>
          <w:sz w:val="24"/>
          <w:u w:val="single"/>
          <w14:ligatures w14:val="none"/>
        </w:rPr>
        <w:t>an</w:t>
      </w:r>
      <w:r w:rsidRPr="006B4A66">
        <w:rPr>
          <w:rFonts w:ascii="Times New Roman" w:eastAsia="Calibri" w:hAnsi="Times New Roman" w:cs="Times New Roman"/>
          <w:color w:val="000000"/>
          <w:kern w:val="0"/>
          <w:sz w:val="24"/>
          <w14:ligatures w14:val="none"/>
        </w:rPr>
        <w:t xml:space="preserve"> existing water system that have fire hydrants and fire flow of at least ((</w:t>
      </w:r>
      <w:r w:rsidRPr="006B4A66">
        <w:rPr>
          <w:rFonts w:ascii="Times New Roman" w:eastAsia="Calibri" w:hAnsi="Times New Roman" w:cs="Times New Roman"/>
          <w:strike/>
          <w:color w:val="000000"/>
          <w:kern w:val="0"/>
          <w:sz w:val="24"/>
          <w14:ligatures w14:val="none"/>
        </w:rPr>
        <w:t>five hundred</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500</w:t>
      </w:r>
      <w:r w:rsidRPr="006B4A66">
        <w:rPr>
          <w:rFonts w:ascii="Times New Roman" w:eastAsia="Calibri" w:hAnsi="Times New Roman" w:cs="Times New Roman"/>
          <w:color w:val="000000"/>
          <w:kern w:val="0"/>
          <w:sz w:val="24"/>
          <w14:ligatures w14:val="none"/>
        </w:rPr>
        <w:t xml:space="preserve"> gallons </w:t>
      </w:r>
      <w:r w:rsidRPr="006B4A66">
        <w:rPr>
          <w:rFonts w:ascii="Times New Roman" w:eastAsia="Calibri" w:hAnsi="Times New Roman" w:cs="Times New Roman"/>
          <w:color w:val="000000"/>
          <w:kern w:val="0"/>
          <w:sz w:val="24"/>
          <w:u w:val="single"/>
          <w14:ligatures w14:val="none"/>
        </w:rPr>
        <w:t>(1,893 liters)</w:t>
      </w:r>
      <w:r w:rsidRPr="006B4A66">
        <w:rPr>
          <w:rFonts w:ascii="Times New Roman" w:eastAsia="Calibri" w:hAnsi="Times New Roman" w:cs="Times New Roman"/>
          <w:color w:val="000000"/>
          <w:kern w:val="0"/>
          <w:sz w:val="24"/>
          <w14:ligatures w14:val="none"/>
        </w:rPr>
        <w:t xml:space="preserve"> per minute if the variance would not unreasonably affect fire protection and only if the purveyor's approved comprehensive plan includes a method for increasing fire flow to current standards.</w:t>
      </w:r>
    </w:p>
    <w:p w14:paraId="2BE1A3EE"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C.  The fire marshal shall not approve any variance which would result in a violation of chapters 246-290 and 246-293 WAC without prior approval of the </w:t>
      </w:r>
      <w:r w:rsidRPr="006B4A66">
        <w:rPr>
          <w:rFonts w:ascii="Times New Roman" w:eastAsia="Calibri" w:hAnsi="Times New Roman" w:cs="Times New Roman"/>
          <w:color w:val="000000"/>
          <w:kern w:val="0"/>
          <w:sz w:val="24"/>
          <w:u w:val="single"/>
          <w14:ligatures w14:val="none"/>
        </w:rPr>
        <w:t>Washington</w:t>
      </w:r>
      <w:r w:rsidRPr="006B4A66">
        <w:rPr>
          <w:rFonts w:ascii="Times New Roman" w:eastAsia="Calibri" w:hAnsi="Times New Roman" w:cs="Times New Roman"/>
          <w:color w:val="000000"/>
          <w:kern w:val="0"/>
          <w:sz w:val="24"/>
          <w14:ligatures w14:val="none"/>
        </w:rPr>
        <w:t xml:space="preserve"> state Department of Social and Health Services.</w:t>
      </w:r>
    </w:p>
    <w:p w14:paraId="0A5AA114" w14:textId="163EA1FA"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243.</w:t>
      </w:r>
      <w:r w:rsidRPr="006B4A66">
        <w:rPr>
          <w:rFonts w:ascii="Times New Roman" w:eastAsia="Calibri" w:hAnsi="Times New Roman" w:cs="Times New Roman"/>
          <w:color w:val="000000"/>
          <w:kern w:val="0"/>
          <w:sz w:val="24"/>
          <w14:ligatures w14:val="none"/>
        </w:rPr>
        <w:t xml:space="preserve">  Ordinance 3316, Section 4, as amended, and K.C.C. 17.08.100 are each hereby amended to read as follows:</w:t>
      </w:r>
    </w:p>
    <w:p w14:paraId="51E237E8"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A.  Water authorities shall not be required to exercise police or regulatory powers ((</w:t>
      </w:r>
      <w:r w:rsidRPr="006B4A66">
        <w:rPr>
          <w:rFonts w:ascii="Times New Roman" w:eastAsia="Calibri" w:hAnsi="Times New Roman" w:cs="Times New Roman"/>
          <w:strike/>
          <w:color w:val="000000"/>
          <w:kern w:val="0"/>
          <w:sz w:val="24"/>
          <w14:ligatures w14:val="none"/>
        </w:rPr>
        <w:t>toward the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for</w:t>
      </w:r>
      <w:r w:rsidRPr="006B4A66">
        <w:rPr>
          <w:rFonts w:ascii="Times New Roman" w:eastAsia="Calibri" w:hAnsi="Times New Roman" w:cs="Times New Roman"/>
          <w:color w:val="000000"/>
          <w:kern w:val="0"/>
          <w:sz w:val="24"/>
          <w14:ligatures w14:val="none"/>
        </w:rPr>
        <w:t xml:space="preserve"> enforcement of this chapter.  The only role of water authorities shall be to provide information, such as:</w:t>
      </w:r>
    </w:p>
    <w:p w14:paraId="6E87AF99"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1.  The </w:t>
      </w:r>
      <w:r w:rsidRPr="006B4A66">
        <w:rPr>
          <w:rFonts w:ascii="Times New Roman" w:eastAsia="Calibri" w:hAnsi="Times New Roman" w:cs="Times New Roman"/>
          <w:color w:val="000000"/>
          <w:kern w:val="0"/>
          <w:sz w:val="24"/>
          <w:u w:val="single"/>
          <w14:ligatures w14:val="none"/>
        </w:rPr>
        <w:t>county may request the</w:t>
      </w:r>
      <w:r w:rsidRPr="006B4A66">
        <w:rPr>
          <w:rFonts w:ascii="Times New Roman" w:eastAsia="Calibri" w:hAnsi="Times New Roman" w:cs="Times New Roman"/>
          <w:color w:val="000000"/>
          <w:kern w:val="0"/>
          <w:sz w:val="24"/>
          <w14:ligatures w14:val="none"/>
        </w:rPr>
        <w:t xml:space="preserve"> water authority ((</w:t>
      </w:r>
      <w:r w:rsidRPr="006B4A66">
        <w:rPr>
          <w:rFonts w:ascii="Times New Roman" w:eastAsia="Calibri" w:hAnsi="Times New Roman" w:cs="Times New Roman"/>
          <w:strike/>
          <w:color w:val="000000"/>
          <w:kern w:val="0"/>
          <w:sz w:val="24"/>
          <w14:ligatures w14:val="none"/>
        </w:rPr>
        <w:t>may be requested by the county</w:t>
      </w:r>
      <w:r w:rsidRPr="006B4A66">
        <w:rPr>
          <w:rFonts w:ascii="Times New Roman" w:eastAsia="Calibri" w:hAnsi="Times New Roman" w:cs="Times New Roman"/>
          <w:color w:val="000000"/>
          <w:kern w:val="0"/>
          <w:sz w:val="24"/>
          <w14:ligatures w14:val="none"/>
        </w:rPr>
        <w:t xml:space="preserve">)) to indicate in writing its capability to provide water service, consistent with the </w:t>
      </w:r>
      <w:r w:rsidRPr="006B4A66">
        <w:rPr>
          <w:rFonts w:ascii="Times New Roman" w:eastAsia="Calibri" w:hAnsi="Times New Roman" w:cs="Times New Roman"/>
          <w:color w:val="000000"/>
          <w:kern w:val="0"/>
          <w:sz w:val="24"/>
          <w14:ligatures w14:val="none"/>
        </w:rPr>
        <w:lastRenderedPageBreak/>
        <w:t xml:space="preserve">standards contained in this chapter, to any building permit, subdivision, or short subdivision applicant, or to the county; </w:t>
      </w:r>
      <w:r w:rsidRPr="006B4A66">
        <w:rPr>
          <w:rFonts w:ascii="Times New Roman" w:eastAsia="Calibri" w:hAnsi="Times New Roman" w:cs="Times New Roman"/>
          <w:color w:val="000000"/>
          <w:kern w:val="0"/>
          <w:sz w:val="24"/>
          <w:u w:val="single"/>
          <w14:ligatures w14:val="none"/>
        </w:rPr>
        <w:t>and</w:t>
      </w:r>
    </w:p>
    <w:p w14:paraId="66686522"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  2.  The </w:t>
      </w:r>
      <w:r w:rsidRPr="006B4A66">
        <w:rPr>
          <w:rFonts w:ascii="Times New Roman" w:eastAsia="Calibri" w:hAnsi="Times New Roman" w:cs="Times New Roman"/>
          <w:color w:val="000000"/>
          <w:kern w:val="0"/>
          <w:sz w:val="24"/>
          <w:u w:val="single"/>
          <w14:ligatures w14:val="none"/>
        </w:rPr>
        <w:t>fire marshal may require the</w:t>
      </w:r>
      <w:r w:rsidRPr="001216D4">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14:ligatures w14:val="none"/>
        </w:rPr>
        <w:t>water authority ((</w:t>
      </w:r>
      <w:r w:rsidRPr="006B4A66">
        <w:rPr>
          <w:rFonts w:ascii="Times New Roman" w:eastAsia="Calibri" w:hAnsi="Times New Roman" w:cs="Times New Roman"/>
          <w:strike/>
          <w:color w:val="000000"/>
          <w:kern w:val="0"/>
          <w:sz w:val="24"/>
          <w14:ligatures w14:val="none"/>
        </w:rPr>
        <w:t>may be required by the fire marshal</w:t>
      </w:r>
      <w:r w:rsidRPr="006B4A66">
        <w:rPr>
          <w:rFonts w:ascii="Times New Roman" w:eastAsia="Calibri" w:hAnsi="Times New Roman" w:cs="Times New Roman"/>
          <w:color w:val="000000"/>
          <w:kern w:val="0"/>
          <w:sz w:val="24"/>
          <w14:ligatures w14:val="none"/>
        </w:rPr>
        <w:t>)) to notify the fire department in writing when a water system installed pursuant to this chapter is available for use.</w:t>
      </w:r>
    </w:p>
    <w:p w14:paraId="4DFCC09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B.  </w:t>
      </w:r>
      <w:r w:rsidRPr="006B4A66">
        <w:rPr>
          <w:rFonts w:ascii="Times New Roman" w:eastAsia="Calibri" w:hAnsi="Times New Roman" w:cs="Times New Roman"/>
          <w:color w:val="000000"/>
          <w:kern w:val="0"/>
          <w:sz w:val="24"/>
          <w:u w:val="single"/>
          <w14:ligatures w14:val="none"/>
        </w:rPr>
        <w:t>King County is solely responsible for</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strike/>
          <w:color w:val="000000"/>
          <w:kern w:val="0"/>
          <w:sz w:val="24"/>
          <w14:ligatures w14:val="none"/>
        </w:rPr>
        <w:t>E</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u w:val="single"/>
          <w14:ligatures w14:val="none"/>
        </w:rPr>
        <w:t>e</w:t>
      </w:r>
      <w:r w:rsidRPr="006B4A66">
        <w:rPr>
          <w:rFonts w:ascii="Times New Roman" w:eastAsia="Calibri" w:hAnsi="Times New Roman" w:cs="Times New Roman"/>
          <w:color w:val="000000"/>
          <w:kern w:val="0"/>
          <w:sz w:val="24"/>
          <w14:ligatures w14:val="none"/>
        </w:rPr>
        <w:t>nforcement ((</w:t>
      </w:r>
      <w:r w:rsidRPr="006B4A66">
        <w:rPr>
          <w:rFonts w:ascii="Times New Roman" w:eastAsia="Calibri" w:hAnsi="Times New Roman" w:cs="Times New Roman"/>
          <w:strike/>
          <w:color w:val="000000"/>
          <w:kern w:val="0"/>
          <w:sz w:val="24"/>
          <w14:ligatures w14:val="none"/>
        </w:rPr>
        <w:t>responsibility, for</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and</w:t>
      </w:r>
      <w:r w:rsidRPr="006B4A66">
        <w:rPr>
          <w:rFonts w:ascii="Times New Roman" w:eastAsia="Calibri" w:hAnsi="Times New Roman" w:cs="Times New Roman"/>
          <w:color w:val="000000"/>
          <w:kern w:val="0"/>
          <w:sz w:val="24"/>
          <w14:ligatures w14:val="none"/>
        </w:rPr>
        <w:t xml:space="preserve"> determining whether ((</w:t>
      </w:r>
      <w:r w:rsidRPr="006B4A66">
        <w:rPr>
          <w:rFonts w:ascii="Times New Roman" w:eastAsia="Calibri" w:hAnsi="Times New Roman" w:cs="Times New Roman"/>
          <w:strike/>
          <w:color w:val="000000"/>
          <w:kern w:val="0"/>
          <w:sz w:val="24"/>
          <w14:ligatures w14:val="none"/>
        </w:rPr>
        <w:t>or not</w:t>
      </w:r>
      <w:r w:rsidRPr="006B4A66">
        <w:rPr>
          <w:rFonts w:ascii="Times New Roman" w:eastAsia="Calibri" w:hAnsi="Times New Roman" w:cs="Times New Roman"/>
          <w:color w:val="000000"/>
          <w:kern w:val="0"/>
          <w:sz w:val="24"/>
          <w14:ligatures w14:val="none"/>
        </w:rPr>
        <w:t>)) to approve a building permit, subdivision, or short subdivision application, based on information provided by the water authority((</w:t>
      </w:r>
      <w:r w:rsidRPr="006B4A66">
        <w:rPr>
          <w:rFonts w:ascii="Times New Roman" w:eastAsia="Calibri" w:hAnsi="Times New Roman" w:cs="Times New Roman"/>
          <w:strike/>
          <w:color w:val="000000"/>
          <w:kern w:val="0"/>
          <w:sz w:val="24"/>
          <w14:ligatures w14:val="none"/>
        </w:rPr>
        <w:t>, shall belong solely to King County</w:t>
      </w:r>
      <w:r w:rsidRPr="006B4A66">
        <w:rPr>
          <w:rFonts w:ascii="Times New Roman" w:eastAsia="Calibri" w:hAnsi="Times New Roman" w:cs="Times New Roman"/>
          <w:color w:val="000000"/>
          <w:kern w:val="0"/>
          <w:sz w:val="24"/>
          <w14:ligatures w14:val="none"/>
        </w:rPr>
        <w:t>)).</w:t>
      </w:r>
    </w:p>
    <w:p w14:paraId="74742DC6" w14:textId="430F6F5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244.</w:t>
      </w:r>
      <w:r w:rsidRPr="006B4A66">
        <w:rPr>
          <w:rFonts w:ascii="Times New Roman" w:eastAsia="Calibri" w:hAnsi="Times New Roman" w:cs="Times New Roman"/>
          <w:color w:val="000000"/>
          <w:kern w:val="0"/>
          <w:sz w:val="24"/>
          <w14:ligatures w14:val="none"/>
        </w:rPr>
        <w:t xml:space="preserve">  Ordinance 14915, Section 125, as amended, and K.C.C. 17.08.140 are each hereby amended to read as follows:</w:t>
      </w:r>
    </w:p>
    <w:p w14:paraId="280D007D" w14:textId="1D5A67F0"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kern w:val="0"/>
          <w:sz w:val="24"/>
          <w14:ligatures w14:val="none"/>
        </w:rPr>
        <w:tab/>
      </w:r>
      <w:r w:rsidRPr="006B4A66">
        <w:rPr>
          <w:rFonts w:ascii="Times New Roman" w:eastAsia="Calibri" w:hAnsi="Times New Roman" w:cs="Times New Roman"/>
          <w:color w:val="000000"/>
          <w:kern w:val="0"/>
          <w:sz w:val="24"/>
          <w14:ligatures w14:val="none"/>
        </w:rPr>
        <w:t>No more than ((</w:t>
      </w:r>
      <w:r w:rsidRPr="006B4A66">
        <w:rPr>
          <w:rFonts w:ascii="Times New Roman" w:eastAsia="Calibri" w:hAnsi="Times New Roman" w:cs="Times New Roman"/>
          <w:strike/>
          <w:color w:val="000000"/>
          <w:kern w:val="0"/>
          <w:sz w:val="24"/>
          <w14:ligatures w14:val="none"/>
        </w:rPr>
        <w:t>sixty</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60</w:t>
      </w:r>
      <w:r w:rsidRPr="006B4A66">
        <w:rPr>
          <w:rFonts w:ascii="Times New Roman" w:eastAsia="Calibri" w:hAnsi="Times New Roman" w:cs="Times New Roman"/>
          <w:color w:val="000000"/>
          <w:kern w:val="0"/>
          <w:sz w:val="24"/>
          <w14:ligatures w14:val="none"/>
        </w:rPr>
        <w:t xml:space="preserve"> feet </w:t>
      </w:r>
      <w:r w:rsidRPr="006B4A66">
        <w:rPr>
          <w:rFonts w:ascii="Times New Roman" w:eastAsia="Calibri" w:hAnsi="Times New Roman" w:cs="Times New Roman"/>
          <w:color w:val="000000"/>
          <w:kern w:val="0"/>
          <w:sz w:val="24"/>
          <w:u w:val="single"/>
          <w14:ligatures w14:val="none"/>
        </w:rPr>
        <w:t>(18</w:t>
      </w:r>
      <w:r w:rsidR="00291D0A">
        <w:rPr>
          <w:rFonts w:ascii="Times New Roman" w:eastAsia="Calibri" w:hAnsi="Times New Roman" w:cs="Times New Roman"/>
          <w:color w:val="000000"/>
          <w:kern w:val="0"/>
          <w:sz w:val="24"/>
          <w:u w:val="single"/>
          <w14:ligatures w14:val="none"/>
        </w:rPr>
        <w:t>.3</w:t>
      </w:r>
      <w:r w:rsidRPr="006B4A66">
        <w:rPr>
          <w:rFonts w:ascii="Times New Roman" w:eastAsia="Calibri" w:hAnsi="Times New Roman" w:cs="Times New Roman"/>
          <w:color w:val="000000"/>
          <w:kern w:val="0"/>
          <w:sz w:val="24"/>
          <w:u w:val="single"/>
          <w14:ligatures w14:val="none"/>
        </w:rPr>
        <w:t xml:space="preserve"> meters)</w:t>
      </w:r>
      <w:r w:rsidRPr="006B4A66">
        <w:rPr>
          <w:rFonts w:ascii="Times New Roman" w:eastAsia="Calibri" w:hAnsi="Times New Roman" w:cs="Times New Roman"/>
          <w:color w:val="000000"/>
          <w:kern w:val="0"/>
          <w:sz w:val="24"/>
          <w14:ligatures w14:val="none"/>
        </w:rPr>
        <w:t xml:space="preserve"> of piping that connects the customer</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s plumbing system to the purveyor's water main or water meter shall be located in any public road right-of-way unless approved in accordance with K.C.C. chapter 14.28.</w:t>
      </w:r>
    </w:p>
    <w:p w14:paraId="46B6B018" w14:textId="27CFCA85"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r>
      <w:r w:rsidRPr="006B4A66">
        <w:rPr>
          <w:rFonts w:ascii="Times New Roman" w:eastAsia="Calibri" w:hAnsi="Times New Roman" w:cs="Times New Roman"/>
          <w:color w:val="000000"/>
          <w:kern w:val="0"/>
          <w:sz w:val="24"/>
          <w:u w:val="single"/>
          <w14:ligatures w14:val="none"/>
        </w:rPr>
        <w:t>SECTION 245.</w:t>
      </w:r>
      <w:r w:rsidRPr="006B4A66">
        <w:rPr>
          <w:rFonts w:ascii="Times New Roman" w:eastAsia="Calibri" w:hAnsi="Times New Roman" w:cs="Times New Roman"/>
          <w:color w:val="000000"/>
          <w:kern w:val="0"/>
          <w:sz w:val="24"/>
          <w14:ligatures w14:val="none"/>
        </w:rPr>
        <w:t xml:space="preserve">  Ordinance 19276, Section 7, and K.C.C. 17.11.040 are each hereby amended to read as follows:</w:t>
      </w:r>
    </w:p>
    <w:p w14:paraId="698E6960"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A.  The retail sale of fireworks in unincorporated King County is prohibited.</w:t>
      </w:r>
    </w:p>
    <w:p w14:paraId="176D6DDB"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B.  The use, discharge</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display of fireworks in unincorporated King County is prohibited absent a permit issued by the county pursuant to RCW 70.77.260(2) and this section.</w:t>
      </w:r>
    </w:p>
    <w:p w14:paraId="5C1C2633"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C.  Any person ((</w:t>
      </w:r>
      <w:r w:rsidRPr="006B4A66">
        <w:rPr>
          <w:rFonts w:ascii="Times New Roman" w:eastAsia="Calibri" w:hAnsi="Times New Roman" w:cs="Times New Roman"/>
          <w:strike/>
          <w:color w:val="000000"/>
          <w:kern w:val="0"/>
          <w:sz w:val="24"/>
          <w14:ligatures w14:val="none"/>
        </w:rPr>
        <w:t>desiring</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seeking</w:t>
      </w:r>
      <w:r w:rsidRPr="006B4A66">
        <w:rPr>
          <w:rFonts w:ascii="Times New Roman" w:eastAsia="Calibri" w:hAnsi="Times New Roman" w:cs="Times New Roman"/>
          <w:color w:val="000000"/>
          <w:kern w:val="0"/>
          <w:sz w:val="24"/>
          <w14:ligatures w14:val="none"/>
        </w:rPr>
        <w:t xml:space="preserve"> to ((</w:t>
      </w:r>
      <w:r w:rsidRPr="006B4A66">
        <w:rPr>
          <w:rFonts w:ascii="Times New Roman" w:eastAsia="Calibri" w:hAnsi="Times New Roman" w:cs="Times New Roman"/>
          <w:strike/>
          <w:color w:val="000000"/>
          <w:kern w:val="0"/>
          <w:sz w:val="24"/>
          <w14:ligatures w14:val="none"/>
        </w:rPr>
        <w:t>give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provide</w:t>
      </w:r>
      <w:r w:rsidRPr="006B4A66">
        <w:rPr>
          <w:rFonts w:ascii="Times New Roman" w:eastAsia="Calibri" w:hAnsi="Times New Roman" w:cs="Times New Roman"/>
          <w:color w:val="000000"/>
          <w:kern w:val="0"/>
          <w:sz w:val="24"/>
          <w14:ligatures w14:val="none"/>
        </w:rPr>
        <w:t xml:space="preserve"> a public display of fireworks shall submit to the fire marshal a((</w:t>
      </w:r>
      <w:r w:rsidRPr="006B4A66">
        <w:rPr>
          <w:rFonts w:ascii="Times New Roman" w:eastAsia="Calibri" w:hAnsi="Times New Roman" w:cs="Times New Roman"/>
          <w:strike/>
          <w:color w:val="000000"/>
          <w:kern w:val="0"/>
          <w:sz w:val="24"/>
          <w14:ligatures w14:val="none"/>
        </w:rPr>
        <w:t>n</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permit</w:t>
      </w:r>
      <w:r w:rsidRPr="006B4A66">
        <w:rPr>
          <w:rFonts w:ascii="Times New Roman" w:eastAsia="Calibri" w:hAnsi="Times New Roman" w:cs="Times New Roman"/>
          <w:color w:val="000000"/>
          <w:kern w:val="0"/>
          <w:sz w:val="24"/>
          <w14:ligatures w14:val="none"/>
        </w:rPr>
        <w:t xml:space="preserve"> application ((</w:t>
      </w:r>
      <w:r w:rsidRPr="006B4A66">
        <w:rPr>
          <w:rFonts w:ascii="Times New Roman" w:eastAsia="Calibri" w:hAnsi="Times New Roman" w:cs="Times New Roman"/>
          <w:strike/>
          <w:color w:val="000000"/>
          <w:kern w:val="0"/>
          <w:sz w:val="24"/>
          <w14:ligatures w14:val="none"/>
        </w:rPr>
        <w:t>for a permit to operate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for</w:t>
      </w:r>
      <w:r w:rsidRPr="006B4A66">
        <w:rPr>
          <w:rFonts w:ascii="Times New Roman" w:eastAsia="Calibri" w:hAnsi="Times New Roman" w:cs="Times New Roman"/>
          <w:color w:val="000000"/>
          <w:kern w:val="0"/>
          <w:sz w:val="24"/>
          <w14:ligatures w14:val="none"/>
        </w:rPr>
        <w:t xml:space="preserve"> the public display.  This is in addition to any permits required by Section </w:t>
      </w:r>
      <w:r w:rsidRPr="006B4A66">
        <w:rPr>
          <w:rFonts w:ascii="Times New Roman" w:eastAsia="Calibri" w:hAnsi="Times New Roman" w:cs="Times New Roman"/>
          <w:color w:val="000000"/>
          <w:kern w:val="0"/>
          <w:sz w:val="24"/>
          <w14:ligatures w14:val="none"/>
        </w:rPr>
        <w:lastRenderedPageBreak/>
        <w:t>105 of the International Fire Code for pyrotechnic special effects material and use of hazardous materials.  Public displays of fireworks shall not be permitted more than two days per calendar year on any site as defined in K.C.C. 21A.06.1170.</w:t>
      </w:r>
    </w:p>
    <w:p w14:paraId="3EF262D8"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D.  A complete permit application for a public display of fireworks shall be made at least twenty days ((</w:t>
      </w:r>
      <w:r w:rsidRPr="006B4A66">
        <w:rPr>
          <w:rFonts w:ascii="Times New Roman" w:eastAsia="Calibri" w:hAnsi="Times New Roman" w:cs="Times New Roman"/>
          <w:strike/>
          <w:color w:val="000000"/>
          <w:kern w:val="0"/>
          <w:sz w:val="24"/>
          <w14:ligatures w14:val="none"/>
        </w:rPr>
        <w:t>in advance of)</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before</w:t>
      </w:r>
      <w:r w:rsidRPr="006B4A66">
        <w:rPr>
          <w:rFonts w:ascii="Times New Roman" w:eastAsia="Calibri" w:hAnsi="Times New Roman" w:cs="Times New Roman"/>
          <w:color w:val="000000"/>
          <w:kern w:val="0"/>
          <w:sz w:val="24"/>
          <w14:ligatures w14:val="none"/>
        </w:rPr>
        <w:t xml:space="preserve"> the date set for the public display.  ((</w:t>
      </w:r>
      <w:r w:rsidRPr="006B4A66">
        <w:rPr>
          <w:rFonts w:ascii="Times New Roman" w:eastAsia="Calibri" w:hAnsi="Times New Roman" w:cs="Times New Roman"/>
          <w:strike/>
          <w:color w:val="000000"/>
          <w:kern w:val="0"/>
          <w:sz w:val="24"/>
          <w14:ligatures w14:val="none"/>
        </w:rPr>
        <w:t>Applications received after that date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Untimely</w:t>
      </w:r>
      <w:r w:rsidRPr="006B4A66">
        <w:rPr>
          <w:rFonts w:ascii="Times New Roman" w:eastAsia="Calibri" w:hAnsi="Times New Roman" w:cs="Times New Roman"/>
          <w:color w:val="000000"/>
          <w:kern w:val="0"/>
          <w:sz w:val="24"/>
          <w14:ligatures w14:val="none"/>
        </w:rPr>
        <w:t xml:space="preserve"> or incomplete applications shall be denied.</w:t>
      </w:r>
    </w:p>
    <w:p w14:paraId="73C6DD05"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E.  The fee for the permit shall be as established in K.C.C. Title 27.  The permit required by this section shall be in addition to any license required by the state fire marshal under chapter 70.77 RCW.  Permits for displays of fireworks for religious purposes shall not be subject to a fee, in accordance with RCW 70.77.311</w:t>
      </w:r>
      <w:r w:rsidRPr="006B4A66">
        <w:rPr>
          <w:rFonts w:ascii="Times New Roman" w:eastAsia="Calibri" w:hAnsi="Times New Roman" w:cs="Times New Roman"/>
          <w:color w:val="000000"/>
          <w:kern w:val="0"/>
          <w:sz w:val="24"/>
          <w:u w:val="single"/>
          <w14:ligatures w14:val="none"/>
        </w:rPr>
        <w:t>(2)</w:t>
      </w:r>
      <w:r w:rsidRPr="006B4A66">
        <w:rPr>
          <w:rFonts w:ascii="Times New Roman" w:eastAsia="Calibri" w:hAnsi="Times New Roman" w:cs="Times New Roman"/>
          <w:color w:val="000000"/>
          <w:kern w:val="0"/>
          <w:sz w:val="24"/>
          <w14:ligatures w14:val="none"/>
        </w:rPr>
        <w:t>.</w:t>
      </w:r>
    </w:p>
    <w:p w14:paraId="2F19FFE1"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F.1.  For any scheduled public display, applicants shall submit such information as ((</w:t>
      </w:r>
      <w:r w:rsidRPr="006B4A66">
        <w:rPr>
          <w:rFonts w:ascii="Times New Roman" w:eastAsia="Calibri" w:hAnsi="Times New Roman" w:cs="Times New Roman"/>
          <w:strike/>
          <w:color w:val="000000"/>
          <w:kern w:val="0"/>
          <w:sz w:val="24"/>
          <w14:ligatures w14:val="none"/>
        </w:rPr>
        <w:t>deemed appropriate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required</w:t>
      </w:r>
      <w:r w:rsidRPr="006B4A66">
        <w:rPr>
          <w:rFonts w:ascii="Times New Roman" w:eastAsia="Calibri" w:hAnsi="Times New Roman" w:cs="Times New Roman"/>
          <w:color w:val="000000"/>
          <w:kern w:val="0"/>
          <w:sz w:val="24"/>
          <w14:ligatures w14:val="none"/>
        </w:rPr>
        <w:t xml:space="preserve"> by the department </w:t>
      </w:r>
      <w:r w:rsidRPr="006B4A66">
        <w:rPr>
          <w:rFonts w:ascii="Times New Roman" w:eastAsia="Calibri" w:hAnsi="Times New Roman" w:cs="Times New Roman"/>
          <w:color w:val="000000"/>
          <w:kern w:val="0"/>
          <w:sz w:val="24"/>
          <w:u w:val="single"/>
          <w14:ligatures w14:val="none"/>
        </w:rPr>
        <w:t>of local services</w:t>
      </w:r>
      <w:r w:rsidRPr="006B4A66">
        <w:rPr>
          <w:rFonts w:ascii="Times New Roman" w:eastAsia="Calibri" w:hAnsi="Times New Roman" w:cs="Times New Roman"/>
          <w:color w:val="000000"/>
          <w:kern w:val="0"/>
          <w:sz w:val="24"/>
          <w14:ligatures w14:val="none"/>
        </w:rPr>
        <w:t xml:space="preserve"> and the sheriff's office to ensure that adequate traffic control and crowd protection ((</w:t>
      </w:r>
      <w:r w:rsidRPr="006B4A66">
        <w:rPr>
          <w:rFonts w:ascii="Times New Roman" w:eastAsia="Calibri" w:hAnsi="Times New Roman" w:cs="Times New Roman"/>
          <w:strike/>
          <w:color w:val="000000"/>
          <w:kern w:val="0"/>
          <w:sz w:val="24"/>
          <w14:ligatures w14:val="none"/>
        </w:rPr>
        <w:t>policing</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services</w:t>
      </w:r>
      <w:r w:rsidRPr="006B4A66">
        <w:rPr>
          <w:rFonts w:ascii="Times New Roman" w:eastAsia="Calibri" w:hAnsi="Times New Roman" w:cs="Times New Roman"/>
          <w:color w:val="000000"/>
          <w:kern w:val="0"/>
          <w:sz w:val="24"/>
          <w14:ligatures w14:val="none"/>
        </w:rPr>
        <w:t xml:space="preserve"> has either been arranged through private security agencies or ((</w:t>
      </w:r>
      <w:r w:rsidRPr="006B4A66">
        <w:rPr>
          <w:rFonts w:ascii="Times New Roman" w:eastAsia="Calibri" w:hAnsi="Times New Roman" w:cs="Times New Roman"/>
          <w:strike/>
          <w:color w:val="000000"/>
          <w:kern w:val="0"/>
          <w:sz w:val="24"/>
          <w14:ligatures w14:val="none"/>
        </w:rPr>
        <w:t>has been</w:t>
      </w:r>
      <w:r w:rsidRPr="006B4A66">
        <w:rPr>
          <w:rFonts w:ascii="Times New Roman" w:eastAsia="Calibri" w:hAnsi="Times New Roman" w:cs="Times New Roman"/>
          <w:color w:val="000000"/>
          <w:kern w:val="0"/>
          <w:sz w:val="24"/>
          <w14:ligatures w14:val="none"/>
        </w:rPr>
        <w:t>)) contracted for with the sheriff.</w:t>
      </w:r>
    </w:p>
    <w:p w14:paraId="137A2658"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2.  A written notice that the applicant has complied with this requirement shall be issued by the sheriff to the fire marshal before a public display permit is issued.</w:t>
      </w:r>
    </w:p>
    <w:p w14:paraId="501DBC02"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3.  If the applicant contracts for traffic control and crowd protection ((</w:t>
      </w:r>
      <w:r w:rsidRPr="006B4A66">
        <w:rPr>
          <w:rFonts w:ascii="Times New Roman" w:eastAsia="Calibri" w:hAnsi="Times New Roman" w:cs="Times New Roman"/>
          <w:strike/>
          <w:color w:val="000000"/>
          <w:kern w:val="0"/>
          <w:sz w:val="24"/>
          <w14:ligatures w14:val="none"/>
        </w:rPr>
        <w:t>policing</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services</w:t>
      </w:r>
      <w:r w:rsidRPr="006B4A66">
        <w:rPr>
          <w:rFonts w:ascii="Times New Roman" w:eastAsia="Calibri" w:hAnsi="Times New Roman" w:cs="Times New Roman"/>
          <w:color w:val="000000"/>
          <w:kern w:val="0"/>
          <w:sz w:val="24"/>
          <w14:ligatures w14:val="none"/>
        </w:rPr>
        <w:t xml:space="preserve"> with King County, the ((</w:t>
      </w:r>
      <w:r w:rsidRPr="006B4A66">
        <w:rPr>
          <w:rFonts w:ascii="Times New Roman" w:eastAsia="Calibri" w:hAnsi="Times New Roman" w:cs="Times New Roman"/>
          <w:strike/>
          <w:color w:val="000000"/>
          <w:kern w:val="0"/>
          <w:sz w:val="24"/>
          <w14:ligatures w14:val="none"/>
        </w:rPr>
        <w:t>sum</w:t>
      </w:r>
      <w:r w:rsidRPr="006B4A66">
        <w:rPr>
          <w:rFonts w:ascii="Times New Roman" w:eastAsia="Calibri" w:hAnsi="Times New Roman" w:cs="Times New Roman"/>
          <w:color w:val="000000"/>
          <w:kern w:val="0"/>
          <w:sz w:val="24"/>
          <w14:ligatures w14:val="none"/>
        </w:rPr>
        <w:t>)) agreed upon ((</w:t>
      </w:r>
      <w:r w:rsidRPr="006B4A66">
        <w:rPr>
          <w:rFonts w:ascii="Times New Roman" w:eastAsia="Calibri" w:hAnsi="Times New Roman" w:cs="Times New Roman"/>
          <w:strike/>
          <w:color w:val="000000"/>
          <w:kern w:val="0"/>
          <w:sz w:val="24"/>
          <w14:ligatures w14:val="none"/>
        </w:rPr>
        <w:t>in</w:t>
      </w:r>
      <w:r w:rsidRPr="006B4A66">
        <w:rPr>
          <w:rFonts w:ascii="Times New Roman" w:eastAsia="Calibri" w:hAnsi="Times New Roman" w:cs="Times New Roman"/>
          <w:color w:val="000000"/>
          <w:kern w:val="0"/>
          <w:sz w:val="24"/>
          <w14:ligatures w14:val="none"/>
        </w:rPr>
        <w:t>)) payment ((</w:t>
      </w:r>
      <w:r w:rsidRPr="006B4A66">
        <w:rPr>
          <w:rFonts w:ascii="Times New Roman" w:eastAsia="Calibri" w:hAnsi="Times New Roman" w:cs="Times New Roman"/>
          <w:strike/>
          <w:color w:val="000000"/>
          <w:kern w:val="0"/>
          <w:sz w:val="24"/>
          <w14:ligatures w14:val="none"/>
        </w:rPr>
        <w:t>for the policing</w:t>
      </w:r>
      <w:r w:rsidRPr="006B4A66">
        <w:rPr>
          <w:rFonts w:ascii="Times New Roman" w:eastAsia="Calibri" w:hAnsi="Times New Roman" w:cs="Times New Roman"/>
          <w:color w:val="000000"/>
          <w:kern w:val="0"/>
          <w:sz w:val="24"/>
          <w14:ligatures w14:val="none"/>
        </w:rPr>
        <w:t xml:space="preserve">)) shall not be less than the actual expense incurred by the county in providing that service.  The compensation for a </w:t>
      </w:r>
      <w:r w:rsidRPr="006B4A66">
        <w:rPr>
          <w:rFonts w:ascii="Times New Roman" w:eastAsia="Calibri" w:hAnsi="Times New Roman" w:cs="Times New Roman"/>
          <w:color w:val="000000"/>
          <w:kern w:val="0"/>
          <w:sz w:val="24"/>
          <w:u w:val="single"/>
          <w14:ligatures w14:val="none"/>
        </w:rPr>
        <w:t>traffic control</w:t>
      </w:r>
      <w:r w:rsidRPr="006B4A66">
        <w:rPr>
          <w:rFonts w:ascii="Times New Roman" w:eastAsia="Calibri" w:hAnsi="Times New Roman" w:cs="Times New Roman"/>
          <w:color w:val="000000"/>
          <w:kern w:val="0"/>
          <w:sz w:val="24"/>
          <w14:ligatures w14:val="none"/>
        </w:rPr>
        <w:t xml:space="preserve"> contract ((</w:t>
      </w:r>
      <w:r w:rsidRPr="006B4A66">
        <w:rPr>
          <w:rFonts w:ascii="Times New Roman" w:eastAsia="Calibri" w:hAnsi="Times New Roman" w:cs="Times New Roman"/>
          <w:strike/>
          <w:color w:val="000000"/>
          <w:kern w:val="0"/>
          <w:sz w:val="24"/>
          <w14:ligatures w14:val="none"/>
        </w:rPr>
        <w:t>for traffic control</w:t>
      </w:r>
      <w:r w:rsidRPr="006B4A66">
        <w:rPr>
          <w:rFonts w:ascii="Times New Roman" w:eastAsia="Calibri" w:hAnsi="Times New Roman" w:cs="Times New Roman"/>
          <w:color w:val="000000"/>
          <w:kern w:val="0"/>
          <w:sz w:val="24"/>
          <w14:ligatures w14:val="none"/>
        </w:rPr>
        <w:t>)) and crowd protection ((</w:t>
      </w:r>
      <w:r w:rsidRPr="006B4A66">
        <w:rPr>
          <w:rFonts w:ascii="Times New Roman" w:eastAsia="Calibri" w:hAnsi="Times New Roman" w:cs="Times New Roman"/>
          <w:strike/>
          <w:color w:val="000000"/>
          <w:kern w:val="0"/>
          <w:sz w:val="24"/>
          <w14:ligatures w14:val="none"/>
        </w:rPr>
        <w:t>policing</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services</w:t>
      </w:r>
      <w:r w:rsidRPr="006B4A66">
        <w:rPr>
          <w:rFonts w:ascii="Times New Roman" w:eastAsia="Calibri" w:hAnsi="Times New Roman" w:cs="Times New Roman"/>
          <w:color w:val="000000"/>
          <w:kern w:val="0"/>
          <w:sz w:val="24"/>
          <w14:ligatures w14:val="none"/>
        </w:rPr>
        <w:t xml:space="preserve"> with King County shall be calculated ((</w:t>
      </w:r>
      <w:r w:rsidRPr="006B4A66">
        <w:rPr>
          <w:rFonts w:ascii="Times New Roman" w:eastAsia="Calibri" w:hAnsi="Times New Roman" w:cs="Times New Roman"/>
          <w:strike/>
          <w:color w:val="000000"/>
          <w:kern w:val="0"/>
          <w:sz w:val="24"/>
          <w14:ligatures w14:val="none"/>
        </w:rPr>
        <w:t>for</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as</w:t>
      </w:r>
      <w:r w:rsidRPr="006B4A66">
        <w:rPr>
          <w:rFonts w:ascii="Times New Roman" w:eastAsia="Calibri" w:hAnsi="Times New Roman" w:cs="Times New Roman"/>
          <w:color w:val="000000"/>
          <w:kern w:val="0"/>
          <w:sz w:val="24"/>
          <w14:ligatures w14:val="none"/>
        </w:rPr>
        <w:t xml:space="preserve"> personnel resources </w:t>
      </w:r>
      <w:r w:rsidRPr="006B4A66">
        <w:rPr>
          <w:rFonts w:ascii="Times New Roman" w:eastAsia="Calibri" w:hAnsi="Times New Roman" w:cs="Times New Roman"/>
          <w:color w:val="000000"/>
          <w:kern w:val="0"/>
          <w:sz w:val="24"/>
          <w14:ligatures w14:val="none"/>
        </w:rPr>
        <w:lastRenderedPageBreak/>
        <w:t>((</w:t>
      </w:r>
      <w:r w:rsidRPr="006B4A66">
        <w:rPr>
          <w:rFonts w:ascii="Times New Roman" w:eastAsia="Calibri" w:hAnsi="Times New Roman" w:cs="Times New Roman"/>
          <w:strike/>
          <w:color w:val="000000"/>
          <w:kern w:val="0"/>
          <w:sz w:val="24"/>
          <w14:ligatures w14:val="none"/>
        </w:rPr>
        <w:t>in</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by</w:t>
      </w:r>
      <w:r w:rsidRPr="006B4A66">
        <w:rPr>
          <w:rFonts w:ascii="Times New Roman" w:eastAsia="Calibri" w:hAnsi="Times New Roman" w:cs="Times New Roman"/>
          <w:color w:val="000000"/>
          <w:kern w:val="0"/>
          <w:sz w:val="24"/>
          <w14:ligatures w14:val="none"/>
        </w:rPr>
        <w:t xml:space="preserve"> the hourly rate for overtime under the current collective bargaining agreement, plus the percentage being paid for fringe benefits, and all sums paid under the contract shall be paid in accordance with procedures specified by the county treasurer.</w:t>
      </w:r>
    </w:p>
    <w:p w14:paraId="1FC281DA"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G.  Every public display of fireworks shall be conducted with a pyrotechnic operator licensed by the state of Washington under RCW 70.77.255 supervising the handling and discharge of the fireworks.</w:t>
      </w:r>
    </w:p>
    <w:p w14:paraId="03FC5BF8"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H.  A bond or certificate of insurance must be furnished to the department </w:t>
      </w:r>
      <w:r w:rsidRPr="006B4A66">
        <w:rPr>
          <w:rFonts w:ascii="Times New Roman" w:eastAsia="Calibri" w:hAnsi="Times New Roman" w:cs="Times New Roman"/>
          <w:color w:val="000000"/>
          <w:kern w:val="0"/>
          <w:sz w:val="24"/>
          <w:u w:val="single"/>
          <w14:ligatures w14:val="none"/>
        </w:rPr>
        <w:t>of  local services</w:t>
      </w:r>
      <w:r w:rsidRPr="006B4A66">
        <w:rPr>
          <w:rFonts w:ascii="Times New Roman" w:eastAsia="Calibri" w:hAnsi="Times New Roman" w:cs="Times New Roman"/>
          <w:color w:val="000000"/>
          <w:kern w:val="0"/>
          <w:sz w:val="24"/>
          <w14:ligatures w14:val="none"/>
        </w:rPr>
        <w:t xml:space="preserve"> before a permit is issued.  The bond shall be in the amount of one million dollars and shall be conditioned upon the applicant's payment of all damages to persons and property resulting from or caused by the public display of fireworks, or by any negligence on the part of the applicant or its agents, servants, employees</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subcontractors in the ((</w:t>
      </w:r>
      <w:r w:rsidRPr="006B4A66">
        <w:rPr>
          <w:rFonts w:ascii="Times New Roman" w:eastAsia="Calibri" w:hAnsi="Times New Roman" w:cs="Times New Roman"/>
          <w:strike/>
          <w:color w:val="000000"/>
          <w:kern w:val="0"/>
          <w:sz w:val="24"/>
          <w14:ligatures w14:val="none"/>
        </w:rPr>
        <w:t>presentation of the</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public</w:t>
      </w:r>
      <w:r w:rsidRPr="006B4A66">
        <w:rPr>
          <w:rFonts w:ascii="Times New Roman" w:eastAsia="Calibri" w:hAnsi="Times New Roman" w:cs="Times New Roman"/>
          <w:color w:val="000000"/>
          <w:kern w:val="0"/>
          <w:sz w:val="24"/>
          <w14:ligatures w14:val="none"/>
        </w:rPr>
        <w:t xml:space="preserve"> display </w:t>
      </w:r>
      <w:r w:rsidRPr="006B4A66">
        <w:rPr>
          <w:rFonts w:ascii="Times New Roman" w:eastAsia="Calibri" w:hAnsi="Times New Roman" w:cs="Times New Roman"/>
          <w:color w:val="000000"/>
          <w:kern w:val="0"/>
          <w:sz w:val="24"/>
          <w:u w:val="single"/>
          <w14:ligatures w14:val="none"/>
        </w:rPr>
        <w:t>of fireworks</w:t>
      </w:r>
      <w:r w:rsidRPr="006B4A66">
        <w:rPr>
          <w:rFonts w:ascii="Times New Roman" w:eastAsia="Calibri" w:hAnsi="Times New Roman" w:cs="Times New Roman"/>
          <w:color w:val="000000"/>
          <w:kern w:val="0"/>
          <w:sz w:val="24"/>
          <w14:ligatures w14:val="none"/>
        </w:rPr>
        <w:t>.  The certificate of insurance shall evidence a comprehensive general liability insurance policy providing limits of one million dollars combined single limit, per occurrence and annual aggregate, and naming King County as an additional insured.  ((</w:t>
      </w:r>
      <w:r w:rsidRPr="006B4A66">
        <w:rPr>
          <w:rFonts w:ascii="Times New Roman" w:eastAsia="Calibri" w:hAnsi="Times New Roman" w:cs="Times New Roman"/>
          <w:strike/>
          <w:color w:val="000000"/>
          <w:kern w:val="0"/>
          <w:sz w:val="24"/>
          <w14:ligatures w14:val="none"/>
        </w:rPr>
        <w:t>Any s</w:t>
      </w:r>
      <w:r w:rsidRPr="006B4A66">
        <w:rPr>
          <w:rFonts w:ascii="Times New Roman" w:eastAsia="Calibri" w:hAnsi="Times New Roman" w:cs="Times New Roman"/>
          <w:color w:val="000000"/>
          <w:kern w:val="0"/>
          <w:sz w:val="24"/>
          <w14:ligatures w14:val="none"/>
        </w:rPr>
        <w:t>))</w:t>
      </w:r>
      <w:r w:rsidRPr="006B4A66">
        <w:rPr>
          <w:rFonts w:ascii="Times New Roman" w:eastAsia="Calibri" w:hAnsi="Times New Roman" w:cs="Times New Roman"/>
          <w:color w:val="000000"/>
          <w:kern w:val="0"/>
          <w:sz w:val="24"/>
          <w:u w:val="single"/>
          <w14:ligatures w14:val="none"/>
        </w:rPr>
        <w:t>S</w:t>
      </w:r>
      <w:r w:rsidRPr="006B4A66">
        <w:rPr>
          <w:rFonts w:ascii="Times New Roman" w:eastAsia="Calibri" w:hAnsi="Times New Roman" w:cs="Times New Roman"/>
          <w:color w:val="000000"/>
          <w:kern w:val="0"/>
          <w:sz w:val="24"/>
          <w14:ligatures w14:val="none"/>
        </w:rPr>
        <w:t>uch a bond or insurance policy must be approved by the fire marshal.</w:t>
      </w:r>
    </w:p>
    <w:p w14:paraId="0360EF6C"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 xml:space="preserve">I.  A cash deposit in the amount of one hundred fifty dollars </w:t>
      </w:r>
      <w:r w:rsidRPr="006B4A66">
        <w:rPr>
          <w:rFonts w:ascii="Times New Roman" w:eastAsia="Calibri" w:hAnsi="Times New Roman" w:cs="Times New Roman"/>
          <w:color w:val="000000"/>
          <w:kern w:val="0"/>
          <w:sz w:val="24"/>
          <w:u w:val="single"/>
          <w14:ligatures w14:val="none"/>
        </w:rPr>
        <w:t>to provide for costs of site cleanup</w:t>
      </w:r>
      <w:r w:rsidRPr="006B4A66">
        <w:rPr>
          <w:rFonts w:ascii="Times New Roman" w:eastAsia="Calibri" w:hAnsi="Times New Roman" w:cs="Times New Roman"/>
          <w:color w:val="000000"/>
          <w:kern w:val="0"/>
          <w:sz w:val="24"/>
          <w14:ligatures w14:val="none"/>
        </w:rPr>
        <w:t xml:space="preserve"> must be posted with the department </w:t>
      </w:r>
      <w:r w:rsidRPr="006B4A66">
        <w:rPr>
          <w:rFonts w:ascii="Times New Roman" w:eastAsia="Calibri" w:hAnsi="Times New Roman" w:cs="Times New Roman"/>
          <w:color w:val="000000"/>
          <w:kern w:val="0"/>
          <w:sz w:val="24"/>
          <w:u w:val="single"/>
          <w14:ligatures w14:val="none"/>
        </w:rPr>
        <w:t>of local services</w:t>
      </w:r>
      <w:r w:rsidRPr="006B4A66">
        <w:rPr>
          <w:rFonts w:ascii="Times New Roman" w:eastAsia="Calibri" w:hAnsi="Times New Roman" w:cs="Times New Roman"/>
          <w:color w:val="000000"/>
          <w:kern w:val="0"/>
          <w:sz w:val="24"/>
          <w14:ligatures w14:val="none"/>
        </w:rPr>
        <w:t xml:space="preserve"> at least twenty days ((</w:t>
      </w:r>
      <w:r w:rsidRPr="006B4A66">
        <w:rPr>
          <w:rFonts w:ascii="Times New Roman" w:eastAsia="Calibri" w:hAnsi="Times New Roman" w:cs="Times New Roman"/>
          <w:strike/>
          <w:color w:val="000000"/>
          <w:kern w:val="0"/>
          <w:sz w:val="24"/>
          <w14:ligatures w14:val="none"/>
        </w:rPr>
        <w:t>in advance of</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before</w:t>
      </w:r>
      <w:r w:rsidRPr="006B4A66">
        <w:rPr>
          <w:rFonts w:ascii="Times New Roman" w:eastAsia="Calibri" w:hAnsi="Times New Roman" w:cs="Times New Roman"/>
          <w:color w:val="000000"/>
          <w:kern w:val="0"/>
          <w:sz w:val="24"/>
          <w14:ligatures w14:val="none"/>
        </w:rPr>
        <w:t xml:space="preserve"> the public display date ((</w:t>
      </w:r>
      <w:r w:rsidRPr="006B4A66">
        <w:rPr>
          <w:rFonts w:ascii="Times New Roman" w:eastAsia="Calibri" w:hAnsi="Times New Roman" w:cs="Times New Roman"/>
          <w:strike/>
          <w:color w:val="000000"/>
          <w:kern w:val="0"/>
          <w:sz w:val="24"/>
          <w14:ligatures w14:val="none"/>
        </w:rPr>
        <w:t xml:space="preserve"> to provide for costs of site cleanup</w:t>
      </w:r>
      <w:r w:rsidRPr="006B4A66">
        <w:rPr>
          <w:rFonts w:ascii="Times New Roman" w:eastAsia="Calibri" w:hAnsi="Times New Roman" w:cs="Times New Roman"/>
          <w:color w:val="000000"/>
          <w:kern w:val="0"/>
          <w:sz w:val="24"/>
          <w14:ligatures w14:val="none"/>
        </w:rPr>
        <w:t>)).  The deposit shall be forfeited to King County if the operator fails to perform such cleanup within six days after the public display.  If the operator properly performs the cleanup, the deposit shall be returned to the operator.</w:t>
      </w:r>
    </w:p>
    <w:p w14:paraId="38CDA9CC" w14:textId="48A44A45"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lastRenderedPageBreak/>
        <w:tab/>
      </w:r>
      <w:r w:rsidRPr="006B4A66">
        <w:rPr>
          <w:rFonts w:ascii="Times New Roman" w:eastAsia="Calibri" w:hAnsi="Times New Roman" w:cs="Times New Roman"/>
          <w:color w:val="000000"/>
          <w:kern w:val="0"/>
          <w:sz w:val="24"/>
          <w:u w:val="single"/>
          <w14:ligatures w14:val="none"/>
        </w:rPr>
        <w:t>SECTION 246.</w:t>
      </w:r>
      <w:r w:rsidRPr="006B4A66">
        <w:rPr>
          <w:rFonts w:ascii="Times New Roman" w:eastAsia="Calibri" w:hAnsi="Times New Roman" w:cs="Times New Roman"/>
          <w:color w:val="000000"/>
          <w:kern w:val="0"/>
          <w:sz w:val="24"/>
          <w14:ligatures w14:val="none"/>
        </w:rPr>
        <w:t xml:space="preserve">  Ordinance 19276, Section 9, and K.C.C. 17.11.060 are each hereby amended to read as follows:</w:t>
      </w:r>
    </w:p>
    <w:p w14:paraId="44F7CD5A"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b/>
          <w:bCs/>
          <w:color w:val="000000"/>
          <w:spacing w:val="-2"/>
          <w:kern w:val="0"/>
          <w:sz w:val="24"/>
          <w14:ligatures w14:val="none"/>
        </w:rPr>
        <w:tab/>
      </w:r>
      <w:r w:rsidRPr="006B4A66">
        <w:rPr>
          <w:rFonts w:ascii="Times New Roman" w:eastAsia="Calibri" w:hAnsi="Times New Roman" w:cs="Times New Roman"/>
          <w:color w:val="000000"/>
          <w:kern w:val="0"/>
          <w:sz w:val="24"/>
          <w14:ligatures w14:val="none"/>
        </w:rPr>
        <w:t>A.  A violation of this chapter is a misdemeanor and is punishable as prescribed by law.</w:t>
      </w:r>
    </w:p>
    <w:p w14:paraId="718DD227"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B.  Notwithstanding any criminal penalty provided in this chapter, a person who violates this chapter or chapter 70.77 RCW is subject to the maximum civil penalty in an amount not to exceed two hundred fifty thousand dollars per violation.  In addition, a person ((</w:t>
      </w:r>
      <w:r w:rsidRPr="006B4A66">
        <w:rPr>
          <w:rFonts w:ascii="Times New Roman" w:eastAsia="Calibri" w:hAnsi="Times New Roman" w:cs="Times New Roman"/>
          <w:strike/>
          <w:color w:val="000000"/>
          <w:kern w:val="0"/>
          <w:sz w:val="24"/>
          <w14:ligatures w14:val="none"/>
        </w:rPr>
        <w:t>in violation of</w:t>
      </w:r>
      <w:r w:rsidRPr="006B4A66">
        <w:rPr>
          <w:rFonts w:ascii="Times New Roman" w:eastAsia="Calibri" w:hAnsi="Times New Roman" w:cs="Times New Roman"/>
          <w:color w:val="000000"/>
          <w:kern w:val="0"/>
          <w:sz w:val="24"/>
          <w14:ligatures w14:val="none"/>
        </w:rPr>
        <w:t xml:space="preserve">)) </w:t>
      </w:r>
      <w:r w:rsidRPr="006B4A66">
        <w:rPr>
          <w:rFonts w:ascii="Times New Roman" w:eastAsia="Calibri" w:hAnsi="Times New Roman" w:cs="Times New Roman"/>
          <w:color w:val="000000"/>
          <w:kern w:val="0"/>
          <w:sz w:val="24"/>
          <w:u w:val="single"/>
          <w14:ligatures w14:val="none"/>
        </w:rPr>
        <w:t>who violates</w:t>
      </w:r>
      <w:r w:rsidRPr="006B4A66">
        <w:rPr>
          <w:rFonts w:ascii="Times New Roman" w:eastAsia="Calibri" w:hAnsi="Times New Roman" w:cs="Times New Roman"/>
          <w:color w:val="000000"/>
          <w:kern w:val="0"/>
          <w:sz w:val="24"/>
          <w14:ligatures w14:val="none"/>
        </w:rPr>
        <w:t xml:space="preserve"> this chapter is responsible for any costs incurred to enforce this chapter, including bringing a civil action, court costs</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and reasonable attorneys' fees.  All civil penalties assessed shall be enforced under K.C.C. Title 23.</w:t>
      </w:r>
    </w:p>
    <w:p w14:paraId="68C427EA" w14:textId="77777777" w:rsidR="006B4A66" w:rsidRPr="006B4A66" w:rsidRDefault="006B4A66" w:rsidP="0073496A">
      <w:pPr>
        <w:widowControl w:val="0"/>
        <w:tabs>
          <w:tab w:val="left" w:pos="720"/>
        </w:tabs>
        <w:autoSpaceDE w:val="0"/>
        <w:autoSpaceDN w:val="0"/>
        <w:adjustRightInd w:val="0"/>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C.  A person commits a separate offense for each day during which the person commits, continues</w:t>
      </w:r>
      <w:r w:rsidRPr="006B4A66">
        <w:rPr>
          <w:rFonts w:ascii="Times New Roman" w:eastAsia="Calibri" w:hAnsi="Times New Roman" w:cs="Times New Roman"/>
          <w:color w:val="000000"/>
          <w:kern w:val="0"/>
          <w:sz w:val="24"/>
          <w:u w:val="single"/>
          <w14:ligatures w14:val="none"/>
        </w:rPr>
        <w:t>,</w:t>
      </w:r>
      <w:r w:rsidRPr="006B4A66">
        <w:rPr>
          <w:rFonts w:ascii="Times New Roman" w:eastAsia="Calibri" w:hAnsi="Times New Roman" w:cs="Times New Roman"/>
          <w:color w:val="000000"/>
          <w:kern w:val="0"/>
          <w:sz w:val="24"/>
          <w14:ligatures w14:val="none"/>
        </w:rPr>
        <w:t xml:space="preserve"> or permits a violation of this chapter.</w:t>
      </w:r>
    </w:p>
    <w:p w14:paraId="483C1EB0" w14:textId="77777777" w:rsidR="006B4A66" w:rsidRPr="006B4A66" w:rsidRDefault="006B4A66" w:rsidP="0073496A">
      <w:pPr>
        <w:tabs>
          <w:tab w:val="left" w:pos="720"/>
        </w:tabs>
        <w:spacing w:after="0" w:line="480" w:lineRule="auto"/>
        <w:rPr>
          <w:rFonts w:ascii="Times New Roman" w:eastAsia="Calibri" w:hAnsi="Times New Roman" w:cs="Times New Roman"/>
          <w:color w:val="000000"/>
          <w:kern w:val="0"/>
          <w:sz w:val="24"/>
          <w14:ligatures w14:val="none"/>
        </w:rPr>
      </w:pPr>
      <w:r w:rsidRPr="006B4A66">
        <w:rPr>
          <w:rFonts w:ascii="Times New Roman" w:eastAsia="Calibri" w:hAnsi="Times New Roman" w:cs="Times New Roman"/>
          <w:color w:val="000000"/>
          <w:kern w:val="0"/>
          <w:sz w:val="24"/>
          <w14:ligatures w14:val="none"/>
        </w:rPr>
        <w:tab/>
        <w:t>((</w:t>
      </w:r>
      <w:r w:rsidRPr="006B4A66">
        <w:rPr>
          <w:rFonts w:ascii="Times New Roman" w:eastAsia="Calibri" w:hAnsi="Times New Roman" w:cs="Times New Roman"/>
          <w:strike/>
          <w:color w:val="000000"/>
          <w:kern w:val="0"/>
          <w:sz w:val="24"/>
          <w14:ligatures w14:val="none"/>
        </w:rPr>
        <w:t>D.  The civil and criminal penalties described in subsections A. through C. of this section shall not be enforced for violations of K.C.C. 17.11.040.B. as it pertains to the use or discharge of consumer fireworks, as defined in RCW 70.77.136, until one year after Ordinance 19276 takes effect under RCW 70.77.250.  During the period in which these penalties are not being enforced, the King County sheriff's office and the fire marshal shall only issue warnings to violators of K.C.C. 17.11.040.B. and shall provide information to violators on the county's laws governing fireworks.</w:t>
      </w:r>
      <w:r w:rsidRPr="006B4A66">
        <w:rPr>
          <w:rFonts w:ascii="Times New Roman" w:eastAsia="Calibri" w:hAnsi="Times New Roman" w:cs="Times New Roman"/>
          <w:color w:val="000000"/>
          <w:kern w:val="0"/>
          <w:sz w:val="24"/>
          <w14:ligatures w14:val="none"/>
        </w:rPr>
        <w:t>))</w:t>
      </w:r>
    </w:p>
    <w:p w14:paraId="6245765B" w14:textId="61C21A79" w:rsidR="00314D9E" w:rsidRDefault="005B5E6F" w:rsidP="0073496A">
      <w:pPr>
        <w:tabs>
          <w:tab w:val="left" w:pos="720"/>
        </w:tabs>
        <w:spacing w:after="0" w:line="480" w:lineRule="auto"/>
        <w:ind w:firstLine="72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u w:val="single"/>
          <w14:ligatures w14:val="none"/>
        </w:rPr>
        <w:t>SECTION 247.</w:t>
      </w:r>
      <w:r>
        <w:rPr>
          <w:rFonts w:ascii="Times New Roman" w:eastAsia="Times New Roman" w:hAnsi="Times New Roman" w:cs="Times New Roman"/>
          <w:color w:val="000000"/>
          <w:kern w:val="0"/>
          <w:sz w:val="24"/>
          <w:szCs w:val="24"/>
          <w14:ligatures w14:val="none"/>
        </w:rPr>
        <w:t xml:space="preserve">  </w:t>
      </w:r>
      <w:r w:rsidR="001B0E22">
        <w:rPr>
          <w:rFonts w:ascii="Times New Roman" w:eastAsia="Times New Roman" w:hAnsi="Times New Roman" w:cs="Times New Roman"/>
          <w:color w:val="000000"/>
          <w:kern w:val="0"/>
          <w:sz w:val="24"/>
          <w:szCs w:val="24"/>
          <w14:ligatures w14:val="none"/>
        </w:rPr>
        <w:t>Ordinance 19881, Section 162, as amended, and K.C.C. 21A.08.</w:t>
      </w:r>
      <w:r w:rsidR="00314D9E">
        <w:rPr>
          <w:rFonts w:ascii="Times New Roman" w:eastAsia="Times New Roman" w:hAnsi="Times New Roman" w:cs="Times New Roman"/>
          <w:color w:val="000000"/>
          <w:kern w:val="0"/>
          <w:sz w:val="24"/>
          <w:szCs w:val="24"/>
          <w14:ligatures w14:val="none"/>
        </w:rPr>
        <w:t>045, are hereby amended as follows:</w:t>
      </w:r>
    </w:p>
    <w:p w14:paraId="262DA2CF" w14:textId="1F1351C6"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A.  Health care services and residential care services land uses.</w:t>
      </w:r>
    </w:p>
    <w:tbl>
      <w:tblPr>
        <w:tblW w:w="862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6"/>
        <w:gridCol w:w="1768"/>
        <w:gridCol w:w="364"/>
        <w:gridCol w:w="449"/>
        <w:gridCol w:w="302"/>
        <w:gridCol w:w="443"/>
        <w:gridCol w:w="492"/>
        <w:gridCol w:w="629"/>
        <w:gridCol w:w="675"/>
        <w:gridCol w:w="465"/>
        <w:gridCol w:w="12"/>
        <w:gridCol w:w="529"/>
        <w:gridCol w:w="477"/>
        <w:gridCol w:w="477"/>
        <w:gridCol w:w="477"/>
        <w:gridCol w:w="449"/>
      </w:tblGrid>
      <w:tr w:rsidR="00340E28" w:rsidRPr="00340E28" w14:paraId="49C48F67" w14:textId="77777777">
        <w:trPr>
          <w:trHeight w:val="300"/>
        </w:trPr>
        <w:tc>
          <w:tcPr>
            <w:tcW w:w="680" w:type="dxa"/>
            <w:tcBorders>
              <w:top w:val="single" w:sz="6" w:space="0" w:color="auto"/>
              <w:left w:val="single" w:sz="6" w:space="0" w:color="auto"/>
              <w:bottom w:val="single" w:sz="6" w:space="0" w:color="auto"/>
              <w:right w:val="single" w:sz="6" w:space="0" w:color="auto"/>
            </w:tcBorders>
            <w:hideMark/>
          </w:tcPr>
          <w:p w14:paraId="3FCBB631"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b/>
                <w:bCs/>
                <w:color w:val="000000"/>
                <w:kern w:val="0"/>
                <w:sz w:val="24"/>
                <w:szCs w:val="24"/>
                <w14:ligatures w14:val="none"/>
              </w:rPr>
              <w:lastRenderedPageBreak/>
              <w:t>SIC #</w:t>
            </w:r>
            <w:r w:rsidRPr="00340E28">
              <w:rPr>
                <w:rFonts w:ascii="Times New Roman" w:eastAsia="Times New Roman" w:hAnsi="Times New Roman" w:cs="Times New Roman"/>
                <w:color w:val="000000"/>
                <w:kern w:val="0"/>
                <w:sz w:val="24"/>
                <w:szCs w:val="24"/>
                <w14:ligatures w14:val="none"/>
              </w:rPr>
              <w:t> </w:t>
            </w:r>
          </w:p>
        </w:tc>
        <w:tc>
          <w:tcPr>
            <w:tcW w:w="1792" w:type="dxa"/>
            <w:tcBorders>
              <w:top w:val="single" w:sz="6" w:space="0" w:color="auto"/>
              <w:left w:val="single" w:sz="6" w:space="0" w:color="auto"/>
              <w:bottom w:val="single" w:sz="6" w:space="0" w:color="auto"/>
              <w:right w:val="single" w:sz="6" w:space="0" w:color="auto"/>
            </w:tcBorders>
            <w:hideMark/>
          </w:tcPr>
          <w:p w14:paraId="05194B39"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b/>
                <w:bCs/>
                <w:color w:val="000000"/>
                <w:kern w:val="0"/>
                <w:sz w:val="24"/>
                <w:szCs w:val="24"/>
                <w14:ligatures w14:val="none"/>
              </w:rPr>
              <w:t>SPECIFIC LAND USE</w:t>
            </w:r>
            <w:r w:rsidRPr="00340E28">
              <w:rPr>
                <w:rFonts w:ascii="Times New Roman" w:eastAsia="Times New Roman" w:hAnsi="Times New Roman" w:cs="Times New Roman"/>
                <w:color w:val="000000"/>
                <w:kern w:val="0"/>
                <w:sz w:val="24"/>
                <w:szCs w:val="24"/>
                <w14:ligatures w14:val="none"/>
              </w:rPr>
              <w:t> </w:t>
            </w:r>
          </w:p>
        </w:tc>
        <w:tc>
          <w:tcPr>
            <w:tcW w:w="409" w:type="dxa"/>
            <w:tcBorders>
              <w:top w:val="single" w:sz="6" w:space="0" w:color="auto"/>
              <w:left w:val="single" w:sz="6" w:space="0" w:color="auto"/>
              <w:bottom w:val="single" w:sz="6" w:space="0" w:color="auto"/>
              <w:right w:val="single" w:sz="6" w:space="0" w:color="auto"/>
            </w:tcBorders>
            <w:hideMark/>
          </w:tcPr>
          <w:p w14:paraId="36677FE2"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b/>
                <w:bCs/>
                <w:color w:val="000000"/>
                <w:kern w:val="0"/>
                <w:sz w:val="24"/>
                <w:szCs w:val="24"/>
                <w14:ligatures w14:val="none"/>
              </w:rPr>
              <w:t>A</w:t>
            </w:r>
            <w:r w:rsidRPr="00340E28">
              <w:rPr>
                <w:rFonts w:ascii="Times New Roman" w:eastAsia="Times New Roman" w:hAnsi="Times New Roman" w:cs="Times New Roman"/>
                <w:color w:val="000000"/>
                <w:kern w:val="0"/>
                <w:sz w:val="24"/>
                <w:szCs w:val="24"/>
                <w14:ligatures w14:val="none"/>
              </w:rPr>
              <w:t> </w:t>
            </w:r>
          </w:p>
        </w:tc>
        <w:tc>
          <w:tcPr>
            <w:tcW w:w="428" w:type="dxa"/>
            <w:tcBorders>
              <w:top w:val="single" w:sz="6" w:space="0" w:color="auto"/>
              <w:left w:val="single" w:sz="6" w:space="0" w:color="auto"/>
              <w:bottom w:val="single" w:sz="6" w:space="0" w:color="auto"/>
              <w:right w:val="single" w:sz="6" w:space="0" w:color="auto"/>
            </w:tcBorders>
            <w:hideMark/>
          </w:tcPr>
          <w:p w14:paraId="3BA1C117"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b/>
                <w:bCs/>
                <w:color w:val="000000"/>
                <w:kern w:val="0"/>
                <w:sz w:val="24"/>
                <w:szCs w:val="24"/>
                <w14:ligatures w14:val="none"/>
              </w:rPr>
              <w:t>F</w:t>
            </w:r>
            <w:r w:rsidRPr="00340E28">
              <w:rPr>
                <w:rFonts w:ascii="Times New Roman" w:eastAsia="Times New Roman" w:hAnsi="Times New Roman" w:cs="Times New Roman"/>
                <w:color w:val="000000"/>
                <w:kern w:val="0"/>
                <w:sz w:val="24"/>
                <w:szCs w:val="24"/>
                <w14:ligatures w14:val="none"/>
              </w:rPr>
              <w:t> </w:t>
            </w:r>
          </w:p>
        </w:tc>
        <w:tc>
          <w:tcPr>
            <w:tcW w:w="262" w:type="dxa"/>
            <w:tcBorders>
              <w:top w:val="single" w:sz="6" w:space="0" w:color="auto"/>
              <w:left w:val="single" w:sz="6" w:space="0" w:color="auto"/>
              <w:bottom w:val="single" w:sz="6" w:space="0" w:color="auto"/>
              <w:right w:val="single" w:sz="6" w:space="0" w:color="auto"/>
            </w:tcBorders>
            <w:hideMark/>
          </w:tcPr>
          <w:p w14:paraId="47796DD7"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b/>
                <w:bCs/>
                <w:color w:val="000000"/>
                <w:kern w:val="0"/>
                <w:sz w:val="24"/>
                <w:szCs w:val="24"/>
                <w14:ligatures w14:val="none"/>
              </w:rPr>
              <w:t>M</w:t>
            </w:r>
            <w:r w:rsidRPr="00340E28">
              <w:rPr>
                <w:rFonts w:ascii="Times New Roman" w:eastAsia="Times New Roman" w:hAnsi="Times New Roman" w:cs="Times New Roman"/>
                <w:color w:val="000000"/>
                <w:kern w:val="0"/>
                <w:sz w:val="24"/>
                <w:szCs w:val="24"/>
                <w14:ligatures w14:val="none"/>
              </w:rPr>
              <w:t> </w:t>
            </w:r>
          </w:p>
        </w:tc>
        <w:tc>
          <w:tcPr>
            <w:tcW w:w="474" w:type="dxa"/>
            <w:tcBorders>
              <w:top w:val="single" w:sz="6" w:space="0" w:color="auto"/>
              <w:left w:val="single" w:sz="6" w:space="0" w:color="auto"/>
              <w:bottom w:val="single" w:sz="6" w:space="0" w:color="auto"/>
              <w:right w:val="single" w:sz="6" w:space="0" w:color="auto"/>
            </w:tcBorders>
            <w:hideMark/>
          </w:tcPr>
          <w:p w14:paraId="1877ACD2"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b/>
                <w:bCs/>
                <w:color w:val="000000"/>
                <w:kern w:val="0"/>
                <w:sz w:val="24"/>
                <w:szCs w:val="24"/>
                <w14:ligatures w14:val="none"/>
              </w:rPr>
              <w:t>RA (1)</w:t>
            </w:r>
            <w:r w:rsidRPr="00340E28">
              <w:rPr>
                <w:rFonts w:ascii="Times New Roman" w:eastAsia="Times New Roman" w:hAnsi="Times New Roman" w:cs="Times New Roman"/>
                <w:color w:val="000000"/>
                <w:kern w:val="0"/>
                <w:sz w:val="24"/>
                <w:szCs w:val="24"/>
                <w14:ligatures w14:val="none"/>
              </w:rPr>
              <w:t> </w:t>
            </w:r>
          </w:p>
        </w:tc>
        <w:tc>
          <w:tcPr>
            <w:tcW w:w="519" w:type="dxa"/>
            <w:tcBorders>
              <w:top w:val="single" w:sz="6" w:space="0" w:color="auto"/>
              <w:left w:val="single" w:sz="6" w:space="0" w:color="auto"/>
              <w:bottom w:val="single" w:sz="6" w:space="0" w:color="auto"/>
              <w:right w:val="single" w:sz="6" w:space="0" w:color="auto"/>
            </w:tcBorders>
            <w:hideMark/>
          </w:tcPr>
          <w:p w14:paraId="422DB45A"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b/>
                <w:bCs/>
                <w:color w:val="000000"/>
                <w:kern w:val="0"/>
                <w:sz w:val="24"/>
                <w:szCs w:val="24"/>
                <w14:ligatures w14:val="none"/>
              </w:rPr>
              <w:t>UR</w:t>
            </w:r>
            <w:r w:rsidRPr="00340E28">
              <w:rPr>
                <w:rFonts w:ascii="Times New Roman" w:eastAsia="Times New Roman" w:hAnsi="Times New Roman" w:cs="Times New Roman"/>
                <w:color w:val="000000"/>
                <w:kern w:val="0"/>
                <w:sz w:val="24"/>
                <w:szCs w:val="24"/>
                <w14:ligatures w14:val="none"/>
              </w:rPr>
              <w:t> </w:t>
            </w:r>
          </w:p>
        </w:tc>
        <w:tc>
          <w:tcPr>
            <w:tcW w:w="551" w:type="dxa"/>
            <w:tcBorders>
              <w:top w:val="single" w:sz="6" w:space="0" w:color="auto"/>
              <w:left w:val="single" w:sz="6" w:space="0" w:color="auto"/>
              <w:bottom w:val="single" w:sz="6" w:space="0" w:color="auto"/>
              <w:right w:val="single" w:sz="6" w:space="0" w:color="auto"/>
            </w:tcBorders>
            <w:hideMark/>
          </w:tcPr>
          <w:p w14:paraId="6E6CC625"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b/>
                <w:bCs/>
                <w:color w:val="000000"/>
                <w:kern w:val="0"/>
                <w:sz w:val="24"/>
                <w:szCs w:val="24"/>
                <w14:ligatures w14:val="none"/>
              </w:rPr>
              <w:t>R-1</w:t>
            </w:r>
            <w:r w:rsidRPr="00340E28">
              <w:rPr>
                <w:rFonts w:ascii="Times New Roman" w:eastAsia="Times New Roman" w:hAnsi="Times New Roman" w:cs="Times New Roman"/>
                <w:color w:val="000000"/>
                <w:kern w:val="0"/>
                <w:sz w:val="24"/>
                <w:szCs w:val="24"/>
                <w14:ligatures w14:val="none"/>
              </w:rPr>
              <w:t> </w:t>
            </w:r>
          </w:p>
        </w:tc>
        <w:tc>
          <w:tcPr>
            <w:tcW w:w="558" w:type="dxa"/>
            <w:tcBorders>
              <w:top w:val="single" w:sz="6" w:space="0" w:color="auto"/>
              <w:left w:val="single" w:sz="6" w:space="0" w:color="auto"/>
              <w:bottom w:val="single" w:sz="6" w:space="0" w:color="auto"/>
              <w:right w:val="single" w:sz="6" w:space="0" w:color="auto"/>
            </w:tcBorders>
            <w:hideMark/>
          </w:tcPr>
          <w:p w14:paraId="5DFA7765"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b/>
                <w:bCs/>
                <w:color w:val="000000"/>
                <w:kern w:val="0"/>
                <w:sz w:val="24"/>
                <w:szCs w:val="24"/>
                <w14:ligatures w14:val="none"/>
              </w:rPr>
              <w:t>R-4 – R-8</w:t>
            </w:r>
            <w:r w:rsidRPr="00340E28">
              <w:rPr>
                <w:rFonts w:ascii="Times New Roman" w:eastAsia="Times New Roman" w:hAnsi="Times New Roman" w:cs="Times New Roman"/>
                <w:color w:val="000000"/>
                <w:kern w:val="0"/>
                <w:sz w:val="24"/>
                <w:szCs w:val="24"/>
                <w14:ligatures w14:val="none"/>
              </w:rPr>
              <w:t> </w:t>
            </w:r>
          </w:p>
        </w:tc>
        <w:tc>
          <w:tcPr>
            <w:tcW w:w="474" w:type="dxa"/>
            <w:tcBorders>
              <w:top w:val="single" w:sz="6" w:space="0" w:color="auto"/>
              <w:left w:val="single" w:sz="6" w:space="0" w:color="auto"/>
              <w:bottom w:val="single" w:sz="6" w:space="0" w:color="auto"/>
              <w:right w:val="single" w:sz="6" w:space="0" w:color="auto"/>
            </w:tcBorders>
            <w:hideMark/>
          </w:tcPr>
          <w:p w14:paraId="6CC34491"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b/>
                <w:bCs/>
                <w:color w:val="000000"/>
                <w:kern w:val="0"/>
                <w:sz w:val="24"/>
                <w:szCs w:val="24"/>
                <w14:ligatures w14:val="none"/>
              </w:rPr>
              <w:t>R-12 – R-48</w:t>
            </w:r>
            <w:r w:rsidRPr="00340E28">
              <w:rPr>
                <w:rFonts w:ascii="Times New Roman" w:eastAsia="Times New Roman" w:hAnsi="Times New Roman" w:cs="Times New Roman"/>
                <w:color w:val="000000"/>
                <w:kern w:val="0"/>
                <w:sz w:val="24"/>
                <w:szCs w:val="24"/>
                <w14:ligatures w14:val="none"/>
              </w:rPr>
              <w:t> </w:t>
            </w:r>
          </w:p>
        </w:tc>
        <w:tc>
          <w:tcPr>
            <w:tcW w:w="573" w:type="dxa"/>
            <w:gridSpan w:val="2"/>
            <w:tcBorders>
              <w:top w:val="single" w:sz="6" w:space="0" w:color="auto"/>
              <w:left w:val="single" w:sz="6" w:space="0" w:color="auto"/>
              <w:bottom w:val="single" w:sz="6" w:space="0" w:color="auto"/>
              <w:right w:val="single" w:sz="6" w:space="0" w:color="auto"/>
            </w:tcBorders>
            <w:hideMark/>
          </w:tcPr>
          <w:p w14:paraId="1A2A5794"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b/>
                <w:bCs/>
                <w:color w:val="000000"/>
                <w:kern w:val="0"/>
                <w:sz w:val="24"/>
                <w:szCs w:val="24"/>
                <w14:ligatures w14:val="none"/>
              </w:rPr>
              <w:t>NB</w:t>
            </w:r>
            <w:r w:rsidRPr="00340E28">
              <w:rPr>
                <w:rFonts w:ascii="Times New Roman" w:eastAsia="Times New Roman" w:hAnsi="Times New Roman" w:cs="Times New Roman"/>
                <w:color w:val="000000"/>
                <w:kern w:val="0"/>
                <w:sz w:val="24"/>
                <w:szCs w:val="24"/>
                <w14:ligatures w14:val="none"/>
              </w:rPr>
              <w:t> </w:t>
            </w:r>
          </w:p>
        </w:tc>
        <w:tc>
          <w:tcPr>
            <w:tcW w:w="488" w:type="dxa"/>
            <w:tcBorders>
              <w:top w:val="single" w:sz="6" w:space="0" w:color="auto"/>
              <w:left w:val="single" w:sz="6" w:space="0" w:color="auto"/>
              <w:bottom w:val="single" w:sz="6" w:space="0" w:color="auto"/>
              <w:right w:val="single" w:sz="6" w:space="0" w:color="auto"/>
            </w:tcBorders>
            <w:hideMark/>
          </w:tcPr>
          <w:p w14:paraId="656E87A1"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b/>
                <w:bCs/>
                <w:color w:val="000000"/>
                <w:kern w:val="0"/>
                <w:sz w:val="24"/>
                <w:szCs w:val="24"/>
                <w14:ligatures w14:val="none"/>
              </w:rPr>
              <w:t>CB</w:t>
            </w:r>
            <w:r w:rsidRPr="00340E28">
              <w:rPr>
                <w:rFonts w:ascii="Times New Roman" w:eastAsia="Times New Roman" w:hAnsi="Times New Roman" w:cs="Times New Roman"/>
                <w:color w:val="000000"/>
                <w:kern w:val="0"/>
                <w:sz w:val="24"/>
                <w:szCs w:val="24"/>
                <w14:ligatures w14:val="none"/>
              </w:rPr>
              <w:t> </w:t>
            </w:r>
          </w:p>
        </w:tc>
        <w:tc>
          <w:tcPr>
            <w:tcW w:w="488" w:type="dxa"/>
            <w:tcBorders>
              <w:top w:val="single" w:sz="6" w:space="0" w:color="auto"/>
              <w:left w:val="single" w:sz="6" w:space="0" w:color="auto"/>
              <w:bottom w:val="single" w:sz="6" w:space="0" w:color="auto"/>
              <w:right w:val="single" w:sz="6" w:space="0" w:color="auto"/>
            </w:tcBorders>
            <w:hideMark/>
          </w:tcPr>
          <w:p w14:paraId="5C561489"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b/>
                <w:bCs/>
                <w:color w:val="000000"/>
                <w:kern w:val="0"/>
                <w:sz w:val="24"/>
                <w:szCs w:val="24"/>
                <w14:ligatures w14:val="none"/>
              </w:rPr>
              <w:t>RB</w:t>
            </w:r>
            <w:r w:rsidRPr="00340E28">
              <w:rPr>
                <w:rFonts w:ascii="Times New Roman" w:eastAsia="Times New Roman" w:hAnsi="Times New Roman" w:cs="Times New Roman"/>
                <w:color w:val="000000"/>
                <w:kern w:val="0"/>
                <w:sz w:val="24"/>
                <w:szCs w:val="24"/>
                <w14:ligatures w14:val="none"/>
              </w:rPr>
              <w:t> </w:t>
            </w:r>
          </w:p>
        </w:tc>
        <w:tc>
          <w:tcPr>
            <w:tcW w:w="488" w:type="dxa"/>
            <w:tcBorders>
              <w:top w:val="single" w:sz="6" w:space="0" w:color="auto"/>
              <w:left w:val="single" w:sz="6" w:space="0" w:color="auto"/>
              <w:bottom w:val="single" w:sz="6" w:space="0" w:color="auto"/>
              <w:right w:val="single" w:sz="6" w:space="0" w:color="auto"/>
            </w:tcBorders>
            <w:hideMark/>
          </w:tcPr>
          <w:p w14:paraId="6D5EBEEF"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b/>
                <w:bCs/>
                <w:color w:val="000000"/>
                <w:kern w:val="0"/>
                <w:sz w:val="24"/>
                <w:szCs w:val="24"/>
                <w14:ligatures w14:val="none"/>
              </w:rPr>
              <w:t>O</w:t>
            </w:r>
            <w:r w:rsidRPr="00340E28">
              <w:rPr>
                <w:rFonts w:ascii="Times New Roman" w:eastAsia="Times New Roman" w:hAnsi="Times New Roman" w:cs="Times New Roman"/>
                <w:color w:val="000000"/>
                <w:kern w:val="0"/>
                <w:sz w:val="24"/>
                <w:szCs w:val="24"/>
                <w14:ligatures w14:val="none"/>
              </w:rPr>
              <w:t> </w:t>
            </w:r>
          </w:p>
        </w:tc>
        <w:tc>
          <w:tcPr>
            <w:tcW w:w="440" w:type="dxa"/>
            <w:tcBorders>
              <w:top w:val="single" w:sz="6" w:space="0" w:color="auto"/>
              <w:left w:val="single" w:sz="6" w:space="0" w:color="auto"/>
              <w:bottom w:val="single" w:sz="6" w:space="0" w:color="auto"/>
              <w:right w:val="single" w:sz="6" w:space="0" w:color="auto"/>
            </w:tcBorders>
            <w:hideMark/>
          </w:tcPr>
          <w:p w14:paraId="66CFB7A1"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b/>
                <w:bCs/>
                <w:color w:val="000000"/>
                <w:kern w:val="0"/>
                <w:sz w:val="24"/>
                <w:szCs w:val="24"/>
                <w14:ligatures w14:val="none"/>
              </w:rPr>
              <w:t>I</w:t>
            </w:r>
            <w:r w:rsidRPr="00340E28">
              <w:rPr>
                <w:rFonts w:ascii="Times New Roman" w:eastAsia="Times New Roman" w:hAnsi="Times New Roman" w:cs="Times New Roman"/>
                <w:color w:val="000000"/>
                <w:kern w:val="0"/>
                <w:sz w:val="24"/>
                <w:szCs w:val="24"/>
                <w14:ligatures w14:val="none"/>
              </w:rPr>
              <w:t> </w:t>
            </w:r>
          </w:p>
        </w:tc>
      </w:tr>
      <w:tr w:rsidR="00340E28" w:rsidRPr="00340E28" w14:paraId="361F6CEE" w14:textId="77777777">
        <w:trPr>
          <w:trHeight w:val="930"/>
        </w:trPr>
        <w:tc>
          <w:tcPr>
            <w:tcW w:w="680" w:type="dxa"/>
            <w:tcBorders>
              <w:top w:val="single" w:sz="6" w:space="0" w:color="auto"/>
              <w:left w:val="single" w:sz="6" w:space="0" w:color="auto"/>
              <w:bottom w:val="single" w:sz="6" w:space="0" w:color="auto"/>
              <w:right w:val="single" w:sz="6" w:space="0" w:color="auto"/>
            </w:tcBorders>
            <w:hideMark/>
          </w:tcPr>
          <w:p w14:paraId="14BE3C2F"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1792" w:type="dxa"/>
            <w:tcBorders>
              <w:top w:val="single" w:sz="6" w:space="0" w:color="auto"/>
              <w:left w:val="single" w:sz="6" w:space="0" w:color="auto"/>
              <w:bottom w:val="single" w:sz="6" w:space="0" w:color="auto"/>
              <w:right w:val="single" w:sz="6" w:space="0" w:color="auto"/>
            </w:tcBorders>
            <w:hideMark/>
          </w:tcPr>
          <w:p w14:paraId="6117A1C7"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b/>
                <w:bCs/>
                <w:color w:val="000000"/>
                <w:kern w:val="0"/>
                <w:sz w:val="24"/>
                <w:szCs w:val="24"/>
                <w14:ligatures w14:val="none"/>
              </w:rPr>
              <w:t>HEALTH CARE SERVICES</w:t>
            </w:r>
            <w:r w:rsidRPr="00340E28">
              <w:rPr>
                <w:rFonts w:ascii="Times New Roman" w:eastAsia="Times New Roman" w:hAnsi="Times New Roman" w:cs="Times New Roman"/>
                <w:color w:val="000000"/>
                <w:kern w:val="0"/>
                <w:sz w:val="24"/>
                <w:szCs w:val="24"/>
                <w14:ligatures w14:val="none"/>
              </w:rPr>
              <w:t> </w:t>
            </w:r>
          </w:p>
        </w:tc>
        <w:tc>
          <w:tcPr>
            <w:tcW w:w="409" w:type="dxa"/>
            <w:tcBorders>
              <w:top w:val="single" w:sz="6" w:space="0" w:color="auto"/>
              <w:left w:val="single" w:sz="6" w:space="0" w:color="auto"/>
              <w:bottom w:val="single" w:sz="6" w:space="0" w:color="auto"/>
              <w:right w:val="single" w:sz="6" w:space="0" w:color="auto"/>
            </w:tcBorders>
            <w:hideMark/>
          </w:tcPr>
          <w:p w14:paraId="62A62CCD"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28" w:type="dxa"/>
            <w:tcBorders>
              <w:top w:val="single" w:sz="6" w:space="0" w:color="auto"/>
              <w:left w:val="single" w:sz="6" w:space="0" w:color="auto"/>
              <w:bottom w:val="single" w:sz="6" w:space="0" w:color="auto"/>
              <w:right w:val="single" w:sz="6" w:space="0" w:color="auto"/>
            </w:tcBorders>
            <w:hideMark/>
          </w:tcPr>
          <w:p w14:paraId="1C11A8B0"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262" w:type="dxa"/>
            <w:tcBorders>
              <w:top w:val="single" w:sz="6" w:space="0" w:color="auto"/>
              <w:left w:val="single" w:sz="6" w:space="0" w:color="auto"/>
              <w:bottom w:val="single" w:sz="6" w:space="0" w:color="auto"/>
              <w:right w:val="single" w:sz="6" w:space="0" w:color="auto"/>
            </w:tcBorders>
            <w:hideMark/>
          </w:tcPr>
          <w:p w14:paraId="6C813736"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74" w:type="dxa"/>
            <w:tcBorders>
              <w:top w:val="single" w:sz="6" w:space="0" w:color="auto"/>
              <w:left w:val="single" w:sz="6" w:space="0" w:color="auto"/>
              <w:bottom w:val="single" w:sz="6" w:space="0" w:color="auto"/>
              <w:right w:val="single" w:sz="6" w:space="0" w:color="auto"/>
            </w:tcBorders>
            <w:hideMark/>
          </w:tcPr>
          <w:p w14:paraId="342FF333"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19" w:type="dxa"/>
            <w:tcBorders>
              <w:top w:val="single" w:sz="6" w:space="0" w:color="auto"/>
              <w:left w:val="single" w:sz="6" w:space="0" w:color="auto"/>
              <w:bottom w:val="single" w:sz="6" w:space="0" w:color="auto"/>
              <w:right w:val="single" w:sz="6" w:space="0" w:color="auto"/>
            </w:tcBorders>
            <w:hideMark/>
          </w:tcPr>
          <w:p w14:paraId="2E91CA9D"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51" w:type="dxa"/>
            <w:tcBorders>
              <w:top w:val="single" w:sz="6" w:space="0" w:color="auto"/>
              <w:left w:val="single" w:sz="6" w:space="0" w:color="auto"/>
              <w:bottom w:val="single" w:sz="6" w:space="0" w:color="auto"/>
              <w:right w:val="single" w:sz="6" w:space="0" w:color="auto"/>
            </w:tcBorders>
            <w:hideMark/>
          </w:tcPr>
          <w:p w14:paraId="2A16AFC5"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58" w:type="dxa"/>
            <w:tcBorders>
              <w:top w:val="single" w:sz="6" w:space="0" w:color="auto"/>
              <w:left w:val="single" w:sz="6" w:space="0" w:color="auto"/>
              <w:bottom w:val="single" w:sz="6" w:space="0" w:color="auto"/>
              <w:right w:val="single" w:sz="6" w:space="0" w:color="auto"/>
            </w:tcBorders>
            <w:hideMark/>
          </w:tcPr>
          <w:p w14:paraId="4361DE06"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74" w:type="dxa"/>
            <w:tcBorders>
              <w:top w:val="single" w:sz="6" w:space="0" w:color="auto"/>
              <w:left w:val="single" w:sz="6" w:space="0" w:color="auto"/>
              <w:bottom w:val="single" w:sz="6" w:space="0" w:color="auto"/>
              <w:right w:val="single" w:sz="6" w:space="0" w:color="auto"/>
            </w:tcBorders>
            <w:hideMark/>
          </w:tcPr>
          <w:p w14:paraId="1C8F74A2"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73" w:type="dxa"/>
            <w:gridSpan w:val="2"/>
            <w:tcBorders>
              <w:top w:val="single" w:sz="6" w:space="0" w:color="auto"/>
              <w:left w:val="single" w:sz="6" w:space="0" w:color="auto"/>
              <w:bottom w:val="single" w:sz="6" w:space="0" w:color="auto"/>
              <w:right w:val="single" w:sz="6" w:space="0" w:color="auto"/>
            </w:tcBorders>
            <w:hideMark/>
          </w:tcPr>
          <w:p w14:paraId="467A2645"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88" w:type="dxa"/>
            <w:tcBorders>
              <w:top w:val="single" w:sz="6" w:space="0" w:color="auto"/>
              <w:left w:val="single" w:sz="6" w:space="0" w:color="auto"/>
              <w:bottom w:val="single" w:sz="6" w:space="0" w:color="auto"/>
              <w:right w:val="single" w:sz="6" w:space="0" w:color="auto"/>
            </w:tcBorders>
            <w:hideMark/>
          </w:tcPr>
          <w:p w14:paraId="571B007A"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88" w:type="dxa"/>
            <w:tcBorders>
              <w:top w:val="single" w:sz="6" w:space="0" w:color="auto"/>
              <w:left w:val="single" w:sz="6" w:space="0" w:color="auto"/>
              <w:bottom w:val="single" w:sz="6" w:space="0" w:color="auto"/>
              <w:right w:val="single" w:sz="6" w:space="0" w:color="auto"/>
            </w:tcBorders>
            <w:hideMark/>
          </w:tcPr>
          <w:p w14:paraId="41EE393D"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88" w:type="dxa"/>
            <w:tcBorders>
              <w:top w:val="single" w:sz="6" w:space="0" w:color="auto"/>
              <w:left w:val="single" w:sz="6" w:space="0" w:color="auto"/>
              <w:bottom w:val="single" w:sz="6" w:space="0" w:color="auto"/>
              <w:right w:val="single" w:sz="6" w:space="0" w:color="auto"/>
            </w:tcBorders>
            <w:hideMark/>
          </w:tcPr>
          <w:p w14:paraId="6B16A8BB"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40" w:type="dxa"/>
            <w:tcBorders>
              <w:top w:val="single" w:sz="6" w:space="0" w:color="auto"/>
              <w:left w:val="single" w:sz="6" w:space="0" w:color="auto"/>
              <w:bottom w:val="single" w:sz="6" w:space="0" w:color="auto"/>
              <w:right w:val="single" w:sz="6" w:space="0" w:color="auto"/>
            </w:tcBorders>
            <w:hideMark/>
          </w:tcPr>
          <w:p w14:paraId="5F540A63"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r>
      <w:tr w:rsidR="00340E28" w:rsidRPr="00340E28" w14:paraId="0466D057" w14:textId="77777777">
        <w:trPr>
          <w:trHeight w:val="300"/>
        </w:trPr>
        <w:tc>
          <w:tcPr>
            <w:tcW w:w="680" w:type="dxa"/>
            <w:tcBorders>
              <w:top w:val="single" w:sz="6" w:space="0" w:color="auto"/>
              <w:left w:val="single" w:sz="6" w:space="0" w:color="auto"/>
              <w:bottom w:val="single" w:sz="6" w:space="0" w:color="auto"/>
              <w:right w:val="single" w:sz="6" w:space="0" w:color="auto"/>
            </w:tcBorders>
            <w:hideMark/>
          </w:tcPr>
          <w:p w14:paraId="6EA2AEB0"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801-04 </w:t>
            </w:r>
          </w:p>
        </w:tc>
        <w:tc>
          <w:tcPr>
            <w:tcW w:w="1792" w:type="dxa"/>
            <w:tcBorders>
              <w:top w:val="single" w:sz="6" w:space="0" w:color="auto"/>
              <w:left w:val="single" w:sz="6" w:space="0" w:color="auto"/>
              <w:bottom w:val="single" w:sz="6" w:space="0" w:color="auto"/>
              <w:right w:val="single" w:sz="6" w:space="0" w:color="auto"/>
            </w:tcBorders>
            <w:hideMark/>
          </w:tcPr>
          <w:p w14:paraId="72149A09"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Doctor's Office/Outpatient Clinic </w:t>
            </w:r>
          </w:p>
        </w:tc>
        <w:tc>
          <w:tcPr>
            <w:tcW w:w="409" w:type="dxa"/>
            <w:tcBorders>
              <w:top w:val="single" w:sz="6" w:space="0" w:color="auto"/>
              <w:left w:val="single" w:sz="6" w:space="0" w:color="auto"/>
              <w:bottom w:val="single" w:sz="6" w:space="0" w:color="auto"/>
              <w:right w:val="single" w:sz="6" w:space="0" w:color="auto"/>
            </w:tcBorders>
            <w:hideMark/>
          </w:tcPr>
          <w:p w14:paraId="1B662E1A"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28" w:type="dxa"/>
            <w:tcBorders>
              <w:top w:val="single" w:sz="6" w:space="0" w:color="auto"/>
              <w:left w:val="single" w:sz="6" w:space="0" w:color="auto"/>
              <w:bottom w:val="single" w:sz="6" w:space="0" w:color="auto"/>
              <w:right w:val="single" w:sz="6" w:space="0" w:color="auto"/>
            </w:tcBorders>
            <w:hideMark/>
          </w:tcPr>
          <w:p w14:paraId="3A036566"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262" w:type="dxa"/>
            <w:tcBorders>
              <w:top w:val="single" w:sz="6" w:space="0" w:color="auto"/>
              <w:left w:val="single" w:sz="6" w:space="0" w:color="auto"/>
              <w:bottom w:val="single" w:sz="6" w:space="0" w:color="auto"/>
              <w:right w:val="single" w:sz="6" w:space="0" w:color="auto"/>
            </w:tcBorders>
            <w:hideMark/>
          </w:tcPr>
          <w:p w14:paraId="2F55DE9C"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74" w:type="dxa"/>
            <w:tcBorders>
              <w:top w:val="single" w:sz="6" w:space="0" w:color="auto"/>
              <w:left w:val="single" w:sz="6" w:space="0" w:color="auto"/>
              <w:bottom w:val="single" w:sz="6" w:space="0" w:color="auto"/>
              <w:right w:val="single" w:sz="6" w:space="0" w:color="auto"/>
            </w:tcBorders>
            <w:hideMark/>
          </w:tcPr>
          <w:p w14:paraId="0C49D760"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C2 </w:t>
            </w:r>
          </w:p>
        </w:tc>
        <w:tc>
          <w:tcPr>
            <w:tcW w:w="519" w:type="dxa"/>
            <w:tcBorders>
              <w:top w:val="single" w:sz="6" w:space="0" w:color="auto"/>
              <w:left w:val="single" w:sz="6" w:space="0" w:color="auto"/>
              <w:bottom w:val="single" w:sz="6" w:space="0" w:color="auto"/>
              <w:right w:val="single" w:sz="6" w:space="0" w:color="auto"/>
            </w:tcBorders>
            <w:hideMark/>
          </w:tcPr>
          <w:p w14:paraId="07D8230B"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P2 </w:t>
            </w:r>
          </w:p>
          <w:p w14:paraId="09C51412"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C </w:t>
            </w:r>
          </w:p>
        </w:tc>
        <w:tc>
          <w:tcPr>
            <w:tcW w:w="551" w:type="dxa"/>
            <w:tcBorders>
              <w:top w:val="single" w:sz="6" w:space="0" w:color="auto"/>
              <w:left w:val="single" w:sz="6" w:space="0" w:color="auto"/>
              <w:bottom w:val="single" w:sz="6" w:space="0" w:color="auto"/>
              <w:right w:val="single" w:sz="6" w:space="0" w:color="auto"/>
            </w:tcBorders>
            <w:hideMark/>
          </w:tcPr>
          <w:p w14:paraId="689FBD6B"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58" w:type="dxa"/>
            <w:tcBorders>
              <w:top w:val="single" w:sz="6" w:space="0" w:color="auto"/>
              <w:left w:val="single" w:sz="6" w:space="0" w:color="auto"/>
              <w:bottom w:val="single" w:sz="6" w:space="0" w:color="auto"/>
              <w:right w:val="single" w:sz="6" w:space="0" w:color="auto"/>
            </w:tcBorders>
            <w:hideMark/>
          </w:tcPr>
          <w:p w14:paraId="5332ABA1"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P3 </w:t>
            </w:r>
          </w:p>
          <w:p w14:paraId="59EF1FB2"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P4 </w:t>
            </w:r>
          </w:p>
          <w:p w14:paraId="459FD232"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C5 </w:t>
            </w:r>
          </w:p>
          <w:p w14:paraId="1F4F9C89"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C6 </w:t>
            </w:r>
          </w:p>
          <w:p w14:paraId="4C34FB7A"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C7 </w:t>
            </w:r>
          </w:p>
        </w:tc>
        <w:tc>
          <w:tcPr>
            <w:tcW w:w="487" w:type="dxa"/>
            <w:gridSpan w:val="2"/>
            <w:tcBorders>
              <w:top w:val="single" w:sz="6" w:space="0" w:color="auto"/>
              <w:left w:val="single" w:sz="6" w:space="0" w:color="auto"/>
              <w:bottom w:val="single" w:sz="6" w:space="0" w:color="auto"/>
              <w:right w:val="single" w:sz="6" w:space="0" w:color="auto"/>
            </w:tcBorders>
            <w:hideMark/>
          </w:tcPr>
          <w:p w14:paraId="27A04AA4"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P4 </w:t>
            </w:r>
          </w:p>
          <w:p w14:paraId="4B5C4ED1"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P5 </w:t>
            </w:r>
          </w:p>
          <w:p w14:paraId="2F488E94"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C6 </w:t>
            </w:r>
          </w:p>
          <w:p w14:paraId="0D9297C3"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C7 </w:t>
            </w:r>
          </w:p>
        </w:tc>
        <w:tc>
          <w:tcPr>
            <w:tcW w:w="560" w:type="dxa"/>
            <w:tcBorders>
              <w:top w:val="single" w:sz="6" w:space="0" w:color="auto"/>
              <w:left w:val="single" w:sz="6" w:space="0" w:color="auto"/>
              <w:bottom w:val="single" w:sz="6" w:space="0" w:color="auto"/>
              <w:right w:val="single" w:sz="6" w:space="0" w:color="auto"/>
            </w:tcBorders>
            <w:hideMark/>
          </w:tcPr>
          <w:p w14:paraId="4BD4DF11"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 </w:t>
            </w:r>
          </w:p>
        </w:tc>
        <w:tc>
          <w:tcPr>
            <w:tcW w:w="488" w:type="dxa"/>
            <w:tcBorders>
              <w:top w:val="single" w:sz="6" w:space="0" w:color="auto"/>
              <w:left w:val="single" w:sz="6" w:space="0" w:color="auto"/>
              <w:bottom w:val="single" w:sz="6" w:space="0" w:color="auto"/>
              <w:right w:val="single" w:sz="6" w:space="0" w:color="auto"/>
            </w:tcBorders>
            <w:hideMark/>
          </w:tcPr>
          <w:p w14:paraId="407E771A"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 </w:t>
            </w:r>
          </w:p>
        </w:tc>
        <w:tc>
          <w:tcPr>
            <w:tcW w:w="488" w:type="dxa"/>
            <w:tcBorders>
              <w:top w:val="single" w:sz="6" w:space="0" w:color="auto"/>
              <w:left w:val="single" w:sz="6" w:space="0" w:color="auto"/>
              <w:bottom w:val="single" w:sz="6" w:space="0" w:color="auto"/>
              <w:right w:val="single" w:sz="6" w:space="0" w:color="auto"/>
            </w:tcBorders>
            <w:hideMark/>
          </w:tcPr>
          <w:p w14:paraId="4EABF7D0"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 </w:t>
            </w:r>
          </w:p>
        </w:tc>
        <w:tc>
          <w:tcPr>
            <w:tcW w:w="488" w:type="dxa"/>
            <w:tcBorders>
              <w:top w:val="single" w:sz="6" w:space="0" w:color="auto"/>
              <w:left w:val="single" w:sz="6" w:space="0" w:color="auto"/>
              <w:bottom w:val="single" w:sz="6" w:space="0" w:color="auto"/>
              <w:right w:val="single" w:sz="6" w:space="0" w:color="auto"/>
            </w:tcBorders>
            <w:hideMark/>
          </w:tcPr>
          <w:p w14:paraId="364EB876"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 </w:t>
            </w:r>
          </w:p>
        </w:tc>
        <w:tc>
          <w:tcPr>
            <w:tcW w:w="440" w:type="dxa"/>
            <w:tcBorders>
              <w:top w:val="single" w:sz="6" w:space="0" w:color="auto"/>
              <w:left w:val="single" w:sz="6" w:space="0" w:color="auto"/>
              <w:bottom w:val="single" w:sz="6" w:space="0" w:color="auto"/>
              <w:right w:val="single" w:sz="6" w:space="0" w:color="auto"/>
            </w:tcBorders>
            <w:hideMark/>
          </w:tcPr>
          <w:p w14:paraId="05074ECD"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 </w:t>
            </w:r>
          </w:p>
        </w:tc>
      </w:tr>
      <w:tr w:rsidR="00340E28" w:rsidRPr="00340E28" w14:paraId="668200D4" w14:textId="77777777">
        <w:trPr>
          <w:trHeight w:val="300"/>
        </w:trPr>
        <w:tc>
          <w:tcPr>
            <w:tcW w:w="680" w:type="dxa"/>
            <w:tcBorders>
              <w:top w:val="single" w:sz="6" w:space="0" w:color="auto"/>
              <w:left w:val="single" w:sz="6" w:space="0" w:color="auto"/>
              <w:bottom w:val="single" w:sz="6" w:space="0" w:color="auto"/>
              <w:right w:val="single" w:sz="6" w:space="0" w:color="auto"/>
            </w:tcBorders>
            <w:hideMark/>
          </w:tcPr>
          <w:p w14:paraId="7753401E"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806 </w:t>
            </w:r>
          </w:p>
        </w:tc>
        <w:tc>
          <w:tcPr>
            <w:tcW w:w="1792" w:type="dxa"/>
            <w:tcBorders>
              <w:top w:val="single" w:sz="6" w:space="0" w:color="auto"/>
              <w:left w:val="single" w:sz="6" w:space="0" w:color="auto"/>
              <w:bottom w:val="single" w:sz="6" w:space="0" w:color="auto"/>
              <w:right w:val="single" w:sz="6" w:space="0" w:color="auto"/>
            </w:tcBorders>
            <w:hideMark/>
          </w:tcPr>
          <w:p w14:paraId="4FCFA6AC"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Hospital </w:t>
            </w:r>
          </w:p>
        </w:tc>
        <w:tc>
          <w:tcPr>
            <w:tcW w:w="409" w:type="dxa"/>
            <w:tcBorders>
              <w:top w:val="single" w:sz="6" w:space="0" w:color="auto"/>
              <w:left w:val="single" w:sz="6" w:space="0" w:color="auto"/>
              <w:bottom w:val="single" w:sz="6" w:space="0" w:color="auto"/>
              <w:right w:val="single" w:sz="6" w:space="0" w:color="auto"/>
            </w:tcBorders>
            <w:hideMark/>
          </w:tcPr>
          <w:p w14:paraId="6C3A045A"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28" w:type="dxa"/>
            <w:tcBorders>
              <w:top w:val="single" w:sz="6" w:space="0" w:color="auto"/>
              <w:left w:val="single" w:sz="6" w:space="0" w:color="auto"/>
              <w:bottom w:val="single" w:sz="6" w:space="0" w:color="auto"/>
              <w:right w:val="single" w:sz="6" w:space="0" w:color="auto"/>
            </w:tcBorders>
            <w:hideMark/>
          </w:tcPr>
          <w:p w14:paraId="08C5D1CE"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262" w:type="dxa"/>
            <w:tcBorders>
              <w:top w:val="single" w:sz="6" w:space="0" w:color="auto"/>
              <w:left w:val="single" w:sz="6" w:space="0" w:color="auto"/>
              <w:bottom w:val="single" w:sz="6" w:space="0" w:color="auto"/>
              <w:right w:val="single" w:sz="6" w:space="0" w:color="auto"/>
            </w:tcBorders>
            <w:hideMark/>
          </w:tcPr>
          <w:p w14:paraId="280E8EE6"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74" w:type="dxa"/>
            <w:tcBorders>
              <w:top w:val="single" w:sz="6" w:space="0" w:color="auto"/>
              <w:left w:val="single" w:sz="6" w:space="0" w:color="auto"/>
              <w:bottom w:val="single" w:sz="6" w:space="0" w:color="auto"/>
              <w:right w:val="single" w:sz="6" w:space="0" w:color="auto"/>
            </w:tcBorders>
            <w:hideMark/>
          </w:tcPr>
          <w:p w14:paraId="518CD6D5"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19" w:type="dxa"/>
            <w:tcBorders>
              <w:top w:val="single" w:sz="6" w:space="0" w:color="auto"/>
              <w:left w:val="single" w:sz="6" w:space="0" w:color="auto"/>
              <w:bottom w:val="single" w:sz="6" w:space="0" w:color="auto"/>
              <w:right w:val="single" w:sz="6" w:space="0" w:color="auto"/>
            </w:tcBorders>
            <w:hideMark/>
          </w:tcPr>
          <w:p w14:paraId="231A9BF2"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51" w:type="dxa"/>
            <w:tcBorders>
              <w:top w:val="single" w:sz="6" w:space="0" w:color="auto"/>
              <w:left w:val="single" w:sz="6" w:space="0" w:color="auto"/>
              <w:bottom w:val="single" w:sz="6" w:space="0" w:color="auto"/>
              <w:right w:val="single" w:sz="6" w:space="0" w:color="auto"/>
            </w:tcBorders>
            <w:hideMark/>
          </w:tcPr>
          <w:p w14:paraId="4EDD6256"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58" w:type="dxa"/>
            <w:tcBorders>
              <w:top w:val="single" w:sz="6" w:space="0" w:color="auto"/>
              <w:left w:val="single" w:sz="6" w:space="0" w:color="auto"/>
              <w:bottom w:val="single" w:sz="6" w:space="0" w:color="auto"/>
              <w:right w:val="single" w:sz="6" w:space="0" w:color="auto"/>
            </w:tcBorders>
            <w:hideMark/>
          </w:tcPr>
          <w:p w14:paraId="1E126BC4"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C2 </w:t>
            </w:r>
          </w:p>
        </w:tc>
        <w:tc>
          <w:tcPr>
            <w:tcW w:w="487" w:type="dxa"/>
            <w:gridSpan w:val="2"/>
            <w:tcBorders>
              <w:top w:val="single" w:sz="6" w:space="0" w:color="auto"/>
              <w:left w:val="single" w:sz="6" w:space="0" w:color="auto"/>
              <w:bottom w:val="single" w:sz="6" w:space="0" w:color="auto"/>
              <w:right w:val="single" w:sz="6" w:space="0" w:color="auto"/>
            </w:tcBorders>
            <w:hideMark/>
          </w:tcPr>
          <w:p w14:paraId="43BCEE9B"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P8 </w:t>
            </w:r>
          </w:p>
          <w:p w14:paraId="421A972F"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C2 </w:t>
            </w:r>
          </w:p>
        </w:tc>
        <w:tc>
          <w:tcPr>
            <w:tcW w:w="560" w:type="dxa"/>
            <w:tcBorders>
              <w:top w:val="single" w:sz="6" w:space="0" w:color="auto"/>
              <w:left w:val="single" w:sz="6" w:space="0" w:color="auto"/>
              <w:bottom w:val="single" w:sz="6" w:space="0" w:color="auto"/>
              <w:right w:val="single" w:sz="6" w:space="0" w:color="auto"/>
            </w:tcBorders>
            <w:hideMark/>
          </w:tcPr>
          <w:p w14:paraId="1126CEFA"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88" w:type="dxa"/>
            <w:tcBorders>
              <w:top w:val="single" w:sz="6" w:space="0" w:color="auto"/>
              <w:left w:val="single" w:sz="6" w:space="0" w:color="auto"/>
              <w:bottom w:val="single" w:sz="6" w:space="0" w:color="auto"/>
              <w:right w:val="single" w:sz="6" w:space="0" w:color="auto"/>
            </w:tcBorders>
            <w:hideMark/>
          </w:tcPr>
          <w:p w14:paraId="18DF0BB0"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 </w:t>
            </w:r>
          </w:p>
        </w:tc>
        <w:tc>
          <w:tcPr>
            <w:tcW w:w="488" w:type="dxa"/>
            <w:tcBorders>
              <w:top w:val="single" w:sz="6" w:space="0" w:color="auto"/>
              <w:left w:val="single" w:sz="6" w:space="0" w:color="auto"/>
              <w:bottom w:val="single" w:sz="6" w:space="0" w:color="auto"/>
              <w:right w:val="single" w:sz="6" w:space="0" w:color="auto"/>
            </w:tcBorders>
            <w:hideMark/>
          </w:tcPr>
          <w:p w14:paraId="3FD021A0"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 </w:t>
            </w:r>
          </w:p>
        </w:tc>
        <w:tc>
          <w:tcPr>
            <w:tcW w:w="488" w:type="dxa"/>
            <w:tcBorders>
              <w:top w:val="single" w:sz="6" w:space="0" w:color="auto"/>
              <w:left w:val="single" w:sz="6" w:space="0" w:color="auto"/>
              <w:bottom w:val="single" w:sz="6" w:space="0" w:color="auto"/>
              <w:right w:val="single" w:sz="6" w:space="0" w:color="auto"/>
            </w:tcBorders>
            <w:hideMark/>
          </w:tcPr>
          <w:p w14:paraId="2EA6C3EE"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C </w:t>
            </w:r>
          </w:p>
        </w:tc>
        <w:tc>
          <w:tcPr>
            <w:tcW w:w="440" w:type="dxa"/>
            <w:tcBorders>
              <w:top w:val="single" w:sz="6" w:space="0" w:color="auto"/>
              <w:left w:val="single" w:sz="6" w:space="0" w:color="auto"/>
              <w:bottom w:val="single" w:sz="6" w:space="0" w:color="auto"/>
              <w:right w:val="single" w:sz="6" w:space="0" w:color="auto"/>
            </w:tcBorders>
            <w:hideMark/>
          </w:tcPr>
          <w:p w14:paraId="4EB73BE8"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r>
      <w:tr w:rsidR="00340E28" w:rsidRPr="00340E28" w14:paraId="5A4CD13C" w14:textId="77777777">
        <w:trPr>
          <w:trHeight w:val="300"/>
        </w:trPr>
        <w:tc>
          <w:tcPr>
            <w:tcW w:w="680" w:type="dxa"/>
            <w:tcBorders>
              <w:top w:val="single" w:sz="6" w:space="0" w:color="auto"/>
              <w:left w:val="single" w:sz="6" w:space="0" w:color="auto"/>
              <w:bottom w:val="single" w:sz="6" w:space="0" w:color="auto"/>
              <w:right w:val="single" w:sz="6" w:space="0" w:color="auto"/>
            </w:tcBorders>
            <w:hideMark/>
          </w:tcPr>
          <w:p w14:paraId="2466C525"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807 </w:t>
            </w:r>
          </w:p>
        </w:tc>
        <w:tc>
          <w:tcPr>
            <w:tcW w:w="1792" w:type="dxa"/>
            <w:tcBorders>
              <w:top w:val="single" w:sz="6" w:space="0" w:color="auto"/>
              <w:left w:val="single" w:sz="6" w:space="0" w:color="auto"/>
              <w:bottom w:val="single" w:sz="6" w:space="0" w:color="auto"/>
              <w:right w:val="single" w:sz="6" w:space="0" w:color="auto"/>
            </w:tcBorders>
            <w:hideMark/>
          </w:tcPr>
          <w:p w14:paraId="15A5E726"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Medical/Dental Lab </w:t>
            </w:r>
          </w:p>
        </w:tc>
        <w:tc>
          <w:tcPr>
            <w:tcW w:w="409" w:type="dxa"/>
            <w:tcBorders>
              <w:top w:val="single" w:sz="6" w:space="0" w:color="auto"/>
              <w:left w:val="single" w:sz="6" w:space="0" w:color="auto"/>
              <w:bottom w:val="single" w:sz="6" w:space="0" w:color="auto"/>
              <w:right w:val="single" w:sz="6" w:space="0" w:color="auto"/>
            </w:tcBorders>
            <w:hideMark/>
          </w:tcPr>
          <w:p w14:paraId="18A153F4"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28" w:type="dxa"/>
            <w:tcBorders>
              <w:top w:val="single" w:sz="6" w:space="0" w:color="auto"/>
              <w:left w:val="single" w:sz="6" w:space="0" w:color="auto"/>
              <w:bottom w:val="single" w:sz="6" w:space="0" w:color="auto"/>
              <w:right w:val="single" w:sz="6" w:space="0" w:color="auto"/>
            </w:tcBorders>
            <w:hideMark/>
          </w:tcPr>
          <w:p w14:paraId="001E857F"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262" w:type="dxa"/>
            <w:tcBorders>
              <w:top w:val="single" w:sz="6" w:space="0" w:color="auto"/>
              <w:left w:val="single" w:sz="6" w:space="0" w:color="auto"/>
              <w:bottom w:val="single" w:sz="6" w:space="0" w:color="auto"/>
              <w:right w:val="single" w:sz="6" w:space="0" w:color="auto"/>
            </w:tcBorders>
            <w:hideMark/>
          </w:tcPr>
          <w:p w14:paraId="2DF4020D"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74" w:type="dxa"/>
            <w:tcBorders>
              <w:top w:val="single" w:sz="6" w:space="0" w:color="auto"/>
              <w:left w:val="single" w:sz="6" w:space="0" w:color="auto"/>
              <w:bottom w:val="single" w:sz="6" w:space="0" w:color="auto"/>
              <w:right w:val="single" w:sz="6" w:space="0" w:color="auto"/>
            </w:tcBorders>
            <w:hideMark/>
          </w:tcPr>
          <w:p w14:paraId="04FF66F3"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19" w:type="dxa"/>
            <w:tcBorders>
              <w:top w:val="single" w:sz="6" w:space="0" w:color="auto"/>
              <w:left w:val="single" w:sz="6" w:space="0" w:color="auto"/>
              <w:bottom w:val="single" w:sz="6" w:space="0" w:color="auto"/>
              <w:right w:val="single" w:sz="6" w:space="0" w:color="auto"/>
            </w:tcBorders>
            <w:hideMark/>
          </w:tcPr>
          <w:p w14:paraId="551D18F2"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51" w:type="dxa"/>
            <w:tcBorders>
              <w:top w:val="single" w:sz="6" w:space="0" w:color="auto"/>
              <w:left w:val="single" w:sz="6" w:space="0" w:color="auto"/>
              <w:bottom w:val="single" w:sz="6" w:space="0" w:color="auto"/>
              <w:right w:val="single" w:sz="6" w:space="0" w:color="auto"/>
            </w:tcBorders>
            <w:hideMark/>
          </w:tcPr>
          <w:p w14:paraId="5852DD3F"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58" w:type="dxa"/>
            <w:tcBorders>
              <w:top w:val="single" w:sz="6" w:space="0" w:color="auto"/>
              <w:left w:val="single" w:sz="6" w:space="0" w:color="auto"/>
              <w:bottom w:val="single" w:sz="6" w:space="0" w:color="auto"/>
              <w:right w:val="single" w:sz="6" w:space="0" w:color="auto"/>
            </w:tcBorders>
            <w:hideMark/>
          </w:tcPr>
          <w:p w14:paraId="7DFE91D9"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87" w:type="dxa"/>
            <w:gridSpan w:val="2"/>
            <w:tcBorders>
              <w:top w:val="single" w:sz="6" w:space="0" w:color="auto"/>
              <w:left w:val="single" w:sz="6" w:space="0" w:color="auto"/>
              <w:bottom w:val="single" w:sz="6" w:space="0" w:color="auto"/>
              <w:right w:val="single" w:sz="6" w:space="0" w:color="auto"/>
            </w:tcBorders>
            <w:hideMark/>
          </w:tcPr>
          <w:p w14:paraId="2A2E3B7A"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60" w:type="dxa"/>
            <w:tcBorders>
              <w:top w:val="single" w:sz="6" w:space="0" w:color="auto"/>
              <w:left w:val="single" w:sz="6" w:space="0" w:color="auto"/>
              <w:bottom w:val="single" w:sz="6" w:space="0" w:color="auto"/>
              <w:right w:val="single" w:sz="6" w:space="0" w:color="auto"/>
            </w:tcBorders>
            <w:hideMark/>
          </w:tcPr>
          <w:p w14:paraId="4AAC84B9"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88" w:type="dxa"/>
            <w:tcBorders>
              <w:top w:val="single" w:sz="6" w:space="0" w:color="auto"/>
              <w:left w:val="single" w:sz="6" w:space="0" w:color="auto"/>
              <w:bottom w:val="single" w:sz="6" w:space="0" w:color="auto"/>
              <w:right w:val="single" w:sz="6" w:space="0" w:color="auto"/>
            </w:tcBorders>
            <w:hideMark/>
          </w:tcPr>
          <w:p w14:paraId="576C7909"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 </w:t>
            </w:r>
          </w:p>
        </w:tc>
        <w:tc>
          <w:tcPr>
            <w:tcW w:w="488" w:type="dxa"/>
            <w:tcBorders>
              <w:top w:val="single" w:sz="6" w:space="0" w:color="auto"/>
              <w:left w:val="single" w:sz="6" w:space="0" w:color="auto"/>
              <w:bottom w:val="single" w:sz="6" w:space="0" w:color="auto"/>
              <w:right w:val="single" w:sz="6" w:space="0" w:color="auto"/>
            </w:tcBorders>
            <w:hideMark/>
          </w:tcPr>
          <w:p w14:paraId="776C2136"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 </w:t>
            </w:r>
          </w:p>
        </w:tc>
        <w:tc>
          <w:tcPr>
            <w:tcW w:w="488" w:type="dxa"/>
            <w:tcBorders>
              <w:top w:val="single" w:sz="6" w:space="0" w:color="auto"/>
              <w:left w:val="single" w:sz="6" w:space="0" w:color="auto"/>
              <w:bottom w:val="single" w:sz="6" w:space="0" w:color="auto"/>
              <w:right w:val="single" w:sz="6" w:space="0" w:color="auto"/>
            </w:tcBorders>
            <w:hideMark/>
          </w:tcPr>
          <w:p w14:paraId="0A4317BF"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 </w:t>
            </w:r>
          </w:p>
        </w:tc>
        <w:tc>
          <w:tcPr>
            <w:tcW w:w="440" w:type="dxa"/>
            <w:tcBorders>
              <w:top w:val="single" w:sz="6" w:space="0" w:color="auto"/>
              <w:left w:val="single" w:sz="6" w:space="0" w:color="auto"/>
              <w:bottom w:val="single" w:sz="6" w:space="0" w:color="auto"/>
              <w:right w:val="single" w:sz="6" w:space="0" w:color="auto"/>
            </w:tcBorders>
            <w:hideMark/>
          </w:tcPr>
          <w:p w14:paraId="4AF2A911"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 </w:t>
            </w:r>
          </w:p>
        </w:tc>
      </w:tr>
      <w:tr w:rsidR="00340E28" w:rsidRPr="00340E28" w14:paraId="6BB0BB78" w14:textId="77777777">
        <w:trPr>
          <w:trHeight w:val="300"/>
        </w:trPr>
        <w:tc>
          <w:tcPr>
            <w:tcW w:w="680" w:type="dxa"/>
            <w:tcBorders>
              <w:top w:val="single" w:sz="6" w:space="0" w:color="auto"/>
              <w:left w:val="single" w:sz="6" w:space="0" w:color="auto"/>
              <w:bottom w:val="single" w:sz="6" w:space="0" w:color="auto"/>
              <w:right w:val="single" w:sz="6" w:space="0" w:color="auto"/>
            </w:tcBorders>
            <w:hideMark/>
          </w:tcPr>
          <w:p w14:paraId="5003BF64"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808-09 </w:t>
            </w:r>
          </w:p>
        </w:tc>
        <w:tc>
          <w:tcPr>
            <w:tcW w:w="1792" w:type="dxa"/>
            <w:tcBorders>
              <w:top w:val="single" w:sz="6" w:space="0" w:color="auto"/>
              <w:left w:val="single" w:sz="6" w:space="0" w:color="auto"/>
              <w:bottom w:val="single" w:sz="6" w:space="0" w:color="auto"/>
              <w:right w:val="single" w:sz="6" w:space="0" w:color="auto"/>
            </w:tcBorders>
            <w:hideMark/>
          </w:tcPr>
          <w:p w14:paraId="3AD23BF1"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Miscellaneous Health </w:t>
            </w:r>
          </w:p>
        </w:tc>
        <w:tc>
          <w:tcPr>
            <w:tcW w:w="409" w:type="dxa"/>
            <w:tcBorders>
              <w:top w:val="single" w:sz="6" w:space="0" w:color="auto"/>
              <w:left w:val="single" w:sz="6" w:space="0" w:color="auto"/>
              <w:bottom w:val="single" w:sz="6" w:space="0" w:color="auto"/>
              <w:right w:val="single" w:sz="6" w:space="0" w:color="auto"/>
            </w:tcBorders>
            <w:hideMark/>
          </w:tcPr>
          <w:p w14:paraId="2E525382"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28" w:type="dxa"/>
            <w:tcBorders>
              <w:top w:val="single" w:sz="6" w:space="0" w:color="auto"/>
              <w:left w:val="single" w:sz="6" w:space="0" w:color="auto"/>
              <w:bottom w:val="single" w:sz="6" w:space="0" w:color="auto"/>
              <w:right w:val="single" w:sz="6" w:space="0" w:color="auto"/>
            </w:tcBorders>
            <w:hideMark/>
          </w:tcPr>
          <w:p w14:paraId="275A7C98"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262" w:type="dxa"/>
            <w:tcBorders>
              <w:top w:val="single" w:sz="6" w:space="0" w:color="auto"/>
              <w:left w:val="single" w:sz="6" w:space="0" w:color="auto"/>
              <w:bottom w:val="single" w:sz="6" w:space="0" w:color="auto"/>
              <w:right w:val="single" w:sz="6" w:space="0" w:color="auto"/>
            </w:tcBorders>
            <w:hideMark/>
          </w:tcPr>
          <w:p w14:paraId="556A88F1"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74" w:type="dxa"/>
            <w:tcBorders>
              <w:top w:val="single" w:sz="6" w:space="0" w:color="auto"/>
              <w:left w:val="single" w:sz="6" w:space="0" w:color="auto"/>
              <w:bottom w:val="single" w:sz="6" w:space="0" w:color="auto"/>
              <w:right w:val="single" w:sz="6" w:space="0" w:color="auto"/>
            </w:tcBorders>
            <w:hideMark/>
          </w:tcPr>
          <w:p w14:paraId="73146874"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19" w:type="dxa"/>
            <w:tcBorders>
              <w:top w:val="single" w:sz="6" w:space="0" w:color="auto"/>
              <w:left w:val="single" w:sz="6" w:space="0" w:color="auto"/>
              <w:bottom w:val="single" w:sz="6" w:space="0" w:color="auto"/>
              <w:right w:val="single" w:sz="6" w:space="0" w:color="auto"/>
            </w:tcBorders>
            <w:hideMark/>
          </w:tcPr>
          <w:p w14:paraId="70F82159"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51" w:type="dxa"/>
            <w:tcBorders>
              <w:top w:val="single" w:sz="6" w:space="0" w:color="auto"/>
              <w:left w:val="single" w:sz="6" w:space="0" w:color="auto"/>
              <w:bottom w:val="single" w:sz="6" w:space="0" w:color="auto"/>
              <w:right w:val="single" w:sz="6" w:space="0" w:color="auto"/>
            </w:tcBorders>
            <w:hideMark/>
          </w:tcPr>
          <w:p w14:paraId="7A24533B"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58" w:type="dxa"/>
            <w:tcBorders>
              <w:top w:val="single" w:sz="6" w:space="0" w:color="auto"/>
              <w:left w:val="single" w:sz="6" w:space="0" w:color="auto"/>
              <w:bottom w:val="single" w:sz="6" w:space="0" w:color="auto"/>
              <w:right w:val="single" w:sz="6" w:space="0" w:color="auto"/>
            </w:tcBorders>
            <w:hideMark/>
          </w:tcPr>
          <w:p w14:paraId="5E9A0108"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87" w:type="dxa"/>
            <w:gridSpan w:val="2"/>
            <w:tcBorders>
              <w:top w:val="single" w:sz="6" w:space="0" w:color="auto"/>
              <w:left w:val="single" w:sz="6" w:space="0" w:color="auto"/>
              <w:bottom w:val="single" w:sz="6" w:space="0" w:color="auto"/>
              <w:right w:val="single" w:sz="6" w:space="0" w:color="auto"/>
            </w:tcBorders>
            <w:hideMark/>
          </w:tcPr>
          <w:p w14:paraId="552680D2"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60" w:type="dxa"/>
            <w:tcBorders>
              <w:top w:val="single" w:sz="6" w:space="0" w:color="auto"/>
              <w:left w:val="single" w:sz="6" w:space="0" w:color="auto"/>
              <w:bottom w:val="single" w:sz="6" w:space="0" w:color="auto"/>
              <w:right w:val="single" w:sz="6" w:space="0" w:color="auto"/>
            </w:tcBorders>
            <w:hideMark/>
          </w:tcPr>
          <w:p w14:paraId="4128EE3A"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88" w:type="dxa"/>
            <w:tcBorders>
              <w:top w:val="single" w:sz="6" w:space="0" w:color="auto"/>
              <w:left w:val="single" w:sz="6" w:space="0" w:color="auto"/>
              <w:bottom w:val="single" w:sz="6" w:space="0" w:color="auto"/>
              <w:right w:val="single" w:sz="6" w:space="0" w:color="auto"/>
            </w:tcBorders>
            <w:hideMark/>
          </w:tcPr>
          <w:p w14:paraId="5A47FD29"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 </w:t>
            </w:r>
          </w:p>
        </w:tc>
        <w:tc>
          <w:tcPr>
            <w:tcW w:w="488" w:type="dxa"/>
            <w:tcBorders>
              <w:top w:val="single" w:sz="6" w:space="0" w:color="auto"/>
              <w:left w:val="single" w:sz="6" w:space="0" w:color="auto"/>
              <w:bottom w:val="single" w:sz="6" w:space="0" w:color="auto"/>
              <w:right w:val="single" w:sz="6" w:space="0" w:color="auto"/>
            </w:tcBorders>
            <w:hideMark/>
          </w:tcPr>
          <w:p w14:paraId="16C802C9"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 </w:t>
            </w:r>
          </w:p>
        </w:tc>
        <w:tc>
          <w:tcPr>
            <w:tcW w:w="488" w:type="dxa"/>
            <w:tcBorders>
              <w:top w:val="single" w:sz="6" w:space="0" w:color="auto"/>
              <w:left w:val="single" w:sz="6" w:space="0" w:color="auto"/>
              <w:bottom w:val="single" w:sz="6" w:space="0" w:color="auto"/>
              <w:right w:val="single" w:sz="6" w:space="0" w:color="auto"/>
            </w:tcBorders>
            <w:hideMark/>
          </w:tcPr>
          <w:p w14:paraId="121F9A49"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 </w:t>
            </w:r>
          </w:p>
        </w:tc>
        <w:tc>
          <w:tcPr>
            <w:tcW w:w="440" w:type="dxa"/>
            <w:tcBorders>
              <w:top w:val="single" w:sz="6" w:space="0" w:color="auto"/>
              <w:left w:val="single" w:sz="6" w:space="0" w:color="auto"/>
              <w:bottom w:val="single" w:sz="6" w:space="0" w:color="auto"/>
              <w:right w:val="single" w:sz="6" w:space="0" w:color="auto"/>
            </w:tcBorders>
            <w:hideMark/>
          </w:tcPr>
          <w:p w14:paraId="616E9E03"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r>
      <w:tr w:rsidR="00340E28" w:rsidRPr="00340E28" w14:paraId="36B8244D" w14:textId="77777777">
        <w:trPr>
          <w:trHeight w:val="300"/>
        </w:trPr>
        <w:tc>
          <w:tcPr>
            <w:tcW w:w="680" w:type="dxa"/>
            <w:tcBorders>
              <w:top w:val="single" w:sz="6" w:space="0" w:color="auto"/>
              <w:left w:val="single" w:sz="6" w:space="0" w:color="auto"/>
              <w:bottom w:val="single" w:sz="6" w:space="0" w:color="auto"/>
              <w:right w:val="single" w:sz="6" w:space="0" w:color="auto"/>
            </w:tcBorders>
            <w:hideMark/>
          </w:tcPr>
          <w:p w14:paraId="7614D763"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1792" w:type="dxa"/>
            <w:tcBorders>
              <w:top w:val="single" w:sz="6" w:space="0" w:color="auto"/>
              <w:left w:val="single" w:sz="6" w:space="0" w:color="auto"/>
              <w:bottom w:val="single" w:sz="6" w:space="0" w:color="auto"/>
              <w:right w:val="single" w:sz="6" w:space="0" w:color="auto"/>
            </w:tcBorders>
            <w:hideMark/>
          </w:tcPr>
          <w:p w14:paraId="1897E748"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Social Services  </w:t>
            </w:r>
          </w:p>
        </w:tc>
        <w:tc>
          <w:tcPr>
            <w:tcW w:w="409" w:type="dxa"/>
            <w:tcBorders>
              <w:top w:val="single" w:sz="6" w:space="0" w:color="auto"/>
              <w:left w:val="single" w:sz="6" w:space="0" w:color="auto"/>
              <w:bottom w:val="single" w:sz="6" w:space="0" w:color="auto"/>
              <w:right w:val="single" w:sz="6" w:space="0" w:color="auto"/>
            </w:tcBorders>
            <w:hideMark/>
          </w:tcPr>
          <w:p w14:paraId="16906171"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28" w:type="dxa"/>
            <w:tcBorders>
              <w:top w:val="single" w:sz="6" w:space="0" w:color="auto"/>
              <w:left w:val="single" w:sz="6" w:space="0" w:color="auto"/>
              <w:bottom w:val="single" w:sz="6" w:space="0" w:color="auto"/>
              <w:right w:val="single" w:sz="6" w:space="0" w:color="auto"/>
            </w:tcBorders>
            <w:hideMark/>
          </w:tcPr>
          <w:p w14:paraId="3BF6ECF0"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262" w:type="dxa"/>
            <w:tcBorders>
              <w:top w:val="single" w:sz="6" w:space="0" w:color="auto"/>
              <w:left w:val="single" w:sz="6" w:space="0" w:color="auto"/>
              <w:bottom w:val="single" w:sz="6" w:space="0" w:color="auto"/>
              <w:right w:val="single" w:sz="6" w:space="0" w:color="auto"/>
            </w:tcBorders>
            <w:hideMark/>
          </w:tcPr>
          <w:p w14:paraId="0AEC9892"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74" w:type="dxa"/>
            <w:tcBorders>
              <w:top w:val="single" w:sz="6" w:space="0" w:color="auto"/>
              <w:left w:val="single" w:sz="6" w:space="0" w:color="auto"/>
              <w:bottom w:val="single" w:sz="6" w:space="0" w:color="auto"/>
              <w:right w:val="single" w:sz="6" w:space="0" w:color="auto"/>
            </w:tcBorders>
            <w:hideMark/>
          </w:tcPr>
          <w:p w14:paraId="31A5C34D"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P2 </w:t>
            </w:r>
          </w:p>
          <w:p w14:paraId="3F422588"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C </w:t>
            </w:r>
          </w:p>
        </w:tc>
        <w:tc>
          <w:tcPr>
            <w:tcW w:w="519" w:type="dxa"/>
            <w:tcBorders>
              <w:top w:val="single" w:sz="6" w:space="0" w:color="auto"/>
              <w:left w:val="single" w:sz="6" w:space="0" w:color="auto"/>
              <w:bottom w:val="single" w:sz="6" w:space="0" w:color="auto"/>
              <w:right w:val="single" w:sz="6" w:space="0" w:color="auto"/>
            </w:tcBorders>
            <w:hideMark/>
          </w:tcPr>
          <w:p w14:paraId="67A6B3F6"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P2 </w:t>
            </w:r>
          </w:p>
          <w:p w14:paraId="0152D13E"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C </w:t>
            </w:r>
          </w:p>
        </w:tc>
        <w:tc>
          <w:tcPr>
            <w:tcW w:w="551" w:type="dxa"/>
            <w:tcBorders>
              <w:top w:val="single" w:sz="6" w:space="0" w:color="auto"/>
              <w:left w:val="single" w:sz="6" w:space="0" w:color="auto"/>
              <w:bottom w:val="single" w:sz="6" w:space="0" w:color="auto"/>
              <w:right w:val="single" w:sz="6" w:space="0" w:color="auto"/>
            </w:tcBorders>
            <w:hideMark/>
          </w:tcPr>
          <w:p w14:paraId="6131E813"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P2 </w:t>
            </w:r>
          </w:p>
          <w:p w14:paraId="52A115B7"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C </w:t>
            </w:r>
          </w:p>
        </w:tc>
        <w:tc>
          <w:tcPr>
            <w:tcW w:w="558" w:type="dxa"/>
            <w:tcBorders>
              <w:top w:val="single" w:sz="6" w:space="0" w:color="auto"/>
              <w:left w:val="single" w:sz="6" w:space="0" w:color="auto"/>
              <w:bottom w:val="single" w:sz="6" w:space="0" w:color="auto"/>
              <w:right w:val="single" w:sz="6" w:space="0" w:color="auto"/>
            </w:tcBorders>
            <w:hideMark/>
          </w:tcPr>
          <w:p w14:paraId="08CAF99B"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P2 </w:t>
            </w:r>
          </w:p>
          <w:p w14:paraId="6DD666E7"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C </w:t>
            </w:r>
          </w:p>
        </w:tc>
        <w:tc>
          <w:tcPr>
            <w:tcW w:w="487" w:type="dxa"/>
            <w:gridSpan w:val="2"/>
            <w:tcBorders>
              <w:top w:val="single" w:sz="6" w:space="0" w:color="auto"/>
              <w:left w:val="single" w:sz="6" w:space="0" w:color="auto"/>
              <w:bottom w:val="single" w:sz="6" w:space="0" w:color="auto"/>
              <w:right w:val="single" w:sz="6" w:space="0" w:color="auto"/>
            </w:tcBorders>
            <w:hideMark/>
          </w:tcPr>
          <w:p w14:paraId="5536A394"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 </w:t>
            </w:r>
          </w:p>
          <w:p w14:paraId="2C2E41C1"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p w14:paraId="059D4C8D"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60" w:type="dxa"/>
            <w:tcBorders>
              <w:top w:val="single" w:sz="6" w:space="0" w:color="auto"/>
              <w:left w:val="single" w:sz="6" w:space="0" w:color="auto"/>
              <w:bottom w:val="single" w:sz="6" w:space="0" w:color="auto"/>
              <w:right w:val="single" w:sz="6" w:space="0" w:color="auto"/>
            </w:tcBorders>
            <w:hideMark/>
          </w:tcPr>
          <w:p w14:paraId="7E8E82FA"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 </w:t>
            </w:r>
          </w:p>
        </w:tc>
        <w:tc>
          <w:tcPr>
            <w:tcW w:w="488" w:type="dxa"/>
            <w:tcBorders>
              <w:top w:val="single" w:sz="6" w:space="0" w:color="auto"/>
              <w:left w:val="single" w:sz="6" w:space="0" w:color="auto"/>
              <w:bottom w:val="single" w:sz="6" w:space="0" w:color="auto"/>
              <w:right w:val="single" w:sz="6" w:space="0" w:color="auto"/>
            </w:tcBorders>
            <w:hideMark/>
          </w:tcPr>
          <w:p w14:paraId="3C43B525"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 </w:t>
            </w:r>
          </w:p>
        </w:tc>
        <w:tc>
          <w:tcPr>
            <w:tcW w:w="488" w:type="dxa"/>
            <w:tcBorders>
              <w:top w:val="single" w:sz="6" w:space="0" w:color="auto"/>
              <w:left w:val="single" w:sz="6" w:space="0" w:color="auto"/>
              <w:bottom w:val="single" w:sz="6" w:space="0" w:color="auto"/>
              <w:right w:val="single" w:sz="6" w:space="0" w:color="auto"/>
            </w:tcBorders>
            <w:hideMark/>
          </w:tcPr>
          <w:p w14:paraId="0C891DE4"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 </w:t>
            </w:r>
          </w:p>
        </w:tc>
        <w:tc>
          <w:tcPr>
            <w:tcW w:w="488" w:type="dxa"/>
            <w:tcBorders>
              <w:top w:val="single" w:sz="6" w:space="0" w:color="auto"/>
              <w:left w:val="single" w:sz="6" w:space="0" w:color="auto"/>
              <w:bottom w:val="single" w:sz="6" w:space="0" w:color="auto"/>
              <w:right w:val="single" w:sz="6" w:space="0" w:color="auto"/>
            </w:tcBorders>
            <w:hideMark/>
          </w:tcPr>
          <w:p w14:paraId="034C7851"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 </w:t>
            </w:r>
          </w:p>
        </w:tc>
        <w:tc>
          <w:tcPr>
            <w:tcW w:w="440" w:type="dxa"/>
            <w:tcBorders>
              <w:top w:val="single" w:sz="6" w:space="0" w:color="auto"/>
              <w:left w:val="single" w:sz="6" w:space="0" w:color="auto"/>
              <w:bottom w:val="single" w:sz="6" w:space="0" w:color="auto"/>
              <w:right w:val="single" w:sz="6" w:space="0" w:color="auto"/>
            </w:tcBorders>
            <w:hideMark/>
          </w:tcPr>
          <w:p w14:paraId="27B06FA7"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r>
      <w:tr w:rsidR="00340E28" w:rsidRPr="00340E28" w14:paraId="6BF67F20" w14:textId="77777777">
        <w:trPr>
          <w:trHeight w:val="300"/>
        </w:trPr>
        <w:tc>
          <w:tcPr>
            <w:tcW w:w="680" w:type="dxa"/>
            <w:tcBorders>
              <w:top w:val="single" w:sz="6" w:space="0" w:color="auto"/>
              <w:left w:val="single" w:sz="6" w:space="0" w:color="auto"/>
              <w:bottom w:val="single" w:sz="6" w:space="0" w:color="auto"/>
              <w:right w:val="single" w:sz="6" w:space="0" w:color="auto"/>
            </w:tcBorders>
            <w:hideMark/>
          </w:tcPr>
          <w:p w14:paraId="51556527"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1792" w:type="dxa"/>
            <w:tcBorders>
              <w:top w:val="single" w:sz="6" w:space="0" w:color="auto"/>
              <w:left w:val="single" w:sz="6" w:space="0" w:color="auto"/>
              <w:bottom w:val="single" w:sz="6" w:space="0" w:color="auto"/>
              <w:right w:val="single" w:sz="6" w:space="0" w:color="auto"/>
            </w:tcBorders>
            <w:hideMark/>
          </w:tcPr>
          <w:p w14:paraId="54167870"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Crisis Care Center </w:t>
            </w:r>
          </w:p>
        </w:tc>
        <w:tc>
          <w:tcPr>
            <w:tcW w:w="409" w:type="dxa"/>
            <w:tcBorders>
              <w:top w:val="single" w:sz="6" w:space="0" w:color="auto"/>
              <w:left w:val="single" w:sz="6" w:space="0" w:color="auto"/>
              <w:bottom w:val="single" w:sz="6" w:space="0" w:color="auto"/>
              <w:right w:val="single" w:sz="6" w:space="0" w:color="auto"/>
            </w:tcBorders>
            <w:hideMark/>
          </w:tcPr>
          <w:p w14:paraId="7D173068"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28" w:type="dxa"/>
            <w:tcBorders>
              <w:top w:val="single" w:sz="6" w:space="0" w:color="auto"/>
              <w:left w:val="single" w:sz="6" w:space="0" w:color="auto"/>
              <w:bottom w:val="single" w:sz="6" w:space="0" w:color="auto"/>
              <w:right w:val="single" w:sz="6" w:space="0" w:color="auto"/>
            </w:tcBorders>
            <w:hideMark/>
          </w:tcPr>
          <w:p w14:paraId="7DA9102C"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262" w:type="dxa"/>
            <w:tcBorders>
              <w:top w:val="single" w:sz="6" w:space="0" w:color="auto"/>
              <w:left w:val="single" w:sz="6" w:space="0" w:color="auto"/>
              <w:bottom w:val="single" w:sz="6" w:space="0" w:color="auto"/>
              <w:right w:val="single" w:sz="6" w:space="0" w:color="auto"/>
            </w:tcBorders>
            <w:hideMark/>
          </w:tcPr>
          <w:p w14:paraId="59DE54B4"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74" w:type="dxa"/>
            <w:tcBorders>
              <w:top w:val="single" w:sz="6" w:space="0" w:color="auto"/>
              <w:left w:val="single" w:sz="6" w:space="0" w:color="auto"/>
              <w:bottom w:val="single" w:sz="6" w:space="0" w:color="auto"/>
              <w:right w:val="single" w:sz="6" w:space="0" w:color="auto"/>
            </w:tcBorders>
            <w:hideMark/>
          </w:tcPr>
          <w:p w14:paraId="41646CCF"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P2 </w:t>
            </w:r>
          </w:p>
          <w:p w14:paraId="44AF1EDC"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C9 </w:t>
            </w:r>
          </w:p>
        </w:tc>
        <w:tc>
          <w:tcPr>
            <w:tcW w:w="519" w:type="dxa"/>
            <w:tcBorders>
              <w:top w:val="single" w:sz="6" w:space="0" w:color="auto"/>
              <w:left w:val="single" w:sz="6" w:space="0" w:color="auto"/>
              <w:bottom w:val="single" w:sz="6" w:space="0" w:color="auto"/>
              <w:right w:val="single" w:sz="6" w:space="0" w:color="auto"/>
            </w:tcBorders>
            <w:hideMark/>
          </w:tcPr>
          <w:p w14:paraId="0D3FB9B6"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P2 </w:t>
            </w:r>
          </w:p>
          <w:p w14:paraId="60C44226"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C9 </w:t>
            </w:r>
          </w:p>
        </w:tc>
        <w:tc>
          <w:tcPr>
            <w:tcW w:w="551" w:type="dxa"/>
            <w:tcBorders>
              <w:top w:val="single" w:sz="6" w:space="0" w:color="auto"/>
              <w:left w:val="single" w:sz="6" w:space="0" w:color="auto"/>
              <w:bottom w:val="single" w:sz="6" w:space="0" w:color="auto"/>
              <w:right w:val="single" w:sz="6" w:space="0" w:color="auto"/>
            </w:tcBorders>
            <w:hideMark/>
          </w:tcPr>
          <w:p w14:paraId="642A8D22"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P3 </w:t>
            </w:r>
          </w:p>
          <w:p w14:paraId="4F754FAE"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C9 </w:t>
            </w:r>
          </w:p>
        </w:tc>
        <w:tc>
          <w:tcPr>
            <w:tcW w:w="558" w:type="dxa"/>
            <w:tcBorders>
              <w:top w:val="single" w:sz="6" w:space="0" w:color="auto"/>
              <w:left w:val="single" w:sz="6" w:space="0" w:color="auto"/>
              <w:bottom w:val="single" w:sz="6" w:space="0" w:color="auto"/>
              <w:right w:val="single" w:sz="6" w:space="0" w:color="auto"/>
            </w:tcBorders>
            <w:hideMark/>
          </w:tcPr>
          <w:p w14:paraId="627EA97D"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P3 </w:t>
            </w:r>
          </w:p>
          <w:p w14:paraId="3039141A"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C </w:t>
            </w:r>
          </w:p>
        </w:tc>
        <w:tc>
          <w:tcPr>
            <w:tcW w:w="487" w:type="dxa"/>
            <w:gridSpan w:val="2"/>
            <w:tcBorders>
              <w:top w:val="single" w:sz="6" w:space="0" w:color="auto"/>
              <w:left w:val="single" w:sz="6" w:space="0" w:color="auto"/>
              <w:bottom w:val="single" w:sz="6" w:space="0" w:color="auto"/>
              <w:right w:val="single" w:sz="6" w:space="0" w:color="auto"/>
            </w:tcBorders>
            <w:hideMark/>
          </w:tcPr>
          <w:p w14:paraId="18C4EE4F"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P5 </w:t>
            </w:r>
          </w:p>
        </w:tc>
        <w:tc>
          <w:tcPr>
            <w:tcW w:w="560" w:type="dxa"/>
            <w:tcBorders>
              <w:top w:val="single" w:sz="6" w:space="0" w:color="auto"/>
              <w:left w:val="single" w:sz="6" w:space="0" w:color="auto"/>
              <w:bottom w:val="single" w:sz="6" w:space="0" w:color="auto"/>
              <w:right w:val="single" w:sz="6" w:space="0" w:color="auto"/>
            </w:tcBorders>
            <w:hideMark/>
          </w:tcPr>
          <w:p w14:paraId="55F6FD67"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P5 </w:t>
            </w:r>
          </w:p>
        </w:tc>
        <w:tc>
          <w:tcPr>
            <w:tcW w:w="488" w:type="dxa"/>
            <w:tcBorders>
              <w:top w:val="single" w:sz="6" w:space="0" w:color="auto"/>
              <w:left w:val="single" w:sz="6" w:space="0" w:color="auto"/>
              <w:bottom w:val="single" w:sz="6" w:space="0" w:color="auto"/>
              <w:right w:val="single" w:sz="6" w:space="0" w:color="auto"/>
            </w:tcBorders>
            <w:hideMark/>
          </w:tcPr>
          <w:p w14:paraId="7F6434CD"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P5 </w:t>
            </w:r>
          </w:p>
        </w:tc>
        <w:tc>
          <w:tcPr>
            <w:tcW w:w="488" w:type="dxa"/>
            <w:tcBorders>
              <w:top w:val="single" w:sz="6" w:space="0" w:color="auto"/>
              <w:left w:val="single" w:sz="6" w:space="0" w:color="auto"/>
              <w:bottom w:val="single" w:sz="6" w:space="0" w:color="auto"/>
              <w:right w:val="single" w:sz="6" w:space="0" w:color="auto"/>
            </w:tcBorders>
            <w:hideMark/>
          </w:tcPr>
          <w:p w14:paraId="424A9B40"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P5 </w:t>
            </w:r>
          </w:p>
        </w:tc>
        <w:tc>
          <w:tcPr>
            <w:tcW w:w="488" w:type="dxa"/>
            <w:tcBorders>
              <w:top w:val="single" w:sz="6" w:space="0" w:color="auto"/>
              <w:left w:val="single" w:sz="6" w:space="0" w:color="auto"/>
              <w:bottom w:val="single" w:sz="6" w:space="0" w:color="auto"/>
              <w:right w:val="single" w:sz="6" w:space="0" w:color="auto"/>
            </w:tcBorders>
            <w:hideMark/>
          </w:tcPr>
          <w:p w14:paraId="4332CCFA"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P5 </w:t>
            </w:r>
          </w:p>
        </w:tc>
        <w:tc>
          <w:tcPr>
            <w:tcW w:w="440" w:type="dxa"/>
            <w:tcBorders>
              <w:top w:val="single" w:sz="6" w:space="0" w:color="auto"/>
              <w:left w:val="single" w:sz="6" w:space="0" w:color="auto"/>
              <w:bottom w:val="single" w:sz="6" w:space="0" w:color="auto"/>
              <w:right w:val="single" w:sz="6" w:space="0" w:color="auto"/>
            </w:tcBorders>
            <w:hideMark/>
          </w:tcPr>
          <w:p w14:paraId="0EEE6DC9"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P10 </w:t>
            </w:r>
          </w:p>
        </w:tc>
      </w:tr>
      <w:tr w:rsidR="00340E28" w:rsidRPr="00340E28" w14:paraId="6EE54437" w14:textId="77777777">
        <w:trPr>
          <w:trHeight w:val="300"/>
        </w:trPr>
        <w:tc>
          <w:tcPr>
            <w:tcW w:w="680" w:type="dxa"/>
            <w:tcBorders>
              <w:top w:val="single" w:sz="6" w:space="0" w:color="auto"/>
              <w:left w:val="single" w:sz="6" w:space="0" w:color="auto"/>
              <w:bottom w:val="single" w:sz="6" w:space="0" w:color="auto"/>
              <w:right w:val="single" w:sz="6" w:space="0" w:color="auto"/>
            </w:tcBorders>
            <w:hideMark/>
          </w:tcPr>
          <w:p w14:paraId="6A77D6EC"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lastRenderedPageBreak/>
              <w:t> </w:t>
            </w:r>
          </w:p>
        </w:tc>
        <w:tc>
          <w:tcPr>
            <w:tcW w:w="1792" w:type="dxa"/>
            <w:tcBorders>
              <w:top w:val="single" w:sz="6" w:space="0" w:color="auto"/>
              <w:left w:val="single" w:sz="6" w:space="0" w:color="auto"/>
              <w:bottom w:val="single" w:sz="6" w:space="0" w:color="auto"/>
              <w:right w:val="single" w:sz="6" w:space="0" w:color="auto"/>
            </w:tcBorders>
            <w:hideMark/>
          </w:tcPr>
          <w:p w14:paraId="127D15F2"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b/>
                <w:bCs/>
                <w:color w:val="000000"/>
                <w:kern w:val="0"/>
                <w:sz w:val="24"/>
                <w:szCs w:val="24"/>
                <w14:ligatures w14:val="none"/>
              </w:rPr>
              <w:t>RESIDENTIAL CARE SERVICES</w:t>
            </w:r>
            <w:r w:rsidRPr="00340E28">
              <w:rPr>
                <w:rFonts w:ascii="Times New Roman" w:eastAsia="Times New Roman" w:hAnsi="Times New Roman" w:cs="Times New Roman"/>
                <w:color w:val="000000"/>
                <w:kern w:val="0"/>
                <w:sz w:val="24"/>
                <w:szCs w:val="24"/>
                <w14:ligatures w14:val="none"/>
              </w:rPr>
              <w:t> </w:t>
            </w:r>
          </w:p>
        </w:tc>
        <w:tc>
          <w:tcPr>
            <w:tcW w:w="409" w:type="dxa"/>
            <w:tcBorders>
              <w:top w:val="single" w:sz="6" w:space="0" w:color="auto"/>
              <w:left w:val="single" w:sz="6" w:space="0" w:color="auto"/>
              <w:bottom w:val="single" w:sz="6" w:space="0" w:color="auto"/>
              <w:right w:val="single" w:sz="6" w:space="0" w:color="auto"/>
            </w:tcBorders>
            <w:hideMark/>
          </w:tcPr>
          <w:p w14:paraId="63BFA234"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28" w:type="dxa"/>
            <w:tcBorders>
              <w:top w:val="single" w:sz="6" w:space="0" w:color="auto"/>
              <w:left w:val="single" w:sz="6" w:space="0" w:color="auto"/>
              <w:bottom w:val="single" w:sz="6" w:space="0" w:color="auto"/>
              <w:right w:val="single" w:sz="6" w:space="0" w:color="auto"/>
            </w:tcBorders>
            <w:hideMark/>
          </w:tcPr>
          <w:p w14:paraId="49BE950F"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262" w:type="dxa"/>
            <w:tcBorders>
              <w:top w:val="single" w:sz="6" w:space="0" w:color="auto"/>
              <w:left w:val="single" w:sz="6" w:space="0" w:color="auto"/>
              <w:bottom w:val="single" w:sz="6" w:space="0" w:color="auto"/>
              <w:right w:val="single" w:sz="6" w:space="0" w:color="auto"/>
            </w:tcBorders>
            <w:hideMark/>
          </w:tcPr>
          <w:p w14:paraId="2F693711"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74" w:type="dxa"/>
            <w:tcBorders>
              <w:top w:val="single" w:sz="6" w:space="0" w:color="auto"/>
              <w:left w:val="single" w:sz="6" w:space="0" w:color="auto"/>
              <w:bottom w:val="single" w:sz="6" w:space="0" w:color="auto"/>
              <w:right w:val="single" w:sz="6" w:space="0" w:color="auto"/>
            </w:tcBorders>
            <w:hideMark/>
          </w:tcPr>
          <w:p w14:paraId="7272601D"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19" w:type="dxa"/>
            <w:tcBorders>
              <w:top w:val="single" w:sz="6" w:space="0" w:color="auto"/>
              <w:left w:val="single" w:sz="6" w:space="0" w:color="auto"/>
              <w:bottom w:val="single" w:sz="6" w:space="0" w:color="auto"/>
              <w:right w:val="single" w:sz="6" w:space="0" w:color="auto"/>
            </w:tcBorders>
            <w:hideMark/>
          </w:tcPr>
          <w:p w14:paraId="28DE29AE"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51" w:type="dxa"/>
            <w:tcBorders>
              <w:top w:val="single" w:sz="6" w:space="0" w:color="auto"/>
              <w:left w:val="single" w:sz="6" w:space="0" w:color="auto"/>
              <w:bottom w:val="single" w:sz="6" w:space="0" w:color="auto"/>
              <w:right w:val="single" w:sz="6" w:space="0" w:color="auto"/>
            </w:tcBorders>
            <w:hideMark/>
          </w:tcPr>
          <w:p w14:paraId="6DF1B679"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58" w:type="dxa"/>
            <w:tcBorders>
              <w:top w:val="single" w:sz="6" w:space="0" w:color="auto"/>
              <w:left w:val="single" w:sz="6" w:space="0" w:color="auto"/>
              <w:bottom w:val="single" w:sz="6" w:space="0" w:color="auto"/>
              <w:right w:val="single" w:sz="6" w:space="0" w:color="auto"/>
            </w:tcBorders>
            <w:hideMark/>
          </w:tcPr>
          <w:p w14:paraId="6CF23DFC"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87" w:type="dxa"/>
            <w:gridSpan w:val="2"/>
            <w:tcBorders>
              <w:top w:val="single" w:sz="6" w:space="0" w:color="auto"/>
              <w:left w:val="single" w:sz="6" w:space="0" w:color="auto"/>
              <w:bottom w:val="single" w:sz="6" w:space="0" w:color="auto"/>
              <w:right w:val="single" w:sz="6" w:space="0" w:color="auto"/>
            </w:tcBorders>
            <w:hideMark/>
          </w:tcPr>
          <w:p w14:paraId="2440DA78"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60" w:type="dxa"/>
            <w:tcBorders>
              <w:top w:val="single" w:sz="6" w:space="0" w:color="auto"/>
              <w:left w:val="single" w:sz="6" w:space="0" w:color="auto"/>
              <w:bottom w:val="single" w:sz="6" w:space="0" w:color="auto"/>
              <w:right w:val="single" w:sz="6" w:space="0" w:color="auto"/>
            </w:tcBorders>
            <w:hideMark/>
          </w:tcPr>
          <w:p w14:paraId="6709F30D"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88" w:type="dxa"/>
            <w:tcBorders>
              <w:top w:val="single" w:sz="6" w:space="0" w:color="auto"/>
              <w:left w:val="single" w:sz="6" w:space="0" w:color="auto"/>
              <w:bottom w:val="single" w:sz="6" w:space="0" w:color="auto"/>
              <w:right w:val="single" w:sz="6" w:space="0" w:color="auto"/>
            </w:tcBorders>
            <w:hideMark/>
          </w:tcPr>
          <w:p w14:paraId="03BE222D"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88" w:type="dxa"/>
            <w:tcBorders>
              <w:top w:val="single" w:sz="6" w:space="0" w:color="auto"/>
              <w:left w:val="single" w:sz="6" w:space="0" w:color="auto"/>
              <w:bottom w:val="single" w:sz="6" w:space="0" w:color="auto"/>
              <w:right w:val="single" w:sz="6" w:space="0" w:color="auto"/>
            </w:tcBorders>
            <w:hideMark/>
          </w:tcPr>
          <w:p w14:paraId="3031D3C4"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88" w:type="dxa"/>
            <w:tcBorders>
              <w:top w:val="single" w:sz="6" w:space="0" w:color="auto"/>
              <w:left w:val="single" w:sz="6" w:space="0" w:color="auto"/>
              <w:bottom w:val="single" w:sz="6" w:space="0" w:color="auto"/>
              <w:right w:val="single" w:sz="6" w:space="0" w:color="auto"/>
            </w:tcBorders>
            <w:hideMark/>
          </w:tcPr>
          <w:p w14:paraId="0295E19F"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40" w:type="dxa"/>
            <w:tcBorders>
              <w:top w:val="single" w:sz="6" w:space="0" w:color="auto"/>
              <w:left w:val="single" w:sz="6" w:space="0" w:color="auto"/>
              <w:bottom w:val="single" w:sz="6" w:space="0" w:color="auto"/>
              <w:right w:val="single" w:sz="6" w:space="0" w:color="auto"/>
            </w:tcBorders>
            <w:hideMark/>
          </w:tcPr>
          <w:p w14:paraId="4AFD34F4"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r>
      <w:tr w:rsidR="00340E28" w:rsidRPr="00340E28" w14:paraId="5F3DCED4" w14:textId="77777777">
        <w:trPr>
          <w:trHeight w:val="300"/>
        </w:trPr>
        <w:tc>
          <w:tcPr>
            <w:tcW w:w="680" w:type="dxa"/>
            <w:tcBorders>
              <w:top w:val="single" w:sz="6" w:space="0" w:color="auto"/>
              <w:left w:val="single" w:sz="6" w:space="0" w:color="auto"/>
              <w:bottom w:val="single" w:sz="6" w:space="0" w:color="auto"/>
              <w:right w:val="single" w:sz="6" w:space="0" w:color="auto"/>
            </w:tcBorders>
            <w:hideMark/>
          </w:tcPr>
          <w:p w14:paraId="6C76DF13"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805 </w:t>
            </w:r>
          </w:p>
        </w:tc>
        <w:tc>
          <w:tcPr>
            <w:tcW w:w="1792" w:type="dxa"/>
            <w:tcBorders>
              <w:top w:val="single" w:sz="6" w:space="0" w:color="auto"/>
              <w:left w:val="single" w:sz="6" w:space="0" w:color="auto"/>
              <w:bottom w:val="single" w:sz="6" w:space="0" w:color="auto"/>
              <w:right w:val="single" w:sz="6" w:space="0" w:color="auto"/>
            </w:tcBorders>
            <w:hideMark/>
          </w:tcPr>
          <w:p w14:paraId="2758C7BA"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Nursing and Personal Care Facilities </w:t>
            </w:r>
          </w:p>
        </w:tc>
        <w:tc>
          <w:tcPr>
            <w:tcW w:w="409" w:type="dxa"/>
            <w:tcBorders>
              <w:top w:val="single" w:sz="6" w:space="0" w:color="auto"/>
              <w:left w:val="single" w:sz="6" w:space="0" w:color="auto"/>
              <w:bottom w:val="single" w:sz="6" w:space="0" w:color="auto"/>
              <w:right w:val="single" w:sz="6" w:space="0" w:color="auto"/>
            </w:tcBorders>
            <w:hideMark/>
          </w:tcPr>
          <w:p w14:paraId="13F2ECBC"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28" w:type="dxa"/>
            <w:tcBorders>
              <w:top w:val="single" w:sz="6" w:space="0" w:color="auto"/>
              <w:left w:val="single" w:sz="6" w:space="0" w:color="auto"/>
              <w:bottom w:val="single" w:sz="6" w:space="0" w:color="auto"/>
              <w:right w:val="single" w:sz="6" w:space="0" w:color="auto"/>
            </w:tcBorders>
            <w:hideMark/>
          </w:tcPr>
          <w:p w14:paraId="6970AAAE"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262" w:type="dxa"/>
            <w:tcBorders>
              <w:top w:val="single" w:sz="6" w:space="0" w:color="auto"/>
              <w:left w:val="single" w:sz="6" w:space="0" w:color="auto"/>
              <w:bottom w:val="single" w:sz="6" w:space="0" w:color="auto"/>
              <w:right w:val="single" w:sz="6" w:space="0" w:color="auto"/>
            </w:tcBorders>
            <w:hideMark/>
          </w:tcPr>
          <w:p w14:paraId="2250D2DE"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74" w:type="dxa"/>
            <w:tcBorders>
              <w:top w:val="single" w:sz="6" w:space="0" w:color="auto"/>
              <w:left w:val="single" w:sz="6" w:space="0" w:color="auto"/>
              <w:bottom w:val="single" w:sz="6" w:space="0" w:color="auto"/>
              <w:right w:val="single" w:sz="6" w:space="0" w:color="auto"/>
            </w:tcBorders>
            <w:hideMark/>
          </w:tcPr>
          <w:p w14:paraId="11B65994"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19" w:type="dxa"/>
            <w:tcBorders>
              <w:top w:val="single" w:sz="6" w:space="0" w:color="auto"/>
              <w:left w:val="single" w:sz="6" w:space="0" w:color="auto"/>
              <w:bottom w:val="single" w:sz="6" w:space="0" w:color="auto"/>
              <w:right w:val="single" w:sz="6" w:space="0" w:color="auto"/>
            </w:tcBorders>
            <w:hideMark/>
          </w:tcPr>
          <w:p w14:paraId="1B974ED2"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51" w:type="dxa"/>
            <w:tcBorders>
              <w:top w:val="single" w:sz="6" w:space="0" w:color="auto"/>
              <w:left w:val="single" w:sz="6" w:space="0" w:color="auto"/>
              <w:bottom w:val="single" w:sz="6" w:space="0" w:color="auto"/>
              <w:right w:val="single" w:sz="6" w:space="0" w:color="auto"/>
            </w:tcBorders>
            <w:hideMark/>
          </w:tcPr>
          <w:p w14:paraId="16B78FC7"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58" w:type="dxa"/>
            <w:tcBorders>
              <w:top w:val="single" w:sz="6" w:space="0" w:color="auto"/>
              <w:left w:val="single" w:sz="6" w:space="0" w:color="auto"/>
              <w:bottom w:val="single" w:sz="6" w:space="0" w:color="auto"/>
              <w:right w:val="single" w:sz="6" w:space="0" w:color="auto"/>
            </w:tcBorders>
            <w:hideMark/>
          </w:tcPr>
          <w:p w14:paraId="1B1395B2"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P3 </w:t>
            </w:r>
          </w:p>
          <w:p w14:paraId="59627D51"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C5 </w:t>
            </w:r>
          </w:p>
        </w:tc>
        <w:tc>
          <w:tcPr>
            <w:tcW w:w="487" w:type="dxa"/>
            <w:gridSpan w:val="2"/>
            <w:tcBorders>
              <w:top w:val="single" w:sz="6" w:space="0" w:color="auto"/>
              <w:left w:val="single" w:sz="6" w:space="0" w:color="auto"/>
              <w:bottom w:val="single" w:sz="6" w:space="0" w:color="auto"/>
              <w:right w:val="single" w:sz="6" w:space="0" w:color="auto"/>
            </w:tcBorders>
            <w:hideMark/>
          </w:tcPr>
          <w:p w14:paraId="326E7A59"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P5 </w:t>
            </w:r>
          </w:p>
          <w:p w14:paraId="53586DB7"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C </w:t>
            </w:r>
          </w:p>
        </w:tc>
        <w:tc>
          <w:tcPr>
            <w:tcW w:w="560" w:type="dxa"/>
            <w:tcBorders>
              <w:top w:val="single" w:sz="6" w:space="0" w:color="auto"/>
              <w:left w:val="single" w:sz="6" w:space="0" w:color="auto"/>
              <w:bottom w:val="single" w:sz="6" w:space="0" w:color="auto"/>
              <w:right w:val="single" w:sz="6" w:space="0" w:color="auto"/>
            </w:tcBorders>
            <w:hideMark/>
          </w:tcPr>
          <w:p w14:paraId="0275E6F7"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P5 </w:t>
            </w:r>
          </w:p>
        </w:tc>
        <w:tc>
          <w:tcPr>
            <w:tcW w:w="488" w:type="dxa"/>
            <w:tcBorders>
              <w:top w:val="single" w:sz="6" w:space="0" w:color="auto"/>
              <w:left w:val="single" w:sz="6" w:space="0" w:color="auto"/>
              <w:bottom w:val="single" w:sz="6" w:space="0" w:color="auto"/>
              <w:right w:val="single" w:sz="6" w:space="0" w:color="auto"/>
            </w:tcBorders>
            <w:hideMark/>
          </w:tcPr>
          <w:p w14:paraId="002A5146"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 </w:t>
            </w:r>
          </w:p>
        </w:tc>
        <w:tc>
          <w:tcPr>
            <w:tcW w:w="488" w:type="dxa"/>
            <w:tcBorders>
              <w:top w:val="single" w:sz="6" w:space="0" w:color="auto"/>
              <w:left w:val="single" w:sz="6" w:space="0" w:color="auto"/>
              <w:bottom w:val="single" w:sz="6" w:space="0" w:color="auto"/>
              <w:right w:val="single" w:sz="6" w:space="0" w:color="auto"/>
            </w:tcBorders>
            <w:hideMark/>
          </w:tcPr>
          <w:p w14:paraId="727C9F1B"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 </w:t>
            </w:r>
          </w:p>
        </w:tc>
        <w:tc>
          <w:tcPr>
            <w:tcW w:w="488" w:type="dxa"/>
            <w:tcBorders>
              <w:top w:val="single" w:sz="6" w:space="0" w:color="auto"/>
              <w:left w:val="single" w:sz="6" w:space="0" w:color="auto"/>
              <w:bottom w:val="single" w:sz="6" w:space="0" w:color="auto"/>
              <w:right w:val="single" w:sz="6" w:space="0" w:color="auto"/>
            </w:tcBorders>
            <w:hideMark/>
          </w:tcPr>
          <w:p w14:paraId="31F0B3E2"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P5 </w:t>
            </w:r>
          </w:p>
        </w:tc>
        <w:tc>
          <w:tcPr>
            <w:tcW w:w="440" w:type="dxa"/>
            <w:tcBorders>
              <w:top w:val="single" w:sz="6" w:space="0" w:color="auto"/>
              <w:left w:val="single" w:sz="6" w:space="0" w:color="auto"/>
              <w:bottom w:val="single" w:sz="6" w:space="0" w:color="auto"/>
              <w:right w:val="single" w:sz="6" w:space="0" w:color="auto"/>
            </w:tcBorders>
            <w:hideMark/>
          </w:tcPr>
          <w:p w14:paraId="7A31B01A"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r>
      <w:tr w:rsidR="00340E28" w:rsidRPr="00340E28" w14:paraId="77435C80" w14:textId="77777777">
        <w:trPr>
          <w:trHeight w:val="300"/>
        </w:trPr>
        <w:tc>
          <w:tcPr>
            <w:tcW w:w="680" w:type="dxa"/>
            <w:tcBorders>
              <w:top w:val="single" w:sz="6" w:space="0" w:color="auto"/>
              <w:left w:val="single" w:sz="6" w:space="0" w:color="auto"/>
              <w:bottom w:val="single" w:sz="6" w:space="0" w:color="auto"/>
              <w:right w:val="single" w:sz="6" w:space="0" w:color="auto"/>
            </w:tcBorders>
            <w:hideMark/>
          </w:tcPr>
          <w:p w14:paraId="61347EBE"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1792" w:type="dxa"/>
            <w:tcBorders>
              <w:top w:val="single" w:sz="6" w:space="0" w:color="auto"/>
              <w:left w:val="single" w:sz="6" w:space="0" w:color="auto"/>
              <w:bottom w:val="single" w:sz="6" w:space="0" w:color="auto"/>
              <w:right w:val="single" w:sz="6" w:space="0" w:color="auto"/>
            </w:tcBorders>
            <w:hideMark/>
          </w:tcPr>
          <w:p w14:paraId="35EF3629"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Adult Family Home </w:t>
            </w:r>
          </w:p>
        </w:tc>
        <w:tc>
          <w:tcPr>
            <w:tcW w:w="409" w:type="dxa"/>
            <w:tcBorders>
              <w:top w:val="single" w:sz="6" w:space="0" w:color="auto"/>
              <w:left w:val="single" w:sz="6" w:space="0" w:color="auto"/>
              <w:bottom w:val="single" w:sz="6" w:space="0" w:color="auto"/>
              <w:right w:val="single" w:sz="6" w:space="0" w:color="auto"/>
            </w:tcBorders>
            <w:hideMark/>
          </w:tcPr>
          <w:p w14:paraId="34FD9564"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 </w:t>
            </w:r>
          </w:p>
        </w:tc>
        <w:tc>
          <w:tcPr>
            <w:tcW w:w="428" w:type="dxa"/>
            <w:tcBorders>
              <w:top w:val="single" w:sz="6" w:space="0" w:color="auto"/>
              <w:left w:val="single" w:sz="6" w:space="0" w:color="auto"/>
              <w:bottom w:val="single" w:sz="6" w:space="0" w:color="auto"/>
              <w:right w:val="single" w:sz="6" w:space="0" w:color="auto"/>
            </w:tcBorders>
            <w:hideMark/>
          </w:tcPr>
          <w:p w14:paraId="7F58F6A4"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P11 </w:t>
            </w:r>
          </w:p>
        </w:tc>
        <w:tc>
          <w:tcPr>
            <w:tcW w:w="262" w:type="dxa"/>
            <w:tcBorders>
              <w:top w:val="single" w:sz="6" w:space="0" w:color="auto"/>
              <w:left w:val="single" w:sz="6" w:space="0" w:color="auto"/>
              <w:bottom w:val="single" w:sz="6" w:space="0" w:color="auto"/>
              <w:right w:val="single" w:sz="6" w:space="0" w:color="auto"/>
            </w:tcBorders>
            <w:hideMark/>
          </w:tcPr>
          <w:p w14:paraId="12FADF34"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74" w:type="dxa"/>
            <w:tcBorders>
              <w:top w:val="single" w:sz="6" w:space="0" w:color="auto"/>
              <w:left w:val="single" w:sz="6" w:space="0" w:color="auto"/>
              <w:bottom w:val="single" w:sz="6" w:space="0" w:color="auto"/>
              <w:right w:val="single" w:sz="6" w:space="0" w:color="auto"/>
            </w:tcBorders>
            <w:hideMark/>
          </w:tcPr>
          <w:p w14:paraId="3D51777A"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 </w:t>
            </w:r>
          </w:p>
        </w:tc>
        <w:tc>
          <w:tcPr>
            <w:tcW w:w="519" w:type="dxa"/>
            <w:tcBorders>
              <w:top w:val="single" w:sz="6" w:space="0" w:color="auto"/>
              <w:left w:val="single" w:sz="6" w:space="0" w:color="auto"/>
              <w:bottom w:val="single" w:sz="6" w:space="0" w:color="auto"/>
              <w:right w:val="single" w:sz="6" w:space="0" w:color="auto"/>
            </w:tcBorders>
            <w:hideMark/>
          </w:tcPr>
          <w:p w14:paraId="796155E3"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 </w:t>
            </w:r>
          </w:p>
        </w:tc>
        <w:tc>
          <w:tcPr>
            <w:tcW w:w="551" w:type="dxa"/>
            <w:tcBorders>
              <w:top w:val="single" w:sz="6" w:space="0" w:color="auto"/>
              <w:left w:val="single" w:sz="6" w:space="0" w:color="auto"/>
              <w:bottom w:val="single" w:sz="6" w:space="0" w:color="auto"/>
              <w:right w:val="single" w:sz="6" w:space="0" w:color="auto"/>
            </w:tcBorders>
            <w:hideMark/>
          </w:tcPr>
          <w:p w14:paraId="2628EC1D"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 </w:t>
            </w:r>
          </w:p>
        </w:tc>
        <w:tc>
          <w:tcPr>
            <w:tcW w:w="558" w:type="dxa"/>
            <w:tcBorders>
              <w:top w:val="single" w:sz="6" w:space="0" w:color="auto"/>
              <w:left w:val="single" w:sz="6" w:space="0" w:color="auto"/>
              <w:bottom w:val="single" w:sz="6" w:space="0" w:color="auto"/>
              <w:right w:val="single" w:sz="6" w:space="0" w:color="auto"/>
            </w:tcBorders>
            <w:hideMark/>
          </w:tcPr>
          <w:p w14:paraId="0AF6D7C0"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 </w:t>
            </w:r>
          </w:p>
        </w:tc>
        <w:tc>
          <w:tcPr>
            <w:tcW w:w="487" w:type="dxa"/>
            <w:gridSpan w:val="2"/>
            <w:tcBorders>
              <w:top w:val="single" w:sz="6" w:space="0" w:color="auto"/>
              <w:left w:val="single" w:sz="6" w:space="0" w:color="auto"/>
              <w:bottom w:val="single" w:sz="6" w:space="0" w:color="auto"/>
              <w:right w:val="single" w:sz="6" w:space="0" w:color="auto"/>
            </w:tcBorders>
            <w:hideMark/>
          </w:tcPr>
          <w:p w14:paraId="3ABF919B"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 </w:t>
            </w:r>
          </w:p>
        </w:tc>
        <w:tc>
          <w:tcPr>
            <w:tcW w:w="560" w:type="dxa"/>
            <w:tcBorders>
              <w:top w:val="single" w:sz="6" w:space="0" w:color="auto"/>
              <w:left w:val="single" w:sz="6" w:space="0" w:color="auto"/>
              <w:bottom w:val="single" w:sz="6" w:space="0" w:color="auto"/>
              <w:right w:val="single" w:sz="6" w:space="0" w:color="auto"/>
            </w:tcBorders>
            <w:hideMark/>
          </w:tcPr>
          <w:p w14:paraId="6241AB44"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 </w:t>
            </w:r>
          </w:p>
        </w:tc>
        <w:tc>
          <w:tcPr>
            <w:tcW w:w="488" w:type="dxa"/>
            <w:tcBorders>
              <w:top w:val="single" w:sz="6" w:space="0" w:color="auto"/>
              <w:left w:val="single" w:sz="6" w:space="0" w:color="auto"/>
              <w:bottom w:val="single" w:sz="6" w:space="0" w:color="auto"/>
              <w:right w:val="single" w:sz="6" w:space="0" w:color="auto"/>
            </w:tcBorders>
            <w:hideMark/>
          </w:tcPr>
          <w:p w14:paraId="0C54463E"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P12 </w:t>
            </w:r>
          </w:p>
        </w:tc>
        <w:tc>
          <w:tcPr>
            <w:tcW w:w="488" w:type="dxa"/>
            <w:tcBorders>
              <w:top w:val="single" w:sz="6" w:space="0" w:color="auto"/>
              <w:left w:val="single" w:sz="6" w:space="0" w:color="auto"/>
              <w:bottom w:val="single" w:sz="6" w:space="0" w:color="auto"/>
              <w:right w:val="single" w:sz="6" w:space="0" w:color="auto"/>
            </w:tcBorders>
            <w:hideMark/>
          </w:tcPr>
          <w:p w14:paraId="181779A4"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P12 </w:t>
            </w:r>
          </w:p>
        </w:tc>
        <w:tc>
          <w:tcPr>
            <w:tcW w:w="488" w:type="dxa"/>
            <w:tcBorders>
              <w:top w:val="single" w:sz="6" w:space="0" w:color="auto"/>
              <w:left w:val="single" w:sz="6" w:space="0" w:color="auto"/>
              <w:bottom w:val="single" w:sz="6" w:space="0" w:color="auto"/>
              <w:right w:val="single" w:sz="6" w:space="0" w:color="auto"/>
            </w:tcBorders>
            <w:hideMark/>
          </w:tcPr>
          <w:p w14:paraId="57A23622"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P12 </w:t>
            </w:r>
          </w:p>
        </w:tc>
        <w:tc>
          <w:tcPr>
            <w:tcW w:w="440" w:type="dxa"/>
            <w:tcBorders>
              <w:top w:val="single" w:sz="6" w:space="0" w:color="auto"/>
              <w:left w:val="single" w:sz="6" w:space="0" w:color="auto"/>
              <w:bottom w:val="single" w:sz="6" w:space="0" w:color="auto"/>
              <w:right w:val="single" w:sz="6" w:space="0" w:color="auto"/>
            </w:tcBorders>
            <w:hideMark/>
          </w:tcPr>
          <w:p w14:paraId="0503A0FA"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r>
      <w:tr w:rsidR="00340E28" w:rsidRPr="00340E28" w14:paraId="77FB6A88" w14:textId="77777777">
        <w:trPr>
          <w:trHeight w:val="300"/>
        </w:trPr>
        <w:tc>
          <w:tcPr>
            <w:tcW w:w="680" w:type="dxa"/>
            <w:tcBorders>
              <w:top w:val="single" w:sz="6" w:space="0" w:color="auto"/>
              <w:left w:val="single" w:sz="6" w:space="0" w:color="auto"/>
              <w:bottom w:val="single" w:sz="6" w:space="0" w:color="auto"/>
              <w:right w:val="single" w:sz="6" w:space="0" w:color="auto"/>
            </w:tcBorders>
            <w:hideMark/>
          </w:tcPr>
          <w:p w14:paraId="6E4097DA"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1792" w:type="dxa"/>
            <w:tcBorders>
              <w:top w:val="single" w:sz="6" w:space="0" w:color="auto"/>
              <w:left w:val="single" w:sz="6" w:space="0" w:color="auto"/>
              <w:bottom w:val="single" w:sz="6" w:space="0" w:color="auto"/>
              <w:right w:val="single" w:sz="6" w:space="0" w:color="auto"/>
            </w:tcBorders>
            <w:hideMark/>
          </w:tcPr>
          <w:p w14:paraId="3F0E820D"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Community Residential Facility I </w:t>
            </w:r>
          </w:p>
        </w:tc>
        <w:tc>
          <w:tcPr>
            <w:tcW w:w="409" w:type="dxa"/>
            <w:tcBorders>
              <w:top w:val="single" w:sz="6" w:space="0" w:color="auto"/>
              <w:left w:val="single" w:sz="6" w:space="0" w:color="auto"/>
              <w:bottom w:val="single" w:sz="6" w:space="0" w:color="auto"/>
              <w:right w:val="single" w:sz="6" w:space="0" w:color="auto"/>
            </w:tcBorders>
            <w:hideMark/>
          </w:tcPr>
          <w:p w14:paraId="2AA0104E"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28" w:type="dxa"/>
            <w:tcBorders>
              <w:top w:val="single" w:sz="6" w:space="0" w:color="auto"/>
              <w:left w:val="single" w:sz="6" w:space="0" w:color="auto"/>
              <w:bottom w:val="single" w:sz="6" w:space="0" w:color="auto"/>
              <w:right w:val="single" w:sz="6" w:space="0" w:color="auto"/>
            </w:tcBorders>
            <w:hideMark/>
          </w:tcPr>
          <w:p w14:paraId="599E432C"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262" w:type="dxa"/>
            <w:tcBorders>
              <w:top w:val="single" w:sz="6" w:space="0" w:color="auto"/>
              <w:left w:val="single" w:sz="6" w:space="0" w:color="auto"/>
              <w:bottom w:val="single" w:sz="6" w:space="0" w:color="auto"/>
              <w:right w:val="single" w:sz="6" w:space="0" w:color="auto"/>
            </w:tcBorders>
            <w:hideMark/>
          </w:tcPr>
          <w:p w14:paraId="2783C9B9"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74" w:type="dxa"/>
            <w:tcBorders>
              <w:top w:val="single" w:sz="6" w:space="0" w:color="auto"/>
              <w:left w:val="single" w:sz="6" w:space="0" w:color="auto"/>
              <w:bottom w:val="single" w:sz="6" w:space="0" w:color="auto"/>
              <w:right w:val="single" w:sz="6" w:space="0" w:color="auto"/>
            </w:tcBorders>
            <w:hideMark/>
          </w:tcPr>
          <w:p w14:paraId="05DE96C7"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C </w:t>
            </w:r>
          </w:p>
        </w:tc>
        <w:tc>
          <w:tcPr>
            <w:tcW w:w="519" w:type="dxa"/>
            <w:tcBorders>
              <w:top w:val="single" w:sz="6" w:space="0" w:color="auto"/>
              <w:left w:val="single" w:sz="6" w:space="0" w:color="auto"/>
              <w:bottom w:val="single" w:sz="6" w:space="0" w:color="auto"/>
              <w:right w:val="single" w:sz="6" w:space="0" w:color="auto"/>
            </w:tcBorders>
            <w:hideMark/>
          </w:tcPr>
          <w:p w14:paraId="474AF83B"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C </w:t>
            </w:r>
          </w:p>
        </w:tc>
        <w:tc>
          <w:tcPr>
            <w:tcW w:w="551" w:type="dxa"/>
            <w:tcBorders>
              <w:top w:val="single" w:sz="6" w:space="0" w:color="auto"/>
              <w:left w:val="single" w:sz="6" w:space="0" w:color="auto"/>
              <w:bottom w:val="single" w:sz="6" w:space="0" w:color="auto"/>
              <w:right w:val="single" w:sz="6" w:space="0" w:color="auto"/>
            </w:tcBorders>
            <w:hideMark/>
          </w:tcPr>
          <w:p w14:paraId="2221C228"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P13.a </w:t>
            </w:r>
          </w:p>
          <w:p w14:paraId="04224064"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C </w:t>
            </w:r>
          </w:p>
        </w:tc>
        <w:tc>
          <w:tcPr>
            <w:tcW w:w="558" w:type="dxa"/>
            <w:tcBorders>
              <w:top w:val="single" w:sz="6" w:space="0" w:color="auto"/>
              <w:left w:val="single" w:sz="6" w:space="0" w:color="auto"/>
              <w:bottom w:val="single" w:sz="6" w:space="0" w:color="auto"/>
              <w:right w:val="single" w:sz="6" w:space="0" w:color="auto"/>
            </w:tcBorders>
            <w:hideMark/>
          </w:tcPr>
          <w:p w14:paraId="310CF739"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P13.a  </w:t>
            </w:r>
          </w:p>
          <w:p w14:paraId="597516B4"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C </w:t>
            </w:r>
          </w:p>
        </w:tc>
        <w:tc>
          <w:tcPr>
            <w:tcW w:w="487" w:type="dxa"/>
            <w:gridSpan w:val="2"/>
            <w:tcBorders>
              <w:top w:val="single" w:sz="6" w:space="0" w:color="auto"/>
              <w:left w:val="single" w:sz="6" w:space="0" w:color="auto"/>
              <w:bottom w:val="single" w:sz="6" w:space="0" w:color="auto"/>
              <w:right w:val="single" w:sz="6" w:space="0" w:color="auto"/>
            </w:tcBorders>
            <w:hideMark/>
          </w:tcPr>
          <w:p w14:paraId="7BF4DECA"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 </w:t>
            </w:r>
          </w:p>
        </w:tc>
        <w:tc>
          <w:tcPr>
            <w:tcW w:w="560" w:type="dxa"/>
            <w:tcBorders>
              <w:top w:val="single" w:sz="6" w:space="0" w:color="auto"/>
              <w:left w:val="single" w:sz="6" w:space="0" w:color="auto"/>
              <w:bottom w:val="single" w:sz="6" w:space="0" w:color="auto"/>
              <w:right w:val="single" w:sz="6" w:space="0" w:color="auto"/>
            </w:tcBorders>
            <w:hideMark/>
          </w:tcPr>
          <w:p w14:paraId="7C13DEB2"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P12 </w:t>
            </w:r>
          </w:p>
        </w:tc>
        <w:tc>
          <w:tcPr>
            <w:tcW w:w="488" w:type="dxa"/>
            <w:tcBorders>
              <w:top w:val="single" w:sz="6" w:space="0" w:color="auto"/>
              <w:left w:val="single" w:sz="6" w:space="0" w:color="auto"/>
              <w:bottom w:val="single" w:sz="6" w:space="0" w:color="auto"/>
              <w:right w:val="single" w:sz="6" w:space="0" w:color="auto"/>
            </w:tcBorders>
            <w:hideMark/>
          </w:tcPr>
          <w:p w14:paraId="2153417C"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P12 </w:t>
            </w:r>
          </w:p>
        </w:tc>
        <w:tc>
          <w:tcPr>
            <w:tcW w:w="488" w:type="dxa"/>
            <w:tcBorders>
              <w:top w:val="single" w:sz="6" w:space="0" w:color="auto"/>
              <w:left w:val="single" w:sz="6" w:space="0" w:color="auto"/>
              <w:bottom w:val="single" w:sz="6" w:space="0" w:color="auto"/>
              <w:right w:val="single" w:sz="6" w:space="0" w:color="auto"/>
            </w:tcBorders>
            <w:hideMark/>
          </w:tcPr>
          <w:p w14:paraId="1203FE67"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P12 </w:t>
            </w:r>
          </w:p>
        </w:tc>
        <w:tc>
          <w:tcPr>
            <w:tcW w:w="488" w:type="dxa"/>
            <w:tcBorders>
              <w:top w:val="single" w:sz="6" w:space="0" w:color="auto"/>
              <w:left w:val="single" w:sz="6" w:space="0" w:color="auto"/>
              <w:bottom w:val="single" w:sz="6" w:space="0" w:color="auto"/>
              <w:right w:val="single" w:sz="6" w:space="0" w:color="auto"/>
            </w:tcBorders>
            <w:hideMark/>
          </w:tcPr>
          <w:p w14:paraId="3E436C6A"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P12 </w:t>
            </w:r>
          </w:p>
        </w:tc>
        <w:tc>
          <w:tcPr>
            <w:tcW w:w="440" w:type="dxa"/>
            <w:tcBorders>
              <w:top w:val="single" w:sz="6" w:space="0" w:color="auto"/>
              <w:left w:val="single" w:sz="6" w:space="0" w:color="auto"/>
              <w:bottom w:val="single" w:sz="6" w:space="0" w:color="auto"/>
              <w:right w:val="single" w:sz="6" w:space="0" w:color="auto"/>
            </w:tcBorders>
            <w:hideMark/>
          </w:tcPr>
          <w:p w14:paraId="3BA304C9"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r>
      <w:tr w:rsidR="00340E28" w:rsidRPr="00340E28" w14:paraId="58229F23" w14:textId="77777777">
        <w:trPr>
          <w:trHeight w:val="300"/>
        </w:trPr>
        <w:tc>
          <w:tcPr>
            <w:tcW w:w="680" w:type="dxa"/>
            <w:tcBorders>
              <w:top w:val="single" w:sz="6" w:space="0" w:color="auto"/>
              <w:left w:val="single" w:sz="6" w:space="0" w:color="auto"/>
              <w:bottom w:val="single" w:sz="6" w:space="0" w:color="auto"/>
              <w:right w:val="single" w:sz="6" w:space="0" w:color="auto"/>
            </w:tcBorders>
            <w:hideMark/>
          </w:tcPr>
          <w:p w14:paraId="0332E99B"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1792" w:type="dxa"/>
            <w:tcBorders>
              <w:top w:val="single" w:sz="6" w:space="0" w:color="auto"/>
              <w:left w:val="single" w:sz="6" w:space="0" w:color="auto"/>
              <w:bottom w:val="single" w:sz="6" w:space="0" w:color="auto"/>
              <w:right w:val="single" w:sz="6" w:space="0" w:color="auto"/>
            </w:tcBorders>
            <w:hideMark/>
          </w:tcPr>
          <w:p w14:paraId="53389F12"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Community Residential Facility II </w:t>
            </w:r>
          </w:p>
        </w:tc>
        <w:tc>
          <w:tcPr>
            <w:tcW w:w="409" w:type="dxa"/>
            <w:tcBorders>
              <w:top w:val="single" w:sz="6" w:space="0" w:color="auto"/>
              <w:left w:val="single" w:sz="6" w:space="0" w:color="auto"/>
              <w:bottom w:val="single" w:sz="6" w:space="0" w:color="auto"/>
              <w:right w:val="single" w:sz="6" w:space="0" w:color="auto"/>
            </w:tcBorders>
            <w:hideMark/>
          </w:tcPr>
          <w:p w14:paraId="3E3B657C"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28" w:type="dxa"/>
            <w:tcBorders>
              <w:top w:val="single" w:sz="6" w:space="0" w:color="auto"/>
              <w:left w:val="single" w:sz="6" w:space="0" w:color="auto"/>
              <w:bottom w:val="single" w:sz="6" w:space="0" w:color="auto"/>
              <w:right w:val="single" w:sz="6" w:space="0" w:color="auto"/>
            </w:tcBorders>
            <w:hideMark/>
          </w:tcPr>
          <w:p w14:paraId="07B11EC4"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262" w:type="dxa"/>
            <w:tcBorders>
              <w:top w:val="single" w:sz="6" w:space="0" w:color="auto"/>
              <w:left w:val="single" w:sz="6" w:space="0" w:color="auto"/>
              <w:bottom w:val="single" w:sz="6" w:space="0" w:color="auto"/>
              <w:right w:val="single" w:sz="6" w:space="0" w:color="auto"/>
            </w:tcBorders>
            <w:hideMark/>
          </w:tcPr>
          <w:p w14:paraId="30F5FB14"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74" w:type="dxa"/>
            <w:tcBorders>
              <w:top w:val="single" w:sz="6" w:space="0" w:color="auto"/>
              <w:left w:val="single" w:sz="6" w:space="0" w:color="auto"/>
              <w:bottom w:val="single" w:sz="6" w:space="0" w:color="auto"/>
              <w:right w:val="single" w:sz="6" w:space="0" w:color="auto"/>
            </w:tcBorders>
            <w:hideMark/>
          </w:tcPr>
          <w:p w14:paraId="67ADF8BE"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19" w:type="dxa"/>
            <w:tcBorders>
              <w:top w:val="single" w:sz="6" w:space="0" w:color="auto"/>
              <w:left w:val="single" w:sz="6" w:space="0" w:color="auto"/>
              <w:bottom w:val="single" w:sz="6" w:space="0" w:color="auto"/>
              <w:right w:val="single" w:sz="6" w:space="0" w:color="auto"/>
            </w:tcBorders>
            <w:hideMark/>
          </w:tcPr>
          <w:p w14:paraId="182C7FFF"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51" w:type="dxa"/>
            <w:tcBorders>
              <w:top w:val="single" w:sz="6" w:space="0" w:color="auto"/>
              <w:left w:val="single" w:sz="6" w:space="0" w:color="auto"/>
              <w:bottom w:val="single" w:sz="6" w:space="0" w:color="auto"/>
              <w:right w:val="single" w:sz="6" w:space="0" w:color="auto"/>
            </w:tcBorders>
            <w:hideMark/>
          </w:tcPr>
          <w:p w14:paraId="7E370D7C"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P13.b </w:t>
            </w:r>
          </w:p>
        </w:tc>
        <w:tc>
          <w:tcPr>
            <w:tcW w:w="558" w:type="dxa"/>
            <w:tcBorders>
              <w:top w:val="single" w:sz="6" w:space="0" w:color="auto"/>
              <w:left w:val="single" w:sz="6" w:space="0" w:color="auto"/>
              <w:bottom w:val="single" w:sz="6" w:space="0" w:color="auto"/>
              <w:right w:val="single" w:sz="6" w:space="0" w:color="auto"/>
            </w:tcBorders>
            <w:hideMark/>
          </w:tcPr>
          <w:p w14:paraId="210D4290"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P13.b </w:t>
            </w:r>
          </w:p>
          <w:p w14:paraId="14BF532D"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87" w:type="dxa"/>
            <w:gridSpan w:val="2"/>
            <w:tcBorders>
              <w:top w:val="single" w:sz="6" w:space="0" w:color="auto"/>
              <w:left w:val="single" w:sz="6" w:space="0" w:color="auto"/>
              <w:bottom w:val="single" w:sz="6" w:space="0" w:color="auto"/>
              <w:right w:val="single" w:sz="6" w:space="0" w:color="auto"/>
            </w:tcBorders>
            <w:hideMark/>
          </w:tcPr>
          <w:p w14:paraId="0AE6960E"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 </w:t>
            </w:r>
          </w:p>
        </w:tc>
        <w:tc>
          <w:tcPr>
            <w:tcW w:w="560" w:type="dxa"/>
            <w:tcBorders>
              <w:top w:val="single" w:sz="6" w:space="0" w:color="auto"/>
              <w:left w:val="single" w:sz="6" w:space="0" w:color="auto"/>
              <w:bottom w:val="single" w:sz="6" w:space="0" w:color="auto"/>
              <w:right w:val="single" w:sz="6" w:space="0" w:color="auto"/>
            </w:tcBorders>
            <w:hideMark/>
          </w:tcPr>
          <w:p w14:paraId="4B174D1C"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P12 </w:t>
            </w:r>
          </w:p>
        </w:tc>
        <w:tc>
          <w:tcPr>
            <w:tcW w:w="488" w:type="dxa"/>
            <w:tcBorders>
              <w:top w:val="single" w:sz="6" w:space="0" w:color="auto"/>
              <w:left w:val="single" w:sz="6" w:space="0" w:color="auto"/>
              <w:bottom w:val="single" w:sz="6" w:space="0" w:color="auto"/>
              <w:right w:val="single" w:sz="6" w:space="0" w:color="auto"/>
            </w:tcBorders>
            <w:hideMark/>
          </w:tcPr>
          <w:p w14:paraId="57F60396"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P12 </w:t>
            </w:r>
          </w:p>
        </w:tc>
        <w:tc>
          <w:tcPr>
            <w:tcW w:w="488" w:type="dxa"/>
            <w:tcBorders>
              <w:top w:val="single" w:sz="6" w:space="0" w:color="auto"/>
              <w:left w:val="single" w:sz="6" w:space="0" w:color="auto"/>
              <w:bottom w:val="single" w:sz="6" w:space="0" w:color="auto"/>
              <w:right w:val="single" w:sz="6" w:space="0" w:color="auto"/>
            </w:tcBorders>
            <w:hideMark/>
          </w:tcPr>
          <w:p w14:paraId="13F47839"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P12 </w:t>
            </w:r>
          </w:p>
        </w:tc>
        <w:tc>
          <w:tcPr>
            <w:tcW w:w="488" w:type="dxa"/>
            <w:tcBorders>
              <w:top w:val="single" w:sz="6" w:space="0" w:color="auto"/>
              <w:left w:val="single" w:sz="6" w:space="0" w:color="auto"/>
              <w:bottom w:val="single" w:sz="6" w:space="0" w:color="auto"/>
              <w:right w:val="single" w:sz="6" w:space="0" w:color="auto"/>
            </w:tcBorders>
            <w:hideMark/>
          </w:tcPr>
          <w:p w14:paraId="24B4D74F"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P12 </w:t>
            </w:r>
          </w:p>
        </w:tc>
        <w:tc>
          <w:tcPr>
            <w:tcW w:w="440" w:type="dxa"/>
            <w:tcBorders>
              <w:top w:val="single" w:sz="6" w:space="0" w:color="auto"/>
              <w:left w:val="single" w:sz="6" w:space="0" w:color="auto"/>
              <w:bottom w:val="single" w:sz="6" w:space="0" w:color="auto"/>
              <w:right w:val="single" w:sz="6" w:space="0" w:color="auto"/>
            </w:tcBorders>
            <w:hideMark/>
          </w:tcPr>
          <w:p w14:paraId="48B4B8CE"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r>
      <w:tr w:rsidR="00340E28" w:rsidRPr="00340E28" w14:paraId="205BE025" w14:textId="77777777">
        <w:trPr>
          <w:trHeight w:val="300"/>
        </w:trPr>
        <w:tc>
          <w:tcPr>
            <w:tcW w:w="680" w:type="dxa"/>
            <w:tcBorders>
              <w:top w:val="single" w:sz="6" w:space="0" w:color="auto"/>
              <w:left w:val="single" w:sz="6" w:space="0" w:color="auto"/>
              <w:bottom w:val="single" w:sz="6" w:space="0" w:color="auto"/>
              <w:right w:val="single" w:sz="6" w:space="0" w:color="auto"/>
            </w:tcBorders>
            <w:hideMark/>
          </w:tcPr>
          <w:p w14:paraId="433FD58F"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1792" w:type="dxa"/>
            <w:tcBorders>
              <w:top w:val="single" w:sz="6" w:space="0" w:color="auto"/>
              <w:left w:val="single" w:sz="6" w:space="0" w:color="auto"/>
              <w:bottom w:val="single" w:sz="6" w:space="0" w:color="auto"/>
              <w:right w:val="single" w:sz="6" w:space="0" w:color="auto"/>
            </w:tcBorders>
            <w:hideMark/>
          </w:tcPr>
          <w:p w14:paraId="02F0B29C"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Permanent Supportive Housing </w:t>
            </w:r>
          </w:p>
        </w:tc>
        <w:tc>
          <w:tcPr>
            <w:tcW w:w="409" w:type="dxa"/>
            <w:tcBorders>
              <w:top w:val="single" w:sz="6" w:space="0" w:color="auto"/>
              <w:left w:val="single" w:sz="6" w:space="0" w:color="auto"/>
              <w:bottom w:val="single" w:sz="6" w:space="0" w:color="auto"/>
              <w:right w:val="single" w:sz="6" w:space="0" w:color="auto"/>
            </w:tcBorders>
            <w:hideMark/>
          </w:tcPr>
          <w:p w14:paraId="6700AE1C"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28" w:type="dxa"/>
            <w:tcBorders>
              <w:top w:val="single" w:sz="6" w:space="0" w:color="auto"/>
              <w:left w:val="single" w:sz="6" w:space="0" w:color="auto"/>
              <w:bottom w:val="single" w:sz="6" w:space="0" w:color="auto"/>
              <w:right w:val="single" w:sz="6" w:space="0" w:color="auto"/>
            </w:tcBorders>
            <w:hideMark/>
          </w:tcPr>
          <w:p w14:paraId="20246528"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262" w:type="dxa"/>
            <w:tcBorders>
              <w:top w:val="single" w:sz="6" w:space="0" w:color="auto"/>
              <w:left w:val="single" w:sz="6" w:space="0" w:color="auto"/>
              <w:bottom w:val="single" w:sz="6" w:space="0" w:color="auto"/>
              <w:right w:val="single" w:sz="6" w:space="0" w:color="auto"/>
            </w:tcBorders>
            <w:hideMark/>
          </w:tcPr>
          <w:p w14:paraId="2F49791D"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74" w:type="dxa"/>
            <w:tcBorders>
              <w:top w:val="single" w:sz="6" w:space="0" w:color="auto"/>
              <w:left w:val="single" w:sz="6" w:space="0" w:color="auto"/>
              <w:bottom w:val="single" w:sz="6" w:space="0" w:color="auto"/>
              <w:right w:val="single" w:sz="6" w:space="0" w:color="auto"/>
            </w:tcBorders>
            <w:hideMark/>
          </w:tcPr>
          <w:p w14:paraId="30B80F40"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19" w:type="dxa"/>
            <w:tcBorders>
              <w:top w:val="single" w:sz="6" w:space="0" w:color="auto"/>
              <w:left w:val="single" w:sz="6" w:space="0" w:color="auto"/>
              <w:bottom w:val="single" w:sz="6" w:space="0" w:color="auto"/>
              <w:right w:val="single" w:sz="6" w:space="0" w:color="auto"/>
            </w:tcBorders>
            <w:hideMark/>
          </w:tcPr>
          <w:p w14:paraId="202DC931"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51" w:type="dxa"/>
            <w:tcBorders>
              <w:top w:val="single" w:sz="6" w:space="0" w:color="auto"/>
              <w:left w:val="single" w:sz="6" w:space="0" w:color="auto"/>
              <w:bottom w:val="single" w:sz="6" w:space="0" w:color="auto"/>
              <w:right w:val="single" w:sz="6" w:space="0" w:color="auto"/>
            </w:tcBorders>
            <w:hideMark/>
          </w:tcPr>
          <w:p w14:paraId="178C2675"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58" w:type="dxa"/>
            <w:tcBorders>
              <w:top w:val="single" w:sz="6" w:space="0" w:color="auto"/>
              <w:left w:val="single" w:sz="6" w:space="0" w:color="auto"/>
              <w:bottom w:val="single" w:sz="6" w:space="0" w:color="auto"/>
              <w:right w:val="single" w:sz="6" w:space="0" w:color="auto"/>
            </w:tcBorders>
            <w:hideMark/>
          </w:tcPr>
          <w:p w14:paraId="76AC1F2E"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C14 </w:t>
            </w:r>
          </w:p>
        </w:tc>
        <w:tc>
          <w:tcPr>
            <w:tcW w:w="487" w:type="dxa"/>
            <w:gridSpan w:val="2"/>
            <w:tcBorders>
              <w:top w:val="single" w:sz="6" w:space="0" w:color="auto"/>
              <w:left w:val="single" w:sz="6" w:space="0" w:color="auto"/>
              <w:bottom w:val="single" w:sz="6" w:space="0" w:color="auto"/>
              <w:right w:val="single" w:sz="6" w:space="0" w:color="auto"/>
            </w:tcBorders>
            <w:hideMark/>
          </w:tcPr>
          <w:p w14:paraId="44352F42"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P15 </w:t>
            </w:r>
          </w:p>
        </w:tc>
        <w:tc>
          <w:tcPr>
            <w:tcW w:w="560" w:type="dxa"/>
            <w:tcBorders>
              <w:top w:val="single" w:sz="6" w:space="0" w:color="auto"/>
              <w:left w:val="single" w:sz="6" w:space="0" w:color="auto"/>
              <w:bottom w:val="single" w:sz="6" w:space="0" w:color="auto"/>
              <w:right w:val="single" w:sz="6" w:space="0" w:color="auto"/>
            </w:tcBorders>
            <w:hideMark/>
          </w:tcPr>
          <w:p w14:paraId="4762C115"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P15 </w:t>
            </w:r>
          </w:p>
        </w:tc>
        <w:tc>
          <w:tcPr>
            <w:tcW w:w="488" w:type="dxa"/>
            <w:tcBorders>
              <w:top w:val="single" w:sz="6" w:space="0" w:color="auto"/>
              <w:left w:val="single" w:sz="6" w:space="0" w:color="auto"/>
              <w:bottom w:val="single" w:sz="6" w:space="0" w:color="auto"/>
              <w:right w:val="single" w:sz="6" w:space="0" w:color="auto"/>
            </w:tcBorders>
            <w:hideMark/>
          </w:tcPr>
          <w:p w14:paraId="32960EC2"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P15 </w:t>
            </w:r>
          </w:p>
        </w:tc>
        <w:tc>
          <w:tcPr>
            <w:tcW w:w="488" w:type="dxa"/>
            <w:tcBorders>
              <w:top w:val="single" w:sz="6" w:space="0" w:color="auto"/>
              <w:left w:val="single" w:sz="6" w:space="0" w:color="auto"/>
              <w:bottom w:val="single" w:sz="6" w:space="0" w:color="auto"/>
              <w:right w:val="single" w:sz="6" w:space="0" w:color="auto"/>
            </w:tcBorders>
            <w:hideMark/>
          </w:tcPr>
          <w:p w14:paraId="41C0F0EF"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P15 </w:t>
            </w:r>
          </w:p>
        </w:tc>
        <w:tc>
          <w:tcPr>
            <w:tcW w:w="488" w:type="dxa"/>
            <w:tcBorders>
              <w:top w:val="single" w:sz="6" w:space="0" w:color="auto"/>
              <w:left w:val="single" w:sz="6" w:space="0" w:color="auto"/>
              <w:bottom w:val="single" w:sz="6" w:space="0" w:color="auto"/>
              <w:right w:val="single" w:sz="6" w:space="0" w:color="auto"/>
            </w:tcBorders>
            <w:hideMark/>
          </w:tcPr>
          <w:p w14:paraId="21E7CD1A"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P15 </w:t>
            </w:r>
          </w:p>
        </w:tc>
        <w:tc>
          <w:tcPr>
            <w:tcW w:w="440" w:type="dxa"/>
            <w:tcBorders>
              <w:top w:val="single" w:sz="6" w:space="0" w:color="auto"/>
              <w:left w:val="single" w:sz="6" w:space="0" w:color="auto"/>
              <w:bottom w:val="single" w:sz="6" w:space="0" w:color="auto"/>
              <w:right w:val="single" w:sz="6" w:space="0" w:color="auto"/>
            </w:tcBorders>
            <w:hideMark/>
          </w:tcPr>
          <w:p w14:paraId="54B434D6"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r>
      <w:tr w:rsidR="00340E28" w:rsidRPr="00340E28" w14:paraId="7239F572" w14:textId="77777777">
        <w:trPr>
          <w:trHeight w:val="300"/>
        </w:trPr>
        <w:tc>
          <w:tcPr>
            <w:tcW w:w="680" w:type="dxa"/>
            <w:tcBorders>
              <w:top w:val="single" w:sz="6" w:space="0" w:color="auto"/>
              <w:left w:val="single" w:sz="6" w:space="0" w:color="auto"/>
              <w:bottom w:val="single" w:sz="6" w:space="0" w:color="auto"/>
              <w:right w:val="single" w:sz="6" w:space="0" w:color="auto"/>
            </w:tcBorders>
            <w:hideMark/>
          </w:tcPr>
          <w:p w14:paraId="7FB29C37"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1792" w:type="dxa"/>
            <w:tcBorders>
              <w:top w:val="single" w:sz="6" w:space="0" w:color="auto"/>
              <w:left w:val="single" w:sz="6" w:space="0" w:color="auto"/>
              <w:bottom w:val="single" w:sz="6" w:space="0" w:color="auto"/>
              <w:right w:val="single" w:sz="6" w:space="0" w:color="auto"/>
            </w:tcBorders>
            <w:hideMark/>
          </w:tcPr>
          <w:p w14:paraId="021FF3B4"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Recuperative Housing </w:t>
            </w:r>
          </w:p>
        </w:tc>
        <w:tc>
          <w:tcPr>
            <w:tcW w:w="409" w:type="dxa"/>
            <w:tcBorders>
              <w:top w:val="single" w:sz="6" w:space="0" w:color="auto"/>
              <w:left w:val="single" w:sz="6" w:space="0" w:color="auto"/>
              <w:bottom w:val="single" w:sz="6" w:space="0" w:color="auto"/>
              <w:right w:val="single" w:sz="6" w:space="0" w:color="auto"/>
            </w:tcBorders>
            <w:hideMark/>
          </w:tcPr>
          <w:p w14:paraId="1ED4EE79"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28" w:type="dxa"/>
            <w:tcBorders>
              <w:top w:val="single" w:sz="6" w:space="0" w:color="auto"/>
              <w:left w:val="single" w:sz="6" w:space="0" w:color="auto"/>
              <w:bottom w:val="single" w:sz="6" w:space="0" w:color="auto"/>
              <w:right w:val="single" w:sz="6" w:space="0" w:color="auto"/>
            </w:tcBorders>
            <w:hideMark/>
          </w:tcPr>
          <w:p w14:paraId="69CD66A2"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262" w:type="dxa"/>
            <w:tcBorders>
              <w:top w:val="single" w:sz="6" w:space="0" w:color="auto"/>
              <w:left w:val="single" w:sz="6" w:space="0" w:color="auto"/>
              <w:bottom w:val="single" w:sz="6" w:space="0" w:color="auto"/>
              <w:right w:val="single" w:sz="6" w:space="0" w:color="auto"/>
            </w:tcBorders>
            <w:hideMark/>
          </w:tcPr>
          <w:p w14:paraId="07E73B0F"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74" w:type="dxa"/>
            <w:tcBorders>
              <w:top w:val="single" w:sz="6" w:space="0" w:color="auto"/>
              <w:left w:val="single" w:sz="6" w:space="0" w:color="auto"/>
              <w:bottom w:val="single" w:sz="6" w:space="0" w:color="auto"/>
              <w:right w:val="single" w:sz="6" w:space="0" w:color="auto"/>
            </w:tcBorders>
            <w:hideMark/>
          </w:tcPr>
          <w:p w14:paraId="4CD158A2"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19" w:type="dxa"/>
            <w:tcBorders>
              <w:top w:val="single" w:sz="6" w:space="0" w:color="auto"/>
              <w:left w:val="single" w:sz="6" w:space="0" w:color="auto"/>
              <w:bottom w:val="single" w:sz="6" w:space="0" w:color="auto"/>
              <w:right w:val="single" w:sz="6" w:space="0" w:color="auto"/>
            </w:tcBorders>
            <w:hideMark/>
          </w:tcPr>
          <w:p w14:paraId="164222CF"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51" w:type="dxa"/>
            <w:tcBorders>
              <w:top w:val="single" w:sz="6" w:space="0" w:color="auto"/>
              <w:left w:val="single" w:sz="6" w:space="0" w:color="auto"/>
              <w:bottom w:val="single" w:sz="6" w:space="0" w:color="auto"/>
              <w:right w:val="single" w:sz="6" w:space="0" w:color="auto"/>
            </w:tcBorders>
            <w:hideMark/>
          </w:tcPr>
          <w:p w14:paraId="023E1E85"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58" w:type="dxa"/>
            <w:tcBorders>
              <w:top w:val="single" w:sz="6" w:space="0" w:color="auto"/>
              <w:left w:val="single" w:sz="6" w:space="0" w:color="auto"/>
              <w:bottom w:val="single" w:sz="6" w:space="0" w:color="auto"/>
              <w:right w:val="single" w:sz="6" w:space="0" w:color="auto"/>
            </w:tcBorders>
            <w:hideMark/>
          </w:tcPr>
          <w:p w14:paraId="24257417"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C16 </w:t>
            </w:r>
          </w:p>
        </w:tc>
        <w:tc>
          <w:tcPr>
            <w:tcW w:w="487" w:type="dxa"/>
            <w:gridSpan w:val="2"/>
            <w:tcBorders>
              <w:top w:val="single" w:sz="6" w:space="0" w:color="auto"/>
              <w:left w:val="single" w:sz="6" w:space="0" w:color="auto"/>
              <w:bottom w:val="single" w:sz="6" w:space="0" w:color="auto"/>
              <w:right w:val="single" w:sz="6" w:space="0" w:color="auto"/>
            </w:tcBorders>
            <w:hideMark/>
          </w:tcPr>
          <w:p w14:paraId="4BE34A6F"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P16 </w:t>
            </w:r>
          </w:p>
        </w:tc>
        <w:tc>
          <w:tcPr>
            <w:tcW w:w="560" w:type="dxa"/>
            <w:tcBorders>
              <w:top w:val="single" w:sz="6" w:space="0" w:color="auto"/>
              <w:left w:val="single" w:sz="6" w:space="0" w:color="auto"/>
              <w:bottom w:val="single" w:sz="6" w:space="0" w:color="auto"/>
              <w:right w:val="single" w:sz="6" w:space="0" w:color="auto"/>
            </w:tcBorders>
            <w:hideMark/>
          </w:tcPr>
          <w:p w14:paraId="69AB5804"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P16 </w:t>
            </w:r>
          </w:p>
        </w:tc>
        <w:tc>
          <w:tcPr>
            <w:tcW w:w="488" w:type="dxa"/>
            <w:tcBorders>
              <w:top w:val="single" w:sz="6" w:space="0" w:color="auto"/>
              <w:left w:val="single" w:sz="6" w:space="0" w:color="auto"/>
              <w:bottom w:val="single" w:sz="6" w:space="0" w:color="auto"/>
              <w:right w:val="single" w:sz="6" w:space="0" w:color="auto"/>
            </w:tcBorders>
            <w:hideMark/>
          </w:tcPr>
          <w:p w14:paraId="6D5C8D88"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P16 </w:t>
            </w:r>
          </w:p>
        </w:tc>
        <w:tc>
          <w:tcPr>
            <w:tcW w:w="488" w:type="dxa"/>
            <w:tcBorders>
              <w:top w:val="single" w:sz="6" w:space="0" w:color="auto"/>
              <w:left w:val="single" w:sz="6" w:space="0" w:color="auto"/>
              <w:bottom w:val="single" w:sz="6" w:space="0" w:color="auto"/>
              <w:right w:val="single" w:sz="6" w:space="0" w:color="auto"/>
            </w:tcBorders>
            <w:hideMark/>
          </w:tcPr>
          <w:p w14:paraId="12AE92D2"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P16 </w:t>
            </w:r>
          </w:p>
        </w:tc>
        <w:tc>
          <w:tcPr>
            <w:tcW w:w="488" w:type="dxa"/>
            <w:tcBorders>
              <w:top w:val="single" w:sz="6" w:space="0" w:color="auto"/>
              <w:left w:val="single" w:sz="6" w:space="0" w:color="auto"/>
              <w:bottom w:val="single" w:sz="6" w:space="0" w:color="auto"/>
              <w:right w:val="single" w:sz="6" w:space="0" w:color="auto"/>
            </w:tcBorders>
            <w:hideMark/>
          </w:tcPr>
          <w:p w14:paraId="4E4331DE"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P16 </w:t>
            </w:r>
          </w:p>
        </w:tc>
        <w:tc>
          <w:tcPr>
            <w:tcW w:w="440" w:type="dxa"/>
            <w:tcBorders>
              <w:top w:val="single" w:sz="6" w:space="0" w:color="auto"/>
              <w:left w:val="single" w:sz="6" w:space="0" w:color="auto"/>
              <w:bottom w:val="single" w:sz="6" w:space="0" w:color="auto"/>
              <w:right w:val="single" w:sz="6" w:space="0" w:color="auto"/>
            </w:tcBorders>
            <w:hideMark/>
          </w:tcPr>
          <w:p w14:paraId="02DCF89B"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r>
      <w:tr w:rsidR="00340E28" w:rsidRPr="00340E28" w14:paraId="3E73B555" w14:textId="77777777">
        <w:trPr>
          <w:trHeight w:val="300"/>
        </w:trPr>
        <w:tc>
          <w:tcPr>
            <w:tcW w:w="680" w:type="dxa"/>
            <w:tcBorders>
              <w:top w:val="single" w:sz="6" w:space="0" w:color="auto"/>
              <w:left w:val="single" w:sz="6" w:space="0" w:color="auto"/>
              <w:bottom w:val="single" w:sz="6" w:space="0" w:color="auto"/>
              <w:right w:val="single" w:sz="6" w:space="0" w:color="auto"/>
            </w:tcBorders>
            <w:hideMark/>
          </w:tcPr>
          <w:p w14:paraId="348A1DE3"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1792" w:type="dxa"/>
            <w:tcBorders>
              <w:top w:val="single" w:sz="6" w:space="0" w:color="auto"/>
              <w:left w:val="single" w:sz="6" w:space="0" w:color="auto"/>
              <w:bottom w:val="single" w:sz="6" w:space="0" w:color="auto"/>
              <w:right w:val="single" w:sz="6" w:space="0" w:color="auto"/>
            </w:tcBorders>
            <w:hideMark/>
          </w:tcPr>
          <w:p w14:paraId="31A9679B"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Emergency Supportive Housing </w:t>
            </w:r>
          </w:p>
        </w:tc>
        <w:tc>
          <w:tcPr>
            <w:tcW w:w="409" w:type="dxa"/>
            <w:tcBorders>
              <w:top w:val="single" w:sz="6" w:space="0" w:color="auto"/>
              <w:left w:val="single" w:sz="6" w:space="0" w:color="auto"/>
              <w:bottom w:val="single" w:sz="6" w:space="0" w:color="auto"/>
              <w:right w:val="single" w:sz="6" w:space="0" w:color="auto"/>
            </w:tcBorders>
            <w:hideMark/>
          </w:tcPr>
          <w:p w14:paraId="4AF86C7D"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28" w:type="dxa"/>
            <w:tcBorders>
              <w:top w:val="single" w:sz="6" w:space="0" w:color="auto"/>
              <w:left w:val="single" w:sz="6" w:space="0" w:color="auto"/>
              <w:bottom w:val="single" w:sz="6" w:space="0" w:color="auto"/>
              <w:right w:val="single" w:sz="6" w:space="0" w:color="auto"/>
            </w:tcBorders>
            <w:hideMark/>
          </w:tcPr>
          <w:p w14:paraId="3766E6AE"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262" w:type="dxa"/>
            <w:tcBorders>
              <w:top w:val="single" w:sz="6" w:space="0" w:color="auto"/>
              <w:left w:val="single" w:sz="6" w:space="0" w:color="auto"/>
              <w:bottom w:val="single" w:sz="6" w:space="0" w:color="auto"/>
              <w:right w:val="single" w:sz="6" w:space="0" w:color="auto"/>
            </w:tcBorders>
            <w:hideMark/>
          </w:tcPr>
          <w:p w14:paraId="01AC70F0"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74" w:type="dxa"/>
            <w:tcBorders>
              <w:top w:val="single" w:sz="6" w:space="0" w:color="auto"/>
              <w:left w:val="single" w:sz="6" w:space="0" w:color="auto"/>
              <w:bottom w:val="single" w:sz="6" w:space="0" w:color="auto"/>
              <w:right w:val="single" w:sz="6" w:space="0" w:color="auto"/>
            </w:tcBorders>
            <w:hideMark/>
          </w:tcPr>
          <w:p w14:paraId="4F7564DA"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19" w:type="dxa"/>
            <w:tcBorders>
              <w:top w:val="single" w:sz="6" w:space="0" w:color="auto"/>
              <w:left w:val="single" w:sz="6" w:space="0" w:color="auto"/>
              <w:bottom w:val="single" w:sz="6" w:space="0" w:color="auto"/>
              <w:right w:val="single" w:sz="6" w:space="0" w:color="auto"/>
            </w:tcBorders>
            <w:hideMark/>
          </w:tcPr>
          <w:p w14:paraId="65AAEBD7"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51" w:type="dxa"/>
            <w:tcBorders>
              <w:top w:val="single" w:sz="6" w:space="0" w:color="auto"/>
              <w:left w:val="single" w:sz="6" w:space="0" w:color="auto"/>
              <w:bottom w:val="single" w:sz="6" w:space="0" w:color="auto"/>
              <w:right w:val="single" w:sz="6" w:space="0" w:color="auto"/>
            </w:tcBorders>
            <w:hideMark/>
          </w:tcPr>
          <w:p w14:paraId="6926967B"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58" w:type="dxa"/>
            <w:tcBorders>
              <w:top w:val="single" w:sz="6" w:space="0" w:color="auto"/>
              <w:left w:val="single" w:sz="6" w:space="0" w:color="auto"/>
              <w:bottom w:val="single" w:sz="6" w:space="0" w:color="auto"/>
              <w:right w:val="single" w:sz="6" w:space="0" w:color="auto"/>
            </w:tcBorders>
            <w:hideMark/>
          </w:tcPr>
          <w:p w14:paraId="0867E4CC"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C16 </w:t>
            </w:r>
          </w:p>
        </w:tc>
        <w:tc>
          <w:tcPr>
            <w:tcW w:w="487" w:type="dxa"/>
            <w:gridSpan w:val="2"/>
            <w:tcBorders>
              <w:top w:val="single" w:sz="6" w:space="0" w:color="auto"/>
              <w:left w:val="single" w:sz="6" w:space="0" w:color="auto"/>
              <w:bottom w:val="single" w:sz="6" w:space="0" w:color="auto"/>
              <w:right w:val="single" w:sz="6" w:space="0" w:color="auto"/>
            </w:tcBorders>
            <w:hideMark/>
          </w:tcPr>
          <w:p w14:paraId="14C1201B"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P16 </w:t>
            </w:r>
          </w:p>
        </w:tc>
        <w:tc>
          <w:tcPr>
            <w:tcW w:w="560" w:type="dxa"/>
            <w:tcBorders>
              <w:top w:val="single" w:sz="6" w:space="0" w:color="auto"/>
              <w:left w:val="single" w:sz="6" w:space="0" w:color="auto"/>
              <w:bottom w:val="single" w:sz="6" w:space="0" w:color="auto"/>
              <w:right w:val="single" w:sz="6" w:space="0" w:color="auto"/>
            </w:tcBorders>
            <w:hideMark/>
          </w:tcPr>
          <w:p w14:paraId="4FF975E9"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P16 </w:t>
            </w:r>
          </w:p>
        </w:tc>
        <w:tc>
          <w:tcPr>
            <w:tcW w:w="488" w:type="dxa"/>
            <w:tcBorders>
              <w:top w:val="single" w:sz="6" w:space="0" w:color="auto"/>
              <w:left w:val="single" w:sz="6" w:space="0" w:color="auto"/>
              <w:bottom w:val="single" w:sz="6" w:space="0" w:color="auto"/>
              <w:right w:val="single" w:sz="6" w:space="0" w:color="auto"/>
            </w:tcBorders>
            <w:hideMark/>
          </w:tcPr>
          <w:p w14:paraId="302D5E23"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P16 </w:t>
            </w:r>
          </w:p>
        </w:tc>
        <w:tc>
          <w:tcPr>
            <w:tcW w:w="488" w:type="dxa"/>
            <w:tcBorders>
              <w:top w:val="single" w:sz="6" w:space="0" w:color="auto"/>
              <w:left w:val="single" w:sz="6" w:space="0" w:color="auto"/>
              <w:bottom w:val="single" w:sz="6" w:space="0" w:color="auto"/>
              <w:right w:val="single" w:sz="6" w:space="0" w:color="auto"/>
            </w:tcBorders>
            <w:hideMark/>
          </w:tcPr>
          <w:p w14:paraId="57812D2B"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P16 </w:t>
            </w:r>
          </w:p>
        </w:tc>
        <w:tc>
          <w:tcPr>
            <w:tcW w:w="488" w:type="dxa"/>
            <w:tcBorders>
              <w:top w:val="single" w:sz="6" w:space="0" w:color="auto"/>
              <w:left w:val="single" w:sz="6" w:space="0" w:color="auto"/>
              <w:bottom w:val="single" w:sz="6" w:space="0" w:color="auto"/>
              <w:right w:val="single" w:sz="6" w:space="0" w:color="auto"/>
            </w:tcBorders>
            <w:hideMark/>
          </w:tcPr>
          <w:p w14:paraId="11AEBD44"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P16 </w:t>
            </w:r>
          </w:p>
        </w:tc>
        <w:tc>
          <w:tcPr>
            <w:tcW w:w="440" w:type="dxa"/>
            <w:tcBorders>
              <w:top w:val="single" w:sz="6" w:space="0" w:color="auto"/>
              <w:left w:val="single" w:sz="6" w:space="0" w:color="auto"/>
              <w:bottom w:val="single" w:sz="6" w:space="0" w:color="auto"/>
              <w:right w:val="single" w:sz="6" w:space="0" w:color="auto"/>
            </w:tcBorders>
            <w:hideMark/>
          </w:tcPr>
          <w:p w14:paraId="779F89BB"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r>
      <w:tr w:rsidR="00340E28" w:rsidRPr="00340E28" w14:paraId="58DBF254" w14:textId="77777777">
        <w:trPr>
          <w:trHeight w:val="300"/>
        </w:trPr>
        <w:tc>
          <w:tcPr>
            <w:tcW w:w="680" w:type="dxa"/>
            <w:tcBorders>
              <w:top w:val="single" w:sz="6" w:space="0" w:color="auto"/>
              <w:left w:val="single" w:sz="6" w:space="0" w:color="auto"/>
              <w:bottom w:val="single" w:sz="6" w:space="0" w:color="auto"/>
              <w:right w:val="single" w:sz="6" w:space="0" w:color="auto"/>
            </w:tcBorders>
            <w:hideMark/>
          </w:tcPr>
          <w:p w14:paraId="78005504"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lastRenderedPageBreak/>
              <w:t>* </w:t>
            </w:r>
          </w:p>
        </w:tc>
        <w:tc>
          <w:tcPr>
            <w:tcW w:w="1792" w:type="dxa"/>
            <w:tcBorders>
              <w:top w:val="single" w:sz="6" w:space="0" w:color="auto"/>
              <w:left w:val="single" w:sz="6" w:space="0" w:color="auto"/>
              <w:bottom w:val="single" w:sz="6" w:space="0" w:color="auto"/>
              <w:right w:val="single" w:sz="6" w:space="0" w:color="auto"/>
            </w:tcBorders>
            <w:hideMark/>
          </w:tcPr>
          <w:p w14:paraId="3FCA842C"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Emergency Shelter </w:t>
            </w:r>
          </w:p>
        </w:tc>
        <w:tc>
          <w:tcPr>
            <w:tcW w:w="409" w:type="dxa"/>
            <w:tcBorders>
              <w:top w:val="single" w:sz="6" w:space="0" w:color="auto"/>
              <w:left w:val="single" w:sz="6" w:space="0" w:color="auto"/>
              <w:bottom w:val="single" w:sz="6" w:space="0" w:color="auto"/>
              <w:right w:val="single" w:sz="6" w:space="0" w:color="auto"/>
            </w:tcBorders>
            <w:hideMark/>
          </w:tcPr>
          <w:p w14:paraId="573D606D"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28" w:type="dxa"/>
            <w:tcBorders>
              <w:top w:val="single" w:sz="6" w:space="0" w:color="auto"/>
              <w:left w:val="single" w:sz="6" w:space="0" w:color="auto"/>
              <w:bottom w:val="single" w:sz="6" w:space="0" w:color="auto"/>
              <w:right w:val="single" w:sz="6" w:space="0" w:color="auto"/>
            </w:tcBorders>
            <w:hideMark/>
          </w:tcPr>
          <w:p w14:paraId="68A92AA2"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262" w:type="dxa"/>
            <w:tcBorders>
              <w:top w:val="single" w:sz="6" w:space="0" w:color="auto"/>
              <w:left w:val="single" w:sz="6" w:space="0" w:color="auto"/>
              <w:bottom w:val="single" w:sz="6" w:space="0" w:color="auto"/>
              <w:right w:val="single" w:sz="6" w:space="0" w:color="auto"/>
            </w:tcBorders>
            <w:hideMark/>
          </w:tcPr>
          <w:p w14:paraId="3CD57E6A"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74" w:type="dxa"/>
            <w:tcBorders>
              <w:top w:val="single" w:sz="6" w:space="0" w:color="auto"/>
              <w:left w:val="single" w:sz="6" w:space="0" w:color="auto"/>
              <w:bottom w:val="single" w:sz="6" w:space="0" w:color="auto"/>
              <w:right w:val="single" w:sz="6" w:space="0" w:color="auto"/>
            </w:tcBorders>
            <w:hideMark/>
          </w:tcPr>
          <w:p w14:paraId="655F821F"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19" w:type="dxa"/>
            <w:tcBorders>
              <w:top w:val="single" w:sz="6" w:space="0" w:color="auto"/>
              <w:left w:val="single" w:sz="6" w:space="0" w:color="auto"/>
              <w:bottom w:val="single" w:sz="6" w:space="0" w:color="auto"/>
              <w:right w:val="single" w:sz="6" w:space="0" w:color="auto"/>
            </w:tcBorders>
            <w:hideMark/>
          </w:tcPr>
          <w:p w14:paraId="1C0FC265"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51" w:type="dxa"/>
            <w:tcBorders>
              <w:top w:val="single" w:sz="6" w:space="0" w:color="auto"/>
              <w:left w:val="single" w:sz="6" w:space="0" w:color="auto"/>
              <w:bottom w:val="single" w:sz="6" w:space="0" w:color="auto"/>
              <w:right w:val="single" w:sz="6" w:space="0" w:color="auto"/>
            </w:tcBorders>
            <w:hideMark/>
          </w:tcPr>
          <w:p w14:paraId="23A15C15"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58" w:type="dxa"/>
            <w:tcBorders>
              <w:top w:val="single" w:sz="6" w:space="0" w:color="auto"/>
              <w:left w:val="single" w:sz="6" w:space="0" w:color="auto"/>
              <w:bottom w:val="single" w:sz="6" w:space="0" w:color="auto"/>
              <w:right w:val="single" w:sz="6" w:space="0" w:color="auto"/>
            </w:tcBorders>
            <w:hideMark/>
          </w:tcPr>
          <w:p w14:paraId="00565EBC"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C16 </w:t>
            </w:r>
          </w:p>
        </w:tc>
        <w:tc>
          <w:tcPr>
            <w:tcW w:w="487" w:type="dxa"/>
            <w:gridSpan w:val="2"/>
            <w:tcBorders>
              <w:top w:val="single" w:sz="6" w:space="0" w:color="auto"/>
              <w:left w:val="single" w:sz="6" w:space="0" w:color="auto"/>
              <w:bottom w:val="single" w:sz="6" w:space="0" w:color="auto"/>
              <w:right w:val="single" w:sz="6" w:space="0" w:color="auto"/>
            </w:tcBorders>
            <w:hideMark/>
          </w:tcPr>
          <w:p w14:paraId="0C7D0241"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P16 </w:t>
            </w:r>
          </w:p>
        </w:tc>
        <w:tc>
          <w:tcPr>
            <w:tcW w:w="560" w:type="dxa"/>
            <w:tcBorders>
              <w:top w:val="single" w:sz="6" w:space="0" w:color="auto"/>
              <w:left w:val="single" w:sz="6" w:space="0" w:color="auto"/>
              <w:bottom w:val="single" w:sz="6" w:space="0" w:color="auto"/>
              <w:right w:val="single" w:sz="6" w:space="0" w:color="auto"/>
            </w:tcBorders>
            <w:hideMark/>
          </w:tcPr>
          <w:p w14:paraId="32CC34AF"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P16 </w:t>
            </w:r>
          </w:p>
        </w:tc>
        <w:tc>
          <w:tcPr>
            <w:tcW w:w="488" w:type="dxa"/>
            <w:tcBorders>
              <w:top w:val="single" w:sz="6" w:space="0" w:color="auto"/>
              <w:left w:val="single" w:sz="6" w:space="0" w:color="auto"/>
              <w:bottom w:val="single" w:sz="6" w:space="0" w:color="auto"/>
              <w:right w:val="single" w:sz="6" w:space="0" w:color="auto"/>
            </w:tcBorders>
            <w:hideMark/>
          </w:tcPr>
          <w:p w14:paraId="5F0DE0D9"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P16 </w:t>
            </w:r>
          </w:p>
        </w:tc>
        <w:tc>
          <w:tcPr>
            <w:tcW w:w="488" w:type="dxa"/>
            <w:tcBorders>
              <w:top w:val="single" w:sz="6" w:space="0" w:color="auto"/>
              <w:left w:val="single" w:sz="6" w:space="0" w:color="auto"/>
              <w:bottom w:val="single" w:sz="6" w:space="0" w:color="auto"/>
              <w:right w:val="single" w:sz="6" w:space="0" w:color="auto"/>
            </w:tcBorders>
            <w:hideMark/>
          </w:tcPr>
          <w:p w14:paraId="3277DA22"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P16 </w:t>
            </w:r>
          </w:p>
        </w:tc>
        <w:tc>
          <w:tcPr>
            <w:tcW w:w="488" w:type="dxa"/>
            <w:tcBorders>
              <w:top w:val="single" w:sz="6" w:space="0" w:color="auto"/>
              <w:left w:val="single" w:sz="6" w:space="0" w:color="auto"/>
              <w:bottom w:val="single" w:sz="6" w:space="0" w:color="auto"/>
              <w:right w:val="single" w:sz="6" w:space="0" w:color="auto"/>
            </w:tcBorders>
            <w:hideMark/>
          </w:tcPr>
          <w:p w14:paraId="3AF81EB9"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P16 </w:t>
            </w:r>
          </w:p>
        </w:tc>
        <w:tc>
          <w:tcPr>
            <w:tcW w:w="440" w:type="dxa"/>
            <w:tcBorders>
              <w:top w:val="single" w:sz="6" w:space="0" w:color="auto"/>
              <w:left w:val="single" w:sz="6" w:space="0" w:color="auto"/>
              <w:bottom w:val="single" w:sz="6" w:space="0" w:color="auto"/>
              <w:right w:val="single" w:sz="6" w:space="0" w:color="auto"/>
            </w:tcBorders>
            <w:hideMark/>
          </w:tcPr>
          <w:p w14:paraId="5BBF66E9"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r>
      <w:tr w:rsidR="00340E28" w:rsidRPr="00340E28" w14:paraId="1536E411" w14:textId="77777777">
        <w:trPr>
          <w:trHeight w:val="300"/>
        </w:trPr>
        <w:tc>
          <w:tcPr>
            <w:tcW w:w="680" w:type="dxa"/>
            <w:tcBorders>
              <w:top w:val="single" w:sz="6" w:space="0" w:color="auto"/>
              <w:left w:val="single" w:sz="6" w:space="0" w:color="auto"/>
              <w:bottom w:val="single" w:sz="6" w:space="0" w:color="auto"/>
              <w:right w:val="single" w:sz="6" w:space="0" w:color="auto"/>
            </w:tcBorders>
            <w:hideMark/>
          </w:tcPr>
          <w:p w14:paraId="08EC59C2"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1792" w:type="dxa"/>
            <w:tcBorders>
              <w:top w:val="single" w:sz="6" w:space="0" w:color="auto"/>
              <w:left w:val="single" w:sz="6" w:space="0" w:color="auto"/>
              <w:bottom w:val="single" w:sz="6" w:space="0" w:color="auto"/>
              <w:right w:val="single" w:sz="6" w:space="0" w:color="auto"/>
            </w:tcBorders>
            <w:hideMark/>
          </w:tcPr>
          <w:p w14:paraId="6E3C27C3"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Microshelter Villages </w:t>
            </w:r>
          </w:p>
        </w:tc>
        <w:tc>
          <w:tcPr>
            <w:tcW w:w="409" w:type="dxa"/>
            <w:tcBorders>
              <w:top w:val="single" w:sz="6" w:space="0" w:color="auto"/>
              <w:left w:val="single" w:sz="6" w:space="0" w:color="auto"/>
              <w:bottom w:val="single" w:sz="6" w:space="0" w:color="auto"/>
              <w:right w:val="single" w:sz="6" w:space="0" w:color="auto"/>
            </w:tcBorders>
            <w:hideMark/>
          </w:tcPr>
          <w:p w14:paraId="14CE5E33"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28" w:type="dxa"/>
            <w:tcBorders>
              <w:top w:val="single" w:sz="6" w:space="0" w:color="auto"/>
              <w:left w:val="single" w:sz="6" w:space="0" w:color="auto"/>
              <w:bottom w:val="single" w:sz="6" w:space="0" w:color="auto"/>
              <w:right w:val="single" w:sz="6" w:space="0" w:color="auto"/>
            </w:tcBorders>
            <w:hideMark/>
          </w:tcPr>
          <w:p w14:paraId="4C0095D4"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262" w:type="dxa"/>
            <w:tcBorders>
              <w:top w:val="single" w:sz="6" w:space="0" w:color="auto"/>
              <w:left w:val="single" w:sz="6" w:space="0" w:color="auto"/>
              <w:bottom w:val="single" w:sz="6" w:space="0" w:color="auto"/>
              <w:right w:val="single" w:sz="6" w:space="0" w:color="auto"/>
            </w:tcBorders>
            <w:hideMark/>
          </w:tcPr>
          <w:p w14:paraId="4D80D4E9"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74" w:type="dxa"/>
            <w:tcBorders>
              <w:top w:val="single" w:sz="6" w:space="0" w:color="auto"/>
              <w:left w:val="single" w:sz="6" w:space="0" w:color="auto"/>
              <w:bottom w:val="single" w:sz="6" w:space="0" w:color="auto"/>
              <w:right w:val="single" w:sz="6" w:space="0" w:color="auto"/>
            </w:tcBorders>
            <w:hideMark/>
          </w:tcPr>
          <w:p w14:paraId="6274C1E3"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19" w:type="dxa"/>
            <w:tcBorders>
              <w:top w:val="single" w:sz="6" w:space="0" w:color="auto"/>
              <w:left w:val="single" w:sz="6" w:space="0" w:color="auto"/>
              <w:bottom w:val="single" w:sz="6" w:space="0" w:color="auto"/>
              <w:right w:val="single" w:sz="6" w:space="0" w:color="auto"/>
            </w:tcBorders>
            <w:hideMark/>
          </w:tcPr>
          <w:p w14:paraId="343F1A1A"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51" w:type="dxa"/>
            <w:tcBorders>
              <w:top w:val="single" w:sz="6" w:space="0" w:color="auto"/>
              <w:left w:val="single" w:sz="6" w:space="0" w:color="auto"/>
              <w:bottom w:val="single" w:sz="6" w:space="0" w:color="auto"/>
              <w:right w:val="single" w:sz="6" w:space="0" w:color="auto"/>
            </w:tcBorders>
            <w:hideMark/>
          </w:tcPr>
          <w:p w14:paraId="73D91BDA"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58" w:type="dxa"/>
            <w:tcBorders>
              <w:top w:val="single" w:sz="6" w:space="0" w:color="auto"/>
              <w:left w:val="single" w:sz="6" w:space="0" w:color="auto"/>
              <w:bottom w:val="single" w:sz="6" w:space="0" w:color="auto"/>
              <w:right w:val="single" w:sz="6" w:space="0" w:color="auto"/>
            </w:tcBorders>
            <w:hideMark/>
          </w:tcPr>
          <w:p w14:paraId="6B0E742D"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C17 </w:t>
            </w:r>
          </w:p>
        </w:tc>
        <w:tc>
          <w:tcPr>
            <w:tcW w:w="487" w:type="dxa"/>
            <w:gridSpan w:val="2"/>
            <w:tcBorders>
              <w:top w:val="single" w:sz="6" w:space="0" w:color="auto"/>
              <w:left w:val="single" w:sz="6" w:space="0" w:color="auto"/>
              <w:bottom w:val="single" w:sz="6" w:space="0" w:color="auto"/>
              <w:right w:val="single" w:sz="6" w:space="0" w:color="auto"/>
            </w:tcBorders>
            <w:hideMark/>
          </w:tcPr>
          <w:p w14:paraId="248BD776"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P17 </w:t>
            </w:r>
          </w:p>
        </w:tc>
        <w:tc>
          <w:tcPr>
            <w:tcW w:w="560" w:type="dxa"/>
            <w:tcBorders>
              <w:top w:val="single" w:sz="6" w:space="0" w:color="auto"/>
              <w:left w:val="single" w:sz="6" w:space="0" w:color="auto"/>
              <w:bottom w:val="single" w:sz="6" w:space="0" w:color="auto"/>
              <w:right w:val="single" w:sz="6" w:space="0" w:color="auto"/>
            </w:tcBorders>
            <w:hideMark/>
          </w:tcPr>
          <w:p w14:paraId="23D5A01D"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P17 </w:t>
            </w:r>
          </w:p>
        </w:tc>
        <w:tc>
          <w:tcPr>
            <w:tcW w:w="488" w:type="dxa"/>
            <w:tcBorders>
              <w:top w:val="single" w:sz="6" w:space="0" w:color="auto"/>
              <w:left w:val="single" w:sz="6" w:space="0" w:color="auto"/>
              <w:bottom w:val="single" w:sz="6" w:space="0" w:color="auto"/>
              <w:right w:val="single" w:sz="6" w:space="0" w:color="auto"/>
            </w:tcBorders>
            <w:hideMark/>
          </w:tcPr>
          <w:p w14:paraId="556C2EA2"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P17 </w:t>
            </w:r>
          </w:p>
        </w:tc>
        <w:tc>
          <w:tcPr>
            <w:tcW w:w="488" w:type="dxa"/>
            <w:tcBorders>
              <w:top w:val="single" w:sz="6" w:space="0" w:color="auto"/>
              <w:left w:val="single" w:sz="6" w:space="0" w:color="auto"/>
              <w:bottom w:val="single" w:sz="6" w:space="0" w:color="auto"/>
              <w:right w:val="single" w:sz="6" w:space="0" w:color="auto"/>
            </w:tcBorders>
            <w:hideMark/>
          </w:tcPr>
          <w:p w14:paraId="3245DC3D"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P17 </w:t>
            </w:r>
          </w:p>
        </w:tc>
        <w:tc>
          <w:tcPr>
            <w:tcW w:w="488" w:type="dxa"/>
            <w:tcBorders>
              <w:top w:val="single" w:sz="6" w:space="0" w:color="auto"/>
              <w:left w:val="single" w:sz="6" w:space="0" w:color="auto"/>
              <w:bottom w:val="single" w:sz="6" w:space="0" w:color="auto"/>
              <w:right w:val="single" w:sz="6" w:space="0" w:color="auto"/>
            </w:tcBorders>
            <w:hideMark/>
          </w:tcPr>
          <w:p w14:paraId="3D1ECC67"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P17 </w:t>
            </w:r>
          </w:p>
        </w:tc>
        <w:tc>
          <w:tcPr>
            <w:tcW w:w="440" w:type="dxa"/>
            <w:tcBorders>
              <w:top w:val="single" w:sz="6" w:space="0" w:color="auto"/>
              <w:left w:val="single" w:sz="6" w:space="0" w:color="auto"/>
              <w:bottom w:val="single" w:sz="6" w:space="0" w:color="auto"/>
              <w:right w:val="single" w:sz="6" w:space="0" w:color="auto"/>
            </w:tcBorders>
            <w:hideMark/>
          </w:tcPr>
          <w:p w14:paraId="619466C1"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r>
      <w:tr w:rsidR="00340E28" w:rsidRPr="00340E28" w14:paraId="5D590E1F" w14:textId="77777777">
        <w:trPr>
          <w:trHeight w:val="300"/>
        </w:trPr>
        <w:tc>
          <w:tcPr>
            <w:tcW w:w="680" w:type="dxa"/>
            <w:tcBorders>
              <w:top w:val="single" w:sz="6" w:space="0" w:color="auto"/>
              <w:left w:val="single" w:sz="6" w:space="0" w:color="auto"/>
              <w:bottom w:val="single" w:sz="6" w:space="0" w:color="auto"/>
              <w:right w:val="single" w:sz="6" w:space="0" w:color="auto"/>
            </w:tcBorders>
            <w:hideMark/>
          </w:tcPr>
          <w:p w14:paraId="75D80D81"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1792" w:type="dxa"/>
            <w:tcBorders>
              <w:top w:val="single" w:sz="6" w:space="0" w:color="auto"/>
              <w:left w:val="single" w:sz="6" w:space="0" w:color="auto"/>
              <w:bottom w:val="single" w:sz="6" w:space="0" w:color="auto"/>
              <w:right w:val="single" w:sz="6" w:space="0" w:color="auto"/>
            </w:tcBorders>
            <w:hideMark/>
          </w:tcPr>
          <w:p w14:paraId="7C8B09F1"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Safe Parking </w:t>
            </w:r>
          </w:p>
        </w:tc>
        <w:tc>
          <w:tcPr>
            <w:tcW w:w="409" w:type="dxa"/>
            <w:tcBorders>
              <w:top w:val="single" w:sz="6" w:space="0" w:color="auto"/>
              <w:left w:val="single" w:sz="6" w:space="0" w:color="auto"/>
              <w:bottom w:val="single" w:sz="6" w:space="0" w:color="auto"/>
              <w:right w:val="single" w:sz="6" w:space="0" w:color="auto"/>
            </w:tcBorders>
            <w:hideMark/>
          </w:tcPr>
          <w:p w14:paraId="7D095AF5"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28" w:type="dxa"/>
            <w:tcBorders>
              <w:top w:val="single" w:sz="6" w:space="0" w:color="auto"/>
              <w:left w:val="single" w:sz="6" w:space="0" w:color="auto"/>
              <w:bottom w:val="single" w:sz="6" w:space="0" w:color="auto"/>
              <w:right w:val="single" w:sz="6" w:space="0" w:color="auto"/>
            </w:tcBorders>
            <w:hideMark/>
          </w:tcPr>
          <w:p w14:paraId="6AF3654F"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262" w:type="dxa"/>
            <w:tcBorders>
              <w:top w:val="single" w:sz="6" w:space="0" w:color="auto"/>
              <w:left w:val="single" w:sz="6" w:space="0" w:color="auto"/>
              <w:bottom w:val="single" w:sz="6" w:space="0" w:color="auto"/>
              <w:right w:val="single" w:sz="6" w:space="0" w:color="auto"/>
            </w:tcBorders>
            <w:hideMark/>
          </w:tcPr>
          <w:p w14:paraId="16826EBA"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74" w:type="dxa"/>
            <w:tcBorders>
              <w:top w:val="single" w:sz="6" w:space="0" w:color="auto"/>
              <w:left w:val="single" w:sz="6" w:space="0" w:color="auto"/>
              <w:bottom w:val="single" w:sz="6" w:space="0" w:color="auto"/>
              <w:right w:val="single" w:sz="6" w:space="0" w:color="auto"/>
            </w:tcBorders>
            <w:hideMark/>
          </w:tcPr>
          <w:p w14:paraId="24DEA61F"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19" w:type="dxa"/>
            <w:tcBorders>
              <w:top w:val="single" w:sz="6" w:space="0" w:color="auto"/>
              <w:left w:val="single" w:sz="6" w:space="0" w:color="auto"/>
              <w:bottom w:val="single" w:sz="6" w:space="0" w:color="auto"/>
              <w:right w:val="single" w:sz="6" w:space="0" w:color="auto"/>
            </w:tcBorders>
            <w:hideMark/>
          </w:tcPr>
          <w:p w14:paraId="0C97B0DB"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51" w:type="dxa"/>
            <w:tcBorders>
              <w:top w:val="single" w:sz="6" w:space="0" w:color="auto"/>
              <w:left w:val="single" w:sz="6" w:space="0" w:color="auto"/>
              <w:bottom w:val="single" w:sz="6" w:space="0" w:color="auto"/>
              <w:right w:val="single" w:sz="6" w:space="0" w:color="auto"/>
            </w:tcBorders>
            <w:hideMark/>
          </w:tcPr>
          <w:p w14:paraId="326880E0"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58" w:type="dxa"/>
            <w:tcBorders>
              <w:top w:val="single" w:sz="6" w:space="0" w:color="auto"/>
              <w:left w:val="single" w:sz="6" w:space="0" w:color="auto"/>
              <w:bottom w:val="single" w:sz="6" w:space="0" w:color="auto"/>
              <w:right w:val="single" w:sz="6" w:space="0" w:color="auto"/>
            </w:tcBorders>
            <w:hideMark/>
          </w:tcPr>
          <w:p w14:paraId="6E24D781"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C18 </w:t>
            </w:r>
          </w:p>
        </w:tc>
        <w:tc>
          <w:tcPr>
            <w:tcW w:w="487" w:type="dxa"/>
            <w:gridSpan w:val="2"/>
            <w:tcBorders>
              <w:top w:val="single" w:sz="6" w:space="0" w:color="auto"/>
              <w:left w:val="single" w:sz="6" w:space="0" w:color="auto"/>
              <w:bottom w:val="single" w:sz="6" w:space="0" w:color="auto"/>
              <w:right w:val="single" w:sz="6" w:space="0" w:color="auto"/>
            </w:tcBorders>
            <w:hideMark/>
          </w:tcPr>
          <w:p w14:paraId="166C70AB"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P18 </w:t>
            </w:r>
          </w:p>
        </w:tc>
        <w:tc>
          <w:tcPr>
            <w:tcW w:w="560" w:type="dxa"/>
            <w:tcBorders>
              <w:top w:val="single" w:sz="6" w:space="0" w:color="auto"/>
              <w:left w:val="single" w:sz="6" w:space="0" w:color="auto"/>
              <w:bottom w:val="single" w:sz="6" w:space="0" w:color="auto"/>
              <w:right w:val="single" w:sz="6" w:space="0" w:color="auto"/>
            </w:tcBorders>
            <w:hideMark/>
          </w:tcPr>
          <w:p w14:paraId="592B0CE3"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P18 </w:t>
            </w:r>
          </w:p>
        </w:tc>
        <w:tc>
          <w:tcPr>
            <w:tcW w:w="488" w:type="dxa"/>
            <w:tcBorders>
              <w:top w:val="single" w:sz="6" w:space="0" w:color="auto"/>
              <w:left w:val="single" w:sz="6" w:space="0" w:color="auto"/>
              <w:bottom w:val="single" w:sz="6" w:space="0" w:color="auto"/>
              <w:right w:val="single" w:sz="6" w:space="0" w:color="auto"/>
            </w:tcBorders>
            <w:hideMark/>
          </w:tcPr>
          <w:p w14:paraId="639A4637"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P18 </w:t>
            </w:r>
          </w:p>
        </w:tc>
        <w:tc>
          <w:tcPr>
            <w:tcW w:w="488" w:type="dxa"/>
            <w:tcBorders>
              <w:top w:val="single" w:sz="6" w:space="0" w:color="auto"/>
              <w:left w:val="single" w:sz="6" w:space="0" w:color="auto"/>
              <w:bottom w:val="single" w:sz="6" w:space="0" w:color="auto"/>
              <w:right w:val="single" w:sz="6" w:space="0" w:color="auto"/>
            </w:tcBorders>
            <w:hideMark/>
          </w:tcPr>
          <w:p w14:paraId="30849F72"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P18 </w:t>
            </w:r>
          </w:p>
        </w:tc>
        <w:tc>
          <w:tcPr>
            <w:tcW w:w="488" w:type="dxa"/>
            <w:tcBorders>
              <w:top w:val="single" w:sz="6" w:space="0" w:color="auto"/>
              <w:left w:val="single" w:sz="6" w:space="0" w:color="auto"/>
              <w:bottom w:val="single" w:sz="6" w:space="0" w:color="auto"/>
              <w:right w:val="single" w:sz="6" w:space="0" w:color="auto"/>
            </w:tcBorders>
            <w:hideMark/>
          </w:tcPr>
          <w:p w14:paraId="6AE5AEBB"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P18 </w:t>
            </w:r>
          </w:p>
        </w:tc>
        <w:tc>
          <w:tcPr>
            <w:tcW w:w="440" w:type="dxa"/>
            <w:tcBorders>
              <w:top w:val="single" w:sz="6" w:space="0" w:color="auto"/>
              <w:left w:val="single" w:sz="6" w:space="0" w:color="auto"/>
              <w:bottom w:val="single" w:sz="6" w:space="0" w:color="auto"/>
              <w:right w:val="single" w:sz="6" w:space="0" w:color="auto"/>
            </w:tcBorders>
            <w:hideMark/>
          </w:tcPr>
          <w:p w14:paraId="086D1F5E"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r>
      <w:tr w:rsidR="00340E28" w:rsidRPr="00340E28" w14:paraId="705E6AAE" w14:textId="77777777">
        <w:trPr>
          <w:trHeight w:val="300"/>
        </w:trPr>
        <w:tc>
          <w:tcPr>
            <w:tcW w:w="680" w:type="dxa"/>
            <w:tcBorders>
              <w:top w:val="single" w:sz="6" w:space="0" w:color="auto"/>
              <w:left w:val="single" w:sz="6" w:space="0" w:color="auto"/>
              <w:bottom w:val="single" w:sz="6" w:space="0" w:color="auto"/>
              <w:right w:val="single" w:sz="6" w:space="0" w:color="auto"/>
            </w:tcBorders>
            <w:hideMark/>
          </w:tcPr>
          <w:p w14:paraId="3C7FA536"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836 </w:t>
            </w:r>
          </w:p>
        </w:tc>
        <w:tc>
          <w:tcPr>
            <w:tcW w:w="1792" w:type="dxa"/>
            <w:tcBorders>
              <w:top w:val="single" w:sz="6" w:space="0" w:color="auto"/>
              <w:left w:val="single" w:sz="6" w:space="0" w:color="auto"/>
              <w:bottom w:val="single" w:sz="6" w:space="0" w:color="auto"/>
              <w:right w:val="single" w:sz="6" w:space="0" w:color="auto"/>
            </w:tcBorders>
            <w:hideMark/>
          </w:tcPr>
          <w:p w14:paraId="07F1DC51"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Other Residential Care (19) </w:t>
            </w:r>
          </w:p>
        </w:tc>
        <w:tc>
          <w:tcPr>
            <w:tcW w:w="409" w:type="dxa"/>
            <w:tcBorders>
              <w:top w:val="single" w:sz="6" w:space="0" w:color="auto"/>
              <w:left w:val="single" w:sz="6" w:space="0" w:color="auto"/>
              <w:bottom w:val="single" w:sz="6" w:space="0" w:color="auto"/>
              <w:right w:val="single" w:sz="6" w:space="0" w:color="auto"/>
            </w:tcBorders>
            <w:hideMark/>
          </w:tcPr>
          <w:p w14:paraId="649DBEC7"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28" w:type="dxa"/>
            <w:tcBorders>
              <w:top w:val="single" w:sz="6" w:space="0" w:color="auto"/>
              <w:left w:val="single" w:sz="6" w:space="0" w:color="auto"/>
              <w:bottom w:val="single" w:sz="6" w:space="0" w:color="auto"/>
              <w:right w:val="single" w:sz="6" w:space="0" w:color="auto"/>
            </w:tcBorders>
            <w:hideMark/>
          </w:tcPr>
          <w:p w14:paraId="12ACD0B5"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262" w:type="dxa"/>
            <w:tcBorders>
              <w:top w:val="single" w:sz="6" w:space="0" w:color="auto"/>
              <w:left w:val="single" w:sz="6" w:space="0" w:color="auto"/>
              <w:bottom w:val="single" w:sz="6" w:space="0" w:color="auto"/>
              <w:right w:val="single" w:sz="6" w:space="0" w:color="auto"/>
            </w:tcBorders>
            <w:hideMark/>
          </w:tcPr>
          <w:p w14:paraId="0ACF5F43"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474" w:type="dxa"/>
            <w:tcBorders>
              <w:top w:val="single" w:sz="6" w:space="0" w:color="auto"/>
              <w:left w:val="single" w:sz="6" w:space="0" w:color="auto"/>
              <w:bottom w:val="single" w:sz="6" w:space="0" w:color="auto"/>
              <w:right w:val="single" w:sz="6" w:space="0" w:color="auto"/>
            </w:tcBorders>
            <w:hideMark/>
          </w:tcPr>
          <w:p w14:paraId="508646F6"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19" w:type="dxa"/>
            <w:tcBorders>
              <w:top w:val="single" w:sz="6" w:space="0" w:color="auto"/>
              <w:left w:val="single" w:sz="6" w:space="0" w:color="auto"/>
              <w:bottom w:val="single" w:sz="6" w:space="0" w:color="auto"/>
              <w:right w:val="single" w:sz="6" w:space="0" w:color="auto"/>
            </w:tcBorders>
            <w:hideMark/>
          </w:tcPr>
          <w:p w14:paraId="4A5D18FE"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51" w:type="dxa"/>
            <w:tcBorders>
              <w:top w:val="single" w:sz="6" w:space="0" w:color="auto"/>
              <w:left w:val="single" w:sz="6" w:space="0" w:color="auto"/>
              <w:bottom w:val="single" w:sz="6" w:space="0" w:color="auto"/>
              <w:right w:val="single" w:sz="6" w:space="0" w:color="auto"/>
            </w:tcBorders>
            <w:hideMark/>
          </w:tcPr>
          <w:p w14:paraId="7094A901"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c>
          <w:tcPr>
            <w:tcW w:w="558" w:type="dxa"/>
            <w:tcBorders>
              <w:top w:val="single" w:sz="6" w:space="0" w:color="auto"/>
              <w:left w:val="single" w:sz="6" w:space="0" w:color="auto"/>
              <w:bottom w:val="single" w:sz="6" w:space="0" w:color="auto"/>
              <w:right w:val="single" w:sz="6" w:space="0" w:color="auto"/>
            </w:tcBorders>
            <w:hideMark/>
          </w:tcPr>
          <w:p w14:paraId="12247850"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C </w:t>
            </w:r>
          </w:p>
        </w:tc>
        <w:tc>
          <w:tcPr>
            <w:tcW w:w="487" w:type="dxa"/>
            <w:gridSpan w:val="2"/>
            <w:tcBorders>
              <w:top w:val="single" w:sz="6" w:space="0" w:color="auto"/>
              <w:left w:val="single" w:sz="6" w:space="0" w:color="auto"/>
              <w:bottom w:val="single" w:sz="6" w:space="0" w:color="auto"/>
              <w:right w:val="single" w:sz="6" w:space="0" w:color="auto"/>
            </w:tcBorders>
            <w:hideMark/>
          </w:tcPr>
          <w:p w14:paraId="1C284CBD"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P4 </w:t>
            </w:r>
          </w:p>
          <w:p w14:paraId="5114A090"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P5 </w:t>
            </w:r>
          </w:p>
          <w:p w14:paraId="1F608D1B"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P20 </w:t>
            </w:r>
          </w:p>
          <w:p w14:paraId="561201A6"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C </w:t>
            </w:r>
          </w:p>
        </w:tc>
        <w:tc>
          <w:tcPr>
            <w:tcW w:w="560" w:type="dxa"/>
            <w:tcBorders>
              <w:top w:val="single" w:sz="6" w:space="0" w:color="auto"/>
              <w:left w:val="single" w:sz="6" w:space="0" w:color="auto"/>
              <w:bottom w:val="single" w:sz="6" w:space="0" w:color="auto"/>
              <w:right w:val="single" w:sz="6" w:space="0" w:color="auto"/>
            </w:tcBorders>
            <w:hideMark/>
          </w:tcPr>
          <w:p w14:paraId="0BD62A07"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 </w:t>
            </w:r>
          </w:p>
        </w:tc>
        <w:tc>
          <w:tcPr>
            <w:tcW w:w="488" w:type="dxa"/>
            <w:tcBorders>
              <w:top w:val="single" w:sz="6" w:space="0" w:color="auto"/>
              <w:left w:val="single" w:sz="6" w:space="0" w:color="auto"/>
              <w:bottom w:val="single" w:sz="6" w:space="0" w:color="auto"/>
              <w:right w:val="single" w:sz="6" w:space="0" w:color="auto"/>
            </w:tcBorders>
            <w:hideMark/>
          </w:tcPr>
          <w:p w14:paraId="32171786"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 </w:t>
            </w:r>
          </w:p>
        </w:tc>
        <w:tc>
          <w:tcPr>
            <w:tcW w:w="488" w:type="dxa"/>
            <w:tcBorders>
              <w:top w:val="single" w:sz="6" w:space="0" w:color="auto"/>
              <w:left w:val="single" w:sz="6" w:space="0" w:color="auto"/>
              <w:bottom w:val="single" w:sz="6" w:space="0" w:color="auto"/>
              <w:right w:val="single" w:sz="6" w:space="0" w:color="auto"/>
            </w:tcBorders>
            <w:hideMark/>
          </w:tcPr>
          <w:p w14:paraId="3AEE465F"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 </w:t>
            </w:r>
          </w:p>
        </w:tc>
        <w:tc>
          <w:tcPr>
            <w:tcW w:w="488" w:type="dxa"/>
            <w:tcBorders>
              <w:top w:val="single" w:sz="6" w:space="0" w:color="auto"/>
              <w:left w:val="single" w:sz="6" w:space="0" w:color="auto"/>
              <w:bottom w:val="single" w:sz="6" w:space="0" w:color="auto"/>
              <w:right w:val="single" w:sz="6" w:space="0" w:color="auto"/>
            </w:tcBorders>
            <w:hideMark/>
          </w:tcPr>
          <w:p w14:paraId="620E8A6B"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P </w:t>
            </w:r>
          </w:p>
        </w:tc>
        <w:tc>
          <w:tcPr>
            <w:tcW w:w="440" w:type="dxa"/>
            <w:tcBorders>
              <w:top w:val="single" w:sz="6" w:space="0" w:color="auto"/>
              <w:left w:val="single" w:sz="6" w:space="0" w:color="auto"/>
              <w:bottom w:val="single" w:sz="6" w:space="0" w:color="auto"/>
              <w:right w:val="single" w:sz="6" w:space="0" w:color="auto"/>
            </w:tcBorders>
            <w:hideMark/>
          </w:tcPr>
          <w:p w14:paraId="62E117E4"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 </w:t>
            </w:r>
          </w:p>
        </w:tc>
      </w:tr>
    </w:tbl>
    <w:p w14:paraId="712F81C8"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B.  Development conditions.</w:t>
      </w:r>
    </w:p>
    <w:p w14:paraId="4692B723"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1.  Subject to review and approval of conditions to comply with trail corridor provisions of K.C.C. chapter 21A.14.</w:t>
      </w:r>
    </w:p>
    <w:p w14:paraId="05889FB2"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2.  Only as a reuse of a public school facility or surplus nonresidential facility subject to K.C.C. chapter 21A.32.</w:t>
      </w:r>
    </w:p>
    <w:p w14:paraId="65632B4E"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3.  Only in the urban area, as a reuse of a public school facility or surplus nonresidential facility subject to K.C.C. chapter 21A.32.</w:t>
      </w:r>
    </w:p>
    <w:p w14:paraId="28813FA8"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4.  Outside the urban area:</w:t>
      </w:r>
    </w:p>
    <w:p w14:paraId="0173CE3A"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a.  Only as a reuse of a public school facility and subject to K.C.C. chapter 21A.32.  Before filing an application with the department, the applicant shall hold a community meeting in accordance with K.C.C. 20.20.035; or</w:t>
      </w:r>
    </w:p>
    <w:p w14:paraId="52BB3167"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b.  Only in the R-24 and R-48 zones, as a reuse of a surplus nonresidential facility, and if served by public sewer.  For the allowance under this subsection B.4.b., K.C.C. 21A.12.250 shall not apply.</w:t>
      </w:r>
    </w:p>
    <w:p w14:paraId="72632E4F"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lastRenderedPageBreak/>
        <w:tab/>
        <w:t xml:space="preserve">  5.  Only in the urban area.</w:t>
      </w:r>
    </w:p>
    <w:p w14:paraId="61F47599"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6.  Outside of the urban area, only as a reuse of a surplus nonresidential facility subject to K.C.C. chapter 21A.32.</w:t>
      </w:r>
    </w:p>
    <w:p w14:paraId="7A5053CF"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7.  Outside of the urban area, subject to the requirements in K.C.C. 21A.12.250.</w:t>
      </w:r>
    </w:p>
    <w:p w14:paraId="76AC153F"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8.  Only in the R-24 and R-48 zones, and limited to SIC Industries 8063-Psychiatric Hospitals and 8069-Specialty Hospitals, Except Psychiatric.</w:t>
      </w:r>
    </w:p>
    <w:p w14:paraId="42B80534"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9.a.  Not allowed in the RA-2.5, RA-10, or RA-20 zone;</w:t>
      </w:r>
    </w:p>
    <w:p w14:paraId="28AC6459"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b.  Only allowed on lots of at least four and one-half acres;</w:t>
      </w:r>
    </w:p>
    <w:p w14:paraId="7892769B"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c.  Located within one mile of an interstate highway; and</w:t>
      </w:r>
    </w:p>
    <w:p w14:paraId="25DD1511"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d.  Limited to sixteen beds.</w:t>
      </w:r>
    </w:p>
    <w:p w14:paraId="2D7DF149"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10.  Only allowed in the Preston Industrial Area.</w:t>
      </w:r>
    </w:p>
    <w:p w14:paraId="539E5BA1"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11.  In the forest production district, the following conditions apply:</w:t>
      </w:r>
    </w:p>
    <w:p w14:paraId="7D2E0EB8"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a.  Site disturbance shall be limited to three acres.  Site disturbance shall mean all land alterations including, but not limited to, grading, utility installation, landscaping, clearing for crops, on-site sewage disposal systems, and driveways.  Additional site disturbance for agriculture, including raising livestock, up to the smaller of thirty-five percent of the lot or seven acres, may be approved only if a farm management plan is prepared in accordance with K.C.C. chapter 21A.30.  Animal densities shall be based on the area devoted to animal care and not the total area of the lot;</w:t>
      </w:r>
    </w:p>
    <w:p w14:paraId="6AF7A3E0"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b.  A forest management plan shall be required in the forest production district, that shall be reviewed and approved by the King County department of natural resources and parks before building permit issuance; and</w:t>
      </w:r>
    </w:p>
    <w:p w14:paraId="3956AC1B"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lastRenderedPageBreak/>
        <w:tab/>
        <w:t xml:space="preserve">     c.  The forest management plan shall incorporate a fire protection element that includes fire safety best management practices developed by the department.</w:t>
      </w:r>
    </w:p>
    <w:p w14:paraId="4D1558A8"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12.  Only as part of a mixed-use development subject to the conditions of K.C.C. chapter 21A.14, except in the rural area outside of rural towns on historic properties listed in the National Register of Historic Places or designated as a King County landmark.</w:t>
      </w:r>
    </w:p>
    <w:p w14:paraId="46F6FE7F"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13.a.  Limited to domestic violence shelter facilities.</w:t>
      </w:r>
    </w:p>
    <w:p w14:paraId="0C8E2355"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b.  Limited to domestic violence shelter facilities with no more than eighteen residents and staff.</w:t>
      </w:r>
    </w:p>
    <w:p w14:paraId="43EE3B83"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14.  Subject to the following standards:</w:t>
      </w:r>
    </w:p>
    <w:p w14:paraId="256DDCF2"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a.  Allowed only in the urban area;</w:t>
      </w:r>
    </w:p>
    <w:p w14:paraId="02C1E6EA"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b.  Located on the same site as a religious facility, public agency, or social services use; and</w:t>
      </w:r>
    </w:p>
    <w:p w14:paraId="63C45EEB" w14:textId="29BEB35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c.  Exempt from bicycle parking requirements in K.C.C. 21A.18.030.E. </w:t>
      </w:r>
      <w:r>
        <w:rPr>
          <w:rFonts w:ascii="Times New Roman" w:eastAsia="Times New Roman" w:hAnsi="Times New Roman" w:cs="Times New Roman"/>
          <w:color w:val="000000"/>
          <w:kern w:val="0"/>
          <w:sz w:val="24"/>
          <w:szCs w:val="24"/>
          <w14:ligatures w14:val="none"/>
        </w:rPr>
        <w:t>((</w:t>
      </w:r>
      <w:r w:rsidRPr="001216D4">
        <w:rPr>
          <w:rFonts w:ascii="Times New Roman" w:eastAsia="Times New Roman" w:hAnsi="Times New Roman" w:cs="Times New Roman"/>
          <w:strike/>
          <w:color w:val="000000"/>
          <w:kern w:val="0"/>
          <w:sz w:val="24"/>
          <w:szCs w:val="24"/>
          <w14:ligatures w14:val="none"/>
        </w:rPr>
        <w:t>and electric vehicle parking infrastructure requirements in K.C.C. 21A.18.140</w:t>
      </w:r>
      <w:r>
        <w:rPr>
          <w:rFonts w:ascii="Times New Roman" w:eastAsia="Times New Roman" w:hAnsi="Times New Roman" w:cs="Times New Roman"/>
          <w:color w:val="000000"/>
          <w:kern w:val="0"/>
          <w:sz w:val="24"/>
          <w:szCs w:val="24"/>
          <w14:ligatures w14:val="none"/>
        </w:rPr>
        <w:t>))</w:t>
      </w:r>
      <w:r w:rsidRPr="00340E28">
        <w:rPr>
          <w:rFonts w:ascii="Times New Roman" w:eastAsia="Times New Roman" w:hAnsi="Times New Roman" w:cs="Times New Roman"/>
          <w:color w:val="000000"/>
          <w:kern w:val="0"/>
          <w:sz w:val="24"/>
          <w:szCs w:val="24"/>
          <w14:ligatures w14:val="none"/>
        </w:rPr>
        <w:t>.</w:t>
      </w:r>
    </w:p>
    <w:p w14:paraId="7F7A5B40"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15.  Subject to the following standards:</w:t>
      </w:r>
    </w:p>
    <w:p w14:paraId="140B9D17"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a.  Allowed only in the urban area;</w:t>
      </w:r>
    </w:p>
    <w:p w14:paraId="1C963221"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b.  Only as part of a mixed-use development subject to the conditions of K.C.C. chapter 21A.14, except in the rural area outside of rural towns on historic properties listed in the National Register of Historic Places or designated as a King County landmark; and</w:t>
      </w:r>
    </w:p>
    <w:p w14:paraId="490DED5C" w14:textId="426E2892"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c.  Exempt from bicycle parking requirements in K.C.C. 21A.18.030.E. </w:t>
      </w:r>
      <w:r>
        <w:rPr>
          <w:rFonts w:ascii="Times New Roman" w:eastAsia="Times New Roman" w:hAnsi="Times New Roman" w:cs="Times New Roman"/>
          <w:color w:val="000000"/>
          <w:kern w:val="0"/>
          <w:sz w:val="24"/>
          <w:szCs w:val="24"/>
          <w14:ligatures w14:val="none"/>
        </w:rPr>
        <w:t>((</w:t>
      </w:r>
      <w:r w:rsidRPr="001216D4">
        <w:rPr>
          <w:rFonts w:ascii="Times New Roman" w:eastAsia="Times New Roman" w:hAnsi="Times New Roman" w:cs="Times New Roman"/>
          <w:strike/>
          <w:color w:val="000000"/>
          <w:kern w:val="0"/>
          <w:sz w:val="24"/>
          <w:szCs w:val="24"/>
          <w14:ligatures w14:val="none"/>
        </w:rPr>
        <w:t>and electric vehicle parking infrastructure requirements in K.C.C. 21A.18.140</w:t>
      </w:r>
      <w:r>
        <w:rPr>
          <w:rFonts w:ascii="Times New Roman" w:eastAsia="Times New Roman" w:hAnsi="Times New Roman" w:cs="Times New Roman"/>
          <w:color w:val="000000"/>
          <w:kern w:val="0"/>
          <w:sz w:val="24"/>
          <w:szCs w:val="24"/>
          <w14:ligatures w14:val="none"/>
        </w:rPr>
        <w:t>))</w:t>
      </w:r>
      <w:r w:rsidRPr="00340E28">
        <w:rPr>
          <w:rFonts w:ascii="Times New Roman" w:eastAsia="Times New Roman" w:hAnsi="Times New Roman" w:cs="Times New Roman"/>
          <w:color w:val="000000"/>
          <w:kern w:val="0"/>
          <w:sz w:val="24"/>
          <w:szCs w:val="24"/>
          <w14:ligatures w14:val="none"/>
        </w:rPr>
        <w:t>.</w:t>
      </w:r>
    </w:p>
    <w:p w14:paraId="3657C64D"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16.  Subject to the following standards:</w:t>
      </w:r>
    </w:p>
    <w:p w14:paraId="605F56AE"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a.  Allowed only in the urban area;</w:t>
      </w:r>
    </w:p>
    <w:p w14:paraId="448D41D4"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lastRenderedPageBreak/>
        <w:tab/>
        <w:t xml:space="preserve">    b.  In the R-4 through R-8 zones, only when located on the same site as a religious facility, public agency, or social service use;</w:t>
      </w:r>
    </w:p>
    <w:p w14:paraId="7A233C14" w14:textId="7D7698E2"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c.  Exempt from bicycle parking requirements in K.C.C. 21A.18.030.E</w:t>
      </w:r>
      <w:r>
        <w:rPr>
          <w:rFonts w:ascii="Times New Roman" w:eastAsia="Times New Roman" w:hAnsi="Times New Roman" w:cs="Times New Roman"/>
          <w:color w:val="000000"/>
          <w:kern w:val="0"/>
          <w:sz w:val="24"/>
          <w:szCs w:val="24"/>
          <w14:ligatures w14:val="none"/>
        </w:rPr>
        <w:t>((</w:t>
      </w:r>
      <w:r w:rsidRPr="001216D4">
        <w:rPr>
          <w:rFonts w:ascii="Times New Roman" w:eastAsia="Times New Roman" w:hAnsi="Times New Roman" w:cs="Times New Roman"/>
          <w:strike/>
          <w:color w:val="000000"/>
          <w:kern w:val="0"/>
          <w:sz w:val="24"/>
          <w:szCs w:val="24"/>
          <w14:ligatures w14:val="none"/>
        </w:rPr>
        <w:t xml:space="preserve">, </w:t>
      </w:r>
      <w:r w:rsidRPr="009C36C7">
        <w:rPr>
          <w:rFonts w:ascii="Times New Roman" w:eastAsia="Times New Roman" w:hAnsi="Times New Roman" w:cs="Times New Roman"/>
          <w:strike/>
          <w:color w:val="000000"/>
          <w:kern w:val="0"/>
          <w:sz w:val="24"/>
          <w:szCs w:val="24"/>
          <w14:ligatures w14:val="none"/>
        </w:rPr>
        <w:t>and electric vehicle parking infrastructure requirements in K.C.C. 21A.18.140</w:t>
      </w:r>
      <w:r>
        <w:rPr>
          <w:rFonts w:ascii="Times New Roman" w:eastAsia="Times New Roman" w:hAnsi="Times New Roman" w:cs="Times New Roman"/>
          <w:color w:val="000000"/>
          <w:kern w:val="0"/>
          <w:sz w:val="24"/>
          <w:szCs w:val="24"/>
          <w14:ligatures w14:val="none"/>
        </w:rPr>
        <w:t>))</w:t>
      </w:r>
      <w:r w:rsidRPr="00340E28">
        <w:rPr>
          <w:rFonts w:ascii="Times New Roman" w:eastAsia="Times New Roman" w:hAnsi="Times New Roman" w:cs="Times New Roman"/>
          <w:color w:val="000000"/>
          <w:kern w:val="0"/>
          <w:sz w:val="24"/>
          <w:szCs w:val="24"/>
          <w14:ligatures w14:val="none"/>
        </w:rPr>
        <w:t>; and</w:t>
      </w:r>
    </w:p>
    <w:p w14:paraId="34C4B1D8"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d.  The application shall include:</w:t>
      </w:r>
    </w:p>
    <w:p w14:paraId="78E77891"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(1)  A description of the staffing and operational characteristics, including sanitation and basic safety measures required for the facility;</w:t>
      </w:r>
    </w:p>
    <w:p w14:paraId="63094F5B"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(2)  Occupancy policies, including a description of the population to be served and a code of conduct that includes, at a minimum, a prohibition of threatening or unsafe behavior;</w:t>
      </w:r>
    </w:p>
    <w:p w14:paraId="7736397C"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(3)  A plan for managing the exterior appearance of the site, including keeping the site litter free;</w:t>
      </w:r>
    </w:p>
    <w:p w14:paraId="76484BAB"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(4)  A plan for addressing reported concerns and making this information publicly available, including a phone number, email, and point of contact at the site of the facility for the community to report concerns;</w:t>
      </w:r>
    </w:p>
    <w:p w14:paraId="4E8BE89D"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(5)  A plan for outreach with surrounding property owners and residents addressing items such as noise, smoking areas, parking, security procedures, and litter; and</w:t>
      </w:r>
    </w:p>
    <w:p w14:paraId="6867B4DC"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(6)  Plans and narrative documenting compliance with all applicable codes, including:</w:t>
      </w:r>
    </w:p>
    <w:p w14:paraId="6D92565A"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(a)  an elevation of the building or buildings to be occupied;</w:t>
      </w:r>
    </w:p>
    <w:p w14:paraId="2207B342"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lastRenderedPageBreak/>
        <w:tab/>
        <w:t xml:space="preserve">        (b)  a floor plan that describes the capacities of the buildings for the uses intended, room dimensions, and a designation of the rooms to be used for nonambulatory residents, if any; and</w:t>
      </w:r>
    </w:p>
    <w:p w14:paraId="1C74A87F"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(c)  a site plan showing property lines, buildings, driveways, parking, fences, storage areas, gardens, recreation areas, and site improvements.</w:t>
      </w:r>
    </w:p>
    <w:p w14:paraId="4270C87C"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17.  Subject to the following standards:</w:t>
      </w:r>
    </w:p>
    <w:p w14:paraId="7BC8074C"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a.  Allowed in the urban area;</w:t>
      </w:r>
    </w:p>
    <w:p w14:paraId="43CCEF09"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b.  In the R-4 through R-8 zones, only when located on the same site as a religious facility, public agency, or social service use;</w:t>
      </w:r>
    </w:p>
    <w:p w14:paraId="27FB12FF" w14:textId="36E82273"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c.  Exempt from landscaping requirements in K.C.C. chapter 21A.16 except as required by this section, bicycle parking requirements in K.C.C. 21A.18.030.E.</w:t>
      </w:r>
      <w:r>
        <w:rPr>
          <w:rFonts w:ascii="Times New Roman" w:eastAsia="Times New Roman" w:hAnsi="Times New Roman" w:cs="Times New Roman"/>
          <w:color w:val="000000"/>
          <w:kern w:val="0"/>
          <w:sz w:val="24"/>
          <w:szCs w:val="24"/>
          <w14:ligatures w14:val="none"/>
        </w:rPr>
        <w:t>((</w:t>
      </w:r>
      <w:r w:rsidRPr="001216D4">
        <w:rPr>
          <w:rFonts w:ascii="Times New Roman" w:eastAsia="Times New Roman" w:hAnsi="Times New Roman" w:cs="Times New Roman"/>
          <w:strike/>
          <w:color w:val="000000"/>
          <w:kern w:val="0"/>
          <w:sz w:val="24"/>
          <w:szCs w:val="24"/>
          <w14:ligatures w14:val="none"/>
        </w:rPr>
        <w:t>, and electric vehicle parking infrastructure requirements in K.C.C. 21A.18.140</w:t>
      </w:r>
      <w:r>
        <w:rPr>
          <w:rFonts w:ascii="Times New Roman" w:eastAsia="Times New Roman" w:hAnsi="Times New Roman" w:cs="Times New Roman"/>
          <w:color w:val="000000"/>
          <w:kern w:val="0"/>
          <w:sz w:val="24"/>
          <w:szCs w:val="24"/>
          <w14:ligatures w14:val="none"/>
        </w:rPr>
        <w:t>))</w:t>
      </w:r>
      <w:r w:rsidRPr="00340E28">
        <w:rPr>
          <w:rFonts w:ascii="Times New Roman" w:eastAsia="Times New Roman" w:hAnsi="Times New Roman" w:cs="Times New Roman"/>
          <w:color w:val="000000"/>
          <w:kern w:val="0"/>
          <w:sz w:val="24"/>
          <w:szCs w:val="24"/>
          <w14:ligatures w14:val="none"/>
        </w:rPr>
        <w:t>;</w:t>
      </w:r>
    </w:p>
    <w:p w14:paraId="66149B99"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d.  The application shall include:</w:t>
      </w:r>
    </w:p>
    <w:p w14:paraId="3FA22A0D"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(1)  A description of the staffing and operational characteristics, including sanitation and basic safety measures required for the facility;</w:t>
      </w:r>
    </w:p>
    <w:p w14:paraId="4B341D06"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(2)  Occupancy policies, including a description of the population to be served and a code of conduct that includes, at a minimum, a prohibition of threatening or unsafe behavior;</w:t>
      </w:r>
    </w:p>
    <w:p w14:paraId="294A4307"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(3)  A plan for managing the exterior appearance of the site, including keeping the site litter free;</w:t>
      </w:r>
    </w:p>
    <w:p w14:paraId="20FA20D6"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(4)  A plan for addressing reported concerns and making this information publicly available, including a phone number, email, and point of contact at the site of the facility for the community to report concerns;</w:t>
      </w:r>
    </w:p>
    <w:p w14:paraId="36CA7B8C"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lastRenderedPageBreak/>
        <w:tab/>
        <w:t xml:space="preserve">      (5)  A plan for outreach with surrounding property owners and residents addressing items such as noise, smoking areas, parking, security procedures, and litter; and</w:t>
      </w:r>
    </w:p>
    <w:p w14:paraId="10F2807B"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(6)  Plans and narrative documenting compliance with all applicable codes, including:</w:t>
      </w:r>
    </w:p>
    <w:p w14:paraId="4237A143"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(a) an elevation of the building or buildings to be occupied;</w:t>
      </w:r>
    </w:p>
    <w:p w14:paraId="6B32521E"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(b)  a floor plan that describes the capacities of the buildings for the uses intended, room dimensions, and a designation of the rooms to be used for nonambulatory residents, if any; and</w:t>
      </w:r>
    </w:p>
    <w:p w14:paraId="04852D62"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(c)  a site plan showing property lines, buildings, driveways, parking, fences, storage areas, gardens, recreation areas, and site improvements;</w:t>
      </w:r>
    </w:p>
    <w:p w14:paraId="042AAC0C"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e.  A setback of ten feet shall be along any property line adjoining a UR or R zone; and</w:t>
      </w:r>
    </w:p>
    <w:p w14:paraId="7416F89C"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f.  The use shall be buffered with:</w:t>
      </w:r>
    </w:p>
    <w:p w14:paraId="304C77FA"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(1)  ten feet of Type II landscaping consistent with K.C.C. 21A.16.040; or</w:t>
      </w:r>
    </w:p>
    <w:p w14:paraId="00A37CAE"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(2)  a six-foot high, view-obscuring fence.</w:t>
      </w:r>
    </w:p>
    <w:p w14:paraId="1AF2BDEF"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18.  Subject to the following standards:</w:t>
      </w:r>
    </w:p>
    <w:p w14:paraId="6D6D3F6E"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a.  Allowed in the urban area;</w:t>
      </w:r>
    </w:p>
    <w:p w14:paraId="132760DA"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b.  In the R-4 through R-8 zones, only when located on the same site as a religious facility, public agency, or social services use;</w:t>
      </w:r>
    </w:p>
    <w:p w14:paraId="68BB4D0E" w14:textId="67330A46"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c.  Exempt from landscaping requirements in K.C.C. chapter 21A.16 except as required by this section, bicycle parking requirements in K.C.C. 21A.18.030.E.</w:t>
      </w:r>
      <w:r>
        <w:rPr>
          <w:rFonts w:ascii="Times New Roman" w:eastAsia="Times New Roman" w:hAnsi="Times New Roman" w:cs="Times New Roman"/>
          <w:color w:val="000000"/>
          <w:kern w:val="0"/>
          <w:sz w:val="24"/>
          <w:szCs w:val="24"/>
          <w14:ligatures w14:val="none"/>
        </w:rPr>
        <w:t>((</w:t>
      </w:r>
      <w:r w:rsidRPr="001216D4">
        <w:rPr>
          <w:rFonts w:ascii="Times New Roman" w:eastAsia="Times New Roman" w:hAnsi="Times New Roman" w:cs="Times New Roman"/>
          <w:strike/>
          <w:color w:val="000000"/>
          <w:kern w:val="0"/>
          <w:sz w:val="24"/>
          <w:szCs w:val="24"/>
          <w14:ligatures w14:val="none"/>
        </w:rPr>
        <w:t>, and electric vehicle parking infrastructure requirements in K.C.C. 21A.18.140</w:t>
      </w:r>
      <w:r>
        <w:rPr>
          <w:rFonts w:ascii="Times New Roman" w:eastAsia="Times New Roman" w:hAnsi="Times New Roman" w:cs="Times New Roman"/>
          <w:color w:val="000000"/>
          <w:kern w:val="0"/>
          <w:sz w:val="24"/>
          <w:szCs w:val="24"/>
          <w14:ligatures w14:val="none"/>
        </w:rPr>
        <w:t>))</w:t>
      </w:r>
      <w:r w:rsidRPr="00340E28">
        <w:rPr>
          <w:rFonts w:ascii="Times New Roman" w:eastAsia="Times New Roman" w:hAnsi="Times New Roman" w:cs="Times New Roman"/>
          <w:color w:val="000000"/>
          <w:kern w:val="0"/>
          <w:sz w:val="24"/>
          <w:szCs w:val="24"/>
          <w14:ligatures w14:val="none"/>
        </w:rPr>
        <w:t>;</w:t>
      </w:r>
    </w:p>
    <w:p w14:paraId="74880553"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lastRenderedPageBreak/>
        <w:tab/>
        <w:t xml:space="preserve">    d.  The application shall include:</w:t>
      </w:r>
    </w:p>
    <w:p w14:paraId="214128EE"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(1)  A description of the staffing and operational characteristics, including sanitation and basic safety measures required for the facility;</w:t>
      </w:r>
    </w:p>
    <w:p w14:paraId="5BCBFBF7"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(2)  Occupancy policies, including a description of the population to be served and a code of conduct that includes, at a minimum, a prohibition of threatening or unsafe behavior;</w:t>
      </w:r>
    </w:p>
    <w:p w14:paraId="3B8E13D7"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(3)  A plan for managing the exterior appearance of the site, including keeping the site litter free;</w:t>
      </w:r>
    </w:p>
    <w:p w14:paraId="549BE22A"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(4)  A plan for addressing reported concerns and making this information publicly available, including a phone number, email, and point of contact at the site of the facility for the community to report concerns;</w:t>
      </w:r>
    </w:p>
    <w:p w14:paraId="7B4054E6"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(5)  A plan for outreach with surrounding property owners and residents addressing items such as noise, smoking areas, parking, security procedures, and litter; and</w:t>
      </w:r>
    </w:p>
    <w:p w14:paraId="6E05EE1E"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(6)  Plans and narrative documenting compliance with all applicable codes, including:</w:t>
      </w:r>
    </w:p>
    <w:p w14:paraId="748CEAC2"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(a)  an elevation of the building or buildings to be occupied;</w:t>
      </w:r>
    </w:p>
    <w:p w14:paraId="5D170A0A"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(b)  a floor plan that describes the capacities of the buildings for the uses intended, room dimensions, and a designation of the rooms to be used for nonambulatory residents, if any; and</w:t>
      </w:r>
    </w:p>
    <w:p w14:paraId="57E8FB52"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(c)  a site plan showing property lines, buildings, driveways, parking, fences, storage areas, gardens, recreation areas, and site improvements;</w:t>
      </w:r>
    </w:p>
    <w:p w14:paraId="1FFE62E4"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lastRenderedPageBreak/>
        <w:tab/>
        <w:t xml:space="preserve">    e.  A setback of ten feet shall be along any property line adjoining a UR or R zone;</w:t>
      </w:r>
    </w:p>
    <w:p w14:paraId="7D248018"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f.  The use shall be buffered with:</w:t>
      </w:r>
    </w:p>
    <w:p w14:paraId="7C530C8E"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(1)  ten feet of Type II landscaping consistent with K.C.C. 21A.16.040; or</w:t>
      </w:r>
    </w:p>
    <w:p w14:paraId="19159CE6"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(2)  a six-foot high, view-obscuring fence;</w:t>
      </w:r>
    </w:p>
    <w:p w14:paraId="6D30DA06"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g.  When safe parking is located on a site with an established primary use, the director may reduce the minimum number of on-site parking spaces consistent with K.C.C. chapter 21A.18;</w:t>
      </w:r>
    </w:p>
    <w:p w14:paraId="06291A69"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h.  A safe parking site shall provide restroom and potable water access within the buildings or portable facilities and handwashing stations on the property; and</w:t>
      </w:r>
    </w:p>
    <w:p w14:paraId="71E6D5EE"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i.  If recreational vehicles are hosted at the safe parking site, provision shall be made for potable water and for proper disposal of grey water and black water waste from the vehicles.</w:t>
      </w:r>
    </w:p>
    <w:p w14:paraId="3FA9F69C" w14:textId="77777777" w:rsidR="00340E28" w:rsidRPr="00340E28"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19.  Excluding residential care uses classified elsewhere in this chapter.</w:t>
      </w:r>
    </w:p>
    <w:p w14:paraId="0A29E75B" w14:textId="76668EEB" w:rsidR="00340E28" w:rsidRPr="001216D4" w:rsidRDefault="00340E28" w:rsidP="0073496A">
      <w:pPr>
        <w:tabs>
          <w:tab w:val="left" w:pos="720"/>
        </w:tabs>
        <w:spacing w:after="0" w:line="480" w:lineRule="auto"/>
        <w:rPr>
          <w:rFonts w:ascii="Times New Roman" w:eastAsia="Times New Roman" w:hAnsi="Times New Roman" w:cs="Times New Roman"/>
          <w:color w:val="000000"/>
          <w:kern w:val="0"/>
          <w:sz w:val="24"/>
          <w:szCs w:val="24"/>
          <w14:ligatures w14:val="none"/>
        </w:rPr>
      </w:pPr>
      <w:r w:rsidRPr="00340E28">
        <w:rPr>
          <w:rFonts w:ascii="Times New Roman" w:eastAsia="Times New Roman" w:hAnsi="Times New Roman" w:cs="Times New Roman"/>
          <w:color w:val="000000"/>
          <w:kern w:val="0"/>
          <w:sz w:val="24"/>
          <w:szCs w:val="24"/>
          <w14:ligatures w14:val="none"/>
        </w:rPr>
        <w:tab/>
        <w:t xml:space="preserve">  20.  Only in a rural town, as a reuse of a surplus nonresidential facility and subject to K.C.C. chapter 21A.32.  Before filing an application with the department, the applicant shall hold a community meeting in accordance with K.C.C. 20.20.035.</w:t>
      </w:r>
    </w:p>
    <w:p w14:paraId="5B76C35A" w14:textId="6E7E72E3" w:rsidR="00786546" w:rsidRPr="00786546" w:rsidRDefault="00F72A3D" w:rsidP="00BD15DC">
      <w:pPr>
        <w:tabs>
          <w:tab w:val="left" w:pos="720"/>
        </w:tabs>
        <w:spacing w:after="0" w:line="480" w:lineRule="auto"/>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ab/>
      </w:r>
      <w:r w:rsidR="00786546">
        <w:rPr>
          <w:rFonts w:ascii="Times New Roman" w:eastAsia="Times New Roman" w:hAnsi="Times New Roman" w:cs="Times New Roman"/>
          <w:color w:val="000000"/>
          <w:kern w:val="0"/>
          <w:sz w:val="24"/>
          <w:szCs w:val="24"/>
          <w:u w:val="single"/>
          <w14:ligatures w14:val="none"/>
        </w:rPr>
        <w:t>SECTION 248.</w:t>
      </w:r>
      <w:r w:rsidR="00786546">
        <w:rPr>
          <w:rFonts w:ascii="Times New Roman" w:eastAsia="Times New Roman" w:hAnsi="Times New Roman" w:cs="Times New Roman"/>
          <w:color w:val="000000"/>
          <w:kern w:val="0"/>
          <w:sz w:val="24"/>
          <w:szCs w:val="24"/>
          <w14:ligatures w14:val="none"/>
        </w:rPr>
        <w:t xml:space="preserve"> </w:t>
      </w:r>
      <w:r w:rsidR="00A93003">
        <w:rPr>
          <w:rFonts w:ascii="Times New Roman" w:eastAsia="Times New Roman" w:hAnsi="Times New Roman" w:cs="Times New Roman"/>
          <w:color w:val="000000"/>
          <w:kern w:val="0"/>
          <w:sz w:val="24"/>
          <w:szCs w:val="24"/>
          <w14:ligatures w14:val="none"/>
        </w:rPr>
        <w:t xml:space="preserve"> </w:t>
      </w:r>
      <w:r w:rsidR="00786546">
        <w:rPr>
          <w:rFonts w:ascii="Times New Roman" w:eastAsia="Times New Roman" w:hAnsi="Times New Roman" w:cs="Times New Roman"/>
          <w:color w:val="000000"/>
          <w:kern w:val="0"/>
          <w:sz w:val="24"/>
          <w:szCs w:val="24"/>
          <w14:ligatures w14:val="none"/>
        </w:rPr>
        <w:t xml:space="preserve">The </w:t>
      </w:r>
      <w:r w:rsidR="00514340">
        <w:rPr>
          <w:rFonts w:ascii="Times New Roman" w:eastAsia="Times New Roman" w:hAnsi="Times New Roman" w:cs="Times New Roman"/>
          <w:color w:val="000000"/>
          <w:kern w:val="0"/>
          <w:sz w:val="24"/>
          <w:szCs w:val="24"/>
          <w14:ligatures w14:val="none"/>
        </w:rPr>
        <w:t>department of local services – permitting division shall</w:t>
      </w:r>
      <w:r w:rsidR="00FC3072">
        <w:rPr>
          <w:rFonts w:ascii="Times New Roman" w:eastAsia="Times New Roman" w:hAnsi="Times New Roman" w:cs="Times New Roman"/>
          <w:color w:val="000000"/>
          <w:kern w:val="0"/>
          <w:sz w:val="24"/>
          <w:szCs w:val="24"/>
          <w14:ligatures w14:val="none"/>
        </w:rPr>
        <w:t xml:space="preserve"> keep record of the renewable energy installed under </w:t>
      </w:r>
      <w:r w:rsidR="0094638C">
        <w:rPr>
          <w:rFonts w:ascii="Times New Roman" w:eastAsia="Times New Roman" w:hAnsi="Times New Roman" w:cs="Times New Roman"/>
          <w:color w:val="000000"/>
          <w:kern w:val="0"/>
          <w:sz w:val="24"/>
          <w:szCs w:val="24"/>
          <w14:ligatures w14:val="none"/>
        </w:rPr>
        <w:t xml:space="preserve">WSEC C411. </w:t>
      </w:r>
      <w:r w:rsidR="00F25DFA">
        <w:rPr>
          <w:rFonts w:ascii="Times New Roman" w:eastAsia="Times New Roman" w:hAnsi="Times New Roman" w:cs="Times New Roman"/>
          <w:color w:val="000000"/>
          <w:kern w:val="0"/>
          <w:sz w:val="24"/>
          <w:szCs w:val="24"/>
          <w14:ligatures w14:val="none"/>
        </w:rPr>
        <w:t xml:space="preserve">Tracked metrics shall include, but not be limited to, wattage of on-site </w:t>
      </w:r>
      <w:r w:rsidR="006227D8">
        <w:rPr>
          <w:rFonts w:ascii="Times New Roman" w:eastAsia="Times New Roman" w:hAnsi="Times New Roman" w:cs="Times New Roman"/>
          <w:color w:val="000000"/>
          <w:kern w:val="0"/>
          <w:sz w:val="24"/>
          <w:szCs w:val="24"/>
          <w14:ligatures w14:val="none"/>
        </w:rPr>
        <w:t xml:space="preserve">renewable energy installed, number of buildings receiving </w:t>
      </w:r>
      <w:r w:rsidR="003971D4">
        <w:rPr>
          <w:rFonts w:ascii="Times New Roman" w:eastAsia="Times New Roman" w:hAnsi="Times New Roman" w:cs="Times New Roman"/>
          <w:color w:val="000000"/>
          <w:kern w:val="0"/>
          <w:sz w:val="24"/>
          <w:szCs w:val="24"/>
          <w14:ligatures w14:val="none"/>
        </w:rPr>
        <w:t xml:space="preserve">affordable housing exceptions, </w:t>
      </w:r>
      <w:r w:rsidR="0022295B">
        <w:rPr>
          <w:rFonts w:ascii="Times New Roman" w:eastAsia="Times New Roman" w:hAnsi="Times New Roman" w:cs="Times New Roman"/>
          <w:color w:val="000000"/>
          <w:kern w:val="0"/>
          <w:sz w:val="24"/>
          <w:szCs w:val="24"/>
          <w14:ligatures w14:val="none"/>
        </w:rPr>
        <w:t>number of buildings transferring renewable energy to off-site locations</w:t>
      </w:r>
      <w:r w:rsidR="009E3917">
        <w:rPr>
          <w:rFonts w:ascii="Times New Roman" w:eastAsia="Times New Roman" w:hAnsi="Times New Roman" w:cs="Times New Roman"/>
          <w:color w:val="000000"/>
          <w:kern w:val="0"/>
          <w:sz w:val="24"/>
          <w:szCs w:val="24"/>
          <w14:ligatures w14:val="none"/>
        </w:rPr>
        <w:t>,</w:t>
      </w:r>
      <w:r w:rsidR="0022295B">
        <w:rPr>
          <w:rFonts w:ascii="Times New Roman" w:eastAsia="Times New Roman" w:hAnsi="Times New Roman" w:cs="Times New Roman"/>
          <w:color w:val="000000"/>
          <w:kern w:val="0"/>
          <w:sz w:val="24"/>
          <w:szCs w:val="24"/>
          <w14:ligatures w14:val="none"/>
        </w:rPr>
        <w:t xml:space="preserve"> and total wattage of off-site renewable energy installed.</w:t>
      </w:r>
    </w:p>
    <w:p w14:paraId="4572283E" w14:textId="20107EC3" w:rsidR="006B4A66" w:rsidRPr="00BD15DC" w:rsidRDefault="00F72A3D" w:rsidP="00BD15DC">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lastRenderedPageBreak/>
        <w:tab/>
      </w:r>
      <w:r w:rsidR="006B4A66" w:rsidRPr="006B4A66">
        <w:rPr>
          <w:rFonts w:ascii="Times New Roman" w:eastAsia="Times New Roman" w:hAnsi="Times New Roman" w:cs="Times New Roman"/>
          <w:color w:val="000000"/>
          <w:kern w:val="0"/>
          <w:sz w:val="24"/>
          <w:szCs w:val="24"/>
          <w:u w:val="single"/>
          <w14:ligatures w14:val="none"/>
        </w:rPr>
        <w:t>SECTION 249.</w:t>
      </w:r>
      <w:r w:rsidR="006B4A66" w:rsidRPr="006B4A66">
        <w:rPr>
          <w:rFonts w:ascii="Times New Roman" w:eastAsia="Times New Roman" w:hAnsi="Times New Roman" w:cs="Times New Roman"/>
          <w:color w:val="000000"/>
          <w:kern w:val="0"/>
          <w:sz w:val="24"/>
          <w:szCs w:val="24"/>
          <w14:ligatures w14:val="none"/>
        </w:rPr>
        <w:t xml:space="preserve">  The following </w:t>
      </w:r>
      <w:r w:rsidR="006B4A66" w:rsidRPr="00BD15DC">
        <w:rPr>
          <w:rFonts w:ascii="Times New Roman" w:eastAsia="Calibri" w:hAnsi="Times New Roman" w:cs="Times New Roman"/>
          <w:kern w:val="0"/>
          <w:sz w:val="24"/>
          <w14:ligatures w14:val="none"/>
        </w:rPr>
        <w:t>are</w:t>
      </w:r>
      <w:r w:rsidR="006B4A66" w:rsidRPr="006B4A66">
        <w:rPr>
          <w:rFonts w:ascii="Times New Roman" w:eastAsia="Times New Roman" w:hAnsi="Times New Roman" w:cs="Times New Roman"/>
          <w:color w:val="000000"/>
          <w:kern w:val="0"/>
          <w:sz w:val="24"/>
          <w:szCs w:val="24"/>
          <w14:ligatures w14:val="none"/>
        </w:rPr>
        <w:t xml:space="preserve"> each </w:t>
      </w:r>
      <w:r w:rsidR="006B4A66" w:rsidRPr="00BD15DC">
        <w:rPr>
          <w:rFonts w:ascii="Times New Roman" w:eastAsia="Calibri" w:hAnsi="Times New Roman" w:cs="Times New Roman"/>
          <w:kern w:val="0"/>
          <w:sz w:val="24"/>
          <w14:ligatures w14:val="none"/>
        </w:rPr>
        <w:t>hereby repealed:</w:t>
      </w:r>
    </w:p>
    <w:p w14:paraId="477EB85A" w14:textId="77777777"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t>A.  Ordinance 14914, Section 10, as amended, and K.C.C. 16.02.160;</w:t>
      </w:r>
    </w:p>
    <w:p w14:paraId="637328C3" w14:textId="77777777"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t>B.  Ordinance 12560, Section 55, as amended, and K.C.C. 16.02.170;</w:t>
      </w:r>
    </w:p>
    <w:p w14:paraId="53EFB966" w14:textId="77777777"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t>C.  Ordinance 14914, Section 20, and K.C.C. 16.02.230;</w:t>
      </w:r>
    </w:p>
    <w:p w14:paraId="2EA861DC" w14:textId="77777777"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t>D.  Ordinance 12560, Section 15, as amended, and K.C.C. 16.02.310;</w:t>
      </w:r>
    </w:p>
    <w:p w14:paraId="0CBF0CAB" w14:textId="77777777"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t>E.  Ordinance 17837, Section 13, and K.C.C. 16.02.316;</w:t>
      </w:r>
    </w:p>
    <w:p w14:paraId="1855A423" w14:textId="77777777"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t>F.  Ordinance 12560, Section 13, as amended, and K.C.C. 16.02.370;</w:t>
      </w:r>
    </w:p>
    <w:p w14:paraId="2886860B" w14:textId="77777777"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t>G.  Ordinance 12560, Section 26, as amended, and K.C.C. 16.02.410;</w:t>
      </w:r>
    </w:p>
    <w:p w14:paraId="2F884291" w14:textId="29E8316F"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t xml:space="preserve">H. </w:t>
      </w:r>
      <w:r w:rsidR="00F72A3D">
        <w:rPr>
          <w:rFonts w:ascii="Times New Roman" w:eastAsia="Calibri" w:hAnsi="Times New Roman" w:cs="Times New Roman"/>
          <w:kern w:val="0"/>
          <w:sz w:val="24"/>
          <w14:ligatures w14:val="none"/>
        </w:rPr>
        <w:t xml:space="preserve"> </w:t>
      </w:r>
      <w:r w:rsidRPr="006B4A66">
        <w:rPr>
          <w:rFonts w:ascii="Times New Roman" w:eastAsia="Calibri" w:hAnsi="Times New Roman" w:cs="Times New Roman"/>
          <w:kern w:val="0"/>
          <w:sz w:val="24"/>
          <w14:ligatures w14:val="none"/>
        </w:rPr>
        <w:t>Ordinance 12560, Section 31, as amended, and K.C.C. 16.02.480;</w:t>
      </w:r>
    </w:p>
    <w:p w14:paraId="196E8228" w14:textId="4BBD3887"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F72A3D">
        <w:rPr>
          <w:rFonts w:ascii="Times New Roman" w:eastAsia="Calibri" w:hAnsi="Times New Roman" w:cs="Times New Roman"/>
          <w:kern w:val="0"/>
          <w:sz w:val="24"/>
          <w14:ligatures w14:val="none"/>
        </w:rPr>
        <w:t>I</w:t>
      </w:r>
      <w:r w:rsidRPr="006B4A66">
        <w:rPr>
          <w:rFonts w:ascii="Times New Roman" w:eastAsia="Calibri" w:hAnsi="Times New Roman" w:cs="Times New Roman"/>
          <w:kern w:val="0"/>
          <w:sz w:val="24"/>
          <w14:ligatures w14:val="none"/>
        </w:rPr>
        <w:t>.  Ordinance 12560, Section 32, as amended, and K.C.C. 16.02.490;</w:t>
      </w:r>
    </w:p>
    <w:p w14:paraId="3F83E4F7" w14:textId="352E7EA4"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F72A3D">
        <w:rPr>
          <w:rFonts w:ascii="Times New Roman" w:eastAsia="Calibri" w:hAnsi="Times New Roman" w:cs="Times New Roman"/>
          <w:kern w:val="0"/>
          <w:sz w:val="24"/>
          <w14:ligatures w14:val="none"/>
        </w:rPr>
        <w:t>J</w:t>
      </w:r>
      <w:r w:rsidRPr="006B4A66">
        <w:rPr>
          <w:rFonts w:ascii="Times New Roman" w:eastAsia="Calibri" w:hAnsi="Times New Roman" w:cs="Times New Roman"/>
          <w:kern w:val="0"/>
          <w:sz w:val="24"/>
          <w14:ligatures w14:val="none"/>
        </w:rPr>
        <w:t>.  Ordinance 12560, Section 33, as amended, and K.C.C. 16.02.500;</w:t>
      </w:r>
    </w:p>
    <w:p w14:paraId="41F3A68E" w14:textId="53BD2D1F"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F72A3D">
        <w:rPr>
          <w:rFonts w:ascii="Times New Roman" w:eastAsia="Calibri" w:hAnsi="Times New Roman" w:cs="Times New Roman"/>
          <w:kern w:val="0"/>
          <w:sz w:val="24"/>
          <w14:ligatures w14:val="none"/>
        </w:rPr>
        <w:t>K</w:t>
      </w:r>
      <w:r w:rsidRPr="006B4A66">
        <w:rPr>
          <w:rFonts w:ascii="Times New Roman" w:eastAsia="Calibri" w:hAnsi="Times New Roman" w:cs="Times New Roman"/>
          <w:kern w:val="0"/>
          <w:sz w:val="24"/>
          <w14:ligatures w14:val="none"/>
        </w:rPr>
        <w:t>.  Ordinance 12560, Section 34, as amended, and K.C.C. 16.02.510;</w:t>
      </w:r>
    </w:p>
    <w:p w14:paraId="3B4972B9" w14:textId="1B78EC69"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D611DF">
        <w:rPr>
          <w:rFonts w:ascii="Times New Roman" w:eastAsia="Calibri" w:hAnsi="Times New Roman" w:cs="Times New Roman"/>
          <w:kern w:val="0"/>
          <w:sz w:val="24"/>
          <w14:ligatures w14:val="none"/>
        </w:rPr>
        <w:t>L</w:t>
      </w:r>
      <w:r w:rsidRPr="006B4A66">
        <w:rPr>
          <w:rFonts w:ascii="Times New Roman" w:eastAsia="Calibri" w:hAnsi="Times New Roman" w:cs="Times New Roman"/>
          <w:kern w:val="0"/>
          <w:sz w:val="24"/>
          <w14:ligatures w14:val="none"/>
        </w:rPr>
        <w:t>.  Ordinance 12560, Section 35, as amended, and K.C.C. 16.02.520;</w:t>
      </w:r>
    </w:p>
    <w:p w14:paraId="0BC2F495" w14:textId="09122C13"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D611DF">
        <w:rPr>
          <w:rFonts w:ascii="Times New Roman" w:eastAsia="Calibri" w:hAnsi="Times New Roman" w:cs="Times New Roman"/>
          <w:kern w:val="0"/>
          <w:sz w:val="24"/>
          <w14:ligatures w14:val="none"/>
        </w:rPr>
        <w:t>M</w:t>
      </w:r>
      <w:r w:rsidRPr="006B4A66">
        <w:rPr>
          <w:rFonts w:ascii="Times New Roman" w:eastAsia="Calibri" w:hAnsi="Times New Roman" w:cs="Times New Roman"/>
          <w:kern w:val="0"/>
          <w:sz w:val="24"/>
          <w14:ligatures w14:val="none"/>
        </w:rPr>
        <w:t>.  Ordinance 12560, Section 37, as amended, and K.C.C. 16.02.530;</w:t>
      </w:r>
    </w:p>
    <w:p w14:paraId="512DB5A5" w14:textId="193183A9"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D611DF">
        <w:rPr>
          <w:rFonts w:ascii="Times New Roman" w:eastAsia="Calibri" w:hAnsi="Times New Roman" w:cs="Times New Roman"/>
          <w:kern w:val="0"/>
          <w:sz w:val="24"/>
          <w14:ligatures w14:val="none"/>
        </w:rPr>
        <w:t>N</w:t>
      </w:r>
      <w:r w:rsidRPr="006B4A66">
        <w:rPr>
          <w:rFonts w:ascii="Times New Roman" w:eastAsia="Calibri" w:hAnsi="Times New Roman" w:cs="Times New Roman"/>
          <w:kern w:val="0"/>
          <w:sz w:val="24"/>
          <w14:ligatures w14:val="none"/>
        </w:rPr>
        <w:t>.  Ordinance 14914, Section 78, as amended, and K.C.C. 16.02.550;</w:t>
      </w:r>
    </w:p>
    <w:p w14:paraId="619E59A6" w14:textId="1B94AB0F"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D611DF">
        <w:rPr>
          <w:rFonts w:ascii="Times New Roman" w:eastAsia="Calibri" w:hAnsi="Times New Roman" w:cs="Times New Roman"/>
          <w:kern w:val="0"/>
          <w:sz w:val="24"/>
          <w14:ligatures w14:val="none"/>
        </w:rPr>
        <w:t>O</w:t>
      </w:r>
      <w:r w:rsidRPr="006B4A66">
        <w:rPr>
          <w:rFonts w:ascii="Times New Roman" w:eastAsia="Calibri" w:hAnsi="Times New Roman" w:cs="Times New Roman"/>
          <w:kern w:val="0"/>
          <w:sz w:val="24"/>
          <w14:ligatures w14:val="none"/>
        </w:rPr>
        <w:t>.  Ordinance 14</w:t>
      </w:r>
      <w:r w:rsidR="006E1B11">
        <w:rPr>
          <w:rFonts w:ascii="Times New Roman" w:eastAsia="Calibri" w:hAnsi="Times New Roman" w:cs="Times New Roman"/>
          <w:kern w:val="0"/>
          <w:sz w:val="24"/>
          <w14:ligatures w14:val="none"/>
        </w:rPr>
        <w:t>9</w:t>
      </w:r>
      <w:r w:rsidRPr="006B4A66">
        <w:rPr>
          <w:rFonts w:ascii="Times New Roman" w:eastAsia="Calibri" w:hAnsi="Times New Roman" w:cs="Times New Roman"/>
          <w:kern w:val="0"/>
          <w:sz w:val="24"/>
          <w14:ligatures w14:val="none"/>
        </w:rPr>
        <w:t>14, Section 85, as amended, and K.C.C. 16.02.600;</w:t>
      </w:r>
    </w:p>
    <w:p w14:paraId="12E225ED" w14:textId="31732EEC"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BB6B9D">
        <w:rPr>
          <w:rFonts w:ascii="Times New Roman" w:eastAsia="Calibri" w:hAnsi="Times New Roman" w:cs="Times New Roman"/>
          <w:kern w:val="0"/>
          <w:sz w:val="24"/>
          <w14:ligatures w14:val="none"/>
        </w:rPr>
        <w:t>P</w:t>
      </w:r>
      <w:r w:rsidRPr="006B4A66">
        <w:rPr>
          <w:rFonts w:ascii="Times New Roman" w:eastAsia="Calibri" w:hAnsi="Times New Roman" w:cs="Times New Roman"/>
          <w:kern w:val="0"/>
          <w:sz w:val="24"/>
          <w14:ligatures w14:val="none"/>
        </w:rPr>
        <w:t>.  Ordinance 19485; Section 29, and K.C.C. 16.03.057;</w:t>
      </w:r>
    </w:p>
    <w:p w14:paraId="08D5A8CD" w14:textId="2ADBF0B9"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BB6B9D">
        <w:rPr>
          <w:rFonts w:ascii="Times New Roman" w:eastAsia="Calibri" w:hAnsi="Times New Roman" w:cs="Times New Roman"/>
          <w:kern w:val="0"/>
          <w:sz w:val="24"/>
          <w14:ligatures w14:val="none"/>
        </w:rPr>
        <w:t>Q</w:t>
      </w:r>
      <w:r w:rsidRPr="006B4A66">
        <w:rPr>
          <w:rFonts w:ascii="Times New Roman" w:eastAsia="Calibri" w:hAnsi="Times New Roman" w:cs="Times New Roman"/>
          <w:kern w:val="0"/>
          <w:sz w:val="24"/>
          <w14:ligatures w14:val="none"/>
        </w:rPr>
        <w:t>.  Ordinance 14914, Section 133, as amended, and K.C.C. 16.04.260;</w:t>
      </w:r>
    </w:p>
    <w:p w14:paraId="07B980B1" w14:textId="52AEACA4"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BB6B9D">
        <w:rPr>
          <w:rFonts w:ascii="Times New Roman" w:eastAsia="Calibri" w:hAnsi="Times New Roman" w:cs="Times New Roman"/>
          <w:kern w:val="0"/>
          <w:sz w:val="24"/>
          <w14:ligatures w14:val="none"/>
        </w:rPr>
        <w:t>R</w:t>
      </w:r>
      <w:r w:rsidRPr="006B4A66">
        <w:rPr>
          <w:rFonts w:ascii="Times New Roman" w:eastAsia="Calibri" w:hAnsi="Times New Roman" w:cs="Times New Roman"/>
          <w:kern w:val="0"/>
          <w:sz w:val="24"/>
          <w14:ligatures w14:val="none"/>
        </w:rPr>
        <w:t>.  Ordinance 12560, Section 44, as amended, and K.C.C. 16.04.270;</w:t>
      </w:r>
    </w:p>
    <w:p w14:paraId="728AACF6" w14:textId="1221FBB4"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BB6B9D">
        <w:rPr>
          <w:rFonts w:ascii="Times New Roman" w:eastAsia="Calibri" w:hAnsi="Times New Roman" w:cs="Times New Roman"/>
          <w:kern w:val="0"/>
          <w:sz w:val="24"/>
          <w14:ligatures w14:val="none"/>
        </w:rPr>
        <w:t>S</w:t>
      </w:r>
      <w:r w:rsidRPr="006B4A66">
        <w:rPr>
          <w:rFonts w:ascii="Times New Roman" w:eastAsia="Calibri" w:hAnsi="Times New Roman" w:cs="Times New Roman"/>
          <w:kern w:val="0"/>
          <w:sz w:val="24"/>
          <w14:ligatures w14:val="none"/>
        </w:rPr>
        <w:t>.  Ordinance 14914, Section 141, as amended, and K.C.C. 16.04.290;</w:t>
      </w:r>
    </w:p>
    <w:p w14:paraId="4D1A4F14" w14:textId="3CC1DFFD"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BB6B9D">
        <w:rPr>
          <w:rFonts w:ascii="Times New Roman" w:eastAsia="Calibri" w:hAnsi="Times New Roman" w:cs="Times New Roman"/>
          <w:kern w:val="0"/>
          <w:sz w:val="24"/>
          <w14:ligatures w14:val="none"/>
        </w:rPr>
        <w:t>T</w:t>
      </w:r>
      <w:r w:rsidRPr="006B4A66">
        <w:rPr>
          <w:rFonts w:ascii="Times New Roman" w:eastAsia="Calibri" w:hAnsi="Times New Roman" w:cs="Times New Roman"/>
          <w:kern w:val="0"/>
          <w:sz w:val="24"/>
          <w14:ligatures w14:val="none"/>
        </w:rPr>
        <w:t>.  Ordinance 12560, Section 47, as amended, and K.C.C. 16.04.310;</w:t>
      </w:r>
    </w:p>
    <w:p w14:paraId="055899E5" w14:textId="74BABE34"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8601FC">
        <w:rPr>
          <w:rFonts w:ascii="Times New Roman" w:eastAsia="Calibri" w:hAnsi="Times New Roman" w:cs="Times New Roman"/>
          <w:kern w:val="0"/>
          <w:sz w:val="24"/>
          <w14:ligatures w14:val="none"/>
        </w:rPr>
        <w:t>U</w:t>
      </w:r>
      <w:r w:rsidRPr="006B4A66">
        <w:rPr>
          <w:rFonts w:ascii="Times New Roman" w:eastAsia="Calibri" w:hAnsi="Times New Roman" w:cs="Times New Roman"/>
          <w:kern w:val="0"/>
          <w:sz w:val="24"/>
          <w14:ligatures w14:val="none"/>
        </w:rPr>
        <w:t>.  Ordinance 14111, Section 55, as amended, and K.C.C. 16.04.330;</w:t>
      </w:r>
    </w:p>
    <w:p w14:paraId="3314A1B0" w14:textId="3B1FD42A"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8601FC">
        <w:rPr>
          <w:rFonts w:ascii="Times New Roman" w:eastAsia="Calibri" w:hAnsi="Times New Roman" w:cs="Times New Roman"/>
          <w:kern w:val="0"/>
          <w:sz w:val="24"/>
          <w14:ligatures w14:val="none"/>
        </w:rPr>
        <w:t>V</w:t>
      </w:r>
      <w:r w:rsidRPr="006B4A66">
        <w:rPr>
          <w:rFonts w:ascii="Times New Roman" w:eastAsia="Calibri" w:hAnsi="Times New Roman" w:cs="Times New Roman"/>
          <w:kern w:val="0"/>
          <w:sz w:val="24"/>
          <w14:ligatures w14:val="none"/>
        </w:rPr>
        <w:t>.  Ordinance 15802, Section 23, as amended, and K.C.C. 16.04.344;</w:t>
      </w:r>
    </w:p>
    <w:p w14:paraId="398B98F5" w14:textId="4F1B3216"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lastRenderedPageBreak/>
        <w:tab/>
      </w:r>
      <w:r w:rsidR="008601FC">
        <w:rPr>
          <w:rFonts w:ascii="Times New Roman" w:eastAsia="Calibri" w:hAnsi="Times New Roman" w:cs="Times New Roman"/>
          <w:kern w:val="0"/>
          <w:sz w:val="24"/>
          <w14:ligatures w14:val="none"/>
        </w:rPr>
        <w:t>W</w:t>
      </w:r>
      <w:r w:rsidRPr="006B4A66">
        <w:rPr>
          <w:rFonts w:ascii="Times New Roman" w:eastAsia="Calibri" w:hAnsi="Times New Roman" w:cs="Times New Roman"/>
          <w:kern w:val="0"/>
          <w:sz w:val="24"/>
          <w14:ligatures w14:val="none"/>
        </w:rPr>
        <w:t>.  Ordinance 15802, Section 24, and K.C.C. 16.04.346;</w:t>
      </w:r>
    </w:p>
    <w:p w14:paraId="3B77B570" w14:textId="615D663C"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8601FC">
        <w:rPr>
          <w:rFonts w:ascii="Times New Roman" w:eastAsia="Calibri" w:hAnsi="Times New Roman" w:cs="Times New Roman"/>
          <w:kern w:val="0"/>
          <w:sz w:val="24"/>
          <w14:ligatures w14:val="none"/>
        </w:rPr>
        <w:t>X</w:t>
      </w:r>
      <w:r w:rsidRPr="006B4A66">
        <w:rPr>
          <w:rFonts w:ascii="Times New Roman" w:eastAsia="Calibri" w:hAnsi="Times New Roman" w:cs="Times New Roman"/>
          <w:kern w:val="0"/>
          <w:sz w:val="24"/>
          <w14:ligatures w14:val="none"/>
        </w:rPr>
        <w:t>.  Ordinance 15802, Section 25, and K.C.C. 16.04.348;</w:t>
      </w:r>
    </w:p>
    <w:p w14:paraId="7A7859A2" w14:textId="5727E962"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8601FC">
        <w:rPr>
          <w:rFonts w:ascii="Times New Roman" w:eastAsia="Calibri" w:hAnsi="Times New Roman" w:cs="Times New Roman"/>
          <w:kern w:val="0"/>
          <w:sz w:val="24"/>
          <w14:ligatures w14:val="none"/>
        </w:rPr>
        <w:t>Y</w:t>
      </w:r>
      <w:r w:rsidRPr="006B4A66">
        <w:rPr>
          <w:rFonts w:ascii="Times New Roman" w:eastAsia="Calibri" w:hAnsi="Times New Roman" w:cs="Times New Roman"/>
          <w:kern w:val="0"/>
          <w:sz w:val="24"/>
          <w14:ligatures w14:val="none"/>
        </w:rPr>
        <w:t>.  Ordinance 14914, Section 155, as amended, and K.C.C. 16.04.360;</w:t>
      </w:r>
    </w:p>
    <w:p w14:paraId="761394C8" w14:textId="3131296C"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8601FC">
        <w:rPr>
          <w:rFonts w:ascii="Times New Roman" w:eastAsia="Calibri" w:hAnsi="Times New Roman" w:cs="Times New Roman"/>
          <w:kern w:val="0"/>
          <w:sz w:val="24"/>
          <w14:ligatures w14:val="none"/>
        </w:rPr>
        <w:t>Z</w:t>
      </w:r>
      <w:r w:rsidRPr="006B4A66">
        <w:rPr>
          <w:rFonts w:ascii="Times New Roman" w:eastAsia="Calibri" w:hAnsi="Times New Roman" w:cs="Times New Roman"/>
          <w:kern w:val="0"/>
          <w:sz w:val="24"/>
          <w14:ligatures w14:val="none"/>
        </w:rPr>
        <w:t>.  Ordinance 15802, Section 34, and K.C.C. 16.04.475;</w:t>
      </w:r>
    </w:p>
    <w:p w14:paraId="683FC373" w14:textId="460EDF63"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DA6974">
        <w:rPr>
          <w:rFonts w:ascii="Times New Roman" w:eastAsia="Calibri" w:hAnsi="Times New Roman" w:cs="Times New Roman"/>
          <w:kern w:val="0"/>
          <w:sz w:val="24"/>
          <w14:ligatures w14:val="none"/>
        </w:rPr>
        <w:t>AA</w:t>
      </w:r>
      <w:r w:rsidRPr="006B4A66">
        <w:rPr>
          <w:rFonts w:ascii="Times New Roman" w:eastAsia="Calibri" w:hAnsi="Times New Roman" w:cs="Times New Roman"/>
          <w:kern w:val="0"/>
          <w:sz w:val="24"/>
          <w14:ligatures w14:val="none"/>
        </w:rPr>
        <w:t>.  Ordinance 12560, Section 54, as amended, and K.C.C. 16.04.490;</w:t>
      </w:r>
    </w:p>
    <w:p w14:paraId="713A0A49" w14:textId="439CB9EC"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DA6974">
        <w:rPr>
          <w:rFonts w:ascii="Times New Roman" w:eastAsia="Calibri" w:hAnsi="Times New Roman" w:cs="Times New Roman"/>
          <w:kern w:val="0"/>
          <w:sz w:val="24"/>
          <w14:ligatures w14:val="none"/>
        </w:rPr>
        <w:t>BB</w:t>
      </w:r>
      <w:r w:rsidRPr="006B4A66">
        <w:rPr>
          <w:rFonts w:ascii="Times New Roman" w:eastAsia="Calibri" w:hAnsi="Times New Roman" w:cs="Times New Roman"/>
          <w:kern w:val="0"/>
          <w:sz w:val="24"/>
          <w14:ligatures w14:val="none"/>
        </w:rPr>
        <w:t>.  Ordinance 11923, Section 2, as amended, and K.C.C. 16.04.890;</w:t>
      </w:r>
    </w:p>
    <w:p w14:paraId="5AA987DB" w14:textId="6E956E38"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DA6974">
        <w:rPr>
          <w:rFonts w:ascii="Times New Roman" w:eastAsia="Calibri" w:hAnsi="Times New Roman" w:cs="Times New Roman"/>
          <w:kern w:val="0"/>
          <w:sz w:val="24"/>
          <w14:ligatures w14:val="none"/>
        </w:rPr>
        <w:t>CC</w:t>
      </w:r>
      <w:r w:rsidRPr="006B4A66">
        <w:rPr>
          <w:rFonts w:ascii="Times New Roman" w:eastAsia="Calibri" w:hAnsi="Times New Roman" w:cs="Times New Roman"/>
          <w:kern w:val="0"/>
          <w:sz w:val="24"/>
          <w14:ligatures w14:val="none"/>
        </w:rPr>
        <w:t>.  Ordinance 11923, Section 3, as amended, and K.C.C. 16.04.900;</w:t>
      </w:r>
    </w:p>
    <w:p w14:paraId="34CDC7C8" w14:textId="75B2523A"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DA6974">
        <w:rPr>
          <w:rFonts w:ascii="Times New Roman" w:eastAsia="Calibri" w:hAnsi="Times New Roman" w:cs="Times New Roman"/>
          <w:kern w:val="0"/>
          <w:sz w:val="24"/>
          <w14:ligatures w14:val="none"/>
        </w:rPr>
        <w:t>DD</w:t>
      </w:r>
      <w:r w:rsidRPr="006B4A66">
        <w:rPr>
          <w:rFonts w:ascii="Times New Roman" w:eastAsia="Calibri" w:hAnsi="Times New Roman" w:cs="Times New Roman"/>
          <w:kern w:val="0"/>
          <w:sz w:val="24"/>
          <w14:ligatures w14:val="none"/>
        </w:rPr>
        <w:t>.  Ordinance 19485, Section 5, and K.C.C. 16.04.930;</w:t>
      </w:r>
    </w:p>
    <w:p w14:paraId="55761AB9" w14:textId="55096CE3"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DA6974">
        <w:rPr>
          <w:rFonts w:ascii="Times New Roman" w:eastAsia="Calibri" w:hAnsi="Times New Roman" w:cs="Times New Roman"/>
          <w:kern w:val="0"/>
          <w:sz w:val="24"/>
          <w14:ligatures w14:val="none"/>
        </w:rPr>
        <w:t>EE</w:t>
      </w:r>
      <w:r w:rsidRPr="006B4A66">
        <w:rPr>
          <w:rFonts w:ascii="Times New Roman" w:eastAsia="Calibri" w:hAnsi="Times New Roman" w:cs="Times New Roman"/>
          <w:kern w:val="0"/>
          <w:sz w:val="24"/>
          <w14:ligatures w14:val="none"/>
        </w:rPr>
        <w:t>.  Ordinance 12380, Section 2, as amended, and K.C.C. 16.04.940;</w:t>
      </w:r>
    </w:p>
    <w:p w14:paraId="2EEC0798" w14:textId="65A31701"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DA6974">
        <w:rPr>
          <w:rFonts w:ascii="Times New Roman" w:eastAsia="Calibri" w:hAnsi="Times New Roman" w:cs="Times New Roman"/>
          <w:kern w:val="0"/>
          <w:sz w:val="24"/>
          <w14:ligatures w14:val="none"/>
        </w:rPr>
        <w:t>FF</w:t>
      </w:r>
      <w:r w:rsidRPr="006B4A66">
        <w:rPr>
          <w:rFonts w:ascii="Times New Roman" w:eastAsia="Calibri" w:hAnsi="Times New Roman" w:cs="Times New Roman"/>
          <w:kern w:val="0"/>
          <w:sz w:val="24"/>
          <w14:ligatures w14:val="none"/>
        </w:rPr>
        <w:t>.  Ordinance 12380, Section 3, as amended, and K.C.C. 16.04.950;</w:t>
      </w:r>
    </w:p>
    <w:p w14:paraId="2FEC2AA3" w14:textId="3CB679B3"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DA6974">
        <w:rPr>
          <w:rFonts w:ascii="Times New Roman" w:eastAsia="Calibri" w:hAnsi="Times New Roman" w:cs="Times New Roman"/>
          <w:kern w:val="0"/>
          <w:sz w:val="24"/>
          <w14:ligatures w14:val="none"/>
        </w:rPr>
        <w:t>GG</w:t>
      </w:r>
      <w:r w:rsidRPr="006B4A66">
        <w:rPr>
          <w:rFonts w:ascii="Times New Roman" w:eastAsia="Calibri" w:hAnsi="Times New Roman" w:cs="Times New Roman"/>
          <w:kern w:val="0"/>
          <w:sz w:val="24"/>
          <w14:ligatures w14:val="none"/>
        </w:rPr>
        <w:t>.  Ordinance 12380, Section 4, as amended, and K.C.C. 16.04.960;</w:t>
      </w:r>
    </w:p>
    <w:p w14:paraId="122C6F95" w14:textId="3F6796ED"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DA6974">
        <w:rPr>
          <w:rFonts w:ascii="Times New Roman" w:eastAsia="Calibri" w:hAnsi="Times New Roman" w:cs="Times New Roman"/>
          <w:kern w:val="0"/>
          <w:sz w:val="24"/>
          <w14:ligatures w14:val="none"/>
        </w:rPr>
        <w:t>HH</w:t>
      </w:r>
      <w:r w:rsidRPr="006B4A66">
        <w:rPr>
          <w:rFonts w:ascii="Times New Roman" w:eastAsia="Calibri" w:hAnsi="Times New Roman" w:cs="Times New Roman"/>
          <w:kern w:val="0"/>
          <w:sz w:val="24"/>
          <w14:ligatures w14:val="none"/>
        </w:rPr>
        <w:t>.  Ordinance 12380, Section 5, as amended, and K.C.C. 16.04.970;</w:t>
      </w:r>
    </w:p>
    <w:p w14:paraId="4DC15BBA" w14:textId="0415E635"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DA6974">
        <w:rPr>
          <w:rFonts w:ascii="Times New Roman" w:eastAsia="Calibri" w:hAnsi="Times New Roman" w:cs="Times New Roman"/>
          <w:kern w:val="0"/>
          <w:sz w:val="24"/>
          <w14:ligatures w14:val="none"/>
        </w:rPr>
        <w:t>II</w:t>
      </w:r>
      <w:r w:rsidRPr="006B4A66">
        <w:rPr>
          <w:rFonts w:ascii="Times New Roman" w:eastAsia="Calibri" w:hAnsi="Times New Roman" w:cs="Times New Roman"/>
          <w:kern w:val="0"/>
          <w:sz w:val="24"/>
          <w14:ligatures w14:val="none"/>
        </w:rPr>
        <w:t>.  Ordinance 7853, Section 1, as amended, and K.C.C. 16.04.980;</w:t>
      </w:r>
    </w:p>
    <w:p w14:paraId="0DE8DC0B" w14:textId="572D2624"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DA6974">
        <w:rPr>
          <w:rFonts w:ascii="Times New Roman" w:eastAsia="Calibri" w:hAnsi="Times New Roman" w:cs="Times New Roman"/>
          <w:kern w:val="0"/>
          <w:sz w:val="24"/>
          <w14:ligatures w14:val="none"/>
        </w:rPr>
        <w:t>JJ</w:t>
      </w:r>
      <w:r w:rsidRPr="006B4A66">
        <w:rPr>
          <w:rFonts w:ascii="Times New Roman" w:eastAsia="Calibri" w:hAnsi="Times New Roman" w:cs="Times New Roman"/>
          <w:kern w:val="0"/>
          <w:sz w:val="24"/>
          <w14:ligatures w14:val="none"/>
        </w:rPr>
        <w:t>.  Ordinance 14914, Section 276, as amended, and K.C.C. 16.05.080;</w:t>
      </w:r>
    </w:p>
    <w:p w14:paraId="394E53EF" w14:textId="7A1D1754"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DA6974">
        <w:rPr>
          <w:rFonts w:ascii="Times New Roman" w:eastAsia="Calibri" w:hAnsi="Times New Roman" w:cs="Times New Roman"/>
          <w:kern w:val="0"/>
          <w:sz w:val="24"/>
          <w14:ligatures w14:val="none"/>
        </w:rPr>
        <w:t>KK</w:t>
      </w:r>
      <w:r w:rsidRPr="006B4A66">
        <w:rPr>
          <w:rFonts w:ascii="Times New Roman" w:eastAsia="Calibri" w:hAnsi="Times New Roman" w:cs="Times New Roman"/>
          <w:kern w:val="0"/>
          <w:sz w:val="24"/>
          <w14:ligatures w14:val="none"/>
        </w:rPr>
        <w:t>.  Ordinance 19485, Section 73, and K.C.C. 16.07.050;</w:t>
      </w:r>
    </w:p>
    <w:p w14:paraId="0CF6CBAC" w14:textId="4914F311"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B9419C">
        <w:rPr>
          <w:rFonts w:ascii="Times New Roman" w:eastAsia="Calibri" w:hAnsi="Times New Roman" w:cs="Times New Roman"/>
          <w:kern w:val="0"/>
          <w:sz w:val="24"/>
          <w14:ligatures w14:val="none"/>
        </w:rPr>
        <w:t>LL</w:t>
      </w:r>
      <w:r w:rsidRPr="006B4A66">
        <w:rPr>
          <w:rFonts w:ascii="Times New Roman" w:eastAsia="Calibri" w:hAnsi="Times New Roman" w:cs="Times New Roman"/>
          <w:kern w:val="0"/>
          <w:sz w:val="24"/>
          <w14:ligatures w14:val="none"/>
        </w:rPr>
        <w:t>.  Ordinance 19485, Section 75, and K.C.C. 16.07.070;</w:t>
      </w:r>
    </w:p>
    <w:p w14:paraId="72F042C6" w14:textId="43BDAF43"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B9419C">
        <w:rPr>
          <w:rFonts w:ascii="Times New Roman" w:eastAsia="Calibri" w:hAnsi="Times New Roman" w:cs="Times New Roman"/>
          <w:kern w:val="0"/>
          <w:sz w:val="24"/>
          <w14:ligatures w14:val="none"/>
        </w:rPr>
        <w:t>MM</w:t>
      </w:r>
      <w:r w:rsidRPr="006B4A66">
        <w:rPr>
          <w:rFonts w:ascii="Times New Roman" w:eastAsia="Calibri" w:hAnsi="Times New Roman" w:cs="Times New Roman"/>
          <w:kern w:val="0"/>
          <w:sz w:val="24"/>
          <w14:ligatures w14:val="none"/>
        </w:rPr>
        <w:t>.  Ordinance 19485, Section 76, and K.C.C. 16.07.080;</w:t>
      </w:r>
    </w:p>
    <w:p w14:paraId="063E961A" w14:textId="5EF9803E"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B9419C">
        <w:rPr>
          <w:rFonts w:ascii="Times New Roman" w:eastAsia="Calibri" w:hAnsi="Times New Roman" w:cs="Times New Roman"/>
          <w:kern w:val="0"/>
          <w:sz w:val="24"/>
          <w14:ligatures w14:val="none"/>
        </w:rPr>
        <w:t>NN</w:t>
      </w:r>
      <w:r w:rsidRPr="006B4A66">
        <w:rPr>
          <w:rFonts w:ascii="Times New Roman" w:eastAsia="Calibri" w:hAnsi="Times New Roman" w:cs="Times New Roman"/>
          <w:kern w:val="0"/>
          <w:sz w:val="24"/>
          <w14:ligatures w14:val="none"/>
        </w:rPr>
        <w:t>.  Ordinance 19485, Section 76, and K.C.C. 16.07.090;</w:t>
      </w:r>
    </w:p>
    <w:p w14:paraId="2A1113C7" w14:textId="24B9C1BD"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B9419C">
        <w:rPr>
          <w:rFonts w:ascii="Times New Roman" w:eastAsia="Calibri" w:hAnsi="Times New Roman" w:cs="Times New Roman"/>
          <w:kern w:val="0"/>
          <w:sz w:val="24"/>
          <w14:ligatures w14:val="none"/>
        </w:rPr>
        <w:t>OO</w:t>
      </w:r>
      <w:r w:rsidRPr="006B4A66">
        <w:rPr>
          <w:rFonts w:ascii="Times New Roman" w:eastAsia="Calibri" w:hAnsi="Times New Roman" w:cs="Times New Roman"/>
          <w:kern w:val="0"/>
          <w:sz w:val="24"/>
          <w14:ligatures w14:val="none"/>
        </w:rPr>
        <w:t>.  Ordinance 19485, Section 80, and K.C.C. 16.07.120;</w:t>
      </w:r>
    </w:p>
    <w:p w14:paraId="6C3072D6" w14:textId="054A22C4"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B9419C">
        <w:rPr>
          <w:rFonts w:ascii="Times New Roman" w:eastAsia="Calibri" w:hAnsi="Times New Roman" w:cs="Times New Roman"/>
          <w:kern w:val="0"/>
          <w:sz w:val="24"/>
          <w14:ligatures w14:val="none"/>
        </w:rPr>
        <w:t>PP</w:t>
      </w:r>
      <w:r w:rsidRPr="006B4A66">
        <w:rPr>
          <w:rFonts w:ascii="Times New Roman" w:eastAsia="Calibri" w:hAnsi="Times New Roman" w:cs="Times New Roman"/>
          <w:kern w:val="0"/>
          <w:sz w:val="24"/>
          <w14:ligatures w14:val="none"/>
        </w:rPr>
        <w:t>.  Ordinance 19485, Section 81, and K.C.C. 16.07.130;</w:t>
      </w:r>
    </w:p>
    <w:p w14:paraId="19B268C4" w14:textId="08246809"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B9419C">
        <w:rPr>
          <w:rFonts w:ascii="Times New Roman" w:eastAsia="Calibri" w:hAnsi="Times New Roman" w:cs="Times New Roman"/>
          <w:kern w:val="0"/>
          <w:sz w:val="24"/>
          <w14:ligatures w14:val="none"/>
        </w:rPr>
        <w:t>QQ</w:t>
      </w:r>
      <w:r w:rsidRPr="006B4A66">
        <w:rPr>
          <w:rFonts w:ascii="Times New Roman" w:eastAsia="Calibri" w:hAnsi="Times New Roman" w:cs="Times New Roman"/>
          <w:kern w:val="0"/>
          <w:sz w:val="24"/>
          <w14:ligatures w14:val="none"/>
        </w:rPr>
        <w:t>.  Ordinance 19485 Section 83, and K.C.C. 16.07.150;</w:t>
      </w:r>
    </w:p>
    <w:p w14:paraId="6C69E5C4" w14:textId="77B7E8E6"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B9419C">
        <w:rPr>
          <w:rFonts w:ascii="Times New Roman" w:eastAsia="Calibri" w:hAnsi="Times New Roman" w:cs="Times New Roman"/>
          <w:kern w:val="0"/>
          <w:sz w:val="24"/>
          <w14:ligatures w14:val="none"/>
        </w:rPr>
        <w:t>RR</w:t>
      </w:r>
      <w:r w:rsidRPr="006B4A66">
        <w:rPr>
          <w:rFonts w:ascii="Times New Roman" w:eastAsia="Calibri" w:hAnsi="Times New Roman" w:cs="Times New Roman"/>
          <w:kern w:val="0"/>
          <w:sz w:val="24"/>
          <w14:ligatures w14:val="none"/>
        </w:rPr>
        <w:t>.  Ordinance 19485, Section 84, and K.C.C. 16.07.160;</w:t>
      </w:r>
    </w:p>
    <w:p w14:paraId="35A083BE" w14:textId="656EB245"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B9419C">
        <w:rPr>
          <w:rFonts w:ascii="Times New Roman" w:eastAsia="Calibri" w:hAnsi="Times New Roman" w:cs="Times New Roman"/>
          <w:kern w:val="0"/>
          <w:sz w:val="24"/>
          <w14:ligatures w14:val="none"/>
        </w:rPr>
        <w:t>SS</w:t>
      </w:r>
      <w:r w:rsidRPr="006B4A66">
        <w:rPr>
          <w:rFonts w:ascii="Times New Roman" w:eastAsia="Calibri" w:hAnsi="Times New Roman" w:cs="Times New Roman"/>
          <w:kern w:val="0"/>
          <w:sz w:val="24"/>
          <w14:ligatures w14:val="none"/>
        </w:rPr>
        <w:t>.  Ordinance 19485, Section 85, and K.C.C. 16.07.170;</w:t>
      </w:r>
    </w:p>
    <w:p w14:paraId="74A48EBF" w14:textId="62B9DE80"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lastRenderedPageBreak/>
        <w:tab/>
      </w:r>
      <w:r w:rsidR="00E566E2">
        <w:rPr>
          <w:rFonts w:ascii="Times New Roman" w:eastAsia="Calibri" w:hAnsi="Times New Roman" w:cs="Times New Roman"/>
          <w:kern w:val="0"/>
          <w:sz w:val="24"/>
          <w14:ligatures w14:val="none"/>
        </w:rPr>
        <w:t>TT</w:t>
      </w:r>
      <w:r w:rsidRPr="006B4A66">
        <w:rPr>
          <w:rFonts w:ascii="Times New Roman" w:eastAsia="Calibri" w:hAnsi="Times New Roman" w:cs="Times New Roman"/>
          <w:kern w:val="0"/>
          <w:sz w:val="24"/>
          <w14:ligatures w14:val="none"/>
        </w:rPr>
        <w:t>.  Ordinance 19485, Section 87, and K.C.C. 16.07.190;</w:t>
      </w:r>
    </w:p>
    <w:p w14:paraId="68052F25" w14:textId="0F99C1C0"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E566E2">
        <w:rPr>
          <w:rFonts w:ascii="Times New Roman" w:eastAsia="Calibri" w:hAnsi="Times New Roman" w:cs="Times New Roman"/>
          <w:kern w:val="0"/>
          <w:sz w:val="24"/>
          <w14:ligatures w14:val="none"/>
        </w:rPr>
        <w:t>UU</w:t>
      </w:r>
      <w:r w:rsidRPr="006B4A66">
        <w:rPr>
          <w:rFonts w:ascii="Times New Roman" w:eastAsia="Calibri" w:hAnsi="Times New Roman" w:cs="Times New Roman"/>
          <w:kern w:val="0"/>
          <w:sz w:val="24"/>
          <w14:ligatures w14:val="none"/>
        </w:rPr>
        <w:t>.  Ordinance 19485, Section 88, and K.C.C. 16.07.200;</w:t>
      </w:r>
    </w:p>
    <w:p w14:paraId="29EE7EBA" w14:textId="18AA8FC9"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E566E2">
        <w:rPr>
          <w:rFonts w:ascii="Times New Roman" w:eastAsia="Calibri" w:hAnsi="Times New Roman" w:cs="Times New Roman"/>
          <w:kern w:val="0"/>
          <w:sz w:val="24"/>
          <w14:ligatures w14:val="none"/>
        </w:rPr>
        <w:t>VV</w:t>
      </w:r>
      <w:r w:rsidRPr="006B4A66">
        <w:rPr>
          <w:rFonts w:ascii="Times New Roman" w:eastAsia="Calibri" w:hAnsi="Times New Roman" w:cs="Times New Roman"/>
          <w:kern w:val="0"/>
          <w:sz w:val="24"/>
          <w14:ligatures w14:val="none"/>
        </w:rPr>
        <w:t>.  Ordinance 19485, Section 89, and K.C.C. 16.07.210;</w:t>
      </w:r>
    </w:p>
    <w:p w14:paraId="3D8068B5" w14:textId="625ACBDD"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E566E2">
        <w:rPr>
          <w:rFonts w:ascii="Times New Roman" w:eastAsia="Calibri" w:hAnsi="Times New Roman" w:cs="Times New Roman"/>
          <w:kern w:val="0"/>
          <w:sz w:val="24"/>
          <w14:ligatures w14:val="none"/>
        </w:rPr>
        <w:t>WW</w:t>
      </w:r>
      <w:r w:rsidRPr="006B4A66">
        <w:rPr>
          <w:rFonts w:ascii="Times New Roman" w:eastAsia="Calibri" w:hAnsi="Times New Roman" w:cs="Times New Roman"/>
          <w:kern w:val="0"/>
          <w:sz w:val="24"/>
          <w14:ligatures w14:val="none"/>
        </w:rPr>
        <w:t>.  Ordinance 19485, Section 91, and K.C.C. 16.07.230;</w:t>
      </w:r>
    </w:p>
    <w:p w14:paraId="023DB802" w14:textId="504BBFD1"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E566E2">
        <w:rPr>
          <w:rFonts w:ascii="Times New Roman" w:eastAsia="Calibri" w:hAnsi="Times New Roman" w:cs="Times New Roman"/>
          <w:kern w:val="0"/>
          <w:sz w:val="24"/>
          <w14:ligatures w14:val="none"/>
        </w:rPr>
        <w:t>XX</w:t>
      </w:r>
      <w:r w:rsidRPr="006B4A66">
        <w:rPr>
          <w:rFonts w:ascii="Times New Roman" w:eastAsia="Calibri" w:hAnsi="Times New Roman" w:cs="Times New Roman"/>
          <w:kern w:val="0"/>
          <w:sz w:val="24"/>
          <w14:ligatures w14:val="none"/>
        </w:rPr>
        <w:t>.  Ordinance 19485, Section 92, and K.C.C. 16.07.240;</w:t>
      </w:r>
    </w:p>
    <w:p w14:paraId="14C8C672" w14:textId="050A894D"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E566E2">
        <w:rPr>
          <w:rFonts w:ascii="Times New Roman" w:eastAsia="Calibri" w:hAnsi="Times New Roman" w:cs="Times New Roman"/>
          <w:kern w:val="0"/>
          <w:sz w:val="24"/>
          <w14:ligatures w14:val="none"/>
        </w:rPr>
        <w:t>YY</w:t>
      </w:r>
      <w:r w:rsidRPr="006B4A66">
        <w:rPr>
          <w:rFonts w:ascii="Times New Roman" w:eastAsia="Calibri" w:hAnsi="Times New Roman" w:cs="Times New Roman"/>
          <w:kern w:val="0"/>
          <w:sz w:val="24"/>
          <w14:ligatures w14:val="none"/>
        </w:rPr>
        <w:t>.  Ordinance 19485, Section 93, and K.C.C. 16.07.250;</w:t>
      </w:r>
    </w:p>
    <w:p w14:paraId="7571D336" w14:textId="0041F052"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1F4CB0">
        <w:rPr>
          <w:rFonts w:ascii="Times New Roman" w:eastAsia="Calibri" w:hAnsi="Times New Roman" w:cs="Times New Roman"/>
          <w:kern w:val="0"/>
          <w:sz w:val="24"/>
          <w14:ligatures w14:val="none"/>
        </w:rPr>
        <w:t>ZZ</w:t>
      </w:r>
      <w:r w:rsidRPr="006B4A66">
        <w:rPr>
          <w:rFonts w:ascii="Times New Roman" w:eastAsia="Calibri" w:hAnsi="Times New Roman" w:cs="Times New Roman"/>
          <w:kern w:val="0"/>
          <w:sz w:val="24"/>
          <w14:ligatures w14:val="none"/>
        </w:rPr>
        <w:t>.  Ordinance 19485, Section 94, and K.C.C. 16.07.260;</w:t>
      </w:r>
    </w:p>
    <w:p w14:paraId="2AC0C09F" w14:textId="7CAD26BE"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1F4CB0">
        <w:rPr>
          <w:rFonts w:ascii="Times New Roman" w:eastAsia="Calibri" w:hAnsi="Times New Roman" w:cs="Times New Roman"/>
          <w:kern w:val="0"/>
          <w:sz w:val="24"/>
          <w14:ligatures w14:val="none"/>
        </w:rPr>
        <w:t>AAA</w:t>
      </w:r>
      <w:r w:rsidRPr="006B4A66">
        <w:rPr>
          <w:rFonts w:ascii="Times New Roman" w:eastAsia="Calibri" w:hAnsi="Times New Roman" w:cs="Times New Roman"/>
          <w:kern w:val="0"/>
          <w:sz w:val="24"/>
          <w14:ligatures w14:val="none"/>
        </w:rPr>
        <w:t>.  Ordinance 19485, Section 95, and K.C.C. 16.07.270;</w:t>
      </w:r>
    </w:p>
    <w:p w14:paraId="3FAA4CEF" w14:textId="34065D3D"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1F4CB0">
        <w:rPr>
          <w:rFonts w:ascii="Times New Roman" w:eastAsia="Calibri" w:hAnsi="Times New Roman" w:cs="Times New Roman"/>
          <w:kern w:val="0"/>
          <w:sz w:val="24"/>
          <w14:ligatures w14:val="none"/>
        </w:rPr>
        <w:t>BBB</w:t>
      </w:r>
      <w:r w:rsidRPr="006B4A66">
        <w:rPr>
          <w:rFonts w:ascii="Times New Roman" w:eastAsia="Calibri" w:hAnsi="Times New Roman" w:cs="Times New Roman"/>
          <w:kern w:val="0"/>
          <w:sz w:val="24"/>
          <w14:ligatures w14:val="none"/>
        </w:rPr>
        <w:t>.  Ordinance 19485, Section 96, and K.C.C. 16.07.280;</w:t>
      </w:r>
    </w:p>
    <w:p w14:paraId="03563702" w14:textId="7333C353"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1F4CB0">
        <w:rPr>
          <w:rFonts w:ascii="Times New Roman" w:eastAsia="Calibri" w:hAnsi="Times New Roman" w:cs="Times New Roman"/>
          <w:kern w:val="0"/>
          <w:sz w:val="24"/>
          <w14:ligatures w14:val="none"/>
        </w:rPr>
        <w:t>CCC</w:t>
      </w:r>
      <w:r w:rsidRPr="006B4A66">
        <w:rPr>
          <w:rFonts w:ascii="Times New Roman" w:eastAsia="Calibri" w:hAnsi="Times New Roman" w:cs="Times New Roman"/>
          <w:kern w:val="0"/>
          <w:sz w:val="24"/>
          <w14:ligatures w14:val="none"/>
        </w:rPr>
        <w:t>.</w:t>
      </w:r>
      <w:r w:rsidR="001F4CB0">
        <w:rPr>
          <w:rFonts w:ascii="Times New Roman" w:eastAsia="Calibri" w:hAnsi="Times New Roman" w:cs="Times New Roman"/>
          <w:kern w:val="0"/>
          <w:sz w:val="24"/>
          <w14:ligatures w14:val="none"/>
        </w:rPr>
        <w:t xml:space="preserve"> </w:t>
      </w:r>
      <w:r w:rsidRPr="006B4A66">
        <w:rPr>
          <w:rFonts w:ascii="Times New Roman" w:eastAsia="Calibri" w:hAnsi="Times New Roman" w:cs="Times New Roman"/>
          <w:kern w:val="0"/>
          <w:sz w:val="24"/>
          <w14:ligatures w14:val="none"/>
        </w:rPr>
        <w:t xml:space="preserve"> Ordinance 19485, Section 98, and K.C.C. 16.07.300</w:t>
      </w:r>
    </w:p>
    <w:p w14:paraId="1D88F476" w14:textId="23D94303"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1F4CB0">
        <w:rPr>
          <w:rFonts w:ascii="Times New Roman" w:eastAsia="Calibri" w:hAnsi="Times New Roman" w:cs="Times New Roman"/>
          <w:kern w:val="0"/>
          <w:sz w:val="24"/>
          <w14:ligatures w14:val="none"/>
        </w:rPr>
        <w:t>DDD</w:t>
      </w:r>
      <w:r w:rsidRPr="006B4A66">
        <w:rPr>
          <w:rFonts w:ascii="Times New Roman" w:eastAsia="Calibri" w:hAnsi="Times New Roman" w:cs="Times New Roman"/>
          <w:kern w:val="0"/>
          <w:sz w:val="24"/>
          <w14:ligatures w14:val="none"/>
        </w:rPr>
        <w:t>.  Ordinance 19485, Section 101, and K.C.C. 16.07.330;</w:t>
      </w:r>
    </w:p>
    <w:p w14:paraId="2A171734" w14:textId="60EC874E"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1F4CB0">
        <w:rPr>
          <w:rFonts w:ascii="Times New Roman" w:eastAsia="Calibri" w:hAnsi="Times New Roman" w:cs="Times New Roman"/>
          <w:kern w:val="0"/>
          <w:sz w:val="24"/>
          <w14:ligatures w14:val="none"/>
        </w:rPr>
        <w:t>EEE</w:t>
      </w:r>
      <w:r w:rsidRPr="006B4A66">
        <w:rPr>
          <w:rFonts w:ascii="Times New Roman" w:eastAsia="Calibri" w:hAnsi="Times New Roman" w:cs="Times New Roman"/>
          <w:kern w:val="0"/>
          <w:sz w:val="24"/>
          <w14:ligatures w14:val="none"/>
        </w:rPr>
        <w:t>.  Ordinance 19485, Section 102, and K.C.C. 16.07.340;</w:t>
      </w:r>
    </w:p>
    <w:p w14:paraId="52E1F28B" w14:textId="6D0FA488"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1F4CB0">
        <w:rPr>
          <w:rFonts w:ascii="Times New Roman" w:eastAsia="Calibri" w:hAnsi="Times New Roman" w:cs="Times New Roman"/>
          <w:kern w:val="0"/>
          <w:sz w:val="24"/>
          <w14:ligatures w14:val="none"/>
        </w:rPr>
        <w:t>FFF</w:t>
      </w:r>
      <w:r w:rsidRPr="006B4A66">
        <w:rPr>
          <w:rFonts w:ascii="Times New Roman" w:eastAsia="Calibri" w:hAnsi="Times New Roman" w:cs="Times New Roman"/>
          <w:kern w:val="0"/>
          <w:sz w:val="24"/>
          <w14:ligatures w14:val="none"/>
        </w:rPr>
        <w:t>.  Ordinance 19485, Section 103, and K.C.C. 16.07.350;</w:t>
      </w:r>
    </w:p>
    <w:p w14:paraId="4122915E" w14:textId="0C27F683"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393DB7">
        <w:rPr>
          <w:rFonts w:ascii="Times New Roman" w:eastAsia="Calibri" w:hAnsi="Times New Roman" w:cs="Times New Roman"/>
          <w:kern w:val="0"/>
          <w:sz w:val="24"/>
          <w14:ligatures w14:val="none"/>
        </w:rPr>
        <w:t>GGG</w:t>
      </w:r>
      <w:r w:rsidRPr="006B4A66">
        <w:rPr>
          <w:rFonts w:ascii="Times New Roman" w:eastAsia="Calibri" w:hAnsi="Times New Roman" w:cs="Times New Roman"/>
          <w:kern w:val="0"/>
          <w:sz w:val="24"/>
          <w14:ligatures w14:val="none"/>
        </w:rPr>
        <w:t>.  Ordinance 19485, Section 104, and K.C.C. 16.07.360;</w:t>
      </w:r>
    </w:p>
    <w:p w14:paraId="662F98F0" w14:textId="7428B1DD"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393DB7">
        <w:rPr>
          <w:rFonts w:ascii="Times New Roman" w:eastAsia="Calibri" w:hAnsi="Times New Roman" w:cs="Times New Roman"/>
          <w:kern w:val="0"/>
          <w:sz w:val="24"/>
          <w14:ligatures w14:val="none"/>
        </w:rPr>
        <w:t>HHH</w:t>
      </w:r>
      <w:r w:rsidRPr="006B4A66">
        <w:rPr>
          <w:rFonts w:ascii="Times New Roman" w:eastAsia="Calibri" w:hAnsi="Times New Roman" w:cs="Times New Roman"/>
          <w:kern w:val="0"/>
          <w:sz w:val="24"/>
          <w14:ligatures w14:val="none"/>
        </w:rPr>
        <w:t>.  Ordinance 19485, Section 105, and K.C.C. 16.07.370;</w:t>
      </w:r>
    </w:p>
    <w:p w14:paraId="4B0B2E91" w14:textId="583C66EA" w:rsid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393DB7">
        <w:rPr>
          <w:rFonts w:ascii="Times New Roman" w:eastAsia="Calibri" w:hAnsi="Times New Roman" w:cs="Times New Roman"/>
          <w:kern w:val="0"/>
          <w:sz w:val="24"/>
          <w14:ligatures w14:val="none"/>
        </w:rPr>
        <w:t>III</w:t>
      </w:r>
      <w:r w:rsidRPr="006B4A66">
        <w:rPr>
          <w:rFonts w:ascii="Times New Roman" w:eastAsia="Calibri" w:hAnsi="Times New Roman" w:cs="Times New Roman"/>
          <w:kern w:val="0"/>
          <w:sz w:val="24"/>
          <w14:ligatures w14:val="none"/>
        </w:rPr>
        <w:t>.  Ordinance 19485, Section 106, and K.C.C. 16.07.380;</w:t>
      </w:r>
    </w:p>
    <w:p w14:paraId="3BB1F626" w14:textId="2045141F" w:rsidR="00817B44" w:rsidRPr="006B4A66" w:rsidRDefault="00817B44" w:rsidP="0073496A">
      <w:pPr>
        <w:tabs>
          <w:tab w:val="left" w:pos="720"/>
        </w:tabs>
        <w:spacing w:after="0" w:line="480" w:lineRule="auto"/>
        <w:rPr>
          <w:rFonts w:ascii="Times New Roman" w:eastAsia="Calibri" w:hAnsi="Times New Roman" w:cs="Times New Roman"/>
          <w:kern w:val="0"/>
          <w:sz w:val="24"/>
          <w14:ligatures w14:val="none"/>
        </w:rPr>
      </w:pPr>
      <w:r>
        <w:rPr>
          <w:rFonts w:ascii="Times New Roman" w:eastAsia="Calibri" w:hAnsi="Times New Roman" w:cs="Times New Roman"/>
          <w:kern w:val="0"/>
          <w:sz w:val="24"/>
          <w14:ligatures w14:val="none"/>
        </w:rPr>
        <w:tab/>
      </w:r>
      <w:r w:rsidR="00393DB7">
        <w:rPr>
          <w:rFonts w:ascii="Times New Roman" w:eastAsia="Calibri" w:hAnsi="Times New Roman" w:cs="Times New Roman"/>
          <w:kern w:val="0"/>
          <w:sz w:val="24"/>
          <w14:ligatures w14:val="none"/>
        </w:rPr>
        <w:t>JJJ</w:t>
      </w:r>
      <w:r>
        <w:rPr>
          <w:rFonts w:ascii="Times New Roman" w:eastAsia="Calibri" w:hAnsi="Times New Roman" w:cs="Times New Roman"/>
          <w:kern w:val="0"/>
          <w:sz w:val="24"/>
          <w14:ligatures w14:val="none"/>
        </w:rPr>
        <w:t>.  Ordinance 19485, Section 107, and K.C.C. 16.07.390;</w:t>
      </w:r>
    </w:p>
    <w:p w14:paraId="0706426D" w14:textId="1521BF6F"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3C363E">
        <w:rPr>
          <w:rFonts w:ascii="Times New Roman" w:eastAsia="Calibri" w:hAnsi="Times New Roman" w:cs="Times New Roman"/>
          <w:kern w:val="0"/>
          <w:sz w:val="24"/>
          <w14:ligatures w14:val="none"/>
        </w:rPr>
        <w:t>KKK</w:t>
      </w:r>
      <w:r w:rsidRPr="006B4A66">
        <w:rPr>
          <w:rFonts w:ascii="Times New Roman" w:eastAsia="Calibri" w:hAnsi="Times New Roman" w:cs="Times New Roman"/>
          <w:kern w:val="0"/>
          <w:sz w:val="24"/>
          <w14:ligatures w14:val="none"/>
        </w:rPr>
        <w:t>.  Ordinance 19485, Section 108, and K.C.C. 16.07.400;</w:t>
      </w:r>
    </w:p>
    <w:p w14:paraId="162F0998" w14:textId="4AB9B474"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3C363E">
        <w:rPr>
          <w:rFonts w:ascii="Times New Roman" w:eastAsia="Calibri" w:hAnsi="Times New Roman" w:cs="Times New Roman"/>
          <w:kern w:val="0"/>
          <w:sz w:val="24"/>
          <w14:ligatures w14:val="none"/>
        </w:rPr>
        <w:t>LLL</w:t>
      </w:r>
      <w:r w:rsidRPr="006B4A66">
        <w:rPr>
          <w:rFonts w:ascii="Times New Roman" w:eastAsia="Calibri" w:hAnsi="Times New Roman" w:cs="Times New Roman"/>
          <w:kern w:val="0"/>
          <w:sz w:val="24"/>
          <w14:ligatures w14:val="none"/>
        </w:rPr>
        <w:t>.  Ordinance 19485, Section 109, and K.C.C. 16.07.410;</w:t>
      </w:r>
    </w:p>
    <w:p w14:paraId="258FD653" w14:textId="514CA9A5"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3C363E">
        <w:rPr>
          <w:rFonts w:ascii="Times New Roman" w:eastAsia="Calibri" w:hAnsi="Times New Roman" w:cs="Times New Roman"/>
          <w:kern w:val="0"/>
          <w:sz w:val="24"/>
          <w14:ligatures w14:val="none"/>
        </w:rPr>
        <w:t>MM</w:t>
      </w:r>
      <w:r w:rsidRPr="006B4A66">
        <w:rPr>
          <w:rFonts w:ascii="Times New Roman" w:eastAsia="Calibri" w:hAnsi="Times New Roman" w:cs="Times New Roman"/>
          <w:kern w:val="0"/>
          <w:sz w:val="24"/>
          <w14:ligatures w14:val="none"/>
        </w:rPr>
        <w:t>.  Ordinance 19485, Section 110, and K.C.C. 16.07.420;</w:t>
      </w:r>
    </w:p>
    <w:p w14:paraId="1A1DFA48" w14:textId="0515012D"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3C363E">
        <w:rPr>
          <w:rFonts w:ascii="Times New Roman" w:eastAsia="Calibri" w:hAnsi="Times New Roman" w:cs="Times New Roman"/>
          <w:kern w:val="0"/>
          <w:sz w:val="24"/>
          <w14:ligatures w14:val="none"/>
        </w:rPr>
        <w:t>NNN</w:t>
      </w:r>
      <w:r w:rsidRPr="006B4A66">
        <w:rPr>
          <w:rFonts w:ascii="Times New Roman" w:eastAsia="Calibri" w:hAnsi="Times New Roman" w:cs="Times New Roman"/>
          <w:kern w:val="0"/>
          <w:sz w:val="24"/>
          <w14:ligatures w14:val="none"/>
        </w:rPr>
        <w:t>.  Ordinance 19485, Section 111, and K.C.C. 16.07.430;</w:t>
      </w:r>
    </w:p>
    <w:p w14:paraId="0B17649E" w14:textId="11DAD3D9"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3C363E">
        <w:rPr>
          <w:rFonts w:ascii="Times New Roman" w:eastAsia="Calibri" w:hAnsi="Times New Roman" w:cs="Times New Roman"/>
          <w:kern w:val="0"/>
          <w:sz w:val="24"/>
          <w14:ligatures w14:val="none"/>
        </w:rPr>
        <w:t>OOO</w:t>
      </w:r>
      <w:r w:rsidRPr="006B4A66">
        <w:rPr>
          <w:rFonts w:ascii="Times New Roman" w:eastAsia="Calibri" w:hAnsi="Times New Roman" w:cs="Times New Roman"/>
          <w:kern w:val="0"/>
          <w:sz w:val="24"/>
          <w14:ligatures w14:val="none"/>
        </w:rPr>
        <w:t>.  Ordinance 19485, Section 112, and K.C.C. 16.07.440;</w:t>
      </w:r>
    </w:p>
    <w:p w14:paraId="1B7BA751" w14:textId="12FDDDAA"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3C363E">
        <w:rPr>
          <w:rFonts w:ascii="Times New Roman" w:eastAsia="Calibri" w:hAnsi="Times New Roman" w:cs="Times New Roman"/>
          <w:kern w:val="0"/>
          <w:sz w:val="24"/>
          <w14:ligatures w14:val="none"/>
        </w:rPr>
        <w:t>PPP</w:t>
      </w:r>
      <w:r w:rsidRPr="006B4A66">
        <w:rPr>
          <w:rFonts w:ascii="Times New Roman" w:eastAsia="Calibri" w:hAnsi="Times New Roman" w:cs="Times New Roman"/>
          <w:kern w:val="0"/>
          <w:sz w:val="24"/>
          <w14:ligatures w14:val="none"/>
        </w:rPr>
        <w:t>.  Ordinance 19485, Section 113, and K.C.C. 16.07.450;</w:t>
      </w:r>
    </w:p>
    <w:p w14:paraId="71CE7E74" w14:textId="302D6E38"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lastRenderedPageBreak/>
        <w:tab/>
      </w:r>
      <w:r w:rsidR="00921C6D">
        <w:rPr>
          <w:rFonts w:ascii="Times New Roman" w:eastAsia="Calibri" w:hAnsi="Times New Roman" w:cs="Times New Roman"/>
          <w:kern w:val="0"/>
          <w:sz w:val="24"/>
          <w14:ligatures w14:val="none"/>
        </w:rPr>
        <w:t>QQQ</w:t>
      </w:r>
      <w:r w:rsidRPr="006B4A66">
        <w:rPr>
          <w:rFonts w:ascii="Times New Roman" w:eastAsia="Calibri" w:hAnsi="Times New Roman" w:cs="Times New Roman"/>
          <w:kern w:val="0"/>
          <w:sz w:val="24"/>
          <w14:ligatures w14:val="none"/>
        </w:rPr>
        <w:t>.  Ordinance 19485, Section 115, and K.C.C. 16.07.470;</w:t>
      </w:r>
    </w:p>
    <w:p w14:paraId="19D6128B" w14:textId="59EA1B4E"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921C6D">
        <w:rPr>
          <w:rFonts w:ascii="Times New Roman" w:eastAsia="Calibri" w:hAnsi="Times New Roman" w:cs="Times New Roman"/>
          <w:kern w:val="0"/>
          <w:sz w:val="24"/>
          <w14:ligatures w14:val="none"/>
        </w:rPr>
        <w:t>RRR</w:t>
      </w:r>
      <w:r w:rsidRPr="006B4A66">
        <w:rPr>
          <w:rFonts w:ascii="Times New Roman" w:eastAsia="Calibri" w:hAnsi="Times New Roman" w:cs="Times New Roman"/>
          <w:kern w:val="0"/>
          <w:sz w:val="24"/>
          <w14:ligatures w14:val="none"/>
        </w:rPr>
        <w:t>.  Ordinance 19485, Section 116, and K.C.C. 16.07.480;</w:t>
      </w:r>
    </w:p>
    <w:p w14:paraId="44920F46" w14:textId="05266BB0"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921C6D">
        <w:rPr>
          <w:rFonts w:ascii="Times New Roman" w:eastAsia="Calibri" w:hAnsi="Times New Roman" w:cs="Times New Roman"/>
          <w:kern w:val="0"/>
          <w:sz w:val="24"/>
          <w14:ligatures w14:val="none"/>
        </w:rPr>
        <w:t>SSS</w:t>
      </w:r>
      <w:r w:rsidRPr="006B4A66">
        <w:rPr>
          <w:rFonts w:ascii="Times New Roman" w:eastAsia="Calibri" w:hAnsi="Times New Roman" w:cs="Times New Roman"/>
          <w:kern w:val="0"/>
          <w:sz w:val="24"/>
          <w14:ligatures w14:val="none"/>
        </w:rPr>
        <w:t>.  Ordinance 19485, Section 118, and K.C.C. 16.07.500;</w:t>
      </w:r>
    </w:p>
    <w:p w14:paraId="3260D3C9" w14:textId="2DFDE514"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921C6D">
        <w:rPr>
          <w:rFonts w:ascii="Times New Roman" w:eastAsia="Calibri" w:hAnsi="Times New Roman" w:cs="Times New Roman"/>
          <w:kern w:val="0"/>
          <w:sz w:val="24"/>
          <w14:ligatures w14:val="none"/>
        </w:rPr>
        <w:t>TTT</w:t>
      </w:r>
      <w:r w:rsidRPr="006B4A66">
        <w:rPr>
          <w:rFonts w:ascii="Times New Roman" w:eastAsia="Calibri" w:hAnsi="Times New Roman" w:cs="Times New Roman"/>
          <w:kern w:val="0"/>
          <w:sz w:val="24"/>
          <w14:ligatures w14:val="none"/>
        </w:rPr>
        <w:t>.  Ordinance 19485, Section 119, and K.C.C. 16.07.510;</w:t>
      </w:r>
    </w:p>
    <w:p w14:paraId="47A99A50" w14:textId="0049F534"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921C6D">
        <w:rPr>
          <w:rFonts w:ascii="Times New Roman" w:eastAsia="Calibri" w:hAnsi="Times New Roman" w:cs="Times New Roman"/>
          <w:kern w:val="0"/>
          <w:sz w:val="24"/>
          <w14:ligatures w14:val="none"/>
        </w:rPr>
        <w:t>UUU</w:t>
      </w:r>
      <w:r w:rsidRPr="006B4A66">
        <w:rPr>
          <w:rFonts w:ascii="Times New Roman" w:eastAsia="Calibri" w:hAnsi="Times New Roman" w:cs="Times New Roman"/>
          <w:kern w:val="0"/>
          <w:sz w:val="24"/>
          <w14:ligatures w14:val="none"/>
        </w:rPr>
        <w:t>.  Ordinance 19485, Section 120, and K.C.C. 16.07.520;</w:t>
      </w:r>
    </w:p>
    <w:p w14:paraId="5091D62A" w14:textId="30508390"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921C6D">
        <w:rPr>
          <w:rFonts w:ascii="Times New Roman" w:eastAsia="Calibri" w:hAnsi="Times New Roman" w:cs="Times New Roman"/>
          <w:kern w:val="0"/>
          <w:sz w:val="24"/>
          <w14:ligatures w14:val="none"/>
        </w:rPr>
        <w:t>VVV</w:t>
      </w:r>
      <w:r w:rsidRPr="006B4A66">
        <w:rPr>
          <w:rFonts w:ascii="Times New Roman" w:eastAsia="Calibri" w:hAnsi="Times New Roman" w:cs="Times New Roman"/>
          <w:kern w:val="0"/>
          <w:sz w:val="24"/>
          <w14:ligatures w14:val="none"/>
        </w:rPr>
        <w:t>.  Ordinance 19485, Section 121, and K.C.C. 16.07.530;</w:t>
      </w:r>
    </w:p>
    <w:p w14:paraId="05D1E0B4" w14:textId="1BD40395"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921C6D">
        <w:rPr>
          <w:rFonts w:ascii="Times New Roman" w:eastAsia="Calibri" w:hAnsi="Times New Roman" w:cs="Times New Roman"/>
          <w:kern w:val="0"/>
          <w:sz w:val="24"/>
          <w14:ligatures w14:val="none"/>
        </w:rPr>
        <w:t>WWW</w:t>
      </w:r>
      <w:r w:rsidRPr="006B4A66">
        <w:rPr>
          <w:rFonts w:ascii="Times New Roman" w:eastAsia="Calibri" w:hAnsi="Times New Roman" w:cs="Times New Roman"/>
          <w:kern w:val="0"/>
          <w:sz w:val="24"/>
          <w14:ligatures w14:val="none"/>
        </w:rPr>
        <w:t>.  Ordinance 19485, Section 122, and K.C.C. 16.07.540;</w:t>
      </w:r>
    </w:p>
    <w:p w14:paraId="5FA60BE4" w14:textId="2F9A2BF1"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921C6D">
        <w:rPr>
          <w:rFonts w:ascii="Times New Roman" w:eastAsia="Calibri" w:hAnsi="Times New Roman" w:cs="Times New Roman"/>
          <w:kern w:val="0"/>
          <w:sz w:val="24"/>
          <w14:ligatures w14:val="none"/>
        </w:rPr>
        <w:t>XXX</w:t>
      </w:r>
      <w:r w:rsidRPr="006B4A66">
        <w:rPr>
          <w:rFonts w:ascii="Times New Roman" w:eastAsia="Calibri" w:hAnsi="Times New Roman" w:cs="Times New Roman"/>
          <w:kern w:val="0"/>
          <w:sz w:val="24"/>
          <w14:ligatures w14:val="none"/>
        </w:rPr>
        <w:t>.  Ordinance 19485, Section 123, and K.C.C. 16.07.550;</w:t>
      </w:r>
    </w:p>
    <w:p w14:paraId="00231401" w14:textId="48949AF6"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3F3F01">
        <w:rPr>
          <w:rFonts w:ascii="Times New Roman" w:eastAsia="Calibri" w:hAnsi="Times New Roman" w:cs="Times New Roman"/>
          <w:kern w:val="0"/>
          <w:sz w:val="24"/>
          <w14:ligatures w14:val="none"/>
        </w:rPr>
        <w:t>YYY</w:t>
      </w:r>
      <w:r w:rsidRPr="006B4A66">
        <w:rPr>
          <w:rFonts w:ascii="Times New Roman" w:eastAsia="Calibri" w:hAnsi="Times New Roman" w:cs="Times New Roman"/>
          <w:kern w:val="0"/>
          <w:sz w:val="24"/>
          <w14:ligatures w14:val="none"/>
        </w:rPr>
        <w:t>.  Ordinance 14111, Section 73, and K.C.C. 16.10.010;</w:t>
      </w:r>
    </w:p>
    <w:p w14:paraId="5CC32C99" w14:textId="0809A41D"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3F3F01">
        <w:rPr>
          <w:rFonts w:ascii="Times New Roman" w:eastAsia="Calibri" w:hAnsi="Times New Roman" w:cs="Times New Roman"/>
          <w:kern w:val="0"/>
          <w:sz w:val="24"/>
          <w14:ligatures w14:val="none"/>
        </w:rPr>
        <w:t>ZZZ</w:t>
      </w:r>
      <w:r w:rsidRPr="006B4A66">
        <w:rPr>
          <w:rFonts w:ascii="Times New Roman" w:eastAsia="Calibri" w:hAnsi="Times New Roman" w:cs="Times New Roman"/>
          <w:kern w:val="0"/>
          <w:sz w:val="24"/>
          <w14:ligatures w14:val="none"/>
        </w:rPr>
        <w:t>.  Ordinance 12560, Section 58, as amended, and K.C.C. 16.10.020;</w:t>
      </w:r>
    </w:p>
    <w:p w14:paraId="4692D94D" w14:textId="74E9B0B8"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797C12">
        <w:rPr>
          <w:rFonts w:ascii="Times New Roman" w:eastAsia="Calibri" w:hAnsi="Times New Roman" w:cs="Times New Roman"/>
          <w:kern w:val="0"/>
          <w:sz w:val="24"/>
          <w14:ligatures w14:val="none"/>
        </w:rPr>
        <w:t>AAAA</w:t>
      </w:r>
      <w:r w:rsidRPr="006B4A66">
        <w:rPr>
          <w:rFonts w:ascii="Times New Roman" w:eastAsia="Calibri" w:hAnsi="Times New Roman" w:cs="Times New Roman"/>
          <w:kern w:val="0"/>
          <w:sz w:val="24"/>
          <w14:ligatures w14:val="none"/>
        </w:rPr>
        <w:t>.  Ordinance 12560, Section 59, as amended, and K.C.C. 16.10.030;</w:t>
      </w:r>
    </w:p>
    <w:p w14:paraId="0AA74088" w14:textId="442D67EC"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797C12">
        <w:rPr>
          <w:rFonts w:ascii="Times New Roman" w:eastAsia="Calibri" w:hAnsi="Times New Roman" w:cs="Times New Roman"/>
          <w:kern w:val="0"/>
          <w:sz w:val="24"/>
          <w14:ligatures w14:val="none"/>
        </w:rPr>
        <w:t>BBBB</w:t>
      </w:r>
      <w:r w:rsidRPr="006B4A66">
        <w:rPr>
          <w:rFonts w:ascii="Times New Roman" w:eastAsia="Calibri" w:hAnsi="Times New Roman" w:cs="Times New Roman"/>
          <w:kern w:val="0"/>
          <w:sz w:val="24"/>
          <w14:ligatures w14:val="none"/>
        </w:rPr>
        <w:t>.  Ordinance 12560, Section 60, and as amended, K.C.C. 16.10.040;</w:t>
      </w:r>
    </w:p>
    <w:p w14:paraId="4D6367EA" w14:textId="1CF8A3ED"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797C12">
        <w:rPr>
          <w:rFonts w:ascii="Times New Roman" w:eastAsia="Calibri" w:hAnsi="Times New Roman" w:cs="Times New Roman"/>
          <w:kern w:val="0"/>
          <w:sz w:val="24"/>
          <w14:ligatures w14:val="none"/>
        </w:rPr>
        <w:t>CCCC</w:t>
      </w:r>
      <w:r w:rsidRPr="006B4A66">
        <w:rPr>
          <w:rFonts w:ascii="Times New Roman" w:eastAsia="Calibri" w:hAnsi="Times New Roman" w:cs="Times New Roman"/>
          <w:kern w:val="0"/>
          <w:sz w:val="24"/>
          <w14:ligatures w14:val="none"/>
        </w:rPr>
        <w:t>.  Ordinance 12560, Section 61, as amended, and K.C.C. 16.10.050;</w:t>
      </w:r>
    </w:p>
    <w:p w14:paraId="799652EC" w14:textId="10B32B54"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797C12">
        <w:rPr>
          <w:rFonts w:ascii="Times New Roman" w:eastAsia="Calibri" w:hAnsi="Times New Roman" w:cs="Times New Roman"/>
          <w:kern w:val="0"/>
          <w:sz w:val="24"/>
          <w14:ligatures w14:val="none"/>
        </w:rPr>
        <w:t>DDDD</w:t>
      </w:r>
      <w:r w:rsidRPr="006B4A66">
        <w:rPr>
          <w:rFonts w:ascii="Times New Roman" w:eastAsia="Calibri" w:hAnsi="Times New Roman" w:cs="Times New Roman"/>
          <w:kern w:val="0"/>
          <w:sz w:val="24"/>
          <w14:ligatures w14:val="none"/>
        </w:rPr>
        <w:t>.  Ordinance 12560, Section 62, as amended, and K.C.C. 16.10.060;</w:t>
      </w:r>
    </w:p>
    <w:p w14:paraId="16F81C8D" w14:textId="4491E41F"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797C12">
        <w:rPr>
          <w:rFonts w:ascii="Times New Roman" w:eastAsia="Calibri" w:hAnsi="Times New Roman" w:cs="Times New Roman"/>
          <w:kern w:val="0"/>
          <w:sz w:val="24"/>
          <w14:ligatures w14:val="none"/>
        </w:rPr>
        <w:t>EEEE</w:t>
      </w:r>
      <w:r w:rsidRPr="006B4A66">
        <w:rPr>
          <w:rFonts w:ascii="Times New Roman" w:eastAsia="Calibri" w:hAnsi="Times New Roman" w:cs="Times New Roman"/>
          <w:kern w:val="0"/>
          <w:sz w:val="24"/>
          <w14:ligatures w14:val="none"/>
        </w:rPr>
        <w:t>.  Ordinance 12560, Section 63, as amended, and K.C.C. 16.10.070;</w:t>
      </w:r>
    </w:p>
    <w:p w14:paraId="476C0797" w14:textId="2BE9525A"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797C12">
        <w:rPr>
          <w:rFonts w:ascii="Times New Roman" w:eastAsia="Calibri" w:hAnsi="Times New Roman" w:cs="Times New Roman"/>
          <w:kern w:val="0"/>
          <w:sz w:val="24"/>
          <w14:ligatures w14:val="none"/>
        </w:rPr>
        <w:t>FFFF</w:t>
      </w:r>
      <w:r w:rsidRPr="006B4A66">
        <w:rPr>
          <w:rFonts w:ascii="Times New Roman" w:eastAsia="Calibri" w:hAnsi="Times New Roman" w:cs="Times New Roman"/>
          <w:kern w:val="0"/>
          <w:sz w:val="24"/>
          <w14:ligatures w14:val="none"/>
        </w:rPr>
        <w:t>.  Ordinance 12560, Section 64, as amended, and K.C.C. 16.10.080;</w:t>
      </w:r>
    </w:p>
    <w:p w14:paraId="166C18CE" w14:textId="31091F69"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C17B12">
        <w:rPr>
          <w:rFonts w:ascii="Times New Roman" w:eastAsia="Calibri" w:hAnsi="Times New Roman" w:cs="Times New Roman"/>
          <w:kern w:val="0"/>
          <w:sz w:val="24"/>
          <w14:ligatures w14:val="none"/>
        </w:rPr>
        <w:t>GGGG</w:t>
      </w:r>
      <w:r w:rsidRPr="006B4A66">
        <w:rPr>
          <w:rFonts w:ascii="Times New Roman" w:eastAsia="Calibri" w:hAnsi="Times New Roman" w:cs="Times New Roman"/>
          <w:kern w:val="0"/>
          <w:sz w:val="24"/>
          <w14:ligatures w14:val="none"/>
        </w:rPr>
        <w:t>.  Ordinance 15802, Section 99, and K.C.C. 16.10.100;</w:t>
      </w:r>
    </w:p>
    <w:p w14:paraId="4C004E5B" w14:textId="4606DB62"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C17B12">
        <w:rPr>
          <w:rFonts w:ascii="Times New Roman" w:eastAsia="Calibri" w:hAnsi="Times New Roman" w:cs="Times New Roman"/>
          <w:kern w:val="0"/>
          <w:sz w:val="24"/>
          <w14:ligatures w14:val="none"/>
        </w:rPr>
        <w:t>HHHH</w:t>
      </w:r>
      <w:r w:rsidRPr="006B4A66">
        <w:rPr>
          <w:rFonts w:ascii="Times New Roman" w:eastAsia="Calibri" w:hAnsi="Times New Roman" w:cs="Times New Roman"/>
          <w:kern w:val="0"/>
          <w:sz w:val="24"/>
          <w14:ligatures w14:val="none"/>
        </w:rPr>
        <w:t>.  Ordinance 15802, Section 100, and K.C.C. 16.10.110;</w:t>
      </w:r>
    </w:p>
    <w:p w14:paraId="42CAE9C0" w14:textId="101B0915"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C17B12">
        <w:rPr>
          <w:rFonts w:ascii="Times New Roman" w:eastAsia="Calibri" w:hAnsi="Times New Roman" w:cs="Times New Roman"/>
          <w:kern w:val="0"/>
          <w:sz w:val="24"/>
          <w14:ligatures w14:val="none"/>
        </w:rPr>
        <w:t>IIII</w:t>
      </w:r>
      <w:r w:rsidRPr="006B4A66">
        <w:rPr>
          <w:rFonts w:ascii="Times New Roman" w:eastAsia="Calibri" w:hAnsi="Times New Roman" w:cs="Times New Roman"/>
          <w:kern w:val="0"/>
          <w:sz w:val="24"/>
          <w14:ligatures w14:val="none"/>
        </w:rPr>
        <w:t>.  Ordinance 15802, Section 101, as amended, and K.C.C. 16.10.120;</w:t>
      </w:r>
    </w:p>
    <w:p w14:paraId="7D764BC7" w14:textId="7838333B"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C17B12">
        <w:rPr>
          <w:rFonts w:ascii="Times New Roman" w:eastAsia="Calibri" w:hAnsi="Times New Roman" w:cs="Times New Roman"/>
          <w:kern w:val="0"/>
          <w:sz w:val="24"/>
          <w14:ligatures w14:val="none"/>
        </w:rPr>
        <w:t>JJJJ</w:t>
      </w:r>
      <w:r w:rsidRPr="006B4A66">
        <w:rPr>
          <w:rFonts w:ascii="Times New Roman" w:eastAsia="Calibri" w:hAnsi="Times New Roman" w:cs="Times New Roman"/>
          <w:kern w:val="0"/>
          <w:sz w:val="24"/>
          <w14:ligatures w14:val="none"/>
        </w:rPr>
        <w:t>.  Ordinance 12560, Section 127, as amended, and K.C.C. 16.14.020;</w:t>
      </w:r>
    </w:p>
    <w:p w14:paraId="3E461A1D" w14:textId="1F125F03"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C17B12">
        <w:rPr>
          <w:rFonts w:ascii="Times New Roman" w:eastAsia="Calibri" w:hAnsi="Times New Roman" w:cs="Times New Roman"/>
          <w:kern w:val="0"/>
          <w:sz w:val="24"/>
          <w14:ligatures w14:val="none"/>
        </w:rPr>
        <w:t>KKKK</w:t>
      </w:r>
      <w:r w:rsidRPr="006B4A66">
        <w:rPr>
          <w:rFonts w:ascii="Times New Roman" w:eastAsia="Calibri" w:hAnsi="Times New Roman" w:cs="Times New Roman"/>
          <w:kern w:val="0"/>
          <w:sz w:val="24"/>
          <w14:ligatures w14:val="none"/>
        </w:rPr>
        <w:t>.  Ordinance 14914, Section 337, and K.C.C. 16.14.040;</w:t>
      </w:r>
    </w:p>
    <w:p w14:paraId="22649817" w14:textId="1ED3C43E"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C17B12">
        <w:rPr>
          <w:rFonts w:ascii="Times New Roman" w:eastAsia="Calibri" w:hAnsi="Times New Roman" w:cs="Times New Roman"/>
          <w:kern w:val="0"/>
          <w:sz w:val="24"/>
          <w14:ligatures w14:val="none"/>
        </w:rPr>
        <w:t>LLLL</w:t>
      </w:r>
      <w:r w:rsidRPr="006B4A66">
        <w:rPr>
          <w:rFonts w:ascii="Times New Roman" w:eastAsia="Calibri" w:hAnsi="Times New Roman" w:cs="Times New Roman"/>
          <w:kern w:val="0"/>
          <w:sz w:val="24"/>
          <w14:ligatures w14:val="none"/>
        </w:rPr>
        <w:t>.  Ordinance 14914, Section 338, and K.C.C. 16.14.050;</w:t>
      </w:r>
    </w:p>
    <w:p w14:paraId="082B5DC3" w14:textId="3D1C434F"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C17B12">
        <w:rPr>
          <w:rFonts w:ascii="Times New Roman" w:eastAsia="Calibri" w:hAnsi="Times New Roman" w:cs="Times New Roman"/>
          <w:kern w:val="0"/>
          <w:sz w:val="24"/>
          <w14:ligatures w14:val="none"/>
        </w:rPr>
        <w:t>MMMM</w:t>
      </w:r>
      <w:r w:rsidRPr="006B4A66">
        <w:rPr>
          <w:rFonts w:ascii="Times New Roman" w:eastAsia="Calibri" w:hAnsi="Times New Roman" w:cs="Times New Roman"/>
          <w:kern w:val="0"/>
          <w:sz w:val="24"/>
          <w14:ligatures w14:val="none"/>
        </w:rPr>
        <w:t>.  Ordinance 14914, Section 339, and K.C.C. 16.14.060;</w:t>
      </w:r>
    </w:p>
    <w:p w14:paraId="02B8A62F" w14:textId="004EFDCD"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lastRenderedPageBreak/>
        <w:tab/>
      </w:r>
      <w:r w:rsidR="00110591">
        <w:rPr>
          <w:rFonts w:ascii="Times New Roman" w:eastAsia="Calibri" w:hAnsi="Times New Roman" w:cs="Times New Roman"/>
          <w:kern w:val="0"/>
          <w:sz w:val="24"/>
          <w14:ligatures w14:val="none"/>
        </w:rPr>
        <w:t>NNNN</w:t>
      </w:r>
      <w:r w:rsidRPr="006B4A66">
        <w:rPr>
          <w:rFonts w:ascii="Times New Roman" w:eastAsia="Calibri" w:hAnsi="Times New Roman" w:cs="Times New Roman"/>
          <w:kern w:val="0"/>
          <w:sz w:val="24"/>
          <w14:ligatures w14:val="none"/>
        </w:rPr>
        <w:t>.  Ordinance 14914, Section 352, and K.C.C. 16.14.140;</w:t>
      </w:r>
    </w:p>
    <w:p w14:paraId="00CC103A" w14:textId="716B5B9D"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110591">
        <w:rPr>
          <w:rFonts w:ascii="Times New Roman" w:eastAsia="Calibri" w:hAnsi="Times New Roman" w:cs="Times New Roman"/>
          <w:kern w:val="0"/>
          <w:sz w:val="24"/>
          <w14:ligatures w14:val="none"/>
        </w:rPr>
        <w:t>OOOO</w:t>
      </w:r>
      <w:r w:rsidRPr="006B4A66">
        <w:rPr>
          <w:rFonts w:ascii="Times New Roman" w:eastAsia="Calibri" w:hAnsi="Times New Roman" w:cs="Times New Roman"/>
          <w:kern w:val="0"/>
          <w:sz w:val="24"/>
          <w14:ligatures w14:val="none"/>
        </w:rPr>
        <w:t>.  Ordinance 14914, Section 353, and K.C.C. 16.14.150;</w:t>
      </w:r>
    </w:p>
    <w:p w14:paraId="2F972890" w14:textId="3EA69471"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110591">
        <w:rPr>
          <w:rFonts w:ascii="Times New Roman" w:eastAsia="Calibri" w:hAnsi="Times New Roman" w:cs="Times New Roman"/>
          <w:kern w:val="0"/>
          <w:sz w:val="24"/>
          <w14:ligatures w14:val="none"/>
        </w:rPr>
        <w:t>PPPP</w:t>
      </w:r>
      <w:r w:rsidRPr="006B4A66">
        <w:rPr>
          <w:rFonts w:ascii="Times New Roman" w:eastAsia="Calibri" w:hAnsi="Times New Roman" w:cs="Times New Roman"/>
          <w:kern w:val="0"/>
          <w:sz w:val="24"/>
          <w14:ligatures w14:val="none"/>
        </w:rPr>
        <w:t>.  Ordinance 14914, Section 367, as amended, and K.C.C. 16.14.250;</w:t>
      </w:r>
    </w:p>
    <w:p w14:paraId="54FBDC38" w14:textId="17998566"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110591">
        <w:rPr>
          <w:rFonts w:ascii="Times New Roman" w:eastAsia="Calibri" w:hAnsi="Times New Roman" w:cs="Times New Roman"/>
          <w:kern w:val="0"/>
          <w:sz w:val="24"/>
          <w14:ligatures w14:val="none"/>
        </w:rPr>
        <w:t>QQQQ</w:t>
      </w:r>
      <w:r w:rsidRPr="006B4A66">
        <w:rPr>
          <w:rFonts w:ascii="Times New Roman" w:eastAsia="Calibri" w:hAnsi="Times New Roman" w:cs="Times New Roman"/>
          <w:kern w:val="0"/>
          <w:sz w:val="24"/>
          <w14:ligatures w14:val="none"/>
        </w:rPr>
        <w:t>.  Ordinance 14914, Section 407, and K.C.C. 16.14.480;</w:t>
      </w:r>
    </w:p>
    <w:p w14:paraId="5D3C3B14" w14:textId="779F656E"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110591">
        <w:rPr>
          <w:rFonts w:ascii="Times New Roman" w:eastAsia="Calibri" w:hAnsi="Times New Roman" w:cs="Times New Roman"/>
          <w:kern w:val="0"/>
          <w:sz w:val="24"/>
          <w14:ligatures w14:val="none"/>
        </w:rPr>
        <w:t>RRRR</w:t>
      </w:r>
      <w:r w:rsidRPr="006B4A66">
        <w:rPr>
          <w:rFonts w:ascii="Times New Roman" w:eastAsia="Calibri" w:hAnsi="Times New Roman" w:cs="Times New Roman"/>
          <w:kern w:val="0"/>
          <w:sz w:val="24"/>
          <w14:ligatures w14:val="none"/>
        </w:rPr>
        <w:t>.  Ordinance 14914, Section 410, and K.C.C. 16.14.510;</w:t>
      </w:r>
    </w:p>
    <w:p w14:paraId="6AB3519E" w14:textId="390322D3"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110591">
        <w:rPr>
          <w:rFonts w:ascii="Times New Roman" w:eastAsia="Calibri" w:hAnsi="Times New Roman" w:cs="Times New Roman"/>
          <w:kern w:val="0"/>
          <w:sz w:val="24"/>
          <w14:ligatures w14:val="none"/>
        </w:rPr>
        <w:t>SSSS</w:t>
      </w:r>
      <w:r w:rsidRPr="006B4A66">
        <w:rPr>
          <w:rFonts w:ascii="Times New Roman" w:eastAsia="Calibri" w:hAnsi="Times New Roman" w:cs="Times New Roman"/>
          <w:kern w:val="0"/>
          <w:sz w:val="24"/>
          <w14:ligatures w14:val="none"/>
        </w:rPr>
        <w:t>.  Ordinance 14914, Section 413, and K.C.C. 16.14.530;</w:t>
      </w:r>
    </w:p>
    <w:p w14:paraId="7C4F150D" w14:textId="485BC7DA"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110591">
        <w:rPr>
          <w:rFonts w:ascii="Times New Roman" w:eastAsia="Calibri" w:hAnsi="Times New Roman" w:cs="Times New Roman"/>
          <w:kern w:val="0"/>
          <w:sz w:val="24"/>
          <w14:ligatures w14:val="none"/>
        </w:rPr>
        <w:t>TTTT</w:t>
      </w:r>
      <w:r w:rsidRPr="006B4A66">
        <w:rPr>
          <w:rFonts w:ascii="Times New Roman" w:eastAsia="Calibri" w:hAnsi="Times New Roman" w:cs="Times New Roman"/>
          <w:kern w:val="0"/>
          <w:sz w:val="24"/>
          <w14:ligatures w14:val="none"/>
        </w:rPr>
        <w:t>.  Ordinance 14914, Section 418, and K.C.C. 16.14.570;</w:t>
      </w:r>
    </w:p>
    <w:p w14:paraId="00E7A131" w14:textId="040ECFD0"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110591">
        <w:rPr>
          <w:rFonts w:ascii="Times New Roman" w:eastAsia="Calibri" w:hAnsi="Times New Roman" w:cs="Times New Roman"/>
          <w:kern w:val="0"/>
          <w:sz w:val="24"/>
          <w14:ligatures w14:val="none"/>
        </w:rPr>
        <w:t>UUUU</w:t>
      </w:r>
      <w:r w:rsidRPr="006B4A66">
        <w:rPr>
          <w:rFonts w:ascii="Times New Roman" w:eastAsia="Calibri" w:hAnsi="Times New Roman" w:cs="Times New Roman"/>
          <w:kern w:val="0"/>
          <w:sz w:val="24"/>
          <w14:ligatures w14:val="none"/>
        </w:rPr>
        <w:t>.  Ordinance 14914, Section 419, and K.C.C. 16.14.580;</w:t>
      </w:r>
    </w:p>
    <w:p w14:paraId="511F85E1" w14:textId="47471B54"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277415">
        <w:rPr>
          <w:rFonts w:ascii="Times New Roman" w:eastAsia="Calibri" w:hAnsi="Times New Roman" w:cs="Times New Roman"/>
          <w:kern w:val="0"/>
          <w:sz w:val="24"/>
          <w14:ligatures w14:val="none"/>
        </w:rPr>
        <w:t>VVVV</w:t>
      </w:r>
      <w:r w:rsidRPr="006B4A66">
        <w:rPr>
          <w:rFonts w:ascii="Times New Roman" w:eastAsia="Calibri" w:hAnsi="Times New Roman" w:cs="Times New Roman"/>
          <w:kern w:val="0"/>
          <w:sz w:val="24"/>
          <w14:ligatures w14:val="none"/>
        </w:rPr>
        <w:t>.  Ordinance 14914, Section 420, and K.C.C. 16.14.590;</w:t>
      </w:r>
    </w:p>
    <w:p w14:paraId="415FE19B" w14:textId="0DF04B46"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277415">
        <w:rPr>
          <w:rFonts w:ascii="Times New Roman" w:eastAsia="Calibri" w:hAnsi="Times New Roman" w:cs="Times New Roman"/>
          <w:kern w:val="0"/>
          <w:sz w:val="24"/>
          <w14:ligatures w14:val="none"/>
        </w:rPr>
        <w:t>WWWW</w:t>
      </w:r>
      <w:r w:rsidRPr="006B4A66">
        <w:rPr>
          <w:rFonts w:ascii="Times New Roman" w:eastAsia="Calibri" w:hAnsi="Times New Roman" w:cs="Times New Roman"/>
          <w:kern w:val="0"/>
          <w:sz w:val="24"/>
          <w14:ligatures w14:val="none"/>
        </w:rPr>
        <w:t xml:space="preserve">. </w:t>
      </w:r>
      <w:r w:rsidR="00277415">
        <w:rPr>
          <w:rFonts w:ascii="Times New Roman" w:eastAsia="Calibri" w:hAnsi="Times New Roman" w:cs="Times New Roman"/>
          <w:kern w:val="0"/>
          <w:sz w:val="24"/>
          <w14:ligatures w14:val="none"/>
        </w:rPr>
        <w:t xml:space="preserve"> </w:t>
      </w:r>
      <w:r w:rsidRPr="006B4A66">
        <w:rPr>
          <w:rFonts w:ascii="Times New Roman" w:eastAsia="Calibri" w:hAnsi="Times New Roman" w:cs="Times New Roman"/>
          <w:kern w:val="0"/>
          <w:sz w:val="24"/>
          <w14:ligatures w14:val="none"/>
        </w:rPr>
        <w:t>Ordinance 19485, Section 149, and K.C.C. 16.32.336</w:t>
      </w:r>
      <w:r w:rsidR="0006336A">
        <w:rPr>
          <w:rFonts w:ascii="Times New Roman" w:eastAsia="Calibri" w:hAnsi="Times New Roman" w:cs="Times New Roman"/>
          <w:kern w:val="0"/>
          <w:sz w:val="24"/>
          <w14:ligatures w14:val="none"/>
        </w:rPr>
        <w:t>;</w:t>
      </w:r>
    </w:p>
    <w:p w14:paraId="165EC696" w14:textId="5684632B"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277415">
        <w:rPr>
          <w:rFonts w:ascii="Times New Roman" w:eastAsia="Calibri" w:hAnsi="Times New Roman" w:cs="Times New Roman"/>
          <w:kern w:val="0"/>
          <w:sz w:val="24"/>
          <w14:ligatures w14:val="none"/>
        </w:rPr>
        <w:t>XXXX</w:t>
      </w:r>
      <w:r w:rsidRPr="006B4A66">
        <w:rPr>
          <w:rFonts w:ascii="Times New Roman" w:eastAsia="Calibri" w:hAnsi="Times New Roman" w:cs="Times New Roman"/>
          <w:kern w:val="0"/>
          <w:sz w:val="24"/>
          <w14:ligatures w14:val="none"/>
        </w:rPr>
        <w:t xml:space="preserve">. </w:t>
      </w:r>
      <w:r w:rsidR="00277415">
        <w:rPr>
          <w:rFonts w:ascii="Times New Roman" w:eastAsia="Calibri" w:hAnsi="Times New Roman" w:cs="Times New Roman"/>
          <w:kern w:val="0"/>
          <w:sz w:val="24"/>
          <w14:ligatures w14:val="none"/>
        </w:rPr>
        <w:t xml:space="preserve"> </w:t>
      </w:r>
      <w:r w:rsidRPr="006B4A66">
        <w:rPr>
          <w:rFonts w:ascii="Times New Roman" w:eastAsia="Calibri" w:hAnsi="Times New Roman" w:cs="Times New Roman"/>
          <w:kern w:val="0"/>
          <w:sz w:val="24"/>
          <w14:ligatures w14:val="none"/>
        </w:rPr>
        <w:t>Ordinance 19485, Section 150, and K.C.C. 16.32.337</w:t>
      </w:r>
      <w:r w:rsidR="0006336A">
        <w:rPr>
          <w:rFonts w:ascii="Times New Roman" w:eastAsia="Calibri" w:hAnsi="Times New Roman" w:cs="Times New Roman"/>
          <w:kern w:val="0"/>
          <w:sz w:val="24"/>
          <w14:ligatures w14:val="none"/>
        </w:rPr>
        <w:t>;</w:t>
      </w:r>
    </w:p>
    <w:p w14:paraId="4CF522B6" w14:textId="2FDD3EF1" w:rsid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277415">
        <w:rPr>
          <w:rFonts w:ascii="Times New Roman" w:eastAsia="Calibri" w:hAnsi="Times New Roman" w:cs="Times New Roman"/>
          <w:kern w:val="0"/>
          <w:sz w:val="24"/>
          <w14:ligatures w14:val="none"/>
        </w:rPr>
        <w:t>YYYY</w:t>
      </w:r>
      <w:r w:rsidRPr="006B4A66">
        <w:rPr>
          <w:rFonts w:ascii="Times New Roman" w:eastAsia="Calibri" w:hAnsi="Times New Roman" w:cs="Times New Roman"/>
          <w:kern w:val="0"/>
          <w:sz w:val="24"/>
          <w14:ligatures w14:val="none"/>
        </w:rPr>
        <w:t>.</w:t>
      </w:r>
      <w:r w:rsidR="00277415">
        <w:rPr>
          <w:rFonts w:ascii="Times New Roman" w:eastAsia="Calibri" w:hAnsi="Times New Roman" w:cs="Times New Roman"/>
          <w:kern w:val="0"/>
          <w:sz w:val="24"/>
          <w14:ligatures w14:val="none"/>
        </w:rPr>
        <w:t xml:space="preserve"> </w:t>
      </w:r>
      <w:r w:rsidRPr="006B4A66">
        <w:rPr>
          <w:rFonts w:ascii="Times New Roman" w:eastAsia="Calibri" w:hAnsi="Times New Roman" w:cs="Times New Roman"/>
          <w:kern w:val="0"/>
          <w:sz w:val="24"/>
          <w14:ligatures w14:val="none"/>
        </w:rPr>
        <w:t xml:space="preserve"> Ordinance 19485, Section 152, and K.C.C. 16.32.339</w:t>
      </w:r>
      <w:r w:rsidR="0006336A">
        <w:rPr>
          <w:rFonts w:ascii="Times New Roman" w:eastAsia="Calibri" w:hAnsi="Times New Roman" w:cs="Times New Roman"/>
          <w:kern w:val="0"/>
          <w:sz w:val="24"/>
          <w14:ligatures w14:val="none"/>
        </w:rPr>
        <w:t>;</w:t>
      </w:r>
    </w:p>
    <w:p w14:paraId="06EFFD2B" w14:textId="55C4609E" w:rsidR="00255A88" w:rsidRPr="006B4A66" w:rsidRDefault="00255A88" w:rsidP="0073496A">
      <w:pPr>
        <w:tabs>
          <w:tab w:val="left" w:pos="720"/>
        </w:tabs>
        <w:spacing w:after="0" w:line="480" w:lineRule="auto"/>
        <w:rPr>
          <w:rFonts w:ascii="Times New Roman" w:eastAsia="Calibri" w:hAnsi="Times New Roman" w:cs="Times New Roman"/>
          <w:kern w:val="0"/>
          <w:sz w:val="24"/>
          <w14:ligatures w14:val="none"/>
        </w:rPr>
      </w:pPr>
      <w:r>
        <w:rPr>
          <w:rFonts w:ascii="Times New Roman" w:eastAsia="Calibri" w:hAnsi="Times New Roman" w:cs="Times New Roman"/>
          <w:kern w:val="0"/>
          <w:sz w:val="24"/>
          <w14:ligatures w14:val="none"/>
        </w:rPr>
        <w:tab/>
      </w:r>
      <w:r w:rsidR="00277415">
        <w:rPr>
          <w:rFonts w:ascii="Times New Roman" w:eastAsia="Calibri" w:hAnsi="Times New Roman" w:cs="Times New Roman"/>
          <w:kern w:val="0"/>
          <w:sz w:val="24"/>
          <w14:ligatures w14:val="none"/>
        </w:rPr>
        <w:t>ZZZZ</w:t>
      </w:r>
      <w:r w:rsidR="0006336A">
        <w:rPr>
          <w:rFonts w:ascii="Times New Roman" w:eastAsia="Calibri" w:hAnsi="Times New Roman" w:cs="Times New Roman"/>
          <w:kern w:val="0"/>
          <w:sz w:val="24"/>
          <w14:ligatures w14:val="none"/>
        </w:rPr>
        <w:t xml:space="preserve">.  </w:t>
      </w:r>
      <w:r w:rsidR="0006336A" w:rsidRPr="006B4A66">
        <w:rPr>
          <w:rFonts w:ascii="Times New Roman" w:eastAsia="Calibri" w:hAnsi="Times New Roman" w:cs="Times New Roman"/>
          <w:color w:val="000000"/>
          <w:kern w:val="0"/>
          <w:sz w:val="24"/>
          <w14:ligatures w14:val="none"/>
        </w:rPr>
        <w:t>Ordinance 19485, Section 136, and K.C.C. 16.32.341</w:t>
      </w:r>
      <w:r w:rsidR="0006336A">
        <w:rPr>
          <w:rFonts w:ascii="Times New Roman" w:eastAsia="Calibri" w:hAnsi="Times New Roman" w:cs="Times New Roman"/>
          <w:color w:val="000000"/>
          <w:kern w:val="0"/>
          <w:sz w:val="24"/>
          <w14:ligatures w14:val="none"/>
        </w:rPr>
        <w:t>;</w:t>
      </w:r>
    </w:p>
    <w:p w14:paraId="73417F20" w14:textId="69BB68A9"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277415">
        <w:rPr>
          <w:rFonts w:ascii="Times New Roman" w:eastAsia="Calibri" w:hAnsi="Times New Roman" w:cs="Times New Roman"/>
          <w:kern w:val="0"/>
          <w:sz w:val="24"/>
          <w14:ligatures w14:val="none"/>
        </w:rPr>
        <w:t>AAAAA</w:t>
      </w:r>
      <w:r w:rsidRPr="006B4A66">
        <w:rPr>
          <w:rFonts w:ascii="Times New Roman" w:eastAsia="Calibri" w:hAnsi="Times New Roman" w:cs="Times New Roman"/>
          <w:kern w:val="0"/>
          <w:sz w:val="24"/>
          <w14:ligatures w14:val="none"/>
        </w:rPr>
        <w:t>.  Ordinance 1283, Section 1, as amended, and K.C.C. 16.78.010;</w:t>
      </w:r>
    </w:p>
    <w:p w14:paraId="32B6D4C1" w14:textId="55AAFE60"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277415">
        <w:rPr>
          <w:rFonts w:ascii="Times New Roman" w:eastAsia="Calibri" w:hAnsi="Times New Roman" w:cs="Times New Roman"/>
          <w:kern w:val="0"/>
          <w:sz w:val="24"/>
          <w14:ligatures w14:val="none"/>
        </w:rPr>
        <w:t>BBBBB</w:t>
      </w:r>
      <w:r w:rsidRPr="006B4A66">
        <w:rPr>
          <w:rFonts w:ascii="Times New Roman" w:eastAsia="Calibri" w:hAnsi="Times New Roman" w:cs="Times New Roman"/>
          <w:kern w:val="0"/>
          <w:sz w:val="24"/>
          <w14:ligatures w14:val="none"/>
        </w:rPr>
        <w:t>.  Ordinance 1283, Section 2, and K.C.C. 16.78.020;</w:t>
      </w:r>
    </w:p>
    <w:p w14:paraId="2B0CB9C5" w14:textId="1BED80B2"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F62925">
        <w:rPr>
          <w:rFonts w:ascii="Times New Roman" w:eastAsia="Calibri" w:hAnsi="Times New Roman" w:cs="Times New Roman"/>
          <w:kern w:val="0"/>
          <w:sz w:val="24"/>
          <w14:ligatures w14:val="none"/>
        </w:rPr>
        <w:t>CCCCC</w:t>
      </w:r>
      <w:r w:rsidRPr="006B4A66">
        <w:rPr>
          <w:rFonts w:ascii="Times New Roman" w:eastAsia="Calibri" w:hAnsi="Times New Roman" w:cs="Times New Roman"/>
          <w:kern w:val="0"/>
          <w:sz w:val="24"/>
          <w14:ligatures w14:val="none"/>
        </w:rPr>
        <w:t>.  Ordinance 1283, Section 3, and K.C.C. 16.78.030;</w:t>
      </w:r>
    </w:p>
    <w:p w14:paraId="223F8340" w14:textId="016EDBA6"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F62925">
        <w:rPr>
          <w:rFonts w:ascii="Times New Roman" w:eastAsia="Calibri" w:hAnsi="Times New Roman" w:cs="Times New Roman"/>
          <w:kern w:val="0"/>
          <w:sz w:val="24"/>
          <w14:ligatures w14:val="none"/>
        </w:rPr>
        <w:t>DDDDD</w:t>
      </w:r>
      <w:r w:rsidRPr="006B4A66">
        <w:rPr>
          <w:rFonts w:ascii="Times New Roman" w:eastAsia="Calibri" w:hAnsi="Times New Roman" w:cs="Times New Roman"/>
          <w:kern w:val="0"/>
          <w:sz w:val="24"/>
          <w14:ligatures w14:val="none"/>
        </w:rPr>
        <w:t>.  Ordinance 1283, Section 4, and K.C.C. 16.78.040;</w:t>
      </w:r>
    </w:p>
    <w:p w14:paraId="799AE911" w14:textId="14ED1E83"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F62925">
        <w:rPr>
          <w:rFonts w:ascii="Times New Roman" w:eastAsia="Calibri" w:hAnsi="Times New Roman" w:cs="Times New Roman"/>
          <w:kern w:val="0"/>
          <w:sz w:val="24"/>
          <w14:ligatures w14:val="none"/>
        </w:rPr>
        <w:t>EEEEE</w:t>
      </w:r>
      <w:r w:rsidRPr="006B4A66">
        <w:rPr>
          <w:rFonts w:ascii="Times New Roman" w:eastAsia="Calibri" w:hAnsi="Times New Roman" w:cs="Times New Roman"/>
          <w:kern w:val="0"/>
          <w:sz w:val="24"/>
          <w14:ligatures w14:val="none"/>
        </w:rPr>
        <w:t>.  Ordinance 1283, Section 5, and K.C.C. 16.78.050;</w:t>
      </w:r>
    </w:p>
    <w:p w14:paraId="46EC2191" w14:textId="67B84BB3"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F62925">
        <w:rPr>
          <w:rFonts w:ascii="Times New Roman" w:eastAsia="Calibri" w:hAnsi="Times New Roman" w:cs="Times New Roman"/>
          <w:kern w:val="0"/>
          <w:sz w:val="24"/>
          <w14:ligatures w14:val="none"/>
        </w:rPr>
        <w:t>FFFFF</w:t>
      </w:r>
      <w:r w:rsidRPr="006B4A66">
        <w:rPr>
          <w:rFonts w:ascii="Times New Roman" w:eastAsia="Calibri" w:hAnsi="Times New Roman" w:cs="Times New Roman"/>
          <w:kern w:val="0"/>
          <w:sz w:val="24"/>
          <w14:ligatures w14:val="none"/>
        </w:rPr>
        <w:t>.  Ordinance 1283 (part) and K.C.C. 16.78.060;</w:t>
      </w:r>
    </w:p>
    <w:p w14:paraId="6BD0A332" w14:textId="243CFBA4"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F62925">
        <w:rPr>
          <w:rFonts w:ascii="Times New Roman" w:eastAsia="Calibri" w:hAnsi="Times New Roman" w:cs="Times New Roman"/>
          <w:kern w:val="0"/>
          <w:sz w:val="24"/>
          <w14:ligatures w14:val="none"/>
        </w:rPr>
        <w:t>GGGGG</w:t>
      </w:r>
      <w:r w:rsidRPr="006B4A66">
        <w:rPr>
          <w:rFonts w:ascii="Times New Roman" w:eastAsia="Calibri" w:hAnsi="Times New Roman" w:cs="Times New Roman"/>
          <w:kern w:val="0"/>
          <w:sz w:val="24"/>
          <w14:ligatures w14:val="none"/>
        </w:rPr>
        <w:t>.  Ordinance 19485, Section 174, and K.C.C. 17.04.445;</w:t>
      </w:r>
    </w:p>
    <w:p w14:paraId="3E11A81B" w14:textId="528E8A0F"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F62925">
        <w:rPr>
          <w:rFonts w:ascii="Times New Roman" w:eastAsia="Calibri" w:hAnsi="Times New Roman" w:cs="Times New Roman"/>
          <w:kern w:val="0"/>
          <w:sz w:val="24"/>
          <w14:ligatures w14:val="none"/>
        </w:rPr>
        <w:t>HHHH</w:t>
      </w:r>
      <w:r w:rsidR="00F62925">
        <w:rPr>
          <w:rFonts w:ascii="Times New Roman" w:eastAsia="Calibri" w:hAnsi="Times New Roman" w:cs="Times New Roman"/>
          <w:vanish/>
          <w:kern w:val="0"/>
          <w:sz w:val="24"/>
          <w14:ligatures w14:val="none"/>
        </w:rPr>
        <w:t>H</w:t>
      </w:r>
      <w:r w:rsidRPr="006B4A66">
        <w:rPr>
          <w:rFonts w:ascii="Times New Roman" w:eastAsia="Calibri" w:hAnsi="Times New Roman" w:cs="Times New Roman"/>
          <w:kern w:val="0"/>
          <w:sz w:val="24"/>
          <w14:ligatures w14:val="none"/>
        </w:rPr>
        <w:t>.  Ordinance 19485, Section 175, and K.C.C. 17.04.447;</w:t>
      </w:r>
    </w:p>
    <w:p w14:paraId="466ADFDC" w14:textId="4153463A"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F62925">
        <w:rPr>
          <w:rFonts w:ascii="Times New Roman" w:eastAsia="Calibri" w:hAnsi="Times New Roman" w:cs="Times New Roman"/>
          <w:kern w:val="0"/>
          <w:sz w:val="24"/>
          <w14:ligatures w14:val="none"/>
        </w:rPr>
        <w:t>IIIII</w:t>
      </w:r>
      <w:r w:rsidRPr="006B4A66">
        <w:rPr>
          <w:rFonts w:ascii="Times New Roman" w:eastAsia="Calibri" w:hAnsi="Times New Roman" w:cs="Times New Roman"/>
          <w:kern w:val="0"/>
          <w:sz w:val="24"/>
          <w14:ligatures w14:val="none"/>
        </w:rPr>
        <w:t>.  Ordinance 19485, Section 179, and K.C.C. 17.04.466;</w:t>
      </w:r>
    </w:p>
    <w:p w14:paraId="0D1AE2C7" w14:textId="32BA04AD"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F62925">
        <w:rPr>
          <w:rFonts w:ascii="Times New Roman" w:eastAsia="Calibri" w:hAnsi="Times New Roman" w:cs="Times New Roman"/>
          <w:kern w:val="0"/>
          <w:sz w:val="24"/>
          <w14:ligatures w14:val="none"/>
        </w:rPr>
        <w:t>JJJJJ</w:t>
      </w:r>
      <w:r w:rsidRPr="006B4A66">
        <w:rPr>
          <w:rFonts w:ascii="Times New Roman" w:eastAsia="Calibri" w:hAnsi="Times New Roman" w:cs="Times New Roman"/>
          <w:kern w:val="0"/>
          <w:sz w:val="24"/>
          <w14:ligatures w14:val="none"/>
        </w:rPr>
        <w:t>.  Ordinance 19485, Section 181, and K.C.C. 17.04.468;</w:t>
      </w:r>
    </w:p>
    <w:p w14:paraId="5B7A9654" w14:textId="25522004"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lastRenderedPageBreak/>
        <w:tab/>
      </w:r>
      <w:r w:rsidR="00930CBE">
        <w:rPr>
          <w:rFonts w:ascii="Times New Roman" w:eastAsia="Calibri" w:hAnsi="Times New Roman" w:cs="Times New Roman"/>
          <w:kern w:val="0"/>
          <w:sz w:val="24"/>
          <w14:ligatures w14:val="none"/>
        </w:rPr>
        <w:t>KKKKK</w:t>
      </w:r>
      <w:r w:rsidRPr="006B4A66">
        <w:rPr>
          <w:rFonts w:ascii="Times New Roman" w:eastAsia="Calibri" w:hAnsi="Times New Roman" w:cs="Times New Roman"/>
          <w:kern w:val="0"/>
          <w:sz w:val="24"/>
          <w14:ligatures w14:val="none"/>
        </w:rPr>
        <w:t>.  Ordinance 19485, Section 182, and K.C.C. 17.04.471;</w:t>
      </w:r>
    </w:p>
    <w:p w14:paraId="08E5EA89" w14:textId="5AA2F1A6"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930CBE">
        <w:rPr>
          <w:rFonts w:ascii="Times New Roman" w:eastAsia="Calibri" w:hAnsi="Times New Roman" w:cs="Times New Roman"/>
          <w:kern w:val="0"/>
          <w:sz w:val="24"/>
          <w14:ligatures w14:val="none"/>
        </w:rPr>
        <w:t>LLLLL</w:t>
      </w:r>
      <w:r w:rsidRPr="006B4A66">
        <w:rPr>
          <w:rFonts w:ascii="Times New Roman" w:eastAsia="Calibri" w:hAnsi="Times New Roman" w:cs="Times New Roman"/>
          <w:kern w:val="0"/>
          <w:sz w:val="24"/>
          <w14:ligatures w14:val="none"/>
        </w:rPr>
        <w:t>.  Ordinance 19485, Section 183, and K.C.C. 17.04.472;</w:t>
      </w:r>
    </w:p>
    <w:p w14:paraId="77635153" w14:textId="381D4FFC"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930CBE">
        <w:rPr>
          <w:rFonts w:ascii="Times New Roman" w:eastAsia="Calibri" w:hAnsi="Times New Roman" w:cs="Times New Roman"/>
          <w:kern w:val="0"/>
          <w:sz w:val="24"/>
          <w14:ligatures w14:val="none"/>
        </w:rPr>
        <w:t>MMMMM</w:t>
      </w:r>
      <w:r w:rsidRPr="006B4A66">
        <w:rPr>
          <w:rFonts w:ascii="Times New Roman" w:eastAsia="Calibri" w:hAnsi="Times New Roman" w:cs="Times New Roman"/>
          <w:kern w:val="0"/>
          <w:sz w:val="24"/>
          <w14:ligatures w14:val="none"/>
        </w:rPr>
        <w:t>.  Ordinance 19485, Section 185, and K.C.C. 17.04.477;</w:t>
      </w:r>
    </w:p>
    <w:p w14:paraId="3833C8E6" w14:textId="579258DA"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930CBE">
        <w:rPr>
          <w:rFonts w:ascii="Times New Roman" w:eastAsia="Calibri" w:hAnsi="Times New Roman" w:cs="Times New Roman"/>
          <w:kern w:val="0"/>
          <w:sz w:val="24"/>
          <w14:ligatures w14:val="none"/>
        </w:rPr>
        <w:t>NNNNN</w:t>
      </w:r>
      <w:r w:rsidRPr="006B4A66">
        <w:rPr>
          <w:rFonts w:ascii="Times New Roman" w:eastAsia="Calibri" w:hAnsi="Times New Roman" w:cs="Times New Roman"/>
          <w:kern w:val="0"/>
          <w:sz w:val="24"/>
          <w14:ligatures w14:val="none"/>
        </w:rPr>
        <w:t>.  Ordinance 19485, Section 186, and K.C.C. 17.04.478;</w:t>
      </w:r>
    </w:p>
    <w:p w14:paraId="35AF0130" w14:textId="24678906"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930CBE">
        <w:rPr>
          <w:rFonts w:ascii="Times New Roman" w:eastAsia="Calibri" w:hAnsi="Times New Roman" w:cs="Times New Roman"/>
          <w:kern w:val="0"/>
          <w:sz w:val="24"/>
          <w14:ligatures w14:val="none"/>
        </w:rPr>
        <w:t>OOOOO</w:t>
      </w:r>
      <w:r w:rsidRPr="006B4A66">
        <w:rPr>
          <w:rFonts w:ascii="Times New Roman" w:eastAsia="Calibri" w:hAnsi="Times New Roman" w:cs="Times New Roman"/>
          <w:kern w:val="0"/>
          <w:sz w:val="24"/>
          <w14:ligatures w14:val="none"/>
        </w:rPr>
        <w:t>.  Ordinance 19485, Section 187, and K.C.C. 17.04.479;</w:t>
      </w:r>
    </w:p>
    <w:p w14:paraId="15CD5BEB" w14:textId="33007F40"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930CBE">
        <w:rPr>
          <w:rFonts w:ascii="Times New Roman" w:eastAsia="Calibri" w:hAnsi="Times New Roman" w:cs="Times New Roman"/>
          <w:kern w:val="0"/>
          <w:sz w:val="24"/>
          <w14:ligatures w14:val="none"/>
        </w:rPr>
        <w:t>PPPPP</w:t>
      </w:r>
      <w:r w:rsidRPr="006B4A66">
        <w:rPr>
          <w:rFonts w:ascii="Times New Roman" w:eastAsia="Calibri" w:hAnsi="Times New Roman" w:cs="Times New Roman"/>
          <w:kern w:val="0"/>
          <w:sz w:val="24"/>
          <w14:ligatures w14:val="none"/>
        </w:rPr>
        <w:t>.  Ordinance 19485, Section 188, and K.C.C. 17.04.481;</w:t>
      </w:r>
    </w:p>
    <w:p w14:paraId="024BF2CF" w14:textId="351E8C73"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930CBE">
        <w:rPr>
          <w:rFonts w:ascii="Times New Roman" w:eastAsia="Calibri" w:hAnsi="Times New Roman" w:cs="Times New Roman"/>
          <w:kern w:val="0"/>
          <w:sz w:val="24"/>
          <w14:ligatures w14:val="none"/>
        </w:rPr>
        <w:t>QQQQQ</w:t>
      </w:r>
      <w:r w:rsidRPr="006B4A66">
        <w:rPr>
          <w:rFonts w:ascii="Times New Roman" w:eastAsia="Calibri" w:hAnsi="Times New Roman" w:cs="Times New Roman"/>
          <w:kern w:val="0"/>
          <w:sz w:val="24"/>
          <w14:ligatures w14:val="none"/>
        </w:rPr>
        <w:t>.  Ordinance 19485, Section 189, and K.C.C. 17.04.486;</w:t>
      </w:r>
    </w:p>
    <w:p w14:paraId="36AE97A9" w14:textId="6FFED537"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1B71D2">
        <w:rPr>
          <w:rFonts w:ascii="Times New Roman" w:eastAsia="Calibri" w:hAnsi="Times New Roman" w:cs="Times New Roman"/>
          <w:kern w:val="0"/>
          <w:sz w:val="24"/>
          <w14:ligatures w14:val="none"/>
        </w:rPr>
        <w:t>RRRRR</w:t>
      </w:r>
      <w:r w:rsidRPr="006B4A66">
        <w:rPr>
          <w:rFonts w:ascii="Times New Roman" w:eastAsia="Calibri" w:hAnsi="Times New Roman" w:cs="Times New Roman"/>
          <w:kern w:val="0"/>
          <w:sz w:val="24"/>
          <w14:ligatures w14:val="none"/>
        </w:rPr>
        <w:t>.  Ordinance 19485, Section 190, and K.C.C. 17.04.487;</w:t>
      </w:r>
    </w:p>
    <w:p w14:paraId="62FD0B88" w14:textId="1E469D16" w:rsidR="006B4A66" w:rsidRPr="006B4A66"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1B71D2">
        <w:rPr>
          <w:rFonts w:ascii="Times New Roman" w:eastAsia="Calibri" w:hAnsi="Times New Roman" w:cs="Times New Roman"/>
          <w:kern w:val="0"/>
          <w:sz w:val="24"/>
          <w14:ligatures w14:val="none"/>
        </w:rPr>
        <w:t>SSSSS</w:t>
      </w:r>
      <w:r w:rsidRPr="006B4A66">
        <w:rPr>
          <w:rFonts w:ascii="Times New Roman" w:eastAsia="Calibri" w:hAnsi="Times New Roman" w:cs="Times New Roman"/>
          <w:kern w:val="0"/>
          <w:sz w:val="24"/>
          <w14:ligatures w14:val="none"/>
        </w:rPr>
        <w:t>.  Ordinance 19485, Section 191, and K.C.C. 17.04.488;</w:t>
      </w:r>
    </w:p>
    <w:p w14:paraId="7FE10925" w14:textId="16052372" w:rsidR="001C5ED4" w:rsidRDefault="006B4A66" w:rsidP="0073496A">
      <w:pPr>
        <w:tabs>
          <w:tab w:val="left" w:pos="720"/>
        </w:tabs>
        <w:spacing w:after="0" w:line="480" w:lineRule="auto"/>
        <w:rPr>
          <w:rFonts w:ascii="Times New Roman" w:eastAsia="Calibri" w:hAnsi="Times New Roman" w:cs="Times New Roman"/>
          <w:kern w:val="0"/>
          <w:sz w:val="24"/>
          <w14:ligatures w14:val="none"/>
        </w:rPr>
      </w:pPr>
      <w:r w:rsidRPr="006B4A66">
        <w:rPr>
          <w:rFonts w:ascii="Times New Roman" w:eastAsia="Calibri" w:hAnsi="Times New Roman" w:cs="Times New Roman"/>
          <w:kern w:val="0"/>
          <w:sz w:val="24"/>
          <w14:ligatures w14:val="none"/>
        </w:rPr>
        <w:tab/>
      </w:r>
      <w:r w:rsidR="001B71D2">
        <w:rPr>
          <w:rFonts w:ascii="Times New Roman" w:eastAsia="Calibri" w:hAnsi="Times New Roman" w:cs="Times New Roman"/>
          <w:kern w:val="0"/>
          <w:sz w:val="24"/>
          <w14:ligatures w14:val="none"/>
        </w:rPr>
        <w:t>TTTTT</w:t>
      </w:r>
      <w:r w:rsidRPr="006B4A66">
        <w:rPr>
          <w:rFonts w:ascii="Times New Roman" w:eastAsia="Calibri" w:hAnsi="Times New Roman" w:cs="Times New Roman"/>
          <w:kern w:val="0"/>
          <w:sz w:val="24"/>
          <w14:ligatures w14:val="none"/>
        </w:rPr>
        <w:t>.  Ordinance 14111, Section 215, and K.C.C. 17.04.540</w:t>
      </w:r>
      <w:r w:rsidR="001C5ED4">
        <w:rPr>
          <w:rFonts w:ascii="Times New Roman" w:eastAsia="Calibri" w:hAnsi="Times New Roman" w:cs="Times New Roman"/>
          <w:kern w:val="0"/>
          <w:sz w:val="24"/>
          <w14:ligatures w14:val="none"/>
        </w:rPr>
        <w:t>;</w:t>
      </w:r>
    </w:p>
    <w:p w14:paraId="79D048D5" w14:textId="5E2D86B5" w:rsidR="007464EB" w:rsidRDefault="007464EB" w:rsidP="0073496A">
      <w:pPr>
        <w:tabs>
          <w:tab w:val="left" w:pos="720"/>
        </w:tabs>
        <w:spacing w:after="0" w:line="480" w:lineRule="auto"/>
        <w:rPr>
          <w:rFonts w:ascii="Times New Roman" w:eastAsia="Calibri" w:hAnsi="Times New Roman" w:cs="Times New Roman"/>
          <w:kern w:val="0"/>
          <w:sz w:val="24"/>
          <w14:ligatures w14:val="none"/>
        </w:rPr>
      </w:pPr>
      <w:r>
        <w:rPr>
          <w:rFonts w:ascii="Times New Roman" w:eastAsia="Calibri" w:hAnsi="Times New Roman" w:cs="Times New Roman"/>
          <w:kern w:val="0"/>
          <w:sz w:val="24"/>
          <w14:ligatures w14:val="none"/>
        </w:rPr>
        <w:tab/>
      </w:r>
      <w:r w:rsidR="001B71D2">
        <w:rPr>
          <w:rFonts w:ascii="Times New Roman" w:eastAsia="Calibri" w:hAnsi="Times New Roman" w:cs="Times New Roman"/>
          <w:kern w:val="0"/>
          <w:sz w:val="24"/>
          <w14:ligatures w14:val="none"/>
        </w:rPr>
        <w:t>UUUUU</w:t>
      </w:r>
      <w:r w:rsidRPr="006B4A66">
        <w:rPr>
          <w:rFonts w:ascii="Times New Roman" w:eastAsia="Calibri" w:hAnsi="Times New Roman" w:cs="Times New Roman"/>
          <w:kern w:val="0"/>
          <w:sz w:val="24"/>
          <w14:ligatures w14:val="none"/>
        </w:rPr>
        <w:t>.</w:t>
      </w:r>
      <w:r>
        <w:rPr>
          <w:rFonts w:ascii="Times New Roman" w:eastAsia="Calibri" w:hAnsi="Times New Roman" w:cs="Times New Roman"/>
          <w:kern w:val="0"/>
          <w:sz w:val="24"/>
          <w14:ligatures w14:val="none"/>
        </w:rPr>
        <w:t xml:space="preserve">  Ordinance 19316, Section </w:t>
      </w:r>
      <w:r w:rsidR="00F66713">
        <w:rPr>
          <w:rFonts w:ascii="Times New Roman" w:eastAsia="Calibri" w:hAnsi="Times New Roman" w:cs="Times New Roman"/>
          <w:kern w:val="0"/>
          <w:sz w:val="24"/>
          <w14:ligatures w14:val="none"/>
        </w:rPr>
        <w:t>2</w:t>
      </w:r>
      <w:r>
        <w:rPr>
          <w:rFonts w:ascii="Times New Roman" w:eastAsia="Calibri" w:hAnsi="Times New Roman" w:cs="Times New Roman"/>
          <w:kern w:val="0"/>
          <w:sz w:val="24"/>
          <w14:ligatures w14:val="none"/>
        </w:rPr>
        <w:t>, and K.C.C. 21A.</w:t>
      </w:r>
      <w:r w:rsidR="00463DF8">
        <w:rPr>
          <w:rFonts w:ascii="Times New Roman" w:eastAsia="Calibri" w:hAnsi="Times New Roman" w:cs="Times New Roman"/>
          <w:kern w:val="0"/>
          <w:sz w:val="24"/>
          <w14:ligatures w14:val="none"/>
        </w:rPr>
        <w:t>06.385</w:t>
      </w:r>
      <w:r w:rsidR="00666516">
        <w:rPr>
          <w:rFonts w:ascii="Times New Roman" w:eastAsia="Calibri" w:hAnsi="Times New Roman" w:cs="Times New Roman"/>
          <w:kern w:val="0"/>
          <w:sz w:val="24"/>
          <w14:ligatures w14:val="none"/>
        </w:rPr>
        <w:t>;</w:t>
      </w:r>
    </w:p>
    <w:p w14:paraId="49501430" w14:textId="1395B3BC" w:rsidR="007464EB" w:rsidRDefault="007464EB" w:rsidP="0073496A">
      <w:pPr>
        <w:tabs>
          <w:tab w:val="left" w:pos="720"/>
        </w:tabs>
        <w:spacing w:after="0" w:line="480" w:lineRule="auto"/>
        <w:rPr>
          <w:rFonts w:ascii="Times New Roman" w:eastAsia="Calibri" w:hAnsi="Times New Roman" w:cs="Times New Roman"/>
          <w:kern w:val="0"/>
          <w:sz w:val="24"/>
          <w14:ligatures w14:val="none"/>
        </w:rPr>
      </w:pPr>
      <w:r>
        <w:rPr>
          <w:rFonts w:ascii="Times New Roman" w:eastAsia="Calibri" w:hAnsi="Times New Roman" w:cs="Times New Roman"/>
          <w:kern w:val="0"/>
          <w:sz w:val="24"/>
          <w14:ligatures w14:val="none"/>
        </w:rPr>
        <w:tab/>
      </w:r>
      <w:r w:rsidR="001B71D2">
        <w:rPr>
          <w:rFonts w:ascii="Times New Roman" w:eastAsia="Calibri" w:hAnsi="Times New Roman" w:cs="Times New Roman"/>
          <w:kern w:val="0"/>
          <w:sz w:val="24"/>
          <w14:ligatures w14:val="none"/>
        </w:rPr>
        <w:t>VVVVV</w:t>
      </w:r>
      <w:r w:rsidRPr="006B4A66">
        <w:rPr>
          <w:rFonts w:ascii="Times New Roman" w:eastAsia="Calibri" w:hAnsi="Times New Roman" w:cs="Times New Roman"/>
          <w:kern w:val="0"/>
          <w:sz w:val="24"/>
          <w14:ligatures w14:val="none"/>
        </w:rPr>
        <w:t>.</w:t>
      </w:r>
      <w:r>
        <w:rPr>
          <w:rFonts w:ascii="Times New Roman" w:eastAsia="Calibri" w:hAnsi="Times New Roman" w:cs="Times New Roman"/>
          <w:kern w:val="0"/>
          <w:sz w:val="24"/>
          <w14:ligatures w14:val="none"/>
        </w:rPr>
        <w:t xml:space="preserve">  Ordinance 19316, Section </w:t>
      </w:r>
      <w:r w:rsidR="00F66713">
        <w:rPr>
          <w:rFonts w:ascii="Times New Roman" w:eastAsia="Calibri" w:hAnsi="Times New Roman" w:cs="Times New Roman"/>
          <w:kern w:val="0"/>
          <w:sz w:val="24"/>
          <w14:ligatures w14:val="none"/>
        </w:rPr>
        <w:t>3</w:t>
      </w:r>
      <w:r>
        <w:rPr>
          <w:rFonts w:ascii="Times New Roman" w:eastAsia="Calibri" w:hAnsi="Times New Roman" w:cs="Times New Roman"/>
          <w:kern w:val="0"/>
          <w:sz w:val="24"/>
          <w14:ligatures w14:val="none"/>
        </w:rPr>
        <w:t>, and K.C.C. 21A.</w:t>
      </w:r>
      <w:r w:rsidR="00463DF8">
        <w:rPr>
          <w:rFonts w:ascii="Times New Roman" w:eastAsia="Calibri" w:hAnsi="Times New Roman" w:cs="Times New Roman"/>
          <w:kern w:val="0"/>
          <w:sz w:val="24"/>
          <w14:ligatures w14:val="none"/>
        </w:rPr>
        <w:t>06</w:t>
      </w:r>
      <w:r>
        <w:rPr>
          <w:rFonts w:ascii="Times New Roman" w:eastAsia="Calibri" w:hAnsi="Times New Roman" w:cs="Times New Roman"/>
          <w:kern w:val="0"/>
          <w:sz w:val="24"/>
          <w14:ligatures w14:val="none"/>
        </w:rPr>
        <w:t>.</w:t>
      </w:r>
      <w:r w:rsidR="00A960CE">
        <w:rPr>
          <w:rFonts w:ascii="Times New Roman" w:eastAsia="Calibri" w:hAnsi="Times New Roman" w:cs="Times New Roman"/>
          <w:kern w:val="0"/>
          <w:sz w:val="24"/>
          <w14:ligatures w14:val="none"/>
        </w:rPr>
        <w:t>386</w:t>
      </w:r>
      <w:r w:rsidR="00666516">
        <w:rPr>
          <w:rFonts w:ascii="Times New Roman" w:eastAsia="Calibri" w:hAnsi="Times New Roman" w:cs="Times New Roman"/>
          <w:kern w:val="0"/>
          <w:sz w:val="24"/>
          <w14:ligatures w14:val="none"/>
        </w:rPr>
        <w:t>;</w:t>
      </w:r>
    </w:p>
    <w:p w14:paraId="34250CC1" w14:textId="711CEEF0" w:rsidR="007464EB" w:rsidRDefault="007464EB" w:rsidP="0073496A">
      <w:pPr>
        <w:tabs>
          <w:tab w:val="left" w:pos="720"/>
        </w:tabs>
        <w:spacing w:after="0" w:line="480" w:lineRule="auto"/>
        <w:rPr>
          <w:rFonts w:ascii="Times New Roman" w:eastAsia="Calibri" w:hAnsi="Times New Roman" w:cs="Times New Roman"/>
          <w:kern w:val="0"/>
          <w:sz w:val="24"/>
          <w14:ligatures w14:val="none"/>
        </w:rPr>
      </w:pPr>
      <w:r>
        <w:rPr>
          <w:rFonts w:ascii="Times New Roman" w:eastAsia="Calibri" w:hAnsi="Times New Roman" w:cs="Times New Roman"/>
          <w:kern w:val="0"/>
          <w:sz w:val="24"/>
          <w14:ligatures w14:val="none"/>
        </w:rPr>
        <w:tab/>
      </w:r>
      <w:r w:rsidR="00666516">
        <w:rPr>
          <w:rFonts w:ascii="Times New Roman" w:eastAsia="Calibri" w:hAnsi="Times New Roman" w:cs="Times New Roman"/>
          <w:kern w:val="0"/>
          <w:sz w:val="24"/>
          <w14:ligatures w14:val="none"/>
        </w:rPr>
        <w:t>WWWW</w:t>
      </w:r>
      <w:r w:rsidRPr="006B4A66">
        <w:rPr>
          <w:rFonts w:ascii="Times New Roman" w:eastAsia="Calibri" w:hAnsi="Times New Roman" w:cs="Times New Roman"/>
          <w:kern w:val="0"/>
          <w:sz w:val="24"/>
          <w14:ligatures w14:val="none"/>
        </w:rPr>
        <w:t>.</w:t>
      </w:r>
      <w:r>
        <w:rPr>
          <w:rFonts w:ascii="Times New Roman" w:eastAsia="Calibri" w:hAnsi="Times New Roman" w:cs="Times New Roman"/>
          <w:kern w:val="0"/>
          <w:sz w:val="24"/>
          <w14:ligatures w14:val="none"/>
        </w:rPr>
        <w:t xml:space="preserve">  Ordinance 19316, Section </w:t>
      </w:r>
      <w:r w:rsidR="00F66713">
        <w:rPr>
          <w:rFonts w:ascii="Times New Roman" w:eastAsia="Calibri" w:hAnsi="Times New Roman" w:cs="Times New Roman"/>
          <w:kern w:val="0"/>
          <w:sz w:val="24"/>
          <w14:ligatures w14:val="none"/>
        </w:rPr>
        <w:t>4</w:t>
      </w:r>
      <w:r>
        <w:rPr>
          <w:rFonts w:ascii="Times New Roman" w:eastAsia="Calibri" w:hAnsi="Times New Roman" w:cs="Times New Roman"/>
          <w:kern w:val="0"/>
          <w:sz w:val="24"/>
          <w14:ligatures w14:val="none"/>
        </w:rPr>
        <w:t>, and K.C.C. 21A.</w:t>
      </w:r>
      <w:r w:rsidR="00A960CE">
        <w:rPr>
          <w:rFonts w:ascii="Times New Roman" w:eastAsia="Calibri" w:hAnsi="Times New Roman" w:cs="Times New Roman"/>
          <w:kern w:val="0"/>
          <w:sz w:val="24"/>
          <w14:ligatures w14:val="none"/>
        </w:rPr>
        <w:t>06.387</w:t>
      </w:r>
      <w:r w:rsidR="00666516">
        <w:rPr>
          <w:rFonts w:ascii="Times New Roman" w:eastAsia="Calibri" w:hAnsi="Times New Roman" w:cs="Times New Roman"/>
          <w:kern w:val="0"/>
          <w:sz w:val="24"/>
          <w14:ligatures w14:val="none"/>
        </w:rPr>
        <w:t>;</w:t>
      </w:r>
    </w:p>
    <w:p w14:paraId="1D68B1D3" w14:textId="7E075D80" w:rsidR="00A960CE" w:rsidRDefault="007464EB" w:rsidP="0073496A">
      <w:pPr>
        <w:tabs>
          <w:tab w:val="left" w:pos="720"/>
        </w:tabs>
        <w:spacing w:after="0" w:line="480" w:lineRule="auto"/>
        <w:rPr>
          <w:rFonts w:ascii="Times New Roman" w:eastAsia="Calibri" w:hAnsi="Times New Roman" w:cs="Times New Roman"/>
          <w:kern w:val="0"/>
          <w:sz w:val="24"/>
          <w14:ligatures w14:val="none"/>
        </w:rPr>
      </w:pPr>
      <w:r>
        <w:rPr>
          <w:rFonts w:ascii="Times New Roman" w:eastAsia="Calibri" w:hAnsi="Times New Roman" w:cs="Times New Roman"/>
          <w:kern w:val="0"/>
          <w:sz w:val="24"/>
          <w14:ligatures w14:val="none"/>
        </w:rPr>
        <w:tab/>
      </w:r>
      <w:r w:rsidR="00666516">
        <w:rPr>
          <w:rFonts w:ascii="Times New Roman" w:eastAsia="Calibri" w:hAnsi="Times New Roman" w:cs="Times New Roman"/>
          <w:kern w:val="0"/>
          <w:sz w:val="24"/>
          <w14:ligatures w14:val="none"/>
        </w:rPr>
        <w:t>XXXXX</w:t>
      </w:r>
      <w:r w:rsidRPr="006B4A66">
        <w:rPr>
          <w:rFonts w:ascii="Times New Roman" w:eastAsia="Calibri" w:hAnsi="Times New Roman" w:cs="Times New Roman"/>
          <w:kern w:val="0"/>
          <w:sz w:val="24"/>
          <w14:ligatures w14:val="none"/>
        </w:rPr>
        <w:t>.</w:t>
      </w:r>
      <w:r>
        <w:rPr>
          <w:rFonts w:ascii="Times New Roman" w:eastAsia="Calibri" w:hAnsi="Times New Roman" w:cs="Times New Roman"/>
          <w:kern w:val="0"/>
          <w:sz w:val="24"/>
          <w14:ligatures w14:val="none"/>
        </w:rPr>
        <w:t xml:space="preserve">  Ordinance 19316, Section </w:t>
      </w:r>
      <w:r w:rsidR="00F66713">
        <w:rPr>
          <w:rFonts w:ascii="Times New Roman" w:eastAsia="Calibri" w:hAnsi="Times New Roman" w:cs="Times New Roman"/>
          <w:kern w:val="0"/>
          <w:sz w:val="24"/>
          <w14:ligatures w14:val="none"/>
        </w:rPr>
        <w:t>5</w:t>
      </w:r>
      <w:r>
        <w:rPr>
          <w:rFonts w:ascii="Times New Roman" w:eastAsia="Calibri" w:hAnsi="Times New Roman" w:cs="Times New Roman"/>
          <w:kern w:val="0"/>
          <w:sz w:val="24"/>
          <w14:ligatures w14:val="none"/>
        </w:rPr>
        <w:t>, and K.C.C. 21A.</w:t>
      </w:r>
      <w:r w:rsidR="00A960CE">
        <w:rPr>
          <w:rFonts w:ascii="Times New Roman" w:eastAsia="Calibri" w:hAnsi="Times New Roman" w:cs="Times New Roman"/>
          <w:kern w:val="0"/>
          <w:sz w:val="24"/>
          <w14:ligatures w14:val="none"/>
        </w:rPr>
        <w:t>06.388</w:t>
      </w:r>
      <w:r w:rsidR="00666516">
        <w:rPr>
          <w:rFonts w:ascii="Times New Roman" w:eastAsia="Calibri" w:hAnsi="Times New Roman" w:cs="Times New Roman"/>
          <w:kern w:val="0"/>
          <w:sz w:val="24"/>
          <w14:ligatures w14:val="none"/>
        </w:rPr>
        <w:t>;</w:t>
      </w:r>
    </w:p>
    <w:p w14:paraId="487A6E43" w14:textId="7B9B027D" w:rsidR="00F66713" w:rsidRDefault="00F66713" w:rsidP="0073496A">
      <w:pPr>
        <w:tabs>
          <w:tab w:val="left" w:pos="720"/>
        </w:tabs>
        <w:spacing w:after="0" w:line="480" w:lineRule="auto"/>
        <w:rPr>
          <w:rFonts w:ascii="Times New Roman" w:eastAsia="Calibri" w:hAnsi="Times New Roman" w:cs="Times New Roman"/>
          <w:kern w:val="0"/>
          <w:sz w:val="24"/>
          <w14:ligatures w14:val="none"/>
        </w:rPr>
      </w:pPr>
      <w:r>
        <w:rPr>
          <w:rFonts w:ascii="Times New Roman" w:eastAsia="Calibri" w:hAnsi="Times New Roman" w:cs="Times New Roman"/>
          <w:kern w:val="0"/>
          <w:sz w:val="24"/>
          <w14:ligatures w14:val="none"/>
        </w:rPr>
        <w:tab/>
      </w:r>
      <w:r w:rsidR="00666516">
        <w:rPr>
          <w:rFonts w:ascii="Times New Roman" w:eastAsia="Calibri" w:hAnsi="Times New Roman" w:cs="Times New Roman"/>
          <w:kern w:val="0"/>
          <w:sz w:val="24"/>
          <w14:ligatures w14:val="none"/>
        </w:rPr>
        <w:t>YYYYY</w:t>
      </w:r>
      <w:r w:rsidRPr="006B4A66">
        <w:rPr>
          <w:rFonts w:ascii="Times New Roman" w:eastAsia="Calibri" w:hAnsi="Times New Roman" w:cs="Times New Roman"/>
          <w:kern w:val="0"/>
          <w:sz w:val="24"/>
          <w14:ligatures w14:val="none"/>
        </w:rPr>
        <w:t>.</w:t>
      </w:r>
      <w:r>
        <w:rPr>
          <w:rFonts w:ascii="Times New Roman" w:eastAsia="Calibri" w:hAnsi="Times New Roman" w:cs="Times New Roman"/>
          <w:kern w:val="0"/>
          <w:sz w:val="24"/>
          <w14:ligatures w14:val="none"/>
        </w:rPr>
        <w:t xml:space="preserve">  Ordinance 19316, Section 6, and K.C.C. 21A.06.389</w:t>
      </w:r>
      <w:r w:rsidR="00666516">
        <w:rPr>
          <w:rFonts w:ascii="Times New Roman" w:eastAsia="Calibri" w:hAnsi="Times New Roman" w:cs="Times New Roman"/>
          <w:kern w:val="0"/>
          <w:sz w:val="24"/>
          <w14:ligatures w14:val="none"/>
        </w:rPr>
        <w:t>; and</w:t>
      </w:r>
    </w:p>
    <w:p w14:paraId="20B048C9" w14:textId="04BB7385" w:rsidR="006B4A66" w:rsidRPr="006B4A66" w:rsidRDefault="007464EB" w:rsidP="0073496A">
      <w:pPr>
        <w:tabs>
          <w:tab w:val="left" w:pos="720"/>
        </w:tabs>
        <w:spacing w:after="0" w:line="480" w:lineRule="auto"/>
        <w:rPr>
          <w:rFonts w:ascii="Times New Roman" w:eastAsia="Calibri" w:hAnsi="Times New Roman" w:cs="Times New Roman"/>
          <w:kern w:val="0"/>
          <w:sz w:val="24"/>
          <w14:ligatures w14:val="none"/>
        </w:rPr>
      </w:pPr>
      <w:r>
        <w:rPr>
          <w:rFonts w:ascii="Times New Roman" w:eastAsia="Calibri" w:hAnsi="Times New Roman" w:cs="Times New Roman"/>
          <w:kern w:val="0"/>
          <w:sz w:val="24"/>
          <w14:ligatures w14:val="none"/>
        </w:rPr>
        <w:tab/>
      </w:r>
      <w:r w:rsidR="00666516">
        <w:rPr>
          <w:rFonts w:ascii="Times New Roman" w:eastAsia="Calibri" w:hAnsi="Times New Roman" w:cs="Times New Roman"/>
          <w:kern w:val="0"/>
          <w:sz w:val="24"/>
          <w14:ligatures w14:val="none"/>
        </w:rPr>
        <w:t>ZZZZZ</w:t>
      </w:r>
      <w:r w:rsidRPr="006B4A66">
        <w:rPr>
          <w:rFonts w:ascii="Times New Roman" w:eastAsia="Calibri" w:hAnsi="Times New Roman" w:cs="Times New Roman"/>
          <w:kern w:val="0"/>
          <w:sz w:val="24"/>
          <w14:ligatures w14:val="none"/>
        </w:rPr>
        <w:t>.</w:t>
      </w:r>
      <w:r>
        <w:rPr>
          <w:rFonts w:ascii="Times New Roman" w:eastAsia="Calibri" w:hAnsi="Times New Roman" w:cs="Times New Roman"/>
          <w:kern w:val="0"/>
          <w:sz w:val="24"/>
          <w14:ligatures w14:val="none"/>
        </w:rPr>
        <w:t xml:space="preserve">  Ordinance 19316, Section 7, and K.C.C. 21A.18.150</w:t>
      </w:r>
      <w:r w:rsidR="006B4A66" w:rsidRPr="006B4A66">
        <w:rPr>
          <w:rFonts w:ascii="Times New Roman" w:eastAsia="Calibri" w:hAnsi="Times New Roman" w:cs="Times New Roman"/>
          <w:kern w:val="0"/>
          <w:sz w:val="24"/>
          <w14:ligatures w14:val="none"/>
        </w:rPr>
        <w:t>.</w:t>
      </w:r>
    </w:p>
    <w:p w14:paraId="35BF7231" w14:textId="127F0F1F" w:rsidR="00491A8A" w:rsidRPr="00260D95" w:rsidRDefault="006B4A66" w:rsidP="0073496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rPr>
          <w:rFonts w:ascii="Times New Roman" w:eastAsia="Arial" w:hAnsi="Times New Roman" w:cs="Times New Roman"/>
          <w:spacing w:val="-2"/>
          <w:kern w:val="0"/>
          <w:sz w:val="24"/>
          <w14:ligatures w14:val="none"/>
        </w:rPr>
      </w:pPr>
      <w:r w:rsidRPr="006B4A66">
        <w:rPr>
          <w:rFonts w:ascii="Times New Roman" w:eastAsia="Calibri" w:hAnsi="Times New Roman" w:cs="Times New Roman"/>
          <w:kern w:val="0"/>
          <w:sz w:val="24"/>
          <w14:ligatures w14:val="none"/>
        </w:rPr>
        <w:tab/>
      </w:r>
      <w:r w:rsidRPr="006B4A66">
        <w:rPr>
          <w:rFonts w:ascii="Times New Roman" w:eastAsia="Arial" w:hAnsi="Times New Roman" w:cs="Times New Roman"/>
          <w:spacing w:val="-2"/>
          <w:kern w:val="0"/>
          <w:sz w:val="24"/>
          <w:u w:val="single"/>
          <w14:ligatures w14:val="none"/>
        </w:rPr>
        <w:t>SECTION 250</w:t>
      </w:r>
      <w:r w:rsidRPr="003519DD">
        <w:rPr>
          <w:rFonts w:ascii="Times New Roman" w:hAnsi="Times New Roman"/>
          <w:spacing w:val="-2"/>
          <w:kern w:val="0"/>
          <w:sz w:val="24"/>
          <w:u w:val="single"/>
          <w14:ligatures w14:val="none"/>
        </w:rPr>
        <w:t>.</w:t>
      </w:r>
      <w:r w:rsidRPr="006B4A66">
        <w:rPr>
          <w:rFonts w:ascii="Times New Roman" w:eastAsia="Arial" w:hAnsi="Times New Roman" w:cs="Times New Roman"/>
          <w:spacing w:val="-2"/>
          <w:kern w:val="0"/>
          <w:sz w:val="24"/>
          <w14:ligatures w14:val="none"/>
        </w:rPr>
        <w:t xml:space="preserve">  </w:t>
      </w:r>
      <w:r w:rsidRPr="006B4A66">
        <w:rPr>
          <w:rFonts w:ascii="Times New Roman" w:eastAsia="Arial" w:hAnsi="Times New Roman" w:cs="Times New Roman"/>
          <w:b/>
          <w:bCs/>
          <w:kern w:val="0"/>
          <w:sz w:val="24"/>
          <w14:ligatures w14:val="none"/>
        </w:rPr>
        <w:t>Severability.</w:t>
      </w:r>
      <w:r w:rsidRPr="006B4A66">
        <w:rPr>
          <w:rFonts w:ascii="Times New Roman" w:eastAsia="Arial" w:hAnsi="Times New Roman" w:cs="Times New Roman"/>
          <w:kern w:val="0"/>
          <w:sz w:val="24"/>
          <w14:ligatures w14:val="none"/>
        </w:rPr>
        <w:t xml:space="preserve">  </w:t>
      </w:r>
      <w:r w:rsidRPr="006B4A66">
        <w:rPr>
          <w:rFonts w:ascii="Times New Roman" w:eastAsia="Arial" w:hAnsi="Times New Roman" w:cs="Times New Roman"/>
          <w:spacing w:val="-2"/>
          <w:kern w:val="0"/>
          <w:sz w:val="24"/>
          <w14:ligatures w14:val="none"/>
        </w:rPr>
        <w:t xml:space="preserve">If any provision of this ordinance or its application </w:t>
      </w:r>
      <w:r w:rsidRPr="006B4A66">
        <w:rPr>
          <w:rFonts w:ascii="Times New Roman" w:eastAsia="Arial" w:hAnsi="Times New Roman" w:cs="Times New Roman"/>
          <w:spacing w:val="-2"/>
          <w:kern w:val="0"/>
          <w:sz w:val="24"/>
          <w14:ligatures w14:val="none"/>
        </w:rPr>
        <w:br w:type="page"/>
      </w:r>
      <w:r w:rsidRPr="006B4A66">
        <w:rPr>
          <w:rFonts w:ascii="Times New Roman" w:eastAsia="Arial" w:hAnsi="Times New Roman" w:cs="Times New Roman"/>
          <w:spacing w:val="-2"/>
          <w:kern w:val="0"/>
          <w:sz w:val="24"/>
          <w14:ligatures w14:val="none"/>
        </w:rPr>
        <w:lastRenderedPageBreak/>
        <w:t>to any person or circumstance is held invalid, the remainder of the ordinance or the application of the provision to other persons or circumstances is not affected.</w:t>
      </w:r>
      <w:r w:rsidR="000C4CCB">
        <w:rPr>
          <w:rFonts w:ascii="Times New Roman" w:eastAsia="Calibri" w:hAnsi="Times New Roman" w:cs="Times New Roman"/>
          <w:kern w:val="0"/>
          <w:sz w:val="24"/>
          <w14:ligatures w14:val="none"/>
        </w:rPr>
        <w:t>"</w:t>
      </w:r>
    </w:p>
    <w:p w14:paraId="4B11AC95" w14:textId="77777777" w:rsidR="005A5E66" w:rsidRPr="001C3776" w:rsidRDefault="005A5E66" w:rsidP="0073496A">
      <w:pPr>
        <w:spacing w:after="0" w:line="480" w:lineRule="auto"/>
        <w:rPr>
          <w:rFonts w:ascii="Times New Roman" w:eastAsia="Calibri" w:hAnsi="Times New Roman" w:cs="Times New Roman"/>
          <w:kern w:val="0"/>
          <w14:ligatures w14:val="none"/>
        </w:rPr>
      </w:pPr>
    </w:p>
    <w:p w14:paraId="690ED6B5" w14:textId="394C20A9" w:rsidR="00560498" w:rsidRPr="00C70DE7" w:rsidRDefault="00F1540D" w:rsidP="0073496A">
      <w:pPr>
        <w:spacing w:after="0" w:line="480" w:lineRule="auto"/>
        <w:rPr>
          <w:rFonts w:asciiTheme="majorHAnsi" w:hAnsiTheme="majorHAnsi" w:cstheme="majorHAnsi"/>
          <w:b/>
          <w:sz w:val="24"/>
          <w:szCs w:val="24"/>
        </w:rPr>
      </w:pPr>
      <w:r w:rsidRPr="00536A6B">
        <w:rPr>
          <w:rFonts w:asciiTheme="majorHAnsi" w:hAnsiTheme="majorHAnsi" w:cstheme="majorHAnsi"/>
          <w:b/>
          <w:sz w:val="24"/>
          <w:szCs w:val="24"/>
        </w:rPr>
        <w:t xml:space="preserve">EFFECT prepared by </w:t>
      </w:r>
      <w:r w:rsidR="00CF3DDB">
        <w:rPr>
          <w:rFonts w:asciiTheme="majorHAnsi" w:hAnsiTheme="majorHAnsi" w:cstheme="majorHAnsi"/>
          <w:b/>
          <w:sz w:val="24"/>
          <w:szCs w:val="24"/>
        </w:rPr>
        <w:t>J. Tracy</w:t>
      </w:r>
      <w:r w:rsidRPr="00536A6B">
        <w:rPr>
          <w:rFonts w:asciiTheme="majorHAnsi" w:hAnsiTheme="majorHAnsi" w:cstheme="majorHAnsi"/>
          <w:b/>
          <w:sz w:val="24"/>
          <w:szCs w:val="24"/>
        </w:rPr>
        <w:t>:</w:t>
      </w:r>
      <w:r w:rsidR="00C70DE7">
        <w:rPr>
          <w:rFonts w:asciiTheme="majorHAnsi" w:hAnsiTheme="majorHAnsi" w:cstheme="majorHAnsi"/>
          <w:b/>
          <w:sz w:val="24"/>
          <w:szCs w:val="24"/>
        </w:rPr>
        <w:t xml:space="preserve"> </w:t>
      </w:r>
      <w:r w:rsidR="00560498" w:rsidRPr="00560498">
        <w:rPr>
          <w:rFonts w:ascii="Times New Roman" w:eastAsia="Calibri" w:hAnsi="Times New Roman" w:cs="Times New Roman"/>
          <w:bCs/>
          <w:kern w:val="0"/>
          <w:sz w:val="24"/>
          <w:szCs w:val="24"/>
          <w14:ligatures w14:val="none"/>
        </w:rPr>
        <w:t>Striking Amendment S1 would make the following changes:</w:t>
      </w:r>
    </w:p>
    <w:p w14:paraId="3E11257F" w14:textId="77777777" w:rsidR="003046E8" w:rsidRPr="003046E8" w:rsidRDefault="003046E8" w:rsidP="0073496A">
      <w:pPr>
        <w:spacing w:after="0" w:line="480" w:lineRule="auto"/>
        <w:rPr>
          <w:rFonts w:asciiTheme="majorHAnsi" w:eastAsia="Aptos" w:hAnsiTheme="majorHAnsi" w:cstheme="majorHAnsi"/>
          <w:b/>
          <w:bCs/>
          <w:sz w:val="24"/>
          <w:szCs w:val="24"/>
          <w:u w:val="single"/>
        </w:rPr>
      </w:pPr>
      <w:r w:rsidRPr="003046E8">
        <w:rPr>
          <w:rFonts w:asciiTheme="majorHAnsi" w:eastAsia="Aptos" w:hAnsiTheme="majorHAnsi" w:cstheme="majorHAnsi"/>
          <w:b/>
          <w:bCs/>
          <w:sz w:val="24"/>
          <w:szCs w:val="24"/>
          <w:u w:val="single"/>
        </w:rPr>
        <w:t>Permit Timelines</w:t>
      </w:r>
    </w:p>
    <w:p w14:paraId="32D85394" w14:textId="16F599AA" w:rsidR="003046E8" w:rsidRPr="003046E8" w:rsidRDefault="003046E8" w:rsidP="0073496A">
      <w:pPr>
        <w:numPr>
          <w:ilvl w:val="0"/>
          <w:numId w:val="10"/>
        </w:numPr>
        <w:spacing w:after="0" w:line="480" w:lineRule="auto"/>
        <w:rPr>
          <w:rFonts w:asciiTheme="majorHAnsi" w:eastAsia="Aptos" w:hAnsiTheme="majorHAnsi" w:cstheme="majorHAnsi"/>
          <w:sz w:val="24"/>
          <w:szCs w:val="24"/>
        </w:rPr>
      </w:pPr>
      <w:r w:rsidRPr="003046E8">
        <w:rPr>
          <w:rFonts w:asciiTheme="majorHAnsi" w:eastAsia="Aptos" w:hAnsiTheme="majorHAnsi" w:cstheme="majorHAnsi"/>
          <w:sz w:val="24"/>
          <w:szCs w:val="24"/>
        </w:rPr>
        <w:t xml:space="preserve">Retain </w:t>
      </w:r>
      <w:r w:rsidR="00B82F64">
        <w:rPr>
          <w:rFonts w:asciiTheme="majorHAnsi" w:eastAsia="Aptos" w:hAnsiTheme="majorHAnsi" w:cstheme="majorHAnsi"/>
          <w:sz w:val="24"/>
          <w:szCs w:val="24"/>
        </w:rPr>
        <w:t>e</w:t>
      </w:r>
      <w:r w:rsidRPr="003046E8">
        <w:rPr>
          <w:rFonts w:asciiTheme="majorHAnsi" w:eastAsia="Aptos" w:hAnsiTheme="majorHAnsi" w:cstheme="majorHAnsi"/>
          <w:sz w:val="24"/>
          <w:szCs w:val="24"/>
        </w:rPr>
        <w:t>xisting one-year expiration date for mechanical permits (lowered to 6 months in Executive transmittal).</w:t>
      </w:r>
    </w:p>
    <w:p w14:paraId="300B1175" w14:textId="77777777" w:rsidR="003046E8" w:rsidRPr="003046E8" w:rsidRDefault="003046E8" w:rsidP="0073496A">
      <w:pPr>
        <w:spacing w:after="0" w:line="480" w:lineRule="auto"/>
        <w:rPr>
          <w:rFonts w:asciiTheme="majorHAnsi" w:eastAsia="Aptos" w:hAnsiTheme="majorHAnsi" w:cstheme="majorHAnsi"/>
          <w:b/>
          <w:bCs/>
          <w:sz w:val="24"/>
          <w:szCs w:val="24"/>
          <w:u w:val="single"/>
        </w:rPr>
      </w:pPr>
      <w:r w:rsidRPr="003046E8">
        <w:rPr>
          <w:rFonts w:asciiTheme="majorHAnsi" w:eastAsia="Aptos" w:hAnsiTheme="majorHAnsi" w:cstheme="majorHAnsi"/>
          <w:b/>
          <w:bCs/>
          <w:sz w:val="24"/>
          <w:szCs w:val="24"/>
          <w:u w:val="single"/>
        </w:rPr>
        <w:t>Electric Vehicles</w:t>
      </w:r>
    </w:p>
    <w:p w14:paraId="33A9944A" w14:textId="77777777" w:rsidR="003046E8" w:rsidRPr="003046E8" w:rsidRDefault="003046E8" w:rsidP="0073496A">
      <w:pPr>
        <w:numPr>
          <w:ilvl w:val="0"/>
          <w:numId w:val="10"/>
        </w:numPr>
        <w:spacing w:after="0" w:line="480" w:lineRule="auto"/>
        <w:rPr>
          <w:rFonts w:asciiTheme="majorHAnsi" w:eastAsia="Aptos" w:hAnsiTheme="majorHAnsi" w:cstheme="majorHAnsi"/>
          <w:sz w:val="24"/>
          <w:szCs w:val="24"/>
          <w:u w:val="single"/>
        </w:rPr>
      </w:pPr>
      <w:r w:rsidRPr="003046E8">
        <w:rPr>
          <w:rFonts w:asciiTheme="majorHAnsi" w:eastAsia="Aptos" w:hAnsiTheme="majorHAnsi" w:cstheme="majorHAnsi"/>
          <w:sz w:val="24"/>
          <w:szCs w:val="24"/>
        </w:rPr>
        <w:t>Update EV parking requirements for the following uses as shown here:</w:t>
      </w:r>
    </w:p>
    <w:tbl>
      <w:tblPr>
        <w:tblW w:w="461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217"/>
        <w:gridCol w:w="2878"/>
        <w:gridCol w:w="2876"/>
      </w:tblGrid>
      <w:tr w:rsidR="003046E8" w:rsidRPr="003046E8" w14:paraId="4FEDF1E7" w14:textId="77777777" w:rsidTr="007D2347">
        <w:trPr>
          <w:jc w:val="center"/>
        </w:trPr>
        <w:tc>
          <w:tcPr>
            <w:tcW w:w="1391" w:type="pct"/>
            <w:shd w:val="clear" w:color="auto" w:fill="000000" w:themeFill="text1"/>
            <w:tcMar>
              <w:top w:w="90" w:type="dxa"/>
              <w:bottom w:w="90" w:type="dxa"/>
            </w:tcMar>
            <w:vAlign w:val="center"/>
          </w:tcPr>
          <w:p w14:paraId="0BAAAC1C" w14:textId="77777777" w:rsidR="003046E8" w:rsidRPr="003046E8" w:rsidRDefault="003046E8" w:rsidP="0073496A">
            <w:pPr>
              <w:spacing w:after="0" w:line="480" w:lineRule="auto"/>
              <w:rPr>
                <w:rFonts w:asciiTheme="majorHAnsi" w:eastAsia="Aptos" w:hAnsiTheme="majorHAnsi" w:cstheme="majorHAnsi"/>
                <w:b/>
                <w:bCs/>
                <w:sz w:val="24"/>
                <w:szCs w:val="24"/>
              </w:rPr>
            </w:pPr>
            <w:r w:rsidRPr="003046E8">
              <w:rPr>
                <w:rFonts w:asciiTheme="majorHAnsi" w:eastAsia="Aptos" w:hAnsiTheme="majorHAnsi" w:cstheme="majorHAnsi"/>
                <w:b/>
                <w:bCs/>
                <w:sz w:val="24"/>
                <w:szCs w:val="24"/>
              </w:rPr>
              <w:t>Use</w:t>
            </w:r>
          </w:p>
        </w:tc>
        <w:tc>
          <w:tcPr>
            <w:tcW w:w="1805" w:type="pct"/>
            <w:shd w:val="clear" w:color="auto" w:fill="000000" w:themeFill="text1"/>
            <w:tcMar>
              <w:top w:w="90" w:type="dxa"/>
              <w:bottom w:w="90" w:type="dxa"/>
            </w:tcMar>
            <w:vAlign w:val="center"/>
          </w:tcPr>
          <w:p w14:paraId="2D995DC1" w14:textId="77777777" w:rsidR="003046E8" w:rsidRPr="003046E8" w:rsidRDefault="003046E8" w:rsidP="0073496A">
            <w:pPr>
              <w:spacing w:after="0" w:line="480" w:lineRule="auto"/>
              <w:rPr>
                <w:rFonts w:asciiTheme="majorHAnsi" w:eastAsia="Aptos" w:hAnsiTheme="majorHAnsi" w:cstheme="majorHAnsi"/>
                <w:b/>
                <w:bCs/>
                <w:sz w:val="24"/>
                <w:szCs w:val="24"/>
              </w:rPr>
            </w:pPr>
            <w:r w:rsidRPr="003046E8">
              <w:rPr>
                <w:rFonts w:asciiTheme="majorHAnsi" w:eastAsia="Aptos" w:hAnsiTheme="majorHAnsi" w:cstheme="majorHAnsi"/>
                <w:b/>
                <w:bCs/>
                <w:sz w:val="24"/>
                <w:szCs w:val="24"/>
              </w:rPr>
              <w:t>Executive Proposal</w:t>
            </w:r>
          </w:p>
          <w:p w14:paraId="6FAE75B3" w14:textId="77777777" w:rsidR="003046E8" w:rsidRPr="003046E8" w:rsidRDefault="003046E8" w:rsidP="0073496A">
            <w:pPr>
              <w:spacing w:after="0" w:line="480" w:lineRule="auto"/>
              <w:rPr>
                <w:rFonts w:asciiTheme="majorHAnsi" w:eastAsia="Aptos" w:hAnsiTheme="majorHAnsi" w:cstheme="majorHAnsi"/>
                <w:b/>
                <w:bCs/>
                <w:sz w:val="24"/>
                <w:szCs w:val="24"/>
              </w:rPr>
            </w:pPr>
            <w:r w:rsidRPr="003046E8">
              <w:rPr>
                <w:rFonts w:asciiTheme="majorHAnsi" w:eastAsia="Aptos" w:hAnsiTheme="majorHAnsi" w:cstheme="majorHAnsi"/>
                <w:b/>
                <w:bCs/>
                <w:sz w:val="24"/>
                <w:szCs w:val="24"/>
              </w:rPr>
              <w:t>(EV charging/EV ready/EV capable, percentage of total spaces)</w:t>
            </w:r>
          </w:p>
        </w:tc>
        <w:tc>
          <w:tcPr>
            <w:tcW w:w="1804" w:type="pct"/>
            <w:shd w:val="clear" w:color="auto" w:fill="000000" w:themeFill="text1"/>
            <w:tcMar>
              <w:top w:w="90" w:type="dxa"/>
              <w:bottom w:w="90" w:type="dxa"/>
            </w:tcMar>
            <w:vAlign w:val="center"/>
          </w:tcPr>
          <w:p w14:paraId="12E643E6" w14:textId="77777777" w:rsidR="003046E8" w:rsidRPr="003046E8" w:rsidRDefault="003046E8" w:rsidP="0073496A">
            <w:pPr>
              <w:spacing w:after="0" w:line="480" w:lineRule="auto"/>
              <w:rPr>
                <w:rFonts w:asciiTheme="majorHAnsi" w:eastAsia="Aptos" w:hAnsiTheme="majorHAnsi" w:cstheme="majorHAnsi"/>
                <w:b/>
                <w:bCs/>
                <w:sz w:val="24"/>
                <w:szCs w:val="24"/>
              </w:rPr>
            </w:pPr>
            <w:r w:rsidRPr="003046E8">
              <w:rPr>
                <w:rFonts w:asciiTheme="majorHAnsi" w:eastAsia="Aptos" w:hAnsiTheme="majorHAnsi" w:cstheme="majorHAnsi"/>
                <w:b/>
                <w:bCs/>
                <w:sz w:val="24"/>
                <w:szCs w:val="24"/>
              </w:rPr>
              <w:t>Striking Amendment</w:t>
            </w:r>
          </w:p>
          <w:p w14:paraId="26C78960" w14:textId="77777777" w:rsidR="003046E8" w:rsidRPr="003046E8" w:rsidRDefault="003046E8" w:rsidP="0073496A">
            <w:pPr>
              <w:spacing w:after="0" w:line="480" w:lineRule="auto"/>
              <w:rPr>
                <w:rFonts w:asciiTheme="majorHAnsi" w:eastAsia="Aptos" w:hAnsiTheme="majorHAnsi" w:cstheme="majorHAnsi"/>
                <w:b/>
                <w:bCs/>
                <w:sz w:val="24"/>
                <w:szCs w:val="24"/>
              </w:rPr>
            </w:pPr>
            <w:r w:rsidRPr="003046E8">
              <w:rPr>
                <w:rFonts w:asciiTheme="majorHAnsi" w:eastAsia="Aptos" w:hAnsiTheme="majorHAnsi" w:cstheme="majorHAnsi"/>
                <w:b/>
                <w:bCs/>
                <w:sz w:val="24"/>
                <w:szCs w:val="24"/>
              </w:rPr>
              <w:t>(EV charging/EV ready/EV capable, percentage of total spaces)</w:t>
            </w:r>
          </w:p>
        </w:tc>
      </w:tr>
      <w:tr w:rsidR="003046E8" w:rsidRPr="003046E8" w14:paraId="682892FB" w14:textId="77777777" w:rsidTr="007D2347">
        <w:trPr>
          <w:jc w:val="center"/>
        </w:trPr>
        <w:tc>
          <w:tcPr>
            <w:tcW w:w="1391" w:type="pct"/>
            <w:shd w:val="clear" w:color="auto" w:fill="FFFFFF" w:themeFill="background1"/>
            <w:tcMar>
              <w:top w:w="90" w:type="dxa"/>
              <w:bottom w:w="90" w:type="dxa"/>
            </w:tcMar>
            <w:vAlign w:val="center"/>
          </w:tcPr>
          <w:p w14:paraId="76661670" w14:textId="77777777" w:rsidR="003046E8" w:rsidRPr="003046E8" w:rsidRDefault="003046E8" w:rsidP="0073496A">
            <w:pPr>
              <w:spacing w:after="0" w:line="480" w:lineRule="auto"/>
              <w:rPr>
                <w:rFonts w:asciiTheme="majorHAnsi" w:eastAsia="Aptos" w:hAnsiTheme="majorHAnsi" w:cstheme="majorHAnsi"/>
                <w:sz w:val="24"/>
                <w:szCs w:val="24"/>
              </w:rPr>
            </w:pPr>
            <w:r w:rsidRPr="003046E8">
              <w:rPr>
                <w:rFonts w:asciiTheme="majorHAnsi" w:eastAsia="Aptos" w:hAnsiTheme="majorHAnsi" w:cstheme="majorHAnsi"/>
                <w:sz w:val="24"/>
                <w:szCs w:val="24"/>
              </w:rPr>
              <w:t>Assembly, Education, and Mercantile occupancies</w:t>
            </w:r>
          </w:p>
        </w:tc>
        <w:tc>
          <w:tcPr>
            <w:tcW w:w="1805" w:type="pct"/>
            <w:shd w:val="clear" w:color="auto" w:fill="FFFFFF" w:themeFill="background1"/>
            <w:tcMar>
              <w:top w:w="90" w:type="dxa"/>
              <w:bottom w:w="90" w:type="dxa"/>
            </w:tcMar>
            <w:vAlign w:val="center"/>
          </w:tcPr>
          <w:p w14:paraId="4577B9A1" w14:textId="77777777" w:rsidR="003046E8" w:rsidRPr="003046E8" w:rsidRDefault="003046E8" w:rsidP="0073496A">
            <w:pPr>
              <w:spacing w:after="0" w:line="480" w:lineRule="auto"/>
              <w:rPr>
                <w:rFonts w:asciiTheme="majorHAnsi" w:eastAsia="Aptos" w:hAnsiTheme="majorHAnsi" w:cstheme="majorHAnsi"/>
                <w:sz w:val="24"/>
                <w:szCs w:val="24"/>
              </w:rPr>
            </w:pPr>
            <w:r w:rsidRPr="003046E8">
              <w:rPr>
                <w:rFonts w:asciiTheme="majorHAnsi" w:eastAsia="Aptos" w:hAnsiTheme="majorHAnsi" w:cstheme="majorHAnsi"/>
                <w:b/>
                <w:bCs/>
                <w:sz w:val="24"/>
                <w:szCs w:val="24"/>
              </w:rPr>
              <w:t xml:space="preserve">10% </w:t>
            </w:r>
            <w:r w:rsidRPr="003046E8">
              <w:rPr>
                <w:rFonts w:asciiTheme="majorHAnsi" w:eastAsia="Aptos" w:hAnsiTheme="majorHAnsi" w:cstheme="majorHAnsi"/>
                <w:sz w:val="24"/>
                <w:szCs w:val="24"/>
              </w:rPr>
              <w:t>/ 10% / 10%</w:t>
            </w:r>
          </w:p>
        </w:tc>
        <w:tc>
          <w:tcPr>
            <w:tcW w:w="1804" w:type="pct"/>
            <w:shd w:val="clear" w:color="auto" w:fill="FFFFFF" w:themeFill="background1"/>
            <w:tcMar>
              <w:top w:w="90" w:type="dxa"/>
              <w:bottom w:w="90" w:type="dxa"/>
            </w:tcMar>
            <w:vAlign w:val="center"/>
          </w:tcPr>
          <w:p w14:paraId="1D19218B" w14:textId="77777777" w:rsidR="003046E8" w:rsidRPr="003046E8" w:rsidRDefault="003046E8" w:rsidP="0073496A">
            <w:pPr>
              <w:spacing w:after="0" w:line="480" w:lineRule="auto"/>
              <w:rPr>
                <w:rFonts w:asciiTheme="majorHAnsi" w:eastAsia="Aptos" w:hAnsiTheme="majorHAnsi" w:cstheme="majorHAnsi"/>
                <w:sz w:val="24"/>
                <w:szCs w:val="24"/>
              </w:rPr>
            </w:pPr>
            <w:r w:rsidRPr="003046E8">
              <w:rPr>
                <w:rFonts w:asciiTheme="majorHAnsi" w:eastAsia="Aptos" w:hAnsiTheme="majorHAnsi" w:cstheme="majorHAnsi"/>
                <w:b/>
                <w:bCs/>
                <w:sz w:val="24"/>
                <w:szCs w:val="24"/>
              </w:rPr>
              <w:t>5%</w:t>
            </w:r>
            <w:r w:rsidRPr="003046E8">
              <w:rPr>
                <w:rFonts w:asciiTheme="majorHAnsi" w:eastAsia="Aptos" w:hAnsiTheme="majorHAnsi" w:cstheme="majorHAnsi"/>
                <w:sz w:val="24"/>
                <w:szCs w:val="24"/>
              </w:rPr>
              <w:t xml:space="preserve"> / 10% / 10%</w:t>
            </w:r>
          </w:p>
        </w:tc>
      </w:tr>
      <w:tr w:rsidR="003046E8" w:rsidRPr="003046E8" w14:paraId="42065EFC" w14:textId="77777777" w:rsidTr="007D2347">
        <w:trPr>
          <w:jc w:val="center"/>
        </w:trPr>
        <w:tc>
          <w:tcPr>
            <w:tcW w:w="1391" w:type="pct"/>
            <w:shd w:val="clear" w:color="auto" w:fill="FFFFFF" w:themeFill="background1"/>
            <w:tcMar>
              <w:top w:w="90" w:type="dxa"/>
              <w:bottom w:w="90" w:type="dxa"/>
            </w:tcMar>
            <w:vAlign w:val="center"/>
          </w:tcPr>
          <w:p w14:paraId="779B9DF1" w14:textId="77777777" w:rsidR="003046E8" w:rsidRPr="003046E8" w:rsidRDefault="003046E8" w:rsidP="0073496A">
            <w:pPr>
              <w:spacing w:after="0" w:line="480" w:lineRule="auto"/>
              <w:rPr>
                <w:rFonts w:asciiTheme="majorHAnsi" w:eastAsia="Aptos" w:hAnsiTheme="majorHAnsi" w:cstheme="majorHAnsi"/>
                <w:sz w:val="24"/>
                <w:szCs w:val="24"/>
              </w:rPr>
            </w:pPr>
            <w:r w:rsidRPr="003046E8">
              <w:rPr>
                <w:rFonts w:asciiTheme="majorHAnsi" w:eastAsia="Aptos" w:hAnsiTheme="majorHAnsi" w:cstheme="majorHAnsi"/>
                <w:sz w:val="24"/>
                <w:szCs w:val="24"/>
              </w:rPr>
              <w:t>Multifamily</w:t>
            </w:r>
          </w:p>
        </w:tc>
        <w:tc>
          <w:tcPr>
            <w:tcW w:w="1805" w:type="pct"/>
            <w:shd w:val="clear" w:color="auto" w:fill="FFFFFF" w:themeFill="background1"/>
            <w:tcMar>
              <w:top w:w="90" w:type="dxa"/>
              <w:bottom w:w="90" w:type="dxa"/>
            </w:tcMar>
            <w:vAlign w:val="center"/>
          </w:tcPr>
          <w:p w14:paraId="280722EF" w14:textId="77777777" w:rsidR="003046E8" w:rsidRPr="003046E8" w:rsidRDefault="003046E8" w:rsidP="0073496A">
            <w:pPr>
              <w:spacing w:after="0" w:line="480" w:lineRule="auto"/>
              <w:rPr>
                <w:rFonts w:asciiTheme="majorHAnsi" w:eastAsia="Aptos" w:hAnsiTheme="majorHAnsi" w:cstheme="majorHAnsi"/>
                <w:sz w:val="24"/>
                <w:szCs w:val="24"/>
              </w:rPr>
            </w:pPr>
            <w:r w:rsidRPr="003046E8">
              <w:rPr>
                <w:rFonts w:asciiTheme="majorHAnsi" w:eastAsia="Aptos" w:hAnsiTheme="majorHAnsi" w:cstheme="majorHAnsi"/>
                <w:sz w:val="24"/>
                <w:szCs w:val="24"/>
              </w:rPr>
              <w:t xml:space="preserve">10% / </w:t>
            </w:r>
            <w:r w:rsidRPr="003046E8">
              <w:rPr>
                <w:rFonts w:asciiTheme="majorHAnsi" w:eastAsia="Aptos" w:hAnsiTheme="majorHAnsi" w:cstheme="majorHAnsi"/>
                <w:b/>
                <w:bCs/>
                <w:sz w:val="24"/>
                <w:szCs w:val="24"/>
              </w:rPr>
              <w:t xml:space="preserve">40% </w:t>
            </w:r>
            <w:r w:rsidRPr="003046E8">
              <w:rPr>
                <w:rFonts w:asciiTheme="majorHAnsi" w:eastAsia="Aptos" w:hAnsiTheme="majorHAnsi" w:cstheme="majorHAnsi"/>
                <w:sz w:val="24"/>
                <w:szCs w:val="24"/>
              </w:rPr>
              <w:t>/</w:t>
            </w:r>
            <w:r w:rsidRPr="003046E8">
              <w:rPr>
                <w:rFonts w:asciiTheme="majorHAnsi" w:eastAsia="Aptos" w:hAnsiTheme="majorHAnsi" w:cstheme="majorHAnsi"/>
                <w:b/>
                <w:bCs/>
                <w:sz w:val="24"/>
                <w:szCs w:val="24"/>
              </w:rPr>
              <w:t xml:space="preserve"> 25%</w:t>
            </w:r>
          </w:p>
        </w:tc>
        <w:tc>
          <w:tcPr>
            <w:tcW w:w="1804" w:type="pct"/>
            <w:shd w:val="clear" w:color="auto" w:fill="FFFFFF" w:themeFill="background1"/>
            <w:tcMar>
              <w:top w:w="90" w:type="dxa"/>
              <w:bottom w:w="90" w:type="dxa"/>
            </w:tcMar>
            <w:vAlign w:val="center"/>
          </w:tcPr>
          <w:p w14:paraId="34D3F262" w14:textId="77777777" w:rsidR="003046E8" w:rsidRPr="003046E8" w:rsidRDefault="003046E8" w:rsidP="0073496A">
            <w:pPr>
              <w:spacing w:after="0" w:line="480" w:lineRule="auto"/>
              <w:rPr>
                <w:rFonts w:asciiTheme="majorHAnsi" w:eastAsia="Aptos" w:hAnsiTheme="majorHAnsi" w:cstheme="majorHAnsi"/>
                <w:sz w:val="24"/>
                <w:szCs w:val="24"/>
              </w:rPr>
            </w:pPr>
            <w:r w:rsidRPr="003046E8">
              <w:rPr>
                <w:rFonts w:asciiTheme="majorHAnsi" w:eastAsia="Aptos" w:hAnsiTheme="majorHAnsi" w:cstheme="majorHAnsi"/>
                <w:sz w:val="24"/>
                <w:szCs w:val="24"/>
              </w:rPr>
              <w:t xml:space="preserve">10% / </w:t>
            </w:r>
            <w:r w:rsidRPr="003046E8">
              <w:rPr>
                <w:rFonts w:asciiTheme="majorHAnsi" w:eastAsia="Aptos" w:hAnsiTheme="majorHAnsi" w:cstheme="majorHAnsi"/>
                <w:b/>
                <w:bCs/>
                <w:sz w:val="24"/>
                <w:szCs w:val="24"/>
              </w:rPr>
              <w:t xml:space="preserve">25% </w:t>
            </w:r>
            <w:r w:rsidRPr="003046E8">
              <w:rPr>
                <w:rFonts w:asciiTheme="majorHAnsi" w:eastAsia="Aptos" w:hAnsiTheme="majorHAnsi" w:cstheme="majorHAnsi"/>
                <w:sz w:val="24"/>
                <w:szCs w:val="24"/>
              </w:rPr>
              <w:t>/</w:t>
            </w:r>
            <w:r w:rsidRPr="003046E8">
              <w:rPr>
                <w:rFonts w:asciiTheme="majorHAnsi" w:eastAsia="Aptos" w:hAnsiTheme="majorHAnsi" w:cstheme="majorHAnsi"/>
                <w:b/>
                <w:bCs/>
                <w:sz w:val="24"/>
                <w:szCs w:val="24"/>
              </w:rPr>
              <w:t xml:space="preserve"> 10%</w:t>
            </w:r>
          </w:p>
        </w:tc>
      </w:tr>
      <w:tr w:rsidR="003046E8" w:rsidRPr="003046E8" w14:paraId="4D255937" w14:textId="77777777" w:rsidTr="007D2347">
        <w:trPr>
          <w:jc w:val="center"/>
        </w:trPr>
        <w:tc>
          <w:tcPr>
            <w:tcW w:w="1391" w:type="pct"/>
            <w:shd w:val="clear" w:color="auto" w:fill="FFFFFF" w:themeFill="background1"/>
            <w:tcMar>
              <w:top w:w="90" w:type="dxa"/>
              <w:bottom w:w="90" w:type="dxa"/>
            </w:tcMar>
            <w:vAlign w:val="center"/>
          </w:tcPr>
          <w:p w14:paraId="0976CB08" w14:textId="77777777" w:rsidR="003046E8" w:rsidRPr="003046E8" w:rsidRDefault="003046E8" w:rsidP="0073496A">
            <w:pPr>
              <w:spacing w:after="0" w:line="480" w:lineRule="auto"/>
              <w:rPr>
                <w:rFonts w:asciiTheme="majorHAnsi" w:eastAsia="Aptos" w:hAnsiTheme="majorHAnsi" w:cstheme="majorHAnsi"/>
                <w:sz w:val="24"/>
                <w:szCs w:val="24"/>
              </w:rPr>
            </w:pPr>
            <w:r w:rsidRPr="003046E8">
              <w:rPr>
                <w:rFonts w:asciiTheme="majorHAnsi" w:eastAsia="Aptos" w:hAnsiTheme="majorHAnsi" w:cstheme="majorHAnsi"/>
                <w:sz w:val="24"/>
                <w:szCs w:val="24"/>
              </w:rPr>
              <w:t>Hotels / motels</w:t>
            </w:r>
          </w:p>
        </w:tc>
        <w:tc>
          <w:tcPr>
            <w:tcW w:w="1805" w:type="pct"/>
            <w:shd w:val="clear" w:color="auto" w:fill="FFFFFF" w:themeFill="background1"/>
            <w:tcMar>
              <w:top w:w="90" w:type="dxa"/>
              <w:bottom w:w="90" w:type="dxa"/>
            </w:tcMar>
            <w:vAlign w:val="center"/>
          </w:tcPr>
          <w:p w14:paraId="2D57B172" w14:textId="77777777" w:rsidR="003046E8" w:rsidRPr="003046E8" w:rsidRDefault="003046E8" w:rsidP="0073496A">
            <w:pPr>
              <w:spacing w:after="0" w:line="480" w:lineRule="auto"/>
              <w:rPr>
                <w:rFonts w:asciiTheme="majorHAnsi" w:eastAsia="Aptos" w:hAnsiTheme="majorHAnsi" w:cstheme="majorHAnsi"/>
                <w:sz w:val="24"/>
                <w:szCs w:val="24"/>
              </w:rPr>
            </w:pPr>
            <w:r w:rsidRPr="003046E8">
              <w:rPr>
                <w:rFonts w:asciiTheme="majorHAnsi" w:eastAsia="Aptos" w:hAnsiTheme="majorHAnsi" w:cstheme="majorHAnsi"/>
                <w:sz w:val="24"/>
                <w:szCs w:val="24"/>
              </w:rPr>
              <w:t xml:space="preserve">10% / </w:t>
            </w:r>
            <w:r w:rsidRPr="003046E8">
              <w:rPr>
                <w:rFonts w:asciiTheme="majorHAnsi" w:eastAsia="Aptos" w:hAnsiTheme="majorHAnsi" w:cstheme="majorHAnsi"/>
                <w:b/>
                <w:bCs/>
                <w:sz w:val="24"/>
                <w:szCs w:val="24"/>
              </w:rPr>
              <w:t>40%</w:t>
            </w:r>
            <w:r w:rsidRPr="003046E8">
              <w:rPr>
                <w:rFonts w:asciiTheme="majorHAnsi" w:eastAsia="Aptos" w:hAnsiTheme="majorHAnsi" w:cstheme="majorHAnsi"/>
                <w:sz w:val="24"/>
                <w:szCs w:val="24"/>
              </w:rPr>
              <w:t xml:space="preserve"> / </w:t>
            </w:r>
            <w:r w:rsidRPr="003046E8">
              <w:rPr>
                <w:rFonts w:asciiTheme="majorHAnsi" w:eastAsia="Aptos" w:hAnsiTheme="majorHAnsi" w:cstheme="majorHAnsi"/>
                <w:b/>
                <w:bCs/>
                <w:sz w:val="24"/>
                <w:szCs w:val="24"/>
              </w:rPr>
              <w:t>25%</w:t>
            </w:r>
          </w:p>
        </w:tc>
        <w:tc>
          <w:tcPr>
            <w:tcW w:w="1804" w:type="pct"/>
            <w:shd w:val="clear" w:color="auto" w:fill="FFFFFF" w:themeFill="background1"/>
            <w:tcMar>
              <w:top w:w="90" w:type="dxa"/>
              <w:bottom w:w="90" w:type="dxa"/>
            </w:tcMar>
            <w:vAlign w:val="center"/>
          </w:tcPr>
          <w:p w14:paraId="183F3D74" w14:textId="77777777" w:rsidR="003046E8" w:rsidRPr="003046E8" w:rsidRDefault="003046E8" w:rsidP="0073496A">
            <w:pPr>
              <w:spacing w:after="0" w:line="480" w:lineRule="auto"/>
              <w:rPr>
                <w:rFonts w:asciiTheme="majorHAnsi" w:eastAsia="Aptos" w:hAnsiTheme="majorHAnsi" w:cstheme="majorHAnsi"/>
                <w:sz w:val="24"/>
                <w:szCs w:val="24"/>
              </w:rPr>
            </w:pPr>
            <w:r w:rsidRPr="003046E8">
              <w:rPr>
                <w:rFonts w:asciiTheme="majorHAnsi" w:eastAsia="Aptos" w:hAnsiTheme="majorHAnsi" w:cstheme="majorHAnsi"/>
                <w:sz w:val="24"/>
                <w:szCs w:val="24"/>
              </w:rPr>
              <w:t xml:space="preserve">10% / </w:t>
            </w:r>
            <w:r w:rsidRPr="003046E8">
              <w:rPr>
                <w:rFonts w:asciiTheme="majorHAnsi" w:eastAsia="Aptos" w:hAnsiTheme="majorHAnsi" w:cstheme="majorHAnsi"/>
                <w:b/>
                <w:bCs/>
                <w:sz w:val="24"/>
                <w:szCs w:val="24"/>
              </w:rPr>
              <w:t>30%</w:t>
            </w:r>
            <w:r w:rsidRPr="003046E8">
              <w:rPr>
                <w:rFonts w:asciiTheme="majorHAnsi" w:eastAsia="Aptos" w:hAnsiTheme="majorHAnsi" w:cstheme="majorHAnsi"/>
                <w:sz w:val="24"/>
                <w:szCs w:val="24"/>
              </w:rPr>
              <w:t xml:space="preserve"> / </w:t>
            </w:r>
            <w:r w:rsidRPr="003046E8">
              <w:rPr>
                <w:rFonts w:asciiTheme="majorHAnsi" w:eastAsia="Aptos" w:hAnsiTheme="majorHAnsi" w:cstheme="majorHAnsi"/>
                <w:b/>
                <w:bCs/>
                <w:sz w:val="24"/>
                <w:szCs w:val="24"/>
              </w:rPr>
              <w:t>15%</w:t>
            </w:r>
          </w:p>
        </w:tc>
      </w:tr>
      <w:tr w:rsidR="003046E8" w:rsidRPr="003046E8" w14:paraId="3BB8A7AF" w14:textId="77777777" w:rsidTr="007D2347">
        <w:trPr>
          <w:jc w:val="center"/>
        </w:trPr>
        <w:tc>
          <w:tcPr>
            <w:tcW w:w="1391" w:type="pct"/>
            <w:shd w:val="clear" w:color="auto" w:fill="FFFFFF" w:themeFill="background1"/>
            <w:tcMar>
              <w:top w:w="90" w:type="dxa"/>
              <w:bottom w:w="90" w:type="dxa"/>
            </w:tcMar>
            <w:vAlign w:val="center"/>
          </w:tcPr>
          <w:p w14:paraId="2CDC7729" w14:textId="5CAF856A" w:rsidR="003046E8" w:rsidRPr="003046E8" w:rsidRDefault="003046E8" w:rsidP="0073496A">
            <w:pPr>
              <w:spacing w:after="0" w:line="480" w:lineRule="auto"/>
              <w:rPr>
                <w:rFonts w:asciiTheme="majorHAnsi" w:eastAsia="Aptos" w:hAnsiTheme="majorHAnsi" w:cstheme="majorHAnsi"/>
                <w:sz w:val="24"/>
                <w:szCs w:val="24"/>
              </w:rPr>
            </w:pPr>
            <w:r w:rsidRPr="003046E8">
              <w:rPr>
                <w:rFonts w:asciiTheme="majorHAnsi" w:eastAsia="Aptos" w:hAnsiTheme="majorHAnsi" w:cstheme="majorHAnsi"/>
                <w:sz w:val="24"/>
                <w:szCs w:val="24"/>
              </w:rPr>
              <w:lastRenderedPageBreak/>
              <w:t>Supportive / emergency housing /Congregate housing uses</w:t>
            </w:r>
            <w:r w:rsidR="00F61D42">
              <w:rPr>
                <w:rFonts w:asciiTheme="majorHAnsi" w:eastAsia="Aptos" w:hAnsiTheme="majorHAnsi" w:cstheme="majorHAnsi"/>
                <w:sz w:val="24"/>
                <w:szCs w:val="24"/>
              </w:rPr>
              <w:t xml:space="preserve"> except those below</w:t>
            </w:r>
          </w:p>
        </w:tc>
        <w:tc>
          <w:tcPr>
            <w:tcW w:w="1805" w:type="pct"/>
            <w:shd w:val="clear" w:color="auto" w:fill="FFFFFF" w:themeFill="background1"/>
            <w:tcMar>
              <w:top w:w="90" w:type="dxa"/>
              <w:bottom w:w="90" w:type="dxa"/>
            </w:tcMar>
            <w:vAlign w:val="center"/>
          </w:tcPr>
          <w:p w14:paraId="20D4341E" w14:textId="2C93E559" w:rsidR="003046E8" w:rsidRPr="003046E8" w:rsidRDefault="003046E8" w:rsidP="0073496A">
            <w:pPr>
              <w:spacing w:after="0" w:line="480" w:lineRule="auto"/>
              <w:rPr>
                <w:rFonts w:asciiTheme="majorHAnsi" w:eastAsia="Aptos" w:hAnsiTheme="majorHAnsi" w:cstheme="majorHAnsi"/>
                <w:b/>
                <w:bCs/>
                <w:sz w:val="24"/>
                <w:szCs w:val="24"/>
              </w:rPr>
            </w:pPr>
            <w:r w:rsidRPr="003046E8">
              <w:rPr>
                <w:rFonts w:asciiTheme="majorHAnsi" w:eastAsia="Aptos" w:hAnsiTheme="majorHAnsi" w:cstheme="majorHAnsi"/>
                <w:sz w:val="24"/>
                <w:szCs w:val="24"/>
              </w:rPr>
              <w:t xml:space="preserve"> </w:t>
            </w:r>
            <w:r w:rsidRPr="003046E8">
              <w:rPr>
                <w:rFonts w:asciiTheme="majorHAnsi" w:eastAsia="Aptos" w:hAnsiTheme="majorHAnsi" w:cstheme="majorHAnsi"/>
                <w:b/>
                <w:bCs/>
                <w:sz w:val="24"/>
                <w:szCs w:val="24"/>
              </w:rPr>
              <w:t>10% / 40% /</w:t>
            </w:r>
            <w:r w:rsidR="001D489B">
              <w:rPr>
                <w:rFonts w:asciiTheme="majorHAnsi" w:eastAsia="Aptos" w:hAnsiTheme="majorHAnsi" w:cstheme="majorHAnsi"/>
                <w:b/>
                <w:bCs/>
                <w:sz w:val="24"/>
                <w:szCs w:val="24"/>
              </w:rPr>
              <w:t xml:space="preserve"> </w:t>
            </w:r>
            <w:r w:rsidRPr="003046E8">
              <w:rPr>
                <w:rFonts w:asciiTheme="majorHAnsi" w:eastAsia="Aptos" w:hAnsiTheme="majorHAnsi" w:cstheme="majorHAnsi"/>
                <w:b/>
                <w:bCs/>
                <w:sz w:val="24"/>
                <w:szCs w:val="24"/>
              </w:rPr>
              <w:t>25%</w:t>
            </w:r>
          </w:p>
        </w:tc>
        <w:tc>
          <w:tcPr>
            <w:tcW w:w="1804" w:type="pct"/>
            <w:shd w:val="clear" w:color="auto" w:fill="FFFFFF" w:themeFill="background1"/>
            <w:tcMar>
              <w:top w:w="90" w:type="dxa"/>
              <w:bottom w:w="90" w:type="dxa"/>
            </w:tcMar>
            <w:vAlign w:val="center"/>
          </w:tcPr>
          <w:p w14:paraId="07E01CAC" w14:textId="75E92F21" w:rsidR="003046E8" w:rsidRPr="003046E8" w:rsidRDefault="00F61D42" w:rsidP="0073496A">
            <w:pPr>
              <w:spacing w:after="0" w:line="480" w:lineRule="auto"/>
              <w:rPr>
                <w:rFonts w:asciiTheme="majorHAnsi" w:eastAsia="Aptos" w:hAnsiTheme="majorHAnsi" w:cstheme="majorHAnsi"/>
                <w:b/>
                <w:bCs/>
                <w:sz w:val="24"/>
                <w:szCs w:val="24"/>
              </w:rPr>
            </w:pPr>
            <w:r>
              <w:rPr>
                <w:rFonts w:asciiTheme="majorHAnsi" w:eastAsia="Aptos" w:hAnsiTheme="majorHAnsi" w:cstheme="majorHAnsi"/>
                <w:b/>
                <w:bCs/>
                <w:sz w:val="24"/>
                <w:szCs w:val="24"/>
              </w:rPr>
              <w:t>1</w:t>
            </w:r>
            <w:r w:rsidR="003046E8" w:rsidRPr="003046E8">
              <w:rPr>
                <w:rFonts w:asciiTheme="majorHAnsi" w:eastAsia="Aptos" w:hAnsiTheme="majorHAnsi" w:cstheme="majorHAnsi"/>
                <w:b/>
                <w:bCs/>
                <w:sz w:val="24"/>
                <w:szCs w:val="24"/>
              </w:rPr>
              <w:t>0% / 10% / 10%</w:t>
            </w:r>
          </w:p>
        </w:tc>
      </w:tr>
      <w:tr w:rsidR="00F61D42" w:rsidRPr="003046E8" w14:paraId="0BFA3037" w14:textId="77777777" w:rsidTr="007D2347">
        <w:trPr>
          <w:jc w:val="center"/>
        </w:trPr>
        <w:tc>
          <w:tcPr>
            <w:tcW w:w="1391" w:type="pct"/>
            <w:shd w:val="clear" w:color="auto" w:fill="FFFFFF" w:themeFill="background1"/>
            <w:tcMar>
              <w:top w:w="90" w:type="dxa"/>
              <w:bottom w:w="90" w:type="dxa"/>
            </w:tcMar>
            <w:vAlign w:val="center"/>
          </w:tcPr>
          <w:p w14:paraId="0473095C" w14:textId="230A3570" w:rsidR="00682640" w:rsidRDefault="00F61D42" w:rsidP="0073496A">
            <w:pPr>
              <w:spacing w:after="0" w:line="480" w:lineRule="auto"/>
              <w:rPr>
                <w:rFonts w:asciiTheme="majorHAnsi" w:eastAsia="Aptos" w:hAnsiTheme="majorHAnsi" w:cstheme="majorHAnsi"/>
                <w:sz w:val="24"/>
                <w:szCs w:val="24"/>
              </w:rPr>
            </w:pPr>
            <w:r>
              <w:rPr>
                <w:rFonts w:asciiTheme="majorHAnsi" w:eastAsia="Aptos" w:hAnsiTheme="majorHAnsi" w:cstheme="majorHAnsi"/>
                <w:sz w:val="24"/>
                <w:szCs w:val="24"/>
              </w:rPr>
              <w:t>Safe Parking,</w:t>
            </w:r>
            <w:r w:rsidR="009F4E1A">
              <w:rPr>
                <w:rFonts w:asciiTheme="majorHAnsi" w:eastAsia="Aptos" w:hAnsiTheme="majorHAnsi" w:cstheme="majorHAnsi"/>
                <w:sz w:val="24"/>
                <w:szCs w:val="24"/>
              </w:rPr>
              <w:t xml:space="preserve"> Microshelter Villages,</w:t>
            </w:r>
          </w:p>
          <w:p w14:paraId="3394DA84" w14:textId="4FE30233" w:rsidR="00682640" w:rsidRDefault="00682640" w:rsidP="0073496A">
            <w:pPr>
              <w:spacing w:after="0" w:line="480" w:lineRule="auto"/>
              <w:rPr>
                <w:rFonts w:asciiTheme="majorHAnsi" w:eastAsia="Aptos" w:hAnsiTheme="majorHAnsi" w:cstheme="majorHAnsi"/>
                <w:sz w:val="24"/>
                <w:szCs w:val="24"/>
              </w:rPr>
            </w:pPr>
            <w:r>
              <w:rPr>
                <w:rFonts w:asciiTheme="majorHAnsi" w:eastAsia="Aptos" w:hAnsiTheme="majorHAnsi" w:cstheme="majorHAnsi"/>
                <w:sz w:val="24"/>
                <w:szCs w:val="24"/>
              </w:rPr>
              <w:t>Emergency Shelter</w:t>
            </w:r>
          </w:p>
          <w:p w14:paraId="5E90D4E4" w14:textId="25F79454" w:rsidR="00682640" w:rsidRPr="003046E8" w:rsidRDefault="00682640" w:rsidP="0073496A">
            <w:pPr>
              <w:spacing w:after="0" w:line="480" w:lineRule="auto"/>
              <w:rPr>
                <w:rFonts w:asciiTheme="majorHAnsi" w:eastAsia="Aptos" w:hAnsiTheme="majorHAnsi" w:cstheme="majorHAnsi"/>
                <w:sz w:val="24"/>
                <w:szCs w:val="24"/>
              </w:rPr>
            </w:pPr>
          </w:p>
        </w:tc>
        <w:tc>
          <w:tcPr>
            <w:tcW w:w="1805" w:type="pct"/>
            <w:shd w:val="clear" w:color="auto" w:fill="FFFFFF" w:themeFill="background1"/>
            <w:tcMar>
              <w:top w:w="90" w:type="dxa"/>
              <w:bottom w:w="90" w:type="dxa"/>
            </w:tcMar>
            <w:vAlign w:val="center"/>
          </w:tcPr>
          <w:p w14:paraId="7544298F" w14:textId="1C13069A" w:rsidR="00F61D42" w:rsidRPr="003046E8" w:rsidRDefault="009F4E1A" w:rsidP="0073496A">
            <w:pPr>
              <w:spacing w:after="0" w:line="480" w:lineRule="auto"/>
              <w:rPr>
                <w:rFonts w:asciiTheme="majorHAnsi" w:eastAsia="Aptos" w:hAnsiTheme="majorHAnsi" w:cstheme="majorHAnsi"/>
                <w:sz w:val="24"/>
                <w:szCs w:val="24"/>
              </w:rPr>
            </w:pPr>
            <w:r w:rsidRPr="003046E8">
              <w:rPr>
                <w:rFonts w:asciiTheme="majorHAnsi" w:eastAsia="Aptos" w:hAnsiTheme="majorHAnsi" w:cstheme="majorHAnsi"/>
                <w:b/>
                <w:bCs/>
                <w:sz w:val="24"/>
                <w:szCs w:val="24"/>
              </w:rPr>
              <w:t>10% / 40% /</w:t>
            </w:r>
            <w:r w:rsidR="001D489B">
              <w:rPr>
                <w:rFonts w:asciiTheme="majorHAnsi" w:eastAsia="Aptos" w:hAnsiTheme="majorHAnsi" w:cstheme="majorHAnsi"/>
                <w:b/>
                <w:bCs/>
                <w:sz w:val="24"/>
                <w:szCs w:val="24"/>
              </w:rPr>
              <w:t xml:space="preserve"> </w:t>
            </w:r>
            <w:r w:rsidRPr="003046E8">
              <w:rPr>
                <w:rFonts w:asciiTheme="majorHAnsi" w:eastAsia="Aptos" w:hAnsiTheme="majorHAnsi" w:cstheme="majorHAnsi"/>
                <w:b/>
                <w:bCs/>
                <w:sz w:val="24"/>
                <w:szCs w:val="24"/>
              </w:rPr>
              <w:t>25%</w:t>
            </w:r>
          </w:p>
        </w:tc>
        <w:tc>
          <w:tcPr>
            <w:tcW w:w="1804" w:type="pct"/>
            <w:shd w:val="clear" w:color="auto" w:fill="FFFFFF" w:themeFill="background1"/>
            <w:tcMar>
              <w:top w:w="90" w:type="dxa"/>
              <w:bottom w:w="90" w:type="dxa"/>
            </w:tcMar>
            <w:vAlign w:val="center"/>
          </w:tcPr>
          <w:p w14:paraId="52FB4105" w14:textId="0B8EB241" w:rsidR="00F61D42" w:rsidRPr="009F4E1A" w:rsidRDefault="009F4E1A" w:rsidP="0073496A">
            <w:pPr>
              <w:spacing w:after="0" w:line="480" w:lineRule="auto"/>
              <w:rPr>
                <w:rFonts w:asciiTheme="majorHAnsi" w:eastAsia="Aptos" w:hAnsiTheme="majorHAnsi" w:cstheme="majorHAnsi"/>
                <w:b/>
                <w:bCs/>
                <w:sz w:val="24"/>
                <w:szCs w:val="24"/>
              </w:rPr>
            </w:pPr>
            <w:r>
              <w:rPr>
                <w:rFonts w:asciiTheme="majorHAnsi" w:eastAsia="Aptos" w:hAnsiTheme="majorHAnsi" w:cstheme="majorHAnsi"/>
                <w:b/>
                <w:bCs/>
                <w:sz w:val="24"/>
                <w:szCs w:val="24"/>
              </w:rPr>
              <w:t>Not Required</w:t>
            </w:r>
          </w:p>
        </w:tc>
      </w:tr>
    </w:tbl>
    <w:p w14:paraId="3605BD11" w14:textId="77777777" w:rsidR="003046E8" w:rsidRPr="003046E8" w:rsidRDefault="003046E8" w:rsidP="0073496A">
      <w:pPr>
        <w:spacing w:after="0" w:line="480" w:lineRule="auto"/>
        <w:rPr>
          <w:rFonts w:asciiTheme="majorHAnsi" w:eastAsia="Aptos" w:hAnsiTheme="majorHAnsi" w:cstheme="majorHAnsi"/>
          <w:sz w:val="24"/>
          <w:szCs w:val="24"/>
          <w:u w:val="single"/>
        </w:rPr>
      </w:pPr>
    </w:p>
    <w:p w14:paraId="600DDE11" w14:textId="0379E5AD" w:rsidR="003046E8" w:rsidRPr="002F3BCF" w:rsidRDefault="003046E8" w:rsidP="0073496A">
      <w:pPr>
        <w:numPr>
          <w:ilvl w:val="0"/>
          <w:numId w:val="11"/>
        </w:numPr>
        <w:spacing w:after="0" w:line="480" w:lineRule="auto"/>
        <w:rPr>
          <w:rFonts w:asciiTheme="majorHAnsi" w:eastAsia="Aptos" w:hAnsiTheme="majorHAnsi" w:cstheme="majorHAnsi"/>
          <w:sz w:val="24"/>
          <w:szCs w:val="24"/>
          <w:u w:val="single"/>
        </w:rPr>
      </w:pPr>
      <w:r w:rsidRPr="003046E8">
        <w:rPr>
          <w:rFonts w:asciiTheme="majorHAnsi" w:eastAsia="Aptos" w:hAnsiTheme="majorHAnsi" w:cstheme="majorHAnsi"/>
          <w:sz w:val="24"/>
          <w:szCs w:val="24"/>
        </w:rPr>
        <w:t>Retain current allowance for townhouses to reduce required EV-ready spaces when meeting the requirements would require an on-site transformer.</w:t>
      </w:r>
    </w:p>
    <w:p w14:paraId="078FB9F6" w14:textId="7D0570B5" w:rsidR="002F3BCF" w:rsidRPr="003046E8" w:rsidRDefault="00C93572" w:rsidP="0073496A">
      <w:pPr>
        <w:numPr>
          <w:ilvl w:val="0"/>
          <w:numId w:val="11"/>
        </w:numPr>
        <w:spacing w:after="0" w:line="480" w:lineRule="auto"/>
        <w:rPr>
          <w:rFonts w:asciiTheme="majorHAnsi" w:eastAsia="Aptos" w:hAnsiTheme="majorHAnsi" w:cstheme="majorHAnsi"/>
          <w:sz w:val="24"/>
          <w:szCs w:val="24"/>
          <w:u w:val="single"/>
        </w:rPr>
      </w:pPr>
      <w:r>
        <w:rPr>
          <w:rFonts w:asciiTheme="majorHAnsi" w:eastAsia="Aptos" w:hAnsiTheme="majorHAnsi" w:cstheme="majorHAnsi"/>
          <w:sz w:val="24"/>
          <w:szCs w:val="24"/>
        </w:rPr>
        <w:t xml:space="preserve">For townhouses built under the International Building Code, require EV-readiness for attached garages and carports (matches requirement in the International Residential Code). </w:t>
      </w:r>
    </w:p>
    <w:p w14:paraId="0F0D2006" w14:textId="77777777" w:rsidR="003046E8" w:rsidRPr="003046E8" w:rsidRDefault="003046E8" w:rsidP="0073496A">
      <w:pPr>
        <w:numPr>
          <w:ilvl w:val="0"/>
          <w:numId w:val="11"/>
        </w:numPr>
        <w:spacing w:after="0" w:line="480" w:lineRule="auto"/>
        <w:rPr>
          <w:rFonts w:asciiTheme="majorHAnsi" w:eastAsia="Aptos" w:hAnsiTheme="majorHAnsi" w:cstheme="majorHAnsi"/>
          <w:sz w:val="24"/>
          <w:szCs w:val="24"/>
          <w:u w:val="single"/>
        </w:rPr>
      </w:pPr>
      <w:r w:rsidRPr="003046E8">
        <w:rPr>
          <w:rFonts w:asciiTheme="majorHAnsi" w:eastAsia="Aptos" w:hAnsiTheme="majorHAnsi" w:cstheme="majorHAnsi"/>
          <w:sz w:val="24"/>
          <w:szCs w:val="24"/>
        </w:rPr>
        <w:t>When only one accessible space is required, state law requires it to be an EV charging space. The striker would require an additional accessible space on top of the accessible EV space when only one accessible space would otherwise be required.</w:t>
      </w:r>
    </w:p>
    <w:p w14:paraId="05924499" w14:textId="77777777" w:rsidR="003046E8" w:rsidRPr="003046E8" w:rsidRDefault="003046E8" w:rsidP="0073496A">
      <w:pPr>
        <w:numPr>
          <w:ilvl w:val="0"/>
          <w:numId w:val="11"/>
        </w:numPr>
        <w:spacing w:after="0" w:line="480" w:lineRule="auto"/>
        <w:rPr>
          <w:rFonts w:asciiTheme="majorHAnsi" w:eastAsia="Aptos" w:hAnsiTheme="majorHAnsi" w:cstheme="majorHAnsi"/>
          <w:sz w:val="24"/>
          <w:szCs w:val="24"/>
          <w:u w:val="single"/>
        </w:rPr>
      </w:pPr>
      <w:r w:rsidRPr="003046E8">
        <w:rPr>
          <w:rFonts w:asciiTheme="majorHAnsi" w:eastAsia="Aptos" w:hAnsiTheme="majorHAnsi" w:cstheme="majorHAnsi"/>
          <w:sz w:val="24"/>
          <w:szCs w:val="24"/>
        </w:rPr>
        <w:t>Require uncovered standalone parking lots (commuter parking lots, pay parking lots, etc.) to meet the same requirements as covered parking garages.</w:t>
      </w:r>
    </w:p>
    <w:p w14:paraId="575E60D2" w14:textId="77777777" w:rsidR="003046E8" w:rsidRPr="003046E8" w:rsidRDefault="003046E8" w:rsidP="0073496A">
      <w:pPr>
        <w:numPr>
          <w:ilvl w:val="0"/>
          <w:numId w:val="11"/>
        </w:numPr>
        <w:spacing w:after="0" w:line="480" w:lineRule="auto"/>
        <w:rPr>
          <w:rFonts w:asciiTheme="majorHAnsi" w:eastAsia="Aptos" w:hAnsiTheme="majorHAnsi" w:cstheme="majorHAnsi"/>
          <w:sz w:val="24"/>
          <w:szCs w:val="24"/>
          <w:u w:val="single"/>
        </w:rPr>
      </w:pPr>
      <w:r w:rsidRPr="003046E8">
        <w:rPr>
          <w:rFonts w:asciiTheme="majorHAnsi" w:eastAsia="Aptos" w:hAnsiTheme="majorHAnsi" w:cstheme="majorHAnsi"/>
          <w:sz w:val="24"/>
          <w:szCs w:val="24"/>
        </w:rPr>
        <w:lastRenderedPageBreak/>
        <w:t>Remove proposed additional requirement that existing buildings meet the new EV standards when 50% or more of the building is being worked on; maintain existing requirement that existing buildings comply with EV standards when undergoing substantial improvement (construction is 50% or more of the value of the building).</w:t>
      </w:r>
    </w:p>
    <w:p w14:paraId="5AB53DD1" w14:textId="71120AE3" w:rsidR="003046E8" w:rsidRPr="003046E8" w:rsidRDefault="003046E8" w:rsidP="0073496A">
      <w:pPr>
        <w:numPr>
          <w:ilvl w:val="0"/>
          <w:numId w:val="11"/>
        </w:numPr>
        <w:spacing w:after="0" w:line="480" w:lineRule="auto"/>
        <w:rPr>
          <w:rFonts w:asciiTheme="majorHAnsi" w:eastAsia="Aptos" w:hAnsiTheme="majorHAnsi" w:cstheme="majorHAnsi"/>
          <w:sz w:val="24"/>
          <w:szCs w:val="24"/>
          <w:u w:val="single"/>
        </w:rPr>
      </w:pPr>
      <w:r w:rsidRPr="003046E8">
        <w:rPr>
          <w:rFonts w:asciiTheme="majorHAnsi" w:eastAsia="Aptos" w:hAnsiTheme="majorHAnsi" w:cstheme="majorHAnsi"/>
          <w:sz w:val="24"/>
          <w:szCs w:val="24"/>
        </w:rPr>
        <w:t xml:space="preserve">Repeal the </w:t>
      </w:r>
      <w:r w:rsidR="00A04BAC">
        <w:rPr>
          <w:rFonts w:asciiTheme="majorHAnsi" w:eastAsia="Aptos" w:hAnsiTheme="majorHAnsi" w:cstheme="majorHAnsi"/>
          <w:sz w:val="24"/>
          <w:szCs w:val="24"/>
        </w:rPr>
        <w:t>County's previous EV regulations and associated definitions in 21A</w:t>
      </w:r>
      <w:r w:rsidRPr="003046E8">
        <w:rPr>
          <w:rFonts w:asciiTheme="majorHAnsi" w:eastAsia="Aptos" w:hAnsiTheme="majorHAnsi" w:cstheme="majorHAnsi"/>
          <w:sz w:val="24"/>
          <w:szCs w:val="24"/>
        </w:rPr>
        <w:t>.</w:t>
      </w:r>
    </w:p>
    <w:p w14:paraId="7611597B" w14:textId="478EEE06" w:rsidR="003046E8" w:rsidRPr="00EE04EB" w:rsidRDefault="003046E8" w:rsidP="0073496A">
      <w:pPr>
        <w:spacing w:after="0" w:line="480" w:lineRule="auto"/>
        <w:rPr>
          <w:i/>
          <w:iCs/>
        </w:rPr>
      </w:pPr>
      <w:r w:rsidRPr="003046E8">
        <w:rPr>
          <w:rFonts w:asciiTheme="majorHAnsi" w:eastAsia="Aptos" w:hAnsiTheme="majorHAnsi" w:cstheme="majorHAnsi"/>
          <w:b/>
          <w:bCs/>
          <w:sz w:val="24"/>
          <w:szCs w:val="24"/>
          <w:u w:val="single"/>
        </w:rPr>
        <w:t>Energy Code</w:t>
      </w:r>
      <w:r w:rsidR="00EE04EB">
        <w:t xml:space="preserve"> </w:t>
      </w:r>
      <w:r w:rsidR="00EE04EB">
        <w:rPr>
          <w:i/>
          <w:iCs/>
        </w:rPr>
        <w:t>(applies to commercial and multifamily only)</w:t>
      </w:r>
    </w:p>
    <w:p w14:paraId="12A2CCBB" w14:textId="77777777" w:rsidR="003046E8" w:rsidRPr="003046E8" w:rsidRDefault="003046E8" w:rsidP="0073496A">
      <w:pPr>
        <w:numPr>
          <w:ilvl w:val="0"/>
          <w:numId w:val="12"/>
        </w:numPr>
        <w:spacing w:after="0" w:line="480" w:lineRule="auto"/>
        <w:rPr>
          <w:rFonts w:asciiTheme="majorHAnsi" w:eastAsia="Aptos" w:hAnsiTheme="majorHAnsi" w:cstheme="majorHAnsi"/>
          <w:sz w:val="24"/>
          <w:szCs w:val="24"/>
          <w:u w:val="single"/>
        </w:rPr>
      </w:pPr>
      <w:r w:rsidRPr="003046E8">
        <w:rPr>
          <w:rFonts w:asciiTheme="majorHAnsi" w:eastAsia="Aptos" w:hAnsiTheme="majorHAnsi" w:cstheme="majorHAnsi"/>
          <w:i/>
          <w:iCs/>
          <w:sz w:val="24"/>
          <w:szCs w:val="24"/>
          <w:u w:val="single"/>
        </w:rPr>
        <w:t>Fenestration</w:t>
      </w:r>
      <w:r w:rsidRPr="003046E8">
        <w:rPr>
          <w:rFonts w:asciiTheme="majorHAnsi" w:eastAsia="Aptos" w:hAnsiTheme="majorHAnsi" w:cstheme="majorHAnsi"/>
          <w:i/>
          <w:iCs/>
          <w:sz w:val="24"/>
          <w:szCs w:val="24"/>
        </w:rPr>
        <w:t xml:space="preserve">. </w:t>
      </w:r>
      <w:r w:rsidRPr="003046E8">
        <w:rPr>
          <w:rFonts w:asciiTheme="majorHAnsi" w:eastAsia="Aptos" w:hAnsiTheme="majorHAnsi" w:cstheme="majorHAnsi"/>
          <w:sz w:val="24"/>
          <w:szCs w:val="24"/>
        </w:rPr>
        <w:t>Allow builders to use the component performance alternative with high-efficiency fenestration (e.g. windows). The component performance alternative allows builders flexibility in meeting the exact code requirements; the Executive's proposal is to not allow this flexibility for required high-efficiency fenestration.</w:t>
      </w:r>
    </w:p>
    <w:p w14:paraId="0A94DDF4" w14:textId="4DB0C20A" w:rsidR="003046E8" w:rsidRPr="003046E8" w:rsidRDefault="003046E8" w:rsidP="0073496A">
      <w:pPr>
        <w:numPr>
          <w:ilvl w:val="0"/>
          <w:numId w:val="12"/>
        </w:numPr>
        <w:spacing w:after="0" w:line="480" w:lineRule="auto"/>
        <w:rPr>
          <w:rFonts w:asciiTheme="majorHAnsi" w:eastAsia="Aptos" w:hAnsiTheme="majorHAnsi" w:cstheme="majorHAnsi"/>
          <w:sz w:val="24"/>
          <w:szCs w:val="24"/>
          <w:u w:val="single"/>
        </w:rPr>
      </w:pPr>
      <w:r w:rsidRPr="003046E8">
        <w:rPr>
          <w:rFonts w:asciiTheme="majorHAnsi" w:eastAsia="Aptos" w:hAnsiTheme="majorHAnsi" w:cstheme="majorHAnsi"/>
          <w:i/>
          <w:iCs/>
          <w:sz w:val="24"/>
          <w:szCs w:val="24"/>
          <w:u w:val="single"/>
        </w:rPr>
        <w:t>Performance Factors.</w:t>
      </w:r>
      <w:r w:rsidRPr="003046E8">
        <w:rPr>
          <w:rFonts w:asciiTheme="majorHAnsi" w:eastAsia="Aptos" w:hAnsiTheme="majorHAnsi" w:cstheme="majorHAnsi"/>
          <w:sz w:val="24"/>
          <w:szCs w:val="24"/>
        </w:rPr>
        <w:t xml:space="preserve"> Reduce proposed building and site performance factors for multifamily construction to the state's </w:t>
      </w:r>
      <w:r w:rsidR="00483C7B">
        <w:rPr>
          <w:rFonts w:asciiTheme="majorHAnsi" w:eastAsia="Aptos" w:hAnsiTheme="majorHAnsi" w:cstheme="majorHAnsi"/>
          <w:sz w:val="24"/>
          <w:szCs w:val="24"/>
        </w:rPr>
        <w:t>requirement</w:t>
      </w:r>
      <w:r w:rsidRPr="003046E8">
        <w:rPr>
          <w:rFonts w:asciiTheme="majorHAnsi" w:eastAsia="Aptos" w:hAnsiTheme="majorHAnsi" w:cstheme="majorHAnsi"/>
          <w:sz w:val="24"/>
          <w:szCs w:val="24"/>
        </w:rPr>
        <w:t>. Performance factors are measures of overall efficiency in a project.</w:t>
      </w:r>
    </w:p>
    <w:p w14:paraId="0C13A014" w14:textId="0E574F84" w:rsidR="003046E8" w:rsidRPr="003046E8" w:rsidRDefault="003046E8" w:rsidP="0073496A">
      <w:pPr>
        <w:numPr>
          <w:ilvl w:val="0"/>
          <w:numId w:val="12"/>
        </w:numPr>
        <w:spacing w:after="0" w:line="480" w:lineRule="auto"/>
        <w:rPr>
          <w:rFonts w:asciiTheme="majorHAnsi" w:eastAsia="Aptos" w:hAnsiTheme="majorHAnsi" w:cstheme="majorHAnsi"/>
          <w:sz w:val="24"/>
          <w:szCs w:val="24"/>
          <w:u w:val="single"/>
        </w:rPr>
      </w:pPr>
      <w:r w:rsidRPr="003046E8">
        <w:rPr>
          <w:rFonts w:asciiTheme="majorHAnsi" w:eastAsia="Aptos" w:hAnsiTheme="majorHAnsi" w:cstheme="majorHAnsi"/>
          <w:i/>
          <w:iCs/>
          <w:sz w:val="24"/>
          <w:szCs w:val="24"/>
          <w:u w:val="single"/>
        </w:rPr>
        <w:t>Renewable Energy Installation.</w:t>
      </w:r>
      <w:r w:rsidRPr="003046E8">
        <w:rPr>
          <w:rFonts w:asciiTheme="majorHAnsi" w:eastAsia="Aptos" w:hAnsiTheme="majorHAnsi" w:cstheme="majorHAnsi"/>
          <w:sz w:val="24"/>
          <w:szCs w:val="24"/>
        </w:rPr>
        <w:t xml:space="preserve"> </w:t>
      </w:r>
      <w:r w:rsidR="004205AE">
        <w:rPr>
          <w:rFonts w:asciiTheme="majorHAnsi" w:eastAsia="Aptos" w:hAnsiTheme="majorHAnsi" w:cstheme="majorHAnsi"/>
          <w:sz w:val="24"/>
          <w:szCs w:val="24"/>
        </w:rPr>
        <w:t xml:space="preserve">Reduce required </w:t>
      </w:r>
      <w:r w:rsidR="009A78D5">
        <w:rPr>
          <w:rFonts w:asciiTheme="majorHAnsi" w:eastAsia="Aptos" w:hAnsiTheme="majorHAnsi" w:cstheme="majorHAnsi"/>
          <w:sz w:val="24"/>
          <w:szCs w:val="24"/>
        </w:rPr>
        <w:t xml:space="preserve">renewable energy installation </w:t>
      </w:r>
      <w:r w:rsidR="00794723">
        <w:rPr>
          <w:rFonts w:asciiTheme="majorHAnsi" w:eastAsia="Aptos" w:hAnsiTheme="majorHAnsi" w:cstheme="majorHAnsi"/>
          <w:sz w:val="24"/>
          <w:szCs w:val="24"/>
        </w:rPr>
        <w:t>for 5,000+ square foot buildings from the Executive proposed 0.75 watts per square foot to the state's 0.5 square foot requirement</w:t>
      </w:r>
      <w:r w:rsidRPr="003046E8">
        <w:rPr>
          <w:rFonts w:asciiTheme="majorHAnsi" w:eastAsia="Aptos" w:hAnsiTheme="majorHAnsi" w:cstheme="majorHAnsi"/>
          <w:sz w:val="24"/>
          <w:szCs w:val="24"/>
        </w:rPr>
        <w:t>.</w:t>
      </w:r>
      <w:r w:rsidRPr="003046E8">
        <w:rPr>
          <w:rFonts w:asciiTheme="majorHAnsi" w:eastAsia="Aptos" w:hAnsiTheme="majorHAnsi" w:cstheme="majorHAnsi"/>
          <w:sz w:val="24"/>
          <w:szCs w:val="24"/>
          <w:vertAlign w:val="superscript"/>
        </w:rPr>
        <w:footnoteReference w:id="2"/>
      </w:r>
    </w:p>
    <w:p w14:paraId="67F0C8D9" w14:textId="77777777" w:rsidR="003046E8" w:rsidRPr="003046E8" w:rsidRDefault="003046E8" w:rsidP="0073496A">
      <w:pPr>
        <w:numPr>
          <w:ilvl w:val="0"/>
          <w:numId w:val="12"/>
        </w:numPr>
        <w:spacing w:after="0" w:line="480" w:lineRule="auto"/>
        <w:rPr>
          <w:rFonts w:asciiTheme="majorHAnsi" w:eastAsia="Aptos" w:hAnsiTheme="majorHAnsi" w:cstheme="majorHAnsi"/>
          <w:sz w:val="24"/>
          <w:szCs w:val="24"/>
          <w:u w:val="single"/>
        </w:rPr>
      </w:pPr>
      <w:r w:rsidRPr="003046E8">
        <w:rPr>
          <w:rFonts w:asciiTheme="majorHAnsi" w:eastAsia="Aptos" w:hAnsiTheme="majorHAnsi" w:cstheme="majorHAnsi"/>
          <w:i/>
          <w:iCs/>
          <w:sz w:val="24"/>
          <w:szCs w:val="24"/>
          <w:u w:val="single"/>
        </w:rPr>
        <w:t>Renewable Energy Tracking.</w:t>
      </w:r>
      <w:r w:rsidRPr="003046E8">
        <w:rPr>
          <w:rFonts w:asciiTheme="majorHAnsi" w:eastAsia="Aptos" w:hAnsiTheme="majorHAnsi" w:cstheme="majorHAnsi"/>
          <w:sz w:val="24"/>
          <w:szCs w:val="24"/>
        </w:rPr>
        <w:t xml:space="preserve"> Require the Permitting Division to track the amount of solar being installed under this code, as well as the exemptions applied for and received. </w:t>
      </w:r>
    </w:p>
    <w:p w14:paraId="1B5625C5" w14:textId="6D47C973" w:rsidR="003046E8" w:rsidRPr="003046E8" w:rsidRDefault="003046E8" w:rsidP="0073496A">
      <w:pPr>
        <w:numPr>
          <w:ilvl w:val="0"/>
          <w:numId w:val="12"/>
        </w:numPr>
        <w:spacing w:after="0" w:line="480" w:lineRule="auto"/>
        <w:rPr>
          <w:rFonts w:asciiTheme="majorHAnsi" w:eastAsia="Aptos" w:hAnsiTheme="majorHAnsi" w:cstheme="majorHAnsi"/>
          <w:sz w:val="24"/>
          <w:szCs w:val="24"/>
          <w:u w:val="single"/>
        </w:rPr>
      </w:pPr>
      <w:r w:rsidRPr="003046E8">
        <w:rPr>
          <w:rFonts w:asciiTheme="majorHAnsi" w:eastAsia="Aptos" w:hAnsiTheme="majorHAnsi" w:cstheme="majorHAnsi"/>
          <w:i/>
          <w:iCs/>
          <w:sz w:val="24"/>
          <w:szCs w:val="24"/>
          <w:u w:val="single"/>
        </w:rPr>
        <w:t>Lighting.</w:t>
      </w:r>
      <w:r w:rsidRPr="003046E8">
        <w:rPr>
          <w:rFonts w:asciiTheme="majorHAnsi" w:eastAsia="Aptos" w:hAnsiTheme="majorHAnsi" w:cstheme="majorHAnsi"/>
          <w:i/>
          <w:iCs/>
          <w:sz w:val="24"/>
          <w:szCs w:val="24"/>
        </w:rPr>
        <w:t xml:space="preserve"> </w:t>
      </w:r>
      <w:r w:rsidRPr="003046E8">
        <w:rPr>
          <w:rFonts w:asciiTheme="majorHAnsi" w:eastAsia="Aptos" w:hAnsiTheme="majorHAnsi" w:cstheme="majorHAnsi"/>
          <w:sz w:val="24"/>
          <w:szCs w:val="24"/>
        </w:rPr>
        <w:t>Add updated 2024 IECC language on dimming control function</w:t>
      </w:r>
      <w:r w:rsidR="004978CD">
        <w:rPr>
          <w:rFonts w:asciiTheme="majorHAnsi" w:eastAsia="Aptos" w:hAnsiTheme="majorHAnsi" w:cstheme="majorHAnsi"/>
          <w:sz w:val="24"/>
          <w:szCs w:val="24"/>
        </w:rPr>
        <w:t>.</w:t>
      </w:r>
    </w:p>
    <w:p w14:paraId="52F3B07C" w14:textId="77777777" w:rsidR="003046E8" w:rsidRPr="003046E8" w:rsidRDefault="003046E8" w:rsidP="0073496A">
      <w:pPr>
        <w:numPr>
          <w:ilvl w:val="0"/>
          <w:numId w:val="12"/>
        </w:numPr>
        <w:spacing w:after="0" w:line="480" w:lineRule="auto"/>
        <w:rPr>
          <w:rFonts w:asciiTheme="majorHAnsi" w:eastAsia="Aptos" w:hAnsiTheme="majorHAnsi" w:cstheme="majorHAnsi"/>
          <w:sz w:val="24"/>
          <w:szCs w:val="24"/>
          <w:u w:val="single"/>
        </w:rPr>
      </w:pPr>
      <w:r w:rsidRPr="003046E8">
        <w:rPr>
          <w:rFonts w:asciiTheme="majorHAnsi" w:eastAsia="Aptos" w:hAnsiTheme="majorHAnsi" w:cstheme="majorHAnsi"/>
          <w:i/>
          <w:iCs/>
          <w:sz w:val="24"/>
          <w:szCs w:val="24"/>
          <w:u w:val="single"/>
        </w:rPr>
        <w:lastRenderedPageBreak/>
        <w:t>Energy Credits.</w:t>
      </w:r>
      <w:r w:rsidRPr="00C24DC4">
        <w:rPr>
          <w:rFonts w:asciiTheme="majorHAnsi" w:eastAsia="Aptos" w:hAnsiTheme="majorHAnsi" w:cstheme="majorHAnsi"/>
          <w:sz w:val="24"/>
          <w:szCs w:val="24"/>
        </w:rPr>
        <w:t xml:space="preserve"> </w:t>
      </w:r>
      <w:r w:rsidRPr="003046E8">
        <w:rPr>
          <w:rFonts w:asciiTheme="majorHAnsi" w:eastAsia="Aptos" w:hAnsiTheme="majorHAnsi" w:cstheme="majorHAnsi"/>
          <w:sz w:val="24"/>
          <w:szCs w:val="24"/>
        </w:rPr>
        <w:t>Require 5% more energy credits than mandated by state law; Executive's proposal was a 10% increase over state law.</w:t>
      </w:r>
    </w:p>
    <w:p w14:paraId="69C66E8B" w14:textId="77777777" w:rsidR="003046E8" w:rsidRPr="003046E8" w:rsidRDefault="003046E8" w:rsidP="0073496A">
      <w:pPr>
        <w:spacing w:after="0" w:line="480" w:lineRule="auto"/>
        <w:rPr>
          <w:rFonts w:asciiTheme="majorHAnsi" w:eastAsia="Aptos" w:hAnsiTheme="majorHAnsi" w:cstheme="majorHAnsi"/>
          <w:b/>
          <w:bCs/>
          <w:sz w:val="24"/>
          <w:szCs w:val="24"/>
          <w:u w:val="single"/>
        </w:rPr>
      </w:pPr>
      <w:r w:rsidRPr="003046E8">
        <w:rPr>
          <w:rFonts w:asciiTheme="majorHAnsi" w:eastAsia="Aptos" w:hAnsiTheme="majorHAnsi" w:cstheme="majorHAnsi"/>
          <w:b/>
          <w:bCs/>
          <w:sz w:val="24"/>
          <w:szCs w:val="24"/>
          <w:u w:val="single"/>
        </w:rPr>
        <w:t>Solid Waste</w:t>
      </w:r>
    </w:p>
    <w:p w14:paraId="7C8BC11B" w14:textId="7C2ADD26" w:rsidR="003046E8" w:rsidRPr="003046E8" w:rsidRDefault="003F19E8" w:rsidP="0073496A">
      <w:pPr>
        <w:numPr>
          <w:ilvl w:val="0"/>
          <w:numId w:val="13"/>
        </w:numPr>
        <w:spacing w:after="0" w:line="480" w:lineRule="auto"/>
        <w:rPr>
          <w:rFonts w:asciiTheme="majorHAnsi" w:eastAsia="Aptos" w:hAnsiTheme="majorHAnsi" w:cstheme="majorHAnsi"/>
          <w:sz w:val="24"/>
          <w:szCs w:val="24"/>
          <w:u w:val="single"/>
        </w:rPr>
      </w:pPr>
      <w:r>
        <w:rPr>
          <w:rFonts w:asciiTheme="majorHAnsi" w:eastAsia="Aptos" w:hAnsiTheme="majorHAnsi" w:cstheme="majorHAnsi"/>
          <w:sz w:val="24"/>
          <w:szCs w:val="24"/>
        </w:rPr>
        <w:t xml:space="preserve">Not </w:t>
      </w:r>
      <w:r w:rsidR="003046E8" w:rsidRPr="003046E8">
        <w:rPr>
          <w:rFonts w:asciiTheme="majorHAnsi" w:eastAsia="Aptos" w:hAnsiTheme="majorHAnsi" w:cstheme="majorHAnsi"/>
          <w:sz w:val="24"/>
          <w:szCs w:val="24"/>
        </w:rPr>
        <w:t>adopt optional state appendices relating to construction and demolition waste (IBC Appendix P and IRC Appendices Y and Z).</w:t>
      </w:r>
    </w:p>
    <w:p w14:paraId="187C1741" w14:textId="77777777" w:rsidR="003046E8" w:rsidRPr="003046E8" w:rsidRDefault="003046E8" w:rsidP="0073496A">
      <w:pPr>
        <w:spacing w:after="0" w:line="480" w:lineRule="auto"/>
        <w:rPr>
          <w:rFonts w:asciiTheme="majorHAnsi" w:eastAsia="Aptos" w:hAnsiTheme="majorHAnsi" w:cstheme="majorHAnsi"/>
          <w:b/>
          <w:bCs/>
          <w:sz w:val="24"/>
          <w:szCs w:val="24"/>
          <w:u w:val="single"/>
        </w:rPr>
      </w:pPr>
      <w:r w:rsidRPr="003046E8">
        <w:rPr>
          <w:rFonts w:asciiTheme="majorHAnsi" w:eastAsia="Aptos" w:hAnsiTheme="majorHAnsi" w:cstheme="majorHAnsi"/>
          <w:b/>
          <w:bCs/>
          <w:sz w:val="24"/>
          <w:szCs w:val="24"/>
          <w:u w:val="single"/>
        </w:rPr>
        <w:t>Other</w:t>
      </w:r>
    </w:p>
    <w:p w14:paraId="44B7E931" w14:textId="5E2E78F4" w:rsidR="005C11E9" w:rsidRPr="002B5154" w:rsidRDefault="003F19E8" w:rsidP="0073496A">
      <w:pPr>
        <w:numPr>
          <w:ilvl w:val="0"/>
          <w:numId w:val="13"/>
        </w:numPr>
        <w:spacing w:after="0" w:line="480" w:lineRule="auto"/>
        <w:rPr>
          <w:rFonts w:asciiTheme="majorHAnsi" w:eastAsia="Aptos" w:hAnsiTheme="majorHAnsi" w:cstheme="majorHAnsi"/>
          <w:sz w:val="24"/>
          <w:szCs w:val="24"/>
          <w:u w:val="single"/>
        </w:rPr>
      </w:pPr>
      <w:r>
        <w:rPr>
          <w:rFonts w:asciiTheme="majorHAnsi" w:eastAsia="Aptos" w:hAnsiTheme="majorHAnsi" w:cstheme="majorHAnsi"/>
          <w:sz w:val="24"/>
          <w:szCs w:val="24"/>
        </w:rPr>
        <w:t>Make c</w:t>
      </w:r>
      <w:r w:rsidR="003046E8" w:rsidRPr="003046E8">
        <w:rPr>
          <w:rFonts w:asciiTheme="majorHAnsi" w:eastAsia="Aptos" w:hAnsiTheme="majorHAnsi" w:cstheme="majorHAnsi"/>
          <w:sz w:val="24"/>
          <w:szCs w:val="24"/>
        </w:rPr>
        <w:t>hanges to match Executive intent</w:t>
      </w:r>
      <w:r w:rsidR="00B82F64">
        <w:rPr>
          <w:rFonts w:asciiTheme="majorHAnsi" w:eastAsia="Aptos" w:hAnsiTheme="majorHAnsi" w:cstheme="majorHAnsi"/>
          <w:sz w:val="24"/>
          <w:szCs w:val="24"/>
        </w:rPr>
        <w:t xml:space="preserve"> and</w:t>
      </w:r>
      <w:r w:rsidR="003046E8" w:rsidRPr="003046E8">
        <w:rPr>
          <w:rFonts w:asciiTheme="majorHAnsi" w:eastAsia="Aptos" w:hAnsiTheme="majorHAnsi" w:cstheme="majorHAnsi"/>
          <w:sz w:val="24"/>
          <w:szCs w:val="24"/>
        </w:rPr>
        <w:t xml:space="preserve"> technical and clarifying changes, including updating cross references and reorganizing sections.</w:t>
      </w:r>
    </w:p>
    <w:sectPr w:rsidR="005C11E9" w:rsidRPr="002B5154" w:rsidSect="00166F61">
      <w:headerReference w:type="default" r:id="rId14"/>
      <w:footerReference w:type="default" r:id="rId15"/>
      <w:footerReference w:type="first" r:id="rId16"/>
      <w:type w:val="continuous"/>
      <w:pgSz w:w="12240" w:h="15840"/>
      <w:pgMar w:top="1440" w:right="1800" w:bottom="1440" w:left="1800" w:header="720" w:footer="720" w:gutter="0"/>
      <w:lnNumType w:countBy="1" w:restart="continuous"/>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B3BB61" w14:textId="77777777" w:rsidR="00BA67F1" w:rsidRDefault="00BA67F1">
      <w:pPr>
        <w:spacing w:after="0" w:line="240" w:lineRule="auto"/>
      </w:pPr>
      <w:r>
        <w:separator/>
      </w:r>
    </w:p>
  </w:endnote>
  <w:endnote w:type="continuationSeparator" w:id="0">
    <w:p w14:paraId="3091CC9A" w14:textId="77777777" w:rsidR="00BA67F1" w:rsidRDefault="00BA67F1">
      <w:pPr>
        <w:spacing w:after="0" w:line="240" w:lineRule="auto"/>
      </w:pPr>
      <w:r>
        <w:continuationSeparator/>
      </w:r>
    </w:p>
  </w:endnote>
  <w:endnote w:type="continuationNotice" w:id="1">
    <w:p w14:paraId="421A2821" w14:textId="77777777" w:rsidR="00BA67F1" w:rsidRDefault="00BA67F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altName w:val="Courier New"/>
    <w:panose1 w:val="02070409020205020404"/>
    <w:charset w:val="00"/>
    <w:family w:val="modern"/>
    <w:pitch w:val="fixed"/>
    <w:sig w:usb0="00000003" w:usb1="00000000" w:usb2="00000000" w:usb3="00000000" w:csb0="00000001" w:csb1="00000000"/>
  </w:font>
  <w:font w:name="ACaslonPro-Regular">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Roman">
    <w:altName w:val="Times New Roman"/>
    <w:panose1 w:val="00000000000000000000"/>
    <w:charset w:val="00"/>
    <w:family w:val="roman"/>
    <w:notTrueType/>
    <w:pitch w:val="default"/>
    <w:sig w:usb0="00000003" w:usb1="00000000" w:usb2="00000000" w:usb3="00000000" w:csb0="00000001" w:csb1="00000000"/>
  </w:font>
  <w:font w:name="XIECF Z+ Times New Roman,">
    <w:altName w:val="Times New Roman"/>
    <w:panose1 w:val="00000000000000000000"/>
    <w:charset w:val="00"/>
    <w:family w:val="roman"/>
    <w:notTrueType/>
    <w:pitch w:val="default"/>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G Times (W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TimesNewRomanPSMT">
    <w:altName w:val="Yu Gothic"/>
    <w:panose1 w:val="00000000000000000000"/>
    <w:charset w:val="80"/>
    <w:family w:val="auto"/>
    <w:notTrueType/>
    <w:pitch w:val="default"/>
    <w:sig w:usb0="00000001" w:usb1="08070000" w:usb2="00000010" w:usb3="00000000" w:csb0="00020000" w:csb1="00000000"/>
  </w:font>
  <w:font w:name="TimesNewRoman">
    <w:altName w:val="Yu Gothic"/>
    <w:panose1 w:val="00000000000000000000"/>
    <w:charset w:val="80"/>
    <w:family w:val="auto"/>
    <w:notTrueType/>
    <w:pitch w:val="default"/>
    <w:sig w:usb0="00000001" w:usb1="08070000" w:usb2="00000010" w:usb3="00000000" w:csb0="00020000" w:csb1="00000000"/>
  </w:font>
  <w:font w:name="MS PMincho">
    <w:charset w:val="80"/>
    <w:family w:val="roman"/>
    <w:pitch w:val="variable"/>
    <w:sig w:usb0="E00002FF" w:usb1="6AC7FDFB" w:usb2="08000012" w:usb3="00000000" w:csb0="0002009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D6FED" w14:textId="77777777" w:rsidR="00D565C2" w:rsidRDefault="00D565C2">
    <w:pPr>
      <w:pStyle w:val="Footer"/>
      <w:jc w:val="center"/>
    </w:pPr>
    <w:r>
      <w:t xml:space="preserve">- </w:t>
    </w:r>
    <w:r>
      <w:fldChar w:fldCharType="begin"/>
    </w:r>
    <w:r>
      <w:instrText xml:space="preserve"> PAGE   \* MERGEFORMAT </w:instrText>
    </w:r>
    <w:r>
      <w:fldChar w:fldCharType="separate"/>
    </w:r>
    <w:r>
      <w:rPr>
        <w:noProof/>
      </w:rPr>
      <w:t>2</w:t>
    </w:r>
    <w:r>
      <w:rPr>
        <w:noProof/>
      </w:rPr>
      <w:fldChar w:fldCharType="end"/>
    </w:r>
    <w:r>
      <w:rPr>
        <w:noProof/>
      </w:rPr>
      <w:t xml:space="preserve"> -</w:t>
    </w:r>
  </w:p>
  <w:p w14:paraId="4ECBD01B" w14:textId="77777777" w:rsidR="00D565C2" w:rsidRDefault="00D565C2">
    <w:pPr>
      <w:pStyle w:val="Footer"/>
      <w:tabs>
        <w:tab w:val="clear" w:pos="9360"/>
        <w:tab w:val="right" w:pos="8640"/>
      </w:tabs>
      <w:jc w:val="center"/>
      <w:rPr>
        <w:lang w:bidi="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05C28" w14:textId="77777777" w:rsidR="00D565C2" w:rsidRDefault="00D565C2">
    <w:pPr>
      <w:pStyle w:val="Footer"/>
      <w:jc w:val="center"/>
    </w:pPr>
    <w:r>
      <w:t xml:space="preserve">- </w:t>
    </w:r>
    <w:r>
      <w:fldChar w:fldCharType="begin"/>
    </w:r>
    <w:r>
      <w:instrText xml:space="preserve"> PAGE   \* MERGEFORMAT </w:instrText>
    </w:r>
    <w:r>
      <w:fldChar w:fldCharType="separate"/>
    </w:r>
    <w:r>
      <w:rPr>
        <w:noProof/>
      </w:rPr>
      <w:t>2</w:t>
    </w:r>
    <w:r>
      <w:rPr>
        <w:noProof/>
      </w:rPr>
      <w:fldChar w:fldCharType="end"/>
    </w:r>
    <w:r>
      <w:rPr>
        <w:noProof/>
      </w:rPr>
      <w:t xml:space="preserve"> -</w:t>
    </w:r>
  </w:p>
  <w:p w14:paraId="225C474B" w14:textId="77777777" w:rsidR="00D565C2" w:rsidRDefault="00D565C2">
    <w:pPr>
      <w:pStyle w:val="Footer"/>
      <w:tabs>
        <w:tab w:val="clear" w:pos="9360"/>
        <w:tab w:val="right" w:pos="8640"/>
      </w:tabs>
      <w:rPr>
        <w:lang w:bidi="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6C34C" w14:textId="77777777" w:rsidR="00BA67F1" w:rsidRDefault="00BA67F1">
      <w:pPr>
        <w:spacing w:after="0" w:line="240" w:lineRule="auto"/>
      </w:pPr>
      <w:r>
        <w:separator/>
      </w:r>
    </w:p>
  </w:footnote>
  <w:footnote w:type="continuationSeparator" w:id="0">
    <w:p w14:paraId="34CC1140" w14:textId="77777777" w:rsidR="00BA67F1" w:rsidRDefault="00BA67F1">
      <w:pPr>
        <w:spacing w:after="0" w:line="240" w:lineRule="auto"/>
      </w:pPr>
      <w:r>
        <w:continuationSeparator/>
      </w:r>
    </w:p>
  </w:footnote>
  <w:footnote w:type="continuationNotice" w:id="1">
    <w:p w14:paraId="0E685C36" w14:textId="77777777" w:rsidR="00BA67F1" w:rsidRDefault="00BA67F1">
      <w:pPr>
        <w:spacing w:after="0" w:line="240" w:lineRule="auto"/>
      </w:pPr>
    </w:p>
  </w:footnote>
  <w:footnote w:id="2">
    <w:p w14:paraId="4AAAAEE2" w14:textId="5369409C" w:rsidR="003046E8" w:rsidRPr="004978CD" w:rsidRDefault="003046E8" w:rsidP="003046E8">
      <w:pPr>
        <w:pStyle w:val="FootnoteText"/>
        <w:rPr>
          <w:rFonts w:asciiTheme="majorHAnsi" w:hAnsiTheme="majorHAnsi" w:cstheme="majorHAnsi"/>
        </w:rPr>
      </w:pPr>
      <w:r w:rsidRPr="004978CD">
        <w:rPr>
          <w:rStyle w:val="FootnoteReference"/>
          <w:rFonts w:asciiTheme="majorHAnsi" w:hAnsiTheme="majorHAnsi" w:cstheme="majorHAnsi"/>
        </w:rPr>
        <w:footnoteRef/>
      </w:r>
      <w:r w:rsidRPr="004978CD">
        <w:rPr>
          <w:rFonts w:asciiTheme="majorHAnsi" w:hAnsiTheme="majorHAnsi" w:cstheme="majorHAnsi"/>
        </w:rPr>
        <w:t xml:space="preserve"> </w:t>
      </w:r>
      <w:r w:rsidR="008C0DC6">
        <w:rPr>
          <w:rFonts w:asciiTheme="majorHAnsi" w:hAnsiTheme="majorHAnsi" w:cstheme="majorHAnsi"/>
        </w:rPr>
        <w:t xml:space="preserve">For a 5,000 square foot building, this would require </w:t>
      </w:r>
      <w:r w:rsidR="00572440">
        <w:rPr>
          <w:rFonts w:asciiTheme="majorHAnsi" w:hAnsiTheme="majorHAnsi" w:cstheme="majorHAnsi"/>
        </w:rPr>
        <w:t xml:space="preserve">6 to 7 </w:t>
      </w:r>
      <w:r w:rsidR="008C0DC6">
        <w:rPr>
          <w:rFonts w:asciiTheme="majorHAnsi" w:hAnsiTheme="majorHAnsi" w:cstheme="majorHAnsi"/>
        </w:rPr>
        <w:t xml:space="preserve">solar panels, as opposed to </w:t>
      </w:r>
      <w:r w:rsidR="009C2F9D">
        <w:rPr>
          <w:rFonts w:asciiTheme="majorHAnsi" w:hAnsiTheme="majorHAnsi" w:cstheme="majorHAnsi"/>
        </w:rPr>
        <w:t>9 to 10 under the Executive's proposal.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1D3DE" w14:textId="24FA6F03" w:rsidR="00D565C2" w:rsidRPr="00B2244A" w:rsidRDefault="00D565C2">
    <w:pPr>
      <w:pStyle w:val="Header"/>
      <w:tabs>
        <w:tab w:val="clear" w:pos="9360"/>
        <w:tab w:val="right" w:pos="8640"/>
      </w:tabs>
      <w:rPr>
        <w:rFonts w:eastAsia="Times New Roman"/>
        <w:color w:val="FF3399"/>
        <w:lang w:bidi="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B6DCB7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FB"/>
    <w:multiLevelType w:val="multilevel"/>
    <w:tmpl w:val="43546734"/>
    <w:lvl w:ilvl="0">
      <w:start w:val="1"/>
      <w:numFmt w:val="upperRoman"/>
      <w:lvlText w:val="%1."/>
      <w:legacy w:legacy="1" w:legacySpace="0" w:legacyIndent="720"/>
      <w:lvlJc w:val="left"/>
      <w:pPr>
        <w:ind w:left="720" w:hanging="720"/>
      </w:pPr>
    </w:lvl>
    <w:lvl w:ilvl="1">
      <w:start w:val="1"/>
      <w:numFmt w:val="upperLetter"/>
      <w:pStyle w:val="Heading2"/>
      <w:lvlText w:val="%2."/>
      <w:legacy w:legacy="1" w:legacySpace="0" w:legacyIndent="720"/>
      <w:lvlJc w:val="left"/>
      <w:pPr>
        <w:ind w:left="1440" w:hanging="720"/>
      </w:pPr>
    </w:lvl>
    <w:lvl w:ilvl="2">
      <w:start w:val="1"/>
      <w:numFmt w:val="decimal"/>
      <w:pStyle w:val="Heading3"/>
      <w:lvlText w:val="%3."/>
      <w:legacy w:legacy="1" w:legacySpace="0" w:legacyIndent="720"/>
      <w:lvlJc w:val="left"/>
      <w:pPr>
        <w:ind w:left="2160" w:hanging="720"/>
      </w:pPr>
    </w:lvl>
    <w:lvl w:ilvl="3">
      <w:start w:val="1"/>
      <w:numFmt w:val="lowerLetter"/>
      <w:pStyle w:val="Heading4"/>
      <w:lvlText w:val="%4)"/>
      <w:legacy w:legacy="1" w:legacySpace="0" w:legacyIndent="720"/>
      <w:lvlJc w:val="left"/>
      <w:pPr>
        <w:ind w:left="2880" w:hanging="720"/>
      </w:pPr>
    </w:lvl>
    <w:lvl w:ilvl="4">
      <w:start w:val="1"/>
      <w:numFmt w:val="upperRoman"/>
      <w:pStyle w:val="Heading5"/>
      <w:lvlText w:val="%5."/>
      <w:lvlJc w:val="right"/>
      <w:pPr>
        <w:ind w:left="3600" w:hanging="720"/>
      </w:pPr>
    </w:lvl>
    <w:lvl w:ilvl="5">
      <w:start w:val="1"/>
      <w:numFmt w:val="lowerLetter"/>
      <w:pStyle w:val="Heading6"/>
      <w:lvlText w:val="(%6)"/>
      <w:legacy w:legacy="1" w:legacySpace="0" w:legacyIndent="720"/>
      <w:lvlJc w:val="left"/>
      <w:pPr>
        <w:ind w:left="4320" w:hanging="720"/>
      </w:pPr>
    </w:lvl>
    <w:lvl w:ilvl="6">
      <w:start w:val="1"/>
      <w:numFmt w:val="lowerRoman"/>
      <w:pStyle w:val="Heading7"/>
      <w:lvlText w:val="(%7)"/>
      <w:legacy w:legacy="1" w:legacySpace="0" w:legacyIndent="720"/>
      <w:lvlJc w:val="left"/>
      <w:pPr>
        <w:ind w:left="5040" w:hanging="720"/>
      </w:pPr>
    </w:lvl>
    <w:lvl w:ilvl="7">
      <w:start w:val="1"/>
      <w:numFmt w:val="lowerLetter"/>
      <w:pStyle w:val="Heading8"/>
      <w:lvlText w:val="(%8)"/>
      <w:legacy w:legacy="1" w:legacySpace="0" w:legacyIndent="720"/>
      <w:lvlJc w:val="left"/>
      <w:pPr>
        <w:ind w:left="5760" w:hanging="720"/>
      </w:pPr>
    </w:lvl>
    <w:lvl w:ilvl="8">
      <w:start w:val="1"/>
      <w:numFmt w:val="lowerRoman"/>
      <w:pStyle w:val="Heading9"/>
      <w:lvlText w:val="(%9)"/>
      <w:legacy w:legacy="1" w:legacySpace="0" w:legacyIndent="720"/>
      <w:lvlJc w:val="left"/>
      <w:pPr>
        <w:ind w:left="6480" w:hanging="720"/>
      </w:pPr>
    </w:lvl>
  </w:abstractNum>
  <w:abstractNum w:abstractNumId="2" w15:restartNumberingAfterBreak="0">
    <w:nsid w:val="00C3798A"/>
    <w:multiLevelType w:val="hybridMultilevel"/>
    <w:tmpl w:val="E76CE05E"/>
    <w:lvl w:ilvl="0" w:tplc="E236DB40">
      <w:start w:val="1"/>
      <w:numFmt w:val="decimal"/>
      <w:lvlText w:val="%1."/>
      <w:lvlJc w:val="center"/>
      <w:pPr>
        <w:ind w:left="720" w:hanging="360"/>
      </w:pPr>
      <w:rPr>
        <w:rFonts w:hint="default"/>
        <w:b w:val="0"/>
        <w:bCs w:val="0"/>
      </w:rPr>
    </w:lvl>
    <w:lvl w:ilvl="1" w:tplc="04090019">
      <w:start w:val="1"/>
      <w:numFmt w:val="lowerLetter"/>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C3F6F49"/>
    <w:multiLevelType w:val="hybridMultilevel"/>
    <w:tmpl w:val="09F8E198"/>
    <w:lvl w:ilvl="0" w:tplc="B712B254">
      <w:start w:val="2026"/>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9005F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28434324"/>
    <w:multiLevelType w:val="hybridMultilevel"/>
    <w:tmpl w:val="BEA2CE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250A7B"/>
    <w:multiLevelType w:val="hybridMultilevel"/>
    <w:tmpl w:val="1DD6EEA8"/>
    <w:lvl w:ilvl="0" w:tplc="B712B254">
      <w:start w:val="2026"/>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0B707E"/>
    <w:multiLevelType w:val="hybridMultilevel"/>
    <w:tmpl w:val="C868E334"/>
    <w:lvl w:ilvl="0" w:tplc="A04058F6">
      <w:start w:val="1"/>
      <w:numFmt w:val="bullet"/>
      <w:pStyle w:val="BASbodytex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15:restartNumberingAfterBreak="0">
    <w:nsid w:val="54477ADF"/>
    <w:multiLevelType w:val="hybridMultilevel"/>
    <w:tmpl w:val="B694FCEC"/>
    <w:lvl w:ilvl="0" w:tplc="9A94C31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AA52D3B"/>
    <w:multiLevelType w:val="hybridMultilevel"/>
    <w:tmpl w:val="47A84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18163F"/>
    <w:multiLevelType w:val="hybridMultilevel"/>
    <w:tmpl w:val="381E28B2"/>
    <w:lvl w:ilvl="0" w:tplc="B712B254">
      <w:start w:val="2026"/>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27EEF0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77664F06"/>
    <w:multiLevelType w:val="hybridMultilevel"/>
    <w:tmpl w:val="5DF4B476"/>
    <w:lvl w:ilvl="0" w:tplc="B712B254">
      <w:start w:val="2026"/>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8796885">
    <w:abstractNumId w:val="1"/>
  </w:num>
  <w:num w:numId="2" w16cid:durableId="211540161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02530338">
    <w:abstractNumId w:val="2"/>
  </w:num>
  <w:num w:numId="4" w16cid:durableId="995887271">
    <w:abstractNumId w:val="11"/>
  </w:num>
  <w:num w:numId="5" w16cid:durableId="104007221">
    <w:abstractNumId w:val="0"/>
  </w:num>
  <w:num w:numId="6" w16cid:durableId="788203053">
    <w:abstractNumId w:val="4"/>
  </w:num>
  <w:num w:numId="7" w16cid:durableId="1987280379">
    <w:abstractNumId w:val="9"/>
  </w:num>
  <w:num w:numId="8" w16cid:durableId="935483685">
    <w:abstractNumId w:val="5"/>
  </w:num>
  <w:num w:numId="9" w16cid:durableId="625812657">
    <w:abstractNumId w:val="8"/>
  </w:num>
  <w:num w:numId="10" w16cid:durableId="1106120313">
    <w:abstractNumId w:val="12"/>
  </w:num>
  <w:num w:numId="11" w16cid:durableId="1943417017">
    <w:abstractNumId w:val="10"/>
  </w:num>
  <w:num w:numId="12" w16cid:durableId="690184335">
    <w:abstractNumId w:val="3"/>
  </w:num>
  <w:num w:numId="13" w16cid:durableId="820652755">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AF0"/>
    <w:rsid w:val="00000094"/>
    <w:rsid w:val="000007B9"/>
    <w:rsid w:val="0000098D"/>
    <w:rsid w:val="00000B73"/>
    <w:rsid w:val="00000C3F"/>
    <w:rsid w:val="00000C5C"/>
    <w:rsid w:val="00000D24"/>
    <w:rsid w:val="000012CE"/>
    <w:rsid w:val="000013CB"/>
    <w:rsid w:val="000013D2"/>
    <w:rsid w:val="0000158F"/>
    <w:rsid w:val="000015EC"/>
    <w:rsid w:val="00001772"/>
    <w:rsid w:val="000017BF"/>
    <w:rsid w:val="000018F7"/>
    <w:rsid w:val="00001C99"/>
    <w:rsid w:val="00001D0E"/>
    <w:rsid w:val="00002266"/>
    <w:rsid w:val="0000238A"/>
    <w:rsid w:val="000023D8"/>
    <w:rsid w:val="0000254F"/>
    <w:rsid w:val="000026B9"/>
    <w:rsid w:val="000026C7"/>
    <w:rsid w:val="00002848"/>
    <w:rsid w:val="000028B1"/>
    <w:rsid w:val="0000293F"/>
    <w:rsid w:val="00002C10"/>
    <w:rsid w:val="00002C54"/>
    <w:rsid w:val="00002D66"/>
    <w:rsid w:val="00002EE0"/>
    <w:rsid w:val="0000372A"/>
    <w:rsid w:val="0000373B"/>
    <w:rsid w:val="00003816"/>
    <w:rsid w:val="00003BF6"/>
    <w:rsid w:val="00003C66"/>
    <w:rsid w:val="00003D07"/>
    <w:rsid w:val="00003E2E"/>
    <w:rsid w:val="00003EA1"/>
    <w:rsid w:val="00003FD2"/>
    <w:rsid w:val="0000488F"/>
    <w:rsid w:val="00004D98"/>
    <w:rsid w:val="00004DBE"/>
    <w:rsid w:val="00004E68"/>
    <w:rsid w:val="00004FCF"/>
    <w:rsid w:val="0000526E"/>
    <w:rsid w:val="000053D8"/>
    <w:rsid w:val="000054BA"/>
    <w:rsid w:val="00005716"/>
    <w:rsid w:val="0000581E"/>
    <w:rsid w:val="000058A9"/>
    <w:rsid w:val="00005946"/>
    <w:rsid w:val="00005D17"/>
    <w:rsid w:val="00005DB0"/>
    <w:rsid w:val="00005DBF"/>
    <w:rsid w:val="00005F82"/>
    <w:rsid w:val="00005FED"/>
    <w:rsid w:val="00006159"/>
    <w:rsid w:val="000062F9"/>
    <w:rsid w:val="0000633E"/>
    <w:rsid w:val="000064E3"/>
    <w:rsid w:val="000064F4"/>
    <w:rsid w:val="00006737"/>
    <w:rsid w:val="00006C39"/>
    <w:rsid w:val="00006DCC"/>
    <w:rsid w:val="00006E97"/>
    <w:rsid w:val="000072FC"/>
    <w:rsid w:val="000074F3"/>
    <w:rsid w:val="000077E8"/>
    <w:rsid w:val="00007975"/>
    <w:rsid w:val="00007C28"/>
    <w:rsid w:val="00007CC7"/>
    <w:rsid w:val="00007E4A"/>
    <w:rsid w:val="00007EB8"/>
    <w:rsid w:val="00010179"/>
    <w:rsid w:val="000103BE"/>
    <w:rsid w:val="000106E0"/>
    <w:rsid w:val="00010956"/>
    <w:rsid w:val="00010C45"/>
    <w:rsid w:val="00010E6D"/>
    <w:rsid w:val="00011011"/>
    <w:rsid w:val="00011215"/>
    <w:rsid w:val="000116E7"/>
    <w:rsid w:val="00011928"/>
    <w:rsid w:val="00011AFA"/>
    <w:rsid w:val="00011C44"/>
    <w:rsid w:val="00011C67"/>
    <w:rsid w:val="00011D33"/>
    <w:rsid w:val="000122AB"/>
    <w:rsid w:val="00012631"/>
    <w:rsid w:val="00012632"/>
    <w:rsid w:val="0001293C"/>
    <w:rsid w:val="00012B1A"/>
    <w:rsid w:val="00012B3E"/>
    <w:rsid w:val="00012DF4"/>
    <w:rsid w:val="000132E9"/>
    <w:rsid w:val="00013485"/>
    <w:rsid w:val="0001354B"/>
    <w:rsid w:val="000139AF"/>
    <w:rsid w:val="00013DB2"/>
    <w:rsid w:val="000147A6"/>
    <w:rsid w:val="00014A65"/>
    <w:rsid w:val="00014DD6"/>
    <w:rsid w:val="00015586"/>
    <w:rsid w:val="00015889"/>
    <w:rsid w:val="00015A17"/>
    <w:rsid w:val="00015B2F"/>
    <w:rsid w:val="00015B3B"/>
    <w:rsid w:val="00015D67"/>
    <w:rsid w:val="000161C2"/>
    <w:rsid w:val="0001623C"/>
    <w:rsid w:val="00016AEE"/>
    <w:rsid w:val="00016F01"/>
    <w:rsid w:val="00017163"/>
    <w:rsid w:val="000177C0"/>
    <w:rsid w:val="0002078A"/>
    <w:rsid w:val="000207EB"/>
    <w:rsid w:val="00020914"/>
    <w:rsid w:val="00020A92"/>
    <w:rsid w:val="00020ABA"/>
    <w:rsid w:val="00020D2A"/>
    <w:rsid w:val="00020F9A"/>
    <w:rsid w:val="00021131"/>
    <w:rsid w:val="000217C5"/>
    <w:rsid w:val="000221CF"/>
    <w:rsid w:val="0002296E"/>
    <w:rsid w:val="000230D1"/>
    <w:rsid w:val="00023342"/>
    <w:rsid w:val="00023813"/>
    <w:rsid w:val="000238A9"/>
    <w:rsid w:val="0002390D"/>
    <w:rsid w:val="00023A3E"/>
    <w:rsid w:val="000242A1"/>
    <w:rsid w:val="000243D1"/>
    <w:rsid w:val="00024C86"/>
    <w:rsid w:val="00024C89"/>
    <w:rsid w:val="00024EA3"/>
    <w:rsid w:val="00024F59"/>
    <w:rsid w:val="00024F62"/>
    <w:rsid w:val="00024FF3"/>
    <w:rsid w:val="00025274"/>
    <w:rsid w:val="00025319"/>
    <w:rsid w:val="0002554D"/>
    <w:rsid w:val="0002555D"/>
    <w:rsid w:val="000256F5"/>
    <w:rsid w:val="0002582F"/>
    <w:rsid w:val="00025957"/>
    <w:rsid w:val="000259ED"/>
    <w:rsid w:val="00025B12"/>
    <w:rsid w:val="00026038"/>
    <w:rsid w:val="000260A2"/>
    <w:rsid w:val="00026340"/>
    <w:rsid w:val="0002640E"/>
    <w:rsid w:val="0002659F"/>
    <w:rsid w:val="000266BC"/>
    <w:rsid w:val="000268D2"/>
    <w:rsid w:val="00026E67"/>
    <w:rsid w:val="00026F0E"/>
    <w:rsid w:val="00026F77"/>
    <w:rsid w:val="00027282"/>
    <w:rsid w:val="000272DF"/>
    <w:rsid w:val="000272EB"/>
    <w:rsid w:val="000278C0"/>
    <w:rsid w:val="00027D95"/>
    <w:rsid w:val="00027E0B"/>
    <w:rsid w:val="00027F1D"/>
    <w:rsid w:val="00027F6C"/>
    <w:rsid w:val="000308CB"/>
    <w:rsid w:val="00031203"/>
    <w:rsid w:val="000313DA"/>
    <w:rsid w:val="00031443"/>
    <w:rsid w:val="00031631"/>
    <w:rsid w:val="0003163E"/>
    <w:rsid w:val="00031BF6"/>
    <w:rsid w:val="00031DDA"/>
    <w:rsid w:val="00031E86"/>
    <w:rsid w:val="0003207E"/>
    <w:rsid w:val="000321BE"/>
    <w:rsid w:val="00032A9F"/>
    <w:rsid w:val="00032B0D"/>
    <w:rsid w:val="00033124"/>
    <w:rsid w:val="000331AE"/>
    <w:rsid w:val="000337DD"/>
    <w:rsid w:val="000338C9"/>
    <w:rsid w:val="00033B80"/>
    <w:rsid w:val="00033BFC"/>
    <w:rsid w:val="00033C05"/>
    <w:rsid w:val="00033F06"/>
    <w:rsid w:val="0003401D"/>
    <w:rsid w:val="000343CD"/>
    <w:rsid w:val="00034E9C"/>
    <w:rsid w:val="00035465"/>
    <w:rsid w:val="00035634"/>
    <w:rsid w:val="000356A6"/>
    <w:rsid w:val="00035944"/>
    <w:rsid w:val="00036457"/>
    <w:rsid w:val="00036617"/>
    <w:rsid w:val="00036F6F"/>
    <w:rsid w:val="0003753B"/>
    <w:rsid w:val="0003759C"/>
    <w:rsid w:val="000378CF"/>
    <w:rsid w:val="00037AC8"/>
    <w:rsid w:val="0004014B"/>
    <w:rsid w:val="000402D3"/>
    <w:rsid w:val="000404FC"/>
    <w:rsid w:val="000405B2"/>
    <w:rsid w:val="00040640"/>
    <w:rsid w:val="000406B1"/>
    <w:rsid w:val="0004189E"/>
    <w:rsid w:val="00041C66"/>
    <w:rsid w:val="0004200C"/>
    <w:rsid w:val="00042142"/>
    <w:rsid w:val="000429B6"/>
    <w:rsid w:val="00042A5D"/>
    <w:rsid w:val="00042D68"/>
    <w:rsid w:val="00042EFF"/>
    <w:rsid w:val="00042F9B"/>
    <w:rsid w:val="0004366C"/>
    <w:rsid w:val="00043E01"/>
    <w:rsid w:val="00043E78"/>
    <w:rsid w:val="00044660"/>
    <w:rsid w:val="00044B87"/>
    <w:rsid w:val="00044D59"/>
    <w:rsid w:val="00044DF9"/>
    <w:rsid w:val="00044EF2"/>
    <w:rsid w:val="00045600"/>
    <w:rsid w:val="000459C4"/>
    <w:rsid w:val="000460AD"/>
    <w:rsid w:val="000462A8"/>
    <w:rsid w:val="000468C8"/>
    <w:rsid w:val="00046C52"/>
    <w:rsid w:val="00047120"/>
    <w:rsid w:val="00047328"/>
    <w:rsid w:val="0004759C"/>
    <w:rsid w:val="000475C5"/>
    <w:rsid w:val="0004765D"/>
    <w:rsid w:val="00047DA2"/>
    <w:rsid w:val="000503F6"/>
    <w:rsid w:val="00050C6B"/>
    <w:rsid w:val="00050DE5"/>
    <w:rsid w:val="00051179"/>
    <w:rsid w:val="00051399"/>
    <w:rsid w:val="0005164B"/>
    <w:rsid w:val="0005188C"/>
    <w:rsid w:val="0005208B"/>
    <w:rsid w:val="00052110"/>
    <w:rsid w:val="000521E3"/>
    <w:rsid w:val="00052223"/>
    <w:rsid w:val="000523CC"/>
    <w:rsid w:val="00052640"/>
    <w:rsid w:val="0005270F"/>
    <w:rsid w:val="0005298A"/>
    <w:rsid w:val="00052CB7"/>
    <w:rsid w:val="00052DA1"/>
    <w:rsid w:val="00052DCA"/>
    <w:rsid w:val="0005335E"/>
    <w:rsid w:val="000537E2"/>
    <w:rsid w:val="0005391C"/>
    <w:rsid w:val="00053A02"/>
    <w:rsid w:val="00053ADF"/>
    <w:rsid w:val="00053BAF"/>
    <w:rsid w:val="00053F06"/>
    <w:rsid w:val="00053F7B"/>
    <w:rsid w:val="00054307"/>
    <w:rsid w:val="0005479A"/>
    <w:rsid w:val="00054AAB"/>
    <w:rsid w:val="00054B33"/>
    <w:rsid w:val="00054C7F"/>
    <w:rsid w:val="00054D12"/>
    <w:rsid w:val="00054EAA"/>
    <w:rsid w:val="00054F19"/>
    <w:rsid w:val="000550A3"/>
    <w:rsid w:val="0005512E"/>
    <w:rsid w:val="000551A4"/>
    <w:rsid w:val="000551FA"/>
    <w:rsid w:val="000554DF"/>
    <w:rsid w:val="00055F32"/>
    <w:rsid w:val="000560B5"/>
    <w:rsid w:val="00056205"/>
    <w:rsid w:val="00056400"/>
    <w:rsid w:val="00056CC8"/>
    <w:rsid w:val="00056D76"/>
    <w:rsid w:val="00056E00"/>
    <w:rsid w:val="00057083"/>
    <w:rsid w:val="00057C75"/>
    <w:rsid w:val="00057EB7"/>
    <w:rsid w:val="00057F53"/>
    <w:rsid w:val="000603DB"/>
    <w:rsid w:val="00060534"/>
    <w:rsid w:val="000609A6"/>
    <w:rsid w:val="00060B93"/>
    <w:rsid w:val="00060C84"/>
    <w:rsid w:val="00060E73"/>
    <w:rsid w:val="000610E3"/>
    <w:rsid w:val="000612FC"/>
    <w:rsid w:val="000614F8"/>
    <w:rsid w:val="000615DE"/>
    <w:rsid w:val="00061A3D"/>
    <w:rsid w:val="00061A3E"/>
    <w:rsid w:val="00061BC2"/>
    <w:rsid w:val="000627A0"/>
    <w:rsid w:val="00062A61"/>
    <w:rsid w:val="00062CBF"/>
    <w:rsid w:val="00062E96"/>
    <w:rsid w:val="000630A4"/>
    <w:rsid w:val="00063339"/>
    <w:rsid w:val="0006336A"/>
    <w:rsid w:val="000633BB"/>
    <w:rsid w:val="000635B3"/>
    <w:rsid w:val="00063B8B"/>
    <w:rsid w:val="00063EB5"/>
    <w:rsid w:val="00064312"/>
    <w:rsid w:val="00064327"/>
    <w:rsid w:val="000647C1"/>
    <w:rsid w:val="000649F1"/>
    <w:rsid w:val="00064A29"/>
    <w:rsid w:val="00064B7C"/>
    <w:rsid w:val="000656C6"/>
    <w:rsid w:val="0006575A"/>
    <w:rsid w:val="00065D2A"/>
    <w:rsid w:val="00065ED8"/>
    <w:rsid w:val="000669E4"/>
    <w:rsid w:val="00066CDF"/>
    <w:rsid w:val="0006729A"/>
    <w:rsid w:val="0006788A"/>
    <w:rsid w:val="00067944"/>
    <w:rsid w:val="00067962"/>
    <w:rsid w:val="00067D25"/>
    <w:rsid w:val="00067D72"/>
    <w:rsid w:val="0007087F"/>
    <w:rsid w:val="00070A69"/>
    <w:rsid w:val="000710A9"/>
    <w:rsid w:val="000717D0"/>
    <w:rsid w:val="0007194D"/>
    <w:rsid w:val="0007198D"/>
    <w:rsid w:val="00071B81"/>
    <w:rsid w:val="00071BC7"/>
    <w:rsid w:val="00071F56"/>
    <w:rsid w:val="0007248A"/>
    <w:rsid w:val="000728DA"/>
    <w:rsid w:val="00072D7E"/>
    <w:rsid w:val="000730AD"/>
    <w:rsid w:val="000737E1"/>
    <w:rsid w:val="00073A55"/>
    <w:rsid w:val="00073A9F"/>
    <w:rsid w:val="000740D7"/>
    <w:rsid w:val="000743EF"/>
    <w:rsid w:val="000745BD"/>
    <w:rsid w:val="00074685"/>
    <w:rsid w:val="000747AA"/>
    <w:rsid w:val="000748AB"/>
    <w:rsid w:val="0007492E"/>
    <w:rsid w:val="00074976"/>
    <w:rsid w:val="00074CC8"/>
    <w:rsid w:val="00074EF6"/>
    <w:rsid w:val="000750CC"/>
    <w:rsid w:val="0007530C"/>
    <w:rsid w:val="000756B7"/>
    <w:rsid w:val="00075C03"/>
    <w:rsid w:val="00075D3F"/>
    <w:rsid w:val="00075D4D"/>
    <w:rsid w:val="00075D93"/>
    <w:rsid w:val="00075F0D"/>
    <w:rsid w:val="00075FA2"/>
    <w:rsid w:val="000761E5"/>
    <w:rsid w:val="000767F6"/>
    <w:rsid w:val="0007686C"/>
    <w:rsid w:val="00076952"/>
    <w:rsid w:val="00076A5B"/>
    <w:rsid w:val="00076C49"/>
    <w:rsid w:val="00076F9B"/>
    <w:rsid w:val="0007709B"/>
    <w:rsid w:val="0007720B"/>
    <w:rsid w:val="00077886"/>
    <w:rsid w:val="000778E1"/>
    <w:rsid w:val="00077967"/>
    <w:rsid w:val="000779F8"/>
    <w:rsid w:val="00077BD1"/>
    <w:rsid w:val="00077BFF"/>
    <w:rsid w:val="000800E7"/>
    <w:rsid w:val="000803A1"/>
    <w:rsid w:val="000803CD"/>
    <w:rsid w:val="0008052D"/>
    <w:rsid w:val="000806D2"/>
    <w:rsid w:val="00080947"/>
    <w:rsid w:val="00080A6D"/>
    <w:rsid w:val="00080AB4"/>
    <w:rsid w:val="00080ADA"/>
    <w:rsid w:val="00080B9C"/>
    <w:rsid w:val="00080C26"/>
    <w:rsid w:val="00080E8B"/>
    <w:rsid w:val="000811A0"/>
    <w:rsid w:val="00081438"/>
    <w:rsid w:val="00081786"/>
    <w:rsid w:val="00081836"/>
    <w:rsid w:val="000818DC"/>
    <w:rsid w:val="0008190F"/>
    <w:rsid w:val="00081B53"/>
    <w:rsid w:val="000822D9"/>
    <w:rsid w:val="00082798"/>
    <w:rsid w:val="000828FA"/>
    <w:rsid w:val="00082B11"/>
    <w:rsid w:val="00082D31"/>
    <w:rsid w:val="00082FD8"/>
    <w:rsid w:val="0008347F"/>
    <w:rsid w:val="000838E2"/>
    <w:rsid w:val="00083938"/>
    <w:rsid w:val="00083C9E"/>
    <w:rsid w:val="00083DEF"/>
    <w:rsid w:val="00083E8D"/>
    <w:rsid w:val="00084213"/>
    <w:rsid w:val="00084254"/>
    <w:rsid w:val="00084452"/>
    <w:rsid w:val="00084489"/>
    <w:rsid w:val="0008454C"/>
    <w:rsid w:val="0008481A"/>
    <w:rsid w:val="000849BA"/>
    <w:rsid w:val="00084B23"/>
    <w:rsid w:val="00084D80"/>
    <w:rsid w:val="00084F9E"/>
    <w:rsid w:val="00085039"/>
    <w:rsid w:val="00085046"/>
    <w:rsid w:val="00085880"/>
    <w:rsid w:val="00085EB2"/>
    <w:rsid w:val="00086261"/>
    <w:rsid w:val="00086C9E"/>
    <w:rsid w:val="00086E40"/>
    <w:rsid w:val="000874C9"/>
    <w:rsid w:val="00087530"/>
    <w:rsid w:val="000875B8"/>
    <w:rsid w:val="000877F6"/>
    <w:rsid w:val="000900D3"/>
    <w:rsid w:val="0009025E"/>
    <w:rsid w:val="00090730"/>
    <w:rsid w:val="00090D18"/>
    <w:rsid w:val="00090EC1"/>
    <w:rsid w:val="00090F61"/>
    <w:rsid w:val="000910C6"/>
    <w:rsid w:val="000913AA"/>
    <w:rsid w:val="000916C4"/>
    <w:rsid w:val="00091899"/>
    <w:rsid w:val="0009191E"/>
    <w:rsid w:val="00091B3B"/>
    <w:rsid w:val="00091C95"/>
    <w:rsid w:val="00091D21"/>
    <w:rsid w:val="00091D9D"/>
    <w:rsid w:val="000925DD"/>
    <w:rsid w:val="0009287C"/>
    <w:rsid w:val="000929B9"/>
    <w:rsid w:val="00092C22"/>
    <w:rsid w:val="00092FCD"/>
    <w:rsid w:val="0009300C"/>
    <w:rsid w:val="000930F9"/>
    <w:rsid w:val="0009326D"/>
    <w:rsid w:val="000938AC"/>
    <w:rsid w:val="00093AEB"/>
    <w:rsid w:val="00093CCC"/>
    <w:rsid w:val="000940E1"/>
    <w:rsid w:val="0009457E"/>
    <w:rsid w:val="00094BAD"/>
    <w:rsid w:val="00094E01"/>
    <w:rsid w:val="00095362"/>
    <w:rsid w:val="0009545A"/>
    <w:rsid w:val="0009580E"/>
    <w:rsid w:val="00096274"/>
    <w:rsid w:val="00096587"/>
    <w:rsid w:val="0009675C"/>
    <w:rsid w:val="00096AF6"/>
    <w:rsid w:val="00096B85"/>
    <w:rsid w:val="00096C6A"/>
    <w:rsid w:val="000970ED"/>
    <w:rsid w:val="000970F6"/>
    <w:rsid w:val="00097418"/>
    <w:rsid w:val="000974AD"/>
    <w:rsid w:val="00097B2F"/>
    <w:rsid w:val="000A01CC"/>
    <w:rsid w:val="000A0679"/>
    <w:rsid w:val="000A06B4"/>
    <w:rsid w:val="000A0D15"/>
    <w:rsid w:val="000A0DC7"/>
    <w:rsid w:val="000A19A3"/>
    <w:rsid w:val="000A1C02"/>
    <w:rsid w:val="000A1C64"/>
    <w:rsid w:val="000A1F1E"/>
    <w:rsid w:val="000A205F"/>
    <w:rsid w:val="000A2509"/>
    <w:rsid w:val="000A25ED"/>
    <w:rsid w:val="000A28BD"/>
    <w:rsid w:val="000A3946"/>
    <w:rsid w:val="000A4770"/>
    <w:rsid w:val="000A4BC5"/>
    <w:rsid w:val="000A4C6E"/>
    <w:rsid w:val="000A4CF5"/>
    <w:rsid w:val="000A4F89"/>
    <w:rsid w:val="000A5577"/>
    <w:rsid w:val="000A55E3"/>
    <w:rsid w:val="000A5A22"/>
    <w:rsid w:val="000A5ACB"/>
    <w:rsid w:val="000A5ACD"/>
    <w:rsid w:val="000A5C99"/>
    <w:rsid w:val="000A5F07"/>
    <w:rsid w:val="000A5F91"/>
    <w:rsid w:val="000A61A5"/>
    <w:rsid w:val="000A6439"/>
    <w:rsid w:val="000A660A"/>
    <w:rsid w:val="000A6A49"/>
    <w:rsid w:val="000A6B85"/>
    <w:rsid w:val="000A6BE3"/>
    <w:rsid w:val="000A6C9D"/>
    <w:rsid w:val="000A6DEC"/>
    <w:rsid w:val="000A6F04"/>
    <w:rsid w:val="000A71BE"/>
    <w:rsid w:val="000A7204"/>
    <w:rsid w:val="000A748E"/>
    <w:rsid w:val="000A74FC"/>
    <w:rsid w:val="000A784F"/>
    <w:rsid w:val="000A792E"/>
    <w:rsid w:val="000A7AD0"/>
    <w:rsid w:val="000A7B59"/>
    <w:rsid w:val="000A7E11"/>
    <w:rsid w:val="000B05F8"/>
    <w:rsid w:val="000B07D3"/>
    <w:rsid w:val="000B0860"/>
    <w:rsid w:val="000B09A7"/>
    <w:rsid w:val="000B0A15"/>
    <w:rsid w:val="000B129D"/>
    <w:rsid w:val="000B12A5"/>
    <w:rsid w:val="000B1406"/>
    <w:rsid w:val="000B164E"/>
    <w:rsid w:val="000B1765"/>
    <w:rsid w:val="000B17A5"/>
    <w:rsid w:val="000B1A63"/>
    <w:rsid w:val="000B1C82"/>
    <w:rsid w:val="000B1E63"/>
    <w:rsid w:val="000B1EFB"/>
    <w:rsid w:val="000B1F81"/>
    <w:rsid w:val="000B20DA"/>
    <w:rsid w:val="000B2105"/>
    <w:rsid w:val="000B2119"/>
    <w:rsid w:val="000B2170"/>
    <w:rsid w:val="000B24DD"/>
    <w:rsid w:val="000B2F65"/>
    <w:rsid w:val="000B327C"/>
    <w:rsid w:val="000B353A"/>
    <w:rsid w:val="000B353E"/>
    <w:rsid w:val="000B3644"/>
    <w:rsid w:val="000B36EF"/>
    <w:rsid w:val="000B3843"/>
    <w:rsid w:val="000B3C03"/>
    <w:rsid w:val="000B3D71"/>
    <w:rsid w:val="000B3E73"/>
    <w:rsid w:val="000B413B"/>
    <w:rsid w:val="000B4256"/>
    <w:rsid w:val="000B47E2"/>
    <w:rsid w:val="000B4B7C"/>
    <w:rsid w:val="000B4B83"/>
    <w:rsid w:val="000B4E46"/>
    <w:rsid w:val="000B5168"/>
    <w:rsid w:val="000B5383"/>
    <w:rsid w:val="000B54D9"/>
    <w:rsid w:val="000B550E"/>
    <w:rsid w:val="000B5696"/>
    <w:rsid w:val="000B5944"/>
    <w:rsid w:val="000B5B06"/>
    <w:rsid w:val="000B60A9"/>
    <w:rsid w:val="000B6120"/>
    <w:rsid w:val="000B69C0"/>
    <w:rsid w:val="000B6AD7"/>
    <w:rsid w:val="000B75CA"/>
    <w:rsid w:val="000B7D0F"/>
    <w:rsid w:val="000B7D30"/>
    <w:rsid w:val="000B7E82"/>
    <w:rsid w:val="000B7F3B"/>
    <w:rsid w:val="000B7F7D"/>
    <w:rsid w:val="000C0287"/>
    <w:rsid w:val="000C08E6"/>
    <w:rsid w:val="000C0F0A"/>
    <w:rsid w:val="000C1618"/>
    <w:rsid w:val="000C16EB"/>
    <w:rsid w:val="000C186C"/>
    <w:rsid w:val="000C1A61"/>
    <w:rsid w:val="000C1BED"/>
    <w:rsid w:val="000C1BF5"/>
    <w:rsid w:val="000C1E3D"/>
    <w:rsid w:val="000C2058"/>
    <w:rsid w:val="000C2536"/>
    <w:rsid w:val="000C2881"/>
    <w:rsid w:val="000C2F0E"/>
    <w:rsid w:val="000C32DF"/>
    <w:rsid w:val="000C3721"/>
    <w:rsid w:val="000C395A"/>
    <w:rsid w:val="000C4693"/>
    <w:rsid w:val="000C46F8"/>
    <w:rsid w:val="000C4A67"/>
    <w:rsid w:val="000C4CCB"/>
    <w:rsid w:val="000C507F"/>
    <w:rsid w:val="000C5156"/>
    <w:rsid w:val="000C5310"/>
    <w:rsid w:val="000C561A"/>
    <w:rsid w:val="000C5BAA"/>
    <w:rsid w:val="000C6203"/>
    <w:rsid w:val="000C634F"/>
    <w:rsid w:val="000C6BFC"/>
    <w:rsid w:val="000C7280"/>
    <w:rsid w:val="000C753C"/>
    <w:rsid w:val="000C7A5B"/>
    <w:rsid w:val="000C7A62"/>
    <w:rsid w:val="000C7D29"/>
    <w:rsid w:val="000C7EC4"/>
    <w:rsid w:val="000D010E"/>
    <w:rsid w:val="000D0BFA"/>
    <w:rsid w:val="000D0CB0"/>
    <w:rsid w:val="000D143D"/>
    <w:rsid w:val="000D16F0"/>
    <w:rsid w:val="000D1F02"/>
    <w:rsid w:val="000D24C1"/>
    <w:rsid w:val="000D2AE2"/>
    <w:rsid w:val="000D2C50"/>
    <w:rsid w:val="000D3543"/>
    <w:rsid w:val="000D3721"/>
    <w:rsid w:val="000D398F"/>
    <w:rsid w:val="000D3B59"/>
    <w:rsid w:val="000D4596"/>
    <w:rsid w:val="000D4671"/>
    <w:rsid w:val="000D48C0"/>
    <w:rsid w:val="000D48CB"/>
    <w:rsid w:val="000D4AF9"/>
    <w:rsid w:val="000D500D"/>
    <w:rsid w:val="000D50AC"/>
    <w:rsid w:val="000D52D0"/>
    <w:rsid w:val="000D567B"/>
    <w:rsid w:val="000D57E9"/>
    <w:rsid w:val="000D5C61"/>
    <w:rsid w:val="000D5D0A"/>
    <w:rsid w:val="000D5F32"/>
    <w:rsid w:val="000D6054"/>
    <w:rsid w:val="000D624D"/>
    <w:rsid w:val="000D63CC"/>
    <w:rsid w:val="000D687D"/>
    <w:rsid w:val="000D6A69"/>
    <w:rsid w:val="000D6D9A"/>
    <w:rsid w:val="000D6F66"/>
    <w:rsid w:val="000D77EA"/>
    <w:rsid w:val="000E01F0"/>
    <w:rsid w:val="000E0232"/>
    <w:rsid w:val="000E0370"/>
    <w:rsid w:val="000E0B62"/>
    <w:rsid w:val="000E0E42"/>
    <w:rsid w:val="000E133F"/>
    <w:rsid w:val="000E1A10"/>
    <w:rsid w:val="000E1C29"/>
    <w:rsid w:val="000E2C3C"/>
    <w:rsid w:val="000E2F15"/>
    <w:rsid w:val="000E2F47"/>
    <w:rsid w:val="000E3030"/>
    <w:rsid w:val="000E3106"/>
    <w:rsid w:val="000E35AD"/>
    <w:rsid w:val="000E3A0F"/>
    <w:rsid w:val="000E3A37"/>
    <w:rsid w:val="000E431B"/>
    <w:rsid w:val="000E47AC"/>
    <w:rsid w:val="000E48AD"/>
    <w:rsid w:val="000E4CBD"/>
    <w:rsid w:val="000E4DCB"/>
    <w:rsid w:val="000E523E"/>
    <w:rsid w:val="000E5AD2"/>
    <w:rsid w:val="000E5F57"/>
    <w:rsid w:val="000E605B"/>
    <w:rsid w:val="000E60DC"/>
    <w:rsid w:val="000E61B2"/>
    <w:rsid w:val="000E62B3"/>
    <w:rsid w:val="000E65C5"/>
    <w:rsid w:val="000E6804"/>
    <w:rsid w:val="000E7009"/>
    <w:rsid w:val="000E713B"/>
    <w:rsid w:val="000E7717"/>
    <w:rsid w:val="000E7840"/>
    <w:rsid w:val="000E7C4D"/>
    <w:rsid w:val="000E7CFE"/>
    <w:rsid w:val="000E7E84"/>
    <w:rsid w:val="000E7E8C"/>
    <w:rsid w:val="000F16F5"/>
    <w:rsid w:val="000F18F4"/>
    <w:rsid w:val="000F1914"/>
    <w:rsid w:val="000F287A"/>
    <w:rsid w:val="000F2A3C"/>
    <w:rsid w:val="000F2A79"/>
    <w:rsid w:val="000F2C99"/>
    <w:rsid w:val="000F3050"/>
    <w:rsid w:val="000F3449"/>
    <w:rsid w:val="000F34BD"/>
    <w:rsid w:val="000F354F"/>
    <w:rsid w:val="000F39AB"/>
    <w:rsid w:val="000F3A75"/>
    <w:rsid w:val="000F3B77"/>
    <w:rsid w:val="000F3E3B"/>
    <w:rsid w:val="000F443B"/>
    <w:rsid w:val="000F4731"/>
    <w:rsid w:val="000F49AE"/>
    <w:rsid w:val="000F4F18"/>
    <w:rsid w:val="000F5409"/>
    <w:rsid w:val="000F5C12"/>
    <w:rsid w:val="000F5D68"/>
    <w:rsid w:val="000F639E"/>
    <w:rsid w:val="000F687E"/>
    <w:rsid w:val="000F71FD"/>
    <w:rsid w:val="000F725C"/>
    <w:rsid w:val="000F7DA6"/>
    <w:rsid w:val="00100002"/>
    <w:rsid w:val="001005A3"/>
    <w:rsid w:val="001005F8"/>
    <w:rsid w:val="00100BF9"/>
    <w:rsid w:val="00100D07"/>
    <w:rsid w:val="00100D6D"/>
    <w:rsid w:val="00100E1A"/>
    <w:rsid w:val="001015DF"/>
    <w:rsid w:val="001016F8"/>
    <w:rsid w:val="001018D1"/>
    <w:rsid w:val="00101C37"/>
    <w:rsid w:val="00101ED6"/>
    <w:rsid w:val="0010208A"/>
    <w:rsid w:val="00102095"/>
    <w:rsid w:val="0010243B"/>
    <w:rsid w:val="001029DA"/>
    <w:rsid w:val="00102B71"/>
    <w:rsid w:val="00102B96"/>
    <w:rsid w:val="00102B9F"/>
    <w:rsid w:val="0010321C"/>
    <w:rsid w:val="001033D4"/>
    <w:rsid w:val="00103A64"/>
    <w:rsid w:val="00103EF9"/>
    <w:rsid w:val="001040ED"/>
    <w:rsid w:val="0010448C"/>
    <w:rsid w:val="00104C49"/>
    <w:rsid w:val="00104DC8"/>
    <w:rsid w:val="00105108"/>
    <w:rsid w:val="00105451"/>
    <w:rsid w:val="00105950"/>
    <w:rsid w:val="00105A42"/>
    <w:rsid w:val="00105C17"/>
    <w:rsid w:val="00105ED2"/>
    <w:rsid w:val="001060A4"/>
    <w:rsid w:val="001063A0"/>
    <w:rsid w:val="00106619"/>
    <w:rsid w:val="00106650"/>
    <w:rsid w:val="00106797"/>
    <w:rsid w:val="00106D89"/>
    <w:rsid w:val="001071E8"/>
    <w:rsid w:val="00107259"/>
    <w:rsid w:val="0010766D"/>
    <w:rsid w:val="001076E8"/>
    <w:rsid w:val="00107947"/>
    <w:rsid w:val="00107B65"/>
    <w:rsid w:val="00107DDC"/>
    <w:rsid w:val="00107FF6"/>
    <w:rsid w:val="0011051A"/>
    <w:rsid w:val="00110591"/>
    <w:rsid w:val="001105AE"/>
    <w:rsid w:val="00110865"/>
    <w:rsid w:val="001109E8"/>
    <w:rsid w:val="00110A49"/>
    <w:rsid w:val="00111275"/>
    <w:rsid w:val="00111453"/>
    <w:rsid w:val="00111483"/>
    <w:rsid w:val="00111500"/>
    <w:rsid w:val="001115EB"/>
    <w:rsid w:val="00111B6A"/>
    <w:rsid w:val="00111C03"/>
    <w:rsid w:val="00111EA7"/>
    <w:rsid w:val="00111F82"/>
    <w:rsid w:val="00112669"/>
    <w:rsid w:val="001127BB"/>
    <w:rsid w:val="001127FC"/>
    <w:rsid w:val="001128B3"/>
    <w:rsid w:val="00112BE0"/>
    <w:rsid w:val="00112E9B"/>
    <w:rsid w:val="00113761"/>
    <w:rsid w:val="0011385B"/>
    <w:rsid w:val="00113BC1"/>
    <w:rsid w:val="00113CA6"/>
    <w:rsid w:val="00114240"/>
    <w:rsid w:val="00114458"/>
    <w:rsid w:val="001144C8"/>
    <w:rsid w:val="001145D7"/>
    <w:rsid w:val="00114928"/>
    <w:rsid w:val="00114DF0"/>
    <w:rsid w:val="00115213"/>
    <w:rsid w:val="00115342"/>
    <w:rsid w:val="00115890"/>
    <w:rsid w:val="00115967"/>
    <w:rsid w:val="00115CF3"/>
    <w:rsid w:val="00115E1B"/>
    <w:rsid w:val="001160E0"/>
    <w:rsid w:val="001164F6"/>
    <w:rsid w:val="0011658C"/>
    <w:rsid w:val="0011669B"/>
    <w:rsid w:val="00116744"/>
    <w:rsid w:val="001168F3"/>
    <w:rsid w:val="001169E1"/>
    <w:rsid w:val="001178CB"/>
    <w:rsid w:val="00117AED"/>
    <w:rsid w:val="00117CC8"/>
    <w:rsid w:val="0012038B"/>
    <w:rsid w:val="00120450"/>
    <w:rsid w:val="00120565"/>
    <w:rsid w:val="00120982"/>
    <w:rsid w:val="00120C93"/>
    <w:rsid w:val="00120CA1"/>
    <w:rsid w:val="00120D49"/>
    <w:rsid w:val="00121117"/>
    <w:rsid w:val="00121250"/>
    <w:rsid w:val="001216D4"/>
    <w:rsid w:val="001217C1"/>
    <w:rsid w:val="00121AF3"/>
    <w:rsid w:val="001221AE"/>
    <w:rsid w:val="001227C4"/>
    <w:rsid w:val="00122BA8"/>
    <w:rsid w:val="00122C04"/>
    <w:rsid w:val="00122E23"/>
    <w:rsid w:val="00122EFB"/>
    <w:rsid w:val="0012312E"/>
    <w:rsid w:val="00123445"/>
    <w:rsid w:val="00123B9D"/>
    <w:rsid w:val="00123C09"/>
    <w:rsid w:val="00123C4B"/>
    <w:rsid w:val="00123D28"/>
    <w:rsid w:val="00123DFB"/>
    <w:rsid w:val="00123EBD"/>
    <w:rsid w:val="0012413A"/>
    <w:rsid w:val="00124299"/>
    <w:rsid w:val="001242F2"/>
    <w:rsid w:val="0012447C"/>
    <w:rsid w:val="00124A9F"/>
    <w:rsid w:val="00125072"/>
    <w:rsid w:val="0012555A"/>
    <w:rsid w:val="00125627"/>
    <w:rsid w:val="001258CD"/>
    <w:rsid w:val="00125C49"/>
    <w:rsid w:val="00125EF7"/>
    <w:rsid w:val="001260E9"/>
    <w:rsid w:val="00126183"/>
    <w:rsid w:val="00126760"/>
    <w:rsid w:val="00126770"/>
    <w:rsid w:val="00126BEF"/>
    <w:rsid w:val="00126ECB"/>
    <w:rsid w:val="001271EC"/>
    <w:rsid w:val="001274AB"/>
    <w:rsid w:val="0013018A"/>
    <w:rsid w:val="0013061C"/>
    <w:rsid w:val="00130734"/>
    <w:rsid w:val="00130A9E"/>
    <w:rsid w:val="00130E74"/>
    <w:rsid w:val="00131230"/>
    <w:rsid w:val="001317BD"/>
    <w:rsid w:val="0013194A"/>
    <w:rsid w:val="00131A0E"/>
    <w:rsid w:val="00131BF0"/>
    <w:rsid w:val="00131CD4"/>
    <w:rsid w:val="00132371"/>
    <w:rsid w:val="00132864"/>
    <w:rsid w:val="00132BC6"/>
    <w:rsid w:val="00133375"/>
    <w:rsid w:val="001334CA"/>
    <w:rsid w:val="00133789"/>
    <w:rsid w:val="001339B8"/>
    <w:rsid w:val="00133D84"/>
    <w:rsid w:val="00134227"/>
    <w:rsid w:val="001346C1"/>
    <w:rsid w:val="001347DB"/>
    <w:rsid w:val="001347E6"/>
    <w:rsid w:val="00134A43"/>
    <w:rsid w:val="00134A63"/>
    <w:rsid w:val="00134BEB"/>
    <w:rsid w:val="00134CB2"/>
    <w:rsid w:val="00134E20"/>
    <w:rsid w:val="0013568F"/>
    <w:rsid w:val="00135866"/>
    <w:rsid w:val="00135F40"/>
    <w:rsid w:val="001361D4"/>
    <w:rsid w:val="00136390"/>
    <w:rsid w:val="001364C2"/>
    <w:rsid w:val="00136A9F"/>
    <w:rsid w:val="00137273"/>
    <w:rsid w:val="00137507"/>
    <w:rsid w:val="0013767E"/>
    <w:rsid w:val="00137C89"/>
    <w:rsid w:val="00137CF6"/>
    <w:rsid w:val="00137DAA"/>
    <w:rsid w:val="001402AC"/>
    <w:rsid w:val="0014035B"/>
    <w:rsid w:val="001405DC"/>
    <w:rsid w:val="001405E9"/>
    <w:rsid w:val="00140CB3"/>
    <w:rsid w:val="001410AE"/>
    <w:rsid w:val="0014111B"/>
    <w:rsid w:val="00141570"/>
    <w:rsid w:val="0014198A"/>
    <w:rsid w:val="00141A2B"/>
    <w:rsid w:val="00141A92"/>
    <w:rsid w:val="00141BAD"/>
    <w:rsid w:val="00141CDF"/>
    <w:rsid w:val="00142028"/>
    <w:rsid w:val="00142145"/>
    <w:rsid w:val="00142174"/>
    <w:rsid w:val="001422EE"/>
    <w:rsid w:val="001424C9"/>
    <w:rsid w:val="001425FB"/>
    <w:rsid w:val="001427A4"/>
    <w:rsid w:val="00142AEA"/>
    <w:rsid w:val="00142EE5"/>
    <w:rsid w:val="001431F3"/>
    <w:rsid w:val="00143280"/>
    <w:rsid w:val="001438FA"/>
    <w:rsid w:val="0014397A"/>
    <w:rsid w:val="00143C4B"/>
    <w:rsid w:val="00144127"/>
    <w:rsid w:val="001441FA"/>
    <w:rsid w:val="0014468B"/>
    <w:rsid w:val="0014471C"/>
    <w:rsid w:val="001448AB"/>
    <w:rsid w:val="00144E90"/>
    <w:rsid w:val="00144F2F"/>
    <w:rsid w:val="00145069"/>
    <w:rsid w:val="0014579B"/>
    <w:rsid w:val="00145B5D"/>
    <w:rsid w:val="00145C76"/>
    <w:rsid w:val="00145F15"/>
    <w:rsid w:val="001461B1"/>
    <w:rsid w:val="00146205"/>
    <w:rsid w:val="00146327"/>
    <w:rsid w:val="00146B42"/>
    <w:rsid w:val="00146F50"/>
    <w:rsid w:val="0014702F"/>
    <w:rsid w:val="001478BF"/>
    <w:rsid w:val="00147A70"/>
    <w:rsid w:val="0015008A"/>
    <w:rsid w:val="001500C1"/>
    <w:rsid w:val="001503F5"/>
    <w:rsid w:val="00150E13"/>
    <w:rsid w:val="00150E65"/>
    <w:rsid w:val="00151274"/>
    <w:rsid w:val="00151673"/>
    <w:rsid w:val="001516F5"/>
    <w:rsid w:val="00151C8E"/>
    <w:rsid w:val="00152059"/>
    <w:rsid w:val="00152223"/>
    <w:rsid w:val="001525E0"/>
    <w:rsid w:val="0015296E"/>
    <w:rsid w:val="00152C2A"/>
    <w:rsid w:val="001532D0"/>
    <w:rsid w:val="0015330F"/>
    <w:rsid w:val="00153720"/>
    <w:rsid w:val="00153DB5"/>
    <w:rsid w:val="00153F05"/>
    <w:rsid w:val="001543DF"/>
    <w:rsid w:val="001544F6"/>
    <w:rsid w:val="001545D5"/>
    <w:rsid w:val="00154688"/>
    <w:rsid w:val="0015468A"/>
    <w:rsid w:val="001548C3"/>
    <w:rsid w:val="00154A2F"/>
    <w:rsid w:val="00154CA7"/>
    <w:rsid w:val="00154D52"/>
    <w:rsid w:val="00154EB5"/>
    <w:rsid w:val="00155141"/>
    <w:rsid w:val="001557CC"/>
    <w:rsid w:val="00155D22"/>
    <w:rsid w:val="001565A6"/>
    <w:rsid w:val="001565D3"/>
    <w:rsid w:val="00156C90"/>
    <w:rsid w:val="00156D6A"/>
    <w:rsid w:val="00156E94"/>
    <w:rsid w:val="001570B2"/>
    <w:rsid w:val="0015757C"/>
    <w:rsid w:val="001578A9"/>
    <w:rsid w:val="00157BDD"/>
    <w:rsid w:val="00157F12"/>
    <w:rsid w:val="00157F1B"/>
    <w:rsid w:val="00160360"/>
    <w:rsid w:val="001604A8"/>
    <w:rsid w:val="00160712"/>
    <w:rsid w:val="001608E7"/>
    <w:rsid w:val="00160A46"/>
    <w:rsid w:val="001610AF"/>
    <w:rsid w:val="0016112F"/>
    <w:rsid w:val="00161327"/>
    <w:rsid w:val="0016208E"/>
    <w:rsid w:val="00162132"/>
    <w:rsid w:val="00162176"/>
    <w:rsid w:val="00162296"/>
    <w:rsid w:val="0016260C"/>
    <w:rsid w:val="00162DD3"/>
    <w:rsid w:val="00162DDF"/>
    <w:rsid w:val="00162E43"/>
    <w:rsid w:val="00162E91"/>
    <w:rsid w:val="00162FBE"/>
    <w:rsid w:val="00163500"/>
    <w:rsid w:val="0016369A"/>
    <w:rsid w:val="00163C91"/>
    <w:rsid w:val="00163CA3"/>
    <w:rsid w:val="0016409D"/>
    <w:rsid w:val="0016430C"/>
    <w:rsid w:val="001644A8"/>
    <w:rsid w:val="00164A47"/>
    <w:rsid w:val="001651C9"/>
    <w:rsid w:val="00165D22"/>
    <w:rsid w:val="001660F0"/>
    <w:rsid w:val="001661F8"/>
    <w:rsid w:val="0016657D"/>
    <w:rsid w:val="001666B9"/>
    <w:rsid w:val="001667D7"/>
    <w:rsid w:val="00166B43"/>
    <w:rsid w:val="00166BB9"/>
    <w:rsid w:val="00166EFD"/>
    <w:rsid w:val="00166F61"/>
    <w:rsid w:val="00167118"/>
    <w:rsid w:val="00167313"/>
    <w:rsid w:val="00167AAD"/>
    <w:rsid w:val="0017001B"/>
    <w:rsid w:val="00170493"/>
    <w:rsid w:val="001704AD"/>
    <w:rsid w:val="00170587"/>
    <w:rsid w:val="00170638"/>
    <w:rsid w:val="00170A52"/>
    <w:rsid w:val="00170C88"/>
    <w:rsid w:val="00170E95"/>
    <w:rsid w:val="001711C1"/>
    <w:rsid w:val="00171444"/>
    <w:rsid w:val="001715A7"/>
    <w:rsid w:val="001716F7"/>
    <w:rsid w:val="0017177C"/>
    <w:rsid w:val="001718C3"/>
    <w:rsid w:val="0017199B"/>
    <w:rsid w:val="00171A63"/>
    <w:rsid w:val="00171B5F"/>
    <w:rsid w:val="00171BA1"/>
    <w:rsid w:val="001722AB"/>
    <w:rsid w:val="001725CE"/>
    <w:rsid w:val="00172662"/>
    <w:rsid w:val="00172984"/>
    <w:rsid w:val="00172B35"/>
    <w:rsid w:val="00172BD4"/>
    <w:rsid w:val="001732BF"/>
    <w:rsid w:val="0017392E"/>
    <w:rsid w:val="00173C37"/>
    <w:rsid w:val="00174469"/>
    <w:rsid w:val="001748C3"/>
    <w:rsid w:val="00174C2C"/>
    <w:rsid w:val="001751F9"/>
    <w:rsid w:val="001752E9"/>
    <w:rsid w:val="00175674"/>
    <w:rsid w:val="00175899"/>
    <w:rsid w:val="00175C92"/>
    <w:rsid w:val="00175DE7"/>
    <w:rsid w:val="001766C1"/>
    <w:rsid w:val="00176896"/>
    <w:rsid w:val="00176E51"/>
    <w:rsid w:val="00177367"/>
    <w:rsid w:val="00177446"/>
    <w:rsid w:val="00177572"/>
    <w:rsid w:val="0017762A"/>
    <w:rsid w:val="0017770B"/>
    <w:rsid w:val="00180404"/>
    <w:rsid w:val="001804CE"/>
    <w:rsid w:val="00180536"/>
    <w:rsid w:val="00180F28"/>
    <w:rsid w:val="001810AD"/>
    <w:rsid w:val="0018116C"/>
    <w:rsid w:val="001817B8"/>
    <w:rsid w:val="00181942"/>
    <w:rsid w:val="00181C05"/>
    <w:rsid w:val="001821D1"/>
    <w:rsid w:val="00182377"/>
    <w:rsid w:val="00182465"/>
    <w:rsid w:val="00182566"/>
    <w:rsid w:val="0018260B"/>
    <w:rsid w:val="00182A5E"/>
    <w:rsid w:val="00182A70"/>
    <w:rsid w:val="0018348B"/>
    <w:rsid w:val="001835A9"/>
    <w:rsid w:val="00183987"/>
    <w:rsid w:val="00183EC8"/>
    <w:rsid w:val="00183F4B"/>
    <w:rsid w:val="0018401D"/>
    <w:rsid w:val="00184171"/>
    <w:rsid w:val="0018470C"/>
    <w:rsid w:val="0018475B"/>
    <w:rsid w:val="0018489F"/>
    <w:rsid w:val="00184A2B"/>
    <w:rsid w:val="00184BC5"/>
    <w:rsid w:val="0018519D"/>
    <w:rsid w:val="0018549B"/>
    <w:rsid w:val="001857E6"/>
    <w:rsid w:val="00185A6A"/>
    <w:rsid w:val="00185AFD"/>
    <w:rsid w:val="001867FF"/>
    <w:rsid w:val="00186A35"/>
    <w:rsid w:val="00186C60"/>
    <w:rsid w:val="00186C6F"/>
    <w:rsid w:val="00186E4F"/>
    <w:rsid w:val="001872D3"/>
    <w:rsid w:val="00187560"/>
    <w:rsid w:val="00187677"/>
    <w:rsid w:val="00187CA2"/>
    <w:rsid w:val="00187DC3"/>
    <w:rsid w:val="00187E71"/>
    <w:rsid w:val="0019020F"/>
    <w:rsid w:val="00190523"/>
    <w:rsid w:val="0019064D"/>
    <w:rsid w:val="0019067D"/>
    <w:rsid w:val="001908A0"/>
    <w:rsid w:val="001913A1"/>
    <w:rsid w:val="0019165A"/>
    <w:rsid w:val="00191F19"/>
    <w:rsid w:val="00192050"/>
    <w:rsid w:val="00192183"/>
    <w:rsid w:val="001923C1"/>
    <w:rsid w:val="001924B2"/>
    <w:rsid w:val="0019265F"/>
    <w:rsid w:val="00192CC8"/>
    <w:rsid w:val="001931B7"/>
    <w:rsid w:val="00193C23"/>
    <w:rsid w:val="0019409A"/>
    <w:rsid w:val="0019433A"/>
    <w:rsid w:val="001943E2"/>
    <w:rsid w:val="00194966"/>
    <w:rsid w:val="00194A03"/>
    <w:rsid w:val="00194ABE"/>
    <w:rsid w:val="00194D8A"/>
    <w:rsid w:val="00194DD2"/>
    <w:rsid w:val="00194F05"/>
    <w:rsid w:val="001950CA"/>
    <w:rsid w:val="001954C5"/>
    <w:rsid w:val="001954F6"/>
    <w:rsid w:val="00195675"/>
    <w:rsid w:val="00195778"/>
    <w:rsid w:val="00195B3E"/>
    <w:rsid w:val="00195D33"/>
    <w:rsid w:val="00196226"/>
    <w:rsid w:val="0019627C"/>
    <w:rsid w:val="0019684D"/>
    <w:rsid w:val="00196862"/>
    <w:rsid w:val="001969E7"/>
    <w:rsid w:val="00196AA6"/>
    <w:rsid w:val="00196D56"/>
    <w:rsid w:val="00196FD4"/>
    <w:rsid w:val="0019749F"/>
    <w:rsid w:val="00197524"/>
    <w:rsid w:val="0019757D"/>
    <w:rsid w:val="001975E1"/>
    <w:rsid w:val="001975ED"/>
    <w:rsid w:val="001977FD"/>
    <w:rsid w:val="00197C57"/>
    <w:rsid w:val="00197C8D"/>
    <w:rsid w:val="00197D6D"/>
    <w:rsid w:val="00197E97"/>
    <w:rsid w:val="00197FA0"/>
    <w:rsid w:val="001A00E3"/>
    <w:rsid w:val="001A02DA"/>
    <w:rsid w:val="001A03FA"/>
    <w:rsid w:val="001A088A"/>
    <w:rsid w:val="001A08AD"/>
    <w:rsid w:val="001A0B16"/>
    <w:rsid w:val="001A0CA6"/>
    <w:rsid w:val="001A1138"/>
    <w:rsid w:val="001A1318"/>
    <w:rsid w:val="001A1803"/>
    <w:rsid w:val="001A1ACF"/>
    <w:rsid w:val="001A1D96"/>
    <w:rsid w:val="001A2378"/>
    <w:rsid w:val="001A2A86"/>
    <w:rsid w:val="001A2E52"/>
    <w:rsid w:val="001A3091"/>
    <w:rsid w:val="001A314C"/>
    <w:rsid w:val="001A3332"/>
    <w:rsid w:val="001A337D"/>
    <w:rsid w:val="001A34C4"/>
    <w:rsid w:val="001A3832"/>
    <w:rsid w:val="001A39BD"/>
    <w:rsid w:val="001A3AA5"/>
    <w:rsid w:val="001A3B8B"/>
    <w:rsid w:val="001A3FA5"/>
    <w:rsid w:val="001A422E"/>
    <w:rsid w:val="001A44FD"/>
    <w:rsid w:val="001A46FB"/>
    <w:rsid w:val="001A4A36"/>
    <w:rsid w:val="001A4F0A"/>
    <w:rsid w:val="001A4FCC"/>
    <w:rsid w:val="001A512E"/>
    <w:rsid w:val="001A51C6"/>
    <w:rsid w:val="001A53D4"/>
    <w:rsid w:val="001A556F"/>
    <w:rsid w:val="001A55BD"/>
    <w:rsid w:val="001A5E94"/>
    <w:rsid w:val="001A6471"/>
    <w:rsid w:val="001A67C0"/>
    <w:rsid w:val="001A6C1C"/>
    <w:rsid w:val="001A6F74"/>
    <w:rsid w:val="001A714A"/>
    <w:rsid w:val="001A7257"/>
    <w:rsid w:val="001A73D9"/>
    <w:rsid w:val="001A7472"/>
    <w:rsid w:val="001A7FEE"/>
    <w:rsid w:val="001B0372"/>
    <w:rsid w:val="001B0742"/>
    <w:rsid w:val="001B096D"/>
    <w:rsid w:val="001B0A6E"/>
    <w:rsid w:val="001B0BE4"/>
    <w:rsid w:val="001B0E22"/>
    <w:rsid w:val="001B10DF"/>
    <w:rsid w:val="001B119B"/>
    <w:rsid w:val="001B13CC"/>
    <w:rsid w:val="001B142E"/>
    <w:rsid w:val="001B1860"/>
    <w:rsid w:val="001B1A71"/>
    <w:rsid w:val="001B1A8A"/>
    <w:rsid w:val="001B1B8F"/>
    <w:rsid w:val="001B1CD0"/>
    <w:rsid w:val="001B1DE9"/>
    <w:rsid w:val="001B2128"/>
    <w:rsid w:val="001B23B7"/>
    <w:rsid w:val="001B23E4"/>
    <w:rsid w:val="001B252D"/>
    <w:rsid w:val="001B2968"/>
    <w:rsid w:val="001B2C4B"/>
    <w:rsid w:val="001B3136"/>
    <w:rsid w:val="001B3337"/>
    <w:rsid w:val="001B346A"/>
    <w:rsid w:val="001B3A47"/>
    <w:rsid w:val="001B3AD9"/>
    <w:rsid w:val="001B4276"/>
    <w:rsid w:val="001B4368"/>
    <w:rsid w:val="001B4867"/>
    <w:rsid w:val="001B4C39"/>
    <w:rsid w:val="001B501E"/>
    <w:rsid w:val="001B5044"/>
    <w:rsid w:val="001B50CE"/>
    <w:rsid w:val="001B52F5"/>
    <w:rsid w:val="001B5488"/>
    <w:rsid w:val="001B55C8"/>
    <w:rsid w:val="001B561A"/>
    <w:rsid w:val="001B5734"/>
    <w:rsid w:val="001B5B38"/>
    <w:rsid w:val="001B5E2D"/>
    <w:rsid w:val="001B5E88"/>
    <w:rsid w:val="001B60B2"/>
    <w:rsid w:val="001B60B7"/>
    <w:rsid w:val="001B61F5"/>
    <w:rsid w:val="001B6827"/>
    <w:rsid w:val="001B6A2D"/>
    <w:rsid w:val="001B6C5D"/>
    <w:rsid w:val="001B6E23"/>
    <w:rsid w:val="001B71D2"/>
    <w:rsid w:val="001B7244"/>
    <w:rsid w:val="001B7443"/>
    <w:rsid w:val="001B748F"/>
    <w:rsid w:val="001B7936"/>
    <w:rsid w:val="001B79EF"/>
    <w:rsid w:val="001B7B11"/>
    <w:rsid w:val="001B7B37"/>
    <w:rsid w:val="001B7CAB"/>
    <w:rsid w:val="001C0012"/>
    <w:rsid w:val="001C027B"/>
    <w:rsid w:val="001C02C8"/>
    <w:rsid w:val="001C05EC"/>
    <w:rsid w:val="001C093F"/>
    <w:rsid w:val="001C0FC1"/>
    <w:rsid w:val="001C1506"/>
    <w:rsid w:val="001C16EA"/>
    <w:rsid w:val="001C17B1"/>
    <w:rsid w:val="001C1A14"/>
    <w:rsid w:val="001C1D57"/>
    <w:rsid w:val="001C2765"/>
    <w:rsid w:val="001C29F7"/>
    <w:rsid w:val="001C2F89"/>
    <w:rsid w:val="001C30CA"/>
    <w:rsid w:val="001C34E6"/>
    <w:rsid w:val="001C3776"/>
    <w:rsid w:val="001C3BAB"/>
    <w:rsid w:val="001C3E4B"/>
    <w:rsid w:val="001C3F04"/>
    <w:rsid w:val="001C3FC8"/>
    <w:rsid w:val="001C4003"/>
    <w:rsid w:val="001C4052"/>
    <w:rsid w:val="001C4162"/>
    <w:rsid w:val="001C437A"/>
    <w:rsid w:val="001C474A"/>
    <w:rsid w:val="001C48D6"/>
    <w:rsid w:val="001C505E"/>
    <w:rsid w:val="001C5158"/>
    <w:rsid w:val="001C56AA"/>
    <w:rsid w:val="001C5770"/>
    <w:rsid w:val="001C58B9"/>
    <w:rsid w:val="001C5A88"/>
    <w:rsid w:val="001C5C96"/>
    <w:rsid w:val="001C5D62"/>
    <w:rsid w:val="001C5ED4"/>
    <w:rsid w:val="001C5F51"/>
    <w:rsid w:val="001C66BE"/>
    <w:rsid w:val="001C6B70"/>
    <w:rsid w:val="001C6C34"/>
    <w:rsid w:val="001C6F0D"/>
    <w:rsid w:val="001C7006"/>
    <w:rsid w:val="001C7C58"/>
    <w:rsid w:val="001D00D2"/>
    <w:rsid w:val="001D012F"/>
    <w:rsid w:val="001D0779"/>
    <w:rsid w:val="001D07BC"/>
    <w:rsid w:val="001D0B61"/>
    <w:rsid w:val="001D129F"/>
    <w:rsid w:val="001D1553"/>
    <w:rsid w:val="001D19CF"/>
    <w:rsid w:val="001D1B55"/>
    <w:rsid w:val="001D211E"/>
    <w:rsid w:val="001D21DD"/>
    <w:rsid w:val="001D2475"/>
    <w:rsid w:val="001D250C"/>
    <w:rsid w:val="001D2548"/>
    <w:rsid w:val="001D25D1"/>
    <w:rsid w:val="001D2679"/>
    <w:rsid w:val="001D29B4"/>
    <w:rsid w:val="001D2A50"/>
    <w:rsid w:val="001D2BC3"/>
    <w:rsid w:val="001D2C2E"/>
    <w:rsid w:val="001D2E00"/>
    <w:rsid w:val="001D2FE9"/>
    <w:rsid w:val="001D2FFF"/>
    <w:rsid w:val="001D33F6"/>
    <w:rsid w:val="001D3603"/>
    <w:rsid w:val="001D3681"/>
    <w:rsid w:val="001D3A23"/>
    <w:rsid w:val="001D4022"/>
    <w:rsid w:val="001D42DC"/>
    <w:rsid w:val="001D44BB"/>
    <w:rsid w:val="001D4503"/>
    <w:rsid w:val="001D489B"/>
    <w:rsid w:val="001D54DF"/>
    <w:rsid w:val="001D568A"/>
    <w:rsid w:val="001D5ACB"/>
    <w:rsid w:val="001D5C40"/>
    <w:rsid w:val="001D5D3A"/>
    <w:rsid w:val="001D5E8F"/>
    <w:rsid w:val="001D60CB"/>
    <w:rsid w:val="001D64E3"/>
    <w:rsid w:val="001D663C"/>
    <w:rsid w:val="001D6935"/>
    <w:rsid w:val="001D6A41"/>
    <w:rsid w:val="001D6B4F"/>
    <w:rsid w:val="001D6F5C"/>
    <w:rsid w:val="001D7084"/>
    <w:rsid w:val="001D751E"/>
    <w:rsid w:val="001D77D8"/>
    <w:rsid w:val="001D79E7"/>
    <w:rsid w:val="001D7AC3"/>
    <w:rsid w:val="001D7BE6"/>
    <w:rsid w:val="001D7DD2"/>
    <w:rsid w:val="001E0019"/>
    <w:rsid w:val="001E00A0"/>
    <w:rsid w:val="001E021D"/>
    <w:rsid w:val="001E0385"/>
    <w:rsid w:val="001E03D4"/>
    <w:rsid w:val="001E0427"/>
    <w:rsid w:val="001E06AE"/>
    <w:rsid w:val="001E0B6B"/>
    <w:rsid w:val="001E0CA8"/>
    <w:rsid w:val="001E0D76"/>
    <w:rsid w:val="001E146D"/>
    <w:rsid w:val="001E16B0"/>
    <w:rsid w:val="001E1745"/>
    <w:rsid w:val="001E1A44"/>
    <w:rsid w:val="001E1CA5"/>
    <w:rsid w:val="001E1D72"/>
    <w:rsid w:val="001E1F01"/>
    <w:rsid w:val="001E2034"/>
    <w:rsid w:val="001E2275"/>
    <w:rsid w:val="001E2C90"/>
    <w:rsid w:val="001E2DCC"/>
    <w:rsid w:val="001E2F3C"/>
    <w:rsid w:val="001E2F73"/>
    <w:rsid w:val="001E3075"/>
    <w:rsid w:val="001E3115"/>
    <w:rsid w:val="001E3364"/>
    <w:rsid w:val="001E399B"/>
    <w:rsid w:val="001E3B2F"/>
    <w:rsid w:val="001E3B73"/>
    <w:rsid w:val="001E4021"/>
    <w:rsid w:val="001E4069"/>
    <w:rsid w:val="001E4071"/>
    <w:rsid w:val="001E4AC0"/>
    <w:rsid w:val="001E5150"/>
    <w:rsid w:val="001E5763"/>
    <w:rsid w:val="001E584F"/>
    <w:rsid w:val="001E5F3B"/>
    <w:rsid w:val="001E6565"/>
    <w:rsid w:val="001E697A"/>
    <w:rsid w:val="001E6B46"/>
    <w:rsid w:val="001E6D4F"/>
    <w:rsid w:val="001E6E16"/>
    <w:rsid w:val="001E72FA"/>
    <w:rsid w:val="001E73BE"/>
    <w:rsid w:val="001E7503"/>
    <w:rsid w:val="001E775E"/>
    <w:rsid w:val="001E78E1"/>
    <w:rsid w:val="001E7E2B"/>
    <w:rsid w:val="001E7FEE"/>
    <w:rsid w:val="001F01FA"/>
    <w:rsid w:val="001F05AC"/>
    <w:rsid w:val="001F05F3"/>
    <w:rsid w:val="001F0ACA"/>
    <w:rsid w:val="001F0DD7"/>
    <w:rsid w:val="001F13BF"/>
    <w:rsid w:val="001F1476"/>
    <w:rsid w:val="001F14B2"/>
    <w:rsid w:val="001F1BA1"/>
    <w:rsid w:val="001F1C76"/>
    <w:rsid w:val="001F1E88"/>
    <w:rsid w:val="001F1F85"/>
    <w:rsid w:val="001F21E3"/>
    <w:rsid w:val="001F2DC3"/>
    <w:rsid w:val="001F2E22"/>
    <w:rsid w:val="001F3601"/>
    <w:rsid w:val="001F388F"/>
    <w:rsid w:val="001F3A49"/>
    <w:rsid w:val="001F3B8B"/>
    <w:rsid w:val="001F3C80"/>
    <w:rsid w:val="001F3D3E"/>
    <w:rsid w:val="001F3DCF"/>
    <w:rsid w:val="001F3E42"/>
    <w:rsid w:val="001F3ED6"/>
    <w:rsid w:val="001F40FF"/>
    <w:rsid w:val="001F4128"/>
    <w:rsid w:val="001F4442"/>
    <w:rsid w:val="001F4B16"/>
    <w:rsid w:val="001F4CB0"/>
    <w:rsid w:val="001F4DC8"/>
    <w:rsid w:val="001F505D"/>
    <w:rsid w:val="001F56F4"/>
    <w:rsid w:val="001F59BE"/>
    <w:rsid w:val="001F5E91"/>
    <w:rsid w:val="001F5F5A"/>
    <w:rsid w:val="001F6124"/>
    <w:rsid w:val="001F6212"/>
    <w:rsid w:val="001F650F"/>
    <w:rsid w:val="001F668A"/>
    <w:rsid w:val="001F66E8"/>
    <w:rsid w:val="001F66F4"/>
    <w:rsid w:val="001F69FA"/>
    <w:rsid w:val="001F6EF8"/>
    <w:rsid w:val="001F7273"/>
    <w:rsid w:val="001F72A2"/>
    <w:rsid w:val="001F7366"/>
    <w:rsid w:val="001F7537"/>
    <w:rsid w:val="001F759B"/>
    <w:rsid w:val="001F791F"/>
    <w:rsid w:val="001F7ADD"/>
    <w:rsid w:val="001F7E3C"/>
    <w:rsid w:val="00200849"/>
    <w:rsid w:val="0020167F"/>
    <w:rsid w:val="002016C8"/>
    <w:rsid w:val="002016CE"/>
    <w:rsid w:val="00201903"/>
    <w:rsid w:val="00201AB5"/>
    <w:rsid w:val="00201AD3"/>
    <w:rsid w:val="00201C32"/>
    <w:rsid w:val="00201C72"/>
    <w:rsid w:val="00201E0C"/>
    <w:rsid w:val="0020230C"/>
    <w:rsid w:val="002024A2"/>
    <w:rsid w:val="0020273A"/>
    <w:rsid w:val="00202B09"/>
    <w:rsid w:val="00202D92"/>
    <w:rsid w:val="00202E7B"/>
    <w:rsid w:val="00202F1E"/>
    <w:rsid w:val="00202F91"/>
    <w:rsid w:val="00203178"/>
    <w:rsid w:val="002038CC"/>
    <w:rsid w:val="002039DB"/>
    <w:rsid w:val="00203C82"/>
    <w:rsid w:val="00203F96"/>
    <w:rsid w:val="00204282"/>
    <w:rsid w:val="00204312"/>
    <w:rsid w:val="00204671"/>
    <w:rsid w:val="002047BA"/>
    <w:rsid w:val="00204FB7"/>
    <w:rsid w:val="0020519C"/>
    <w:rsid w:val="00205393"/>
    <w:rsid w:val="002053DF"/>
    <w:rsid w:val="002056A5"/>
    <w:rsid w:val="00205757"/>
    <w:rsid w:val="0020583F"/>
    <w:rsid w:val="0020589B"/>
    <w:rsid w:val="002058FD"/>
    <w:rsid w:val="00205B32"/>
    <w:rsid w:val="00205D50"/>
    <w:rsid w:val="0020602B"/>
    <w:rsid w:val="0020609B"/>
    <w:rsid w:val="002060D2"/>
    <w:rsid w:val="00206223"/>
    <w:rsid w:val="00206E4C"/>
    <w:rsid w:val="0020764D"/>
    <w:rsid w:val="0020796E"/>
    <w:rsid w:val="00207A5B"/>
    <w:rsid w:val="00207C89"/>
    <w:rsid w:val="00207D64"/>
    <w:rsid w:val="0021000D"/>
    <w:rsid w:val="0021028F"/>
    <w:rsid w:val="00210373"/>
    <w:rsid w:val="00210520"/>
    <w:rsid w:val="00210852"/>
    <w:rsid w:val="00210951"/>
    <w:rsid w:val="00210D34"/>
    <w:rsid w:val="00210D9A"/>
    <w:rsid w:val="00210F63"/>
    <w:rsid w:val="0021143C"/>
    <w:rsid w:val="002114EF"/>
    <w:rsid w:val="002114FC"/>
    <w:rsid w:val="0021191E"/>
    <w:rsid w:val="00212190"/>
    <w:rsid w:val="00212375"/>
    <w:rsid w:val="0021298E"/>
    <w:rsid w:val="00212B1A"/>
    <w:rsid w:val="00212E9D"/>
    <w:rsid w:val="00212F8C"/>
    <w:rsid w:val="00212FCB"/>
    <w:rsid w:val="00212FFE"/>
    <w:rsid w:val="002134D1"/>
    <w:rsid w:val="00213731"/>
    <w:rsid w:val="00213870"/>
    <w:rsid w:val="0021389D"/>
    <w:rsid w:val="002139F9"/>
    <w:rsid w:val="00213C97"/>
    <w:rsid w:val="00213F9B"/>
    <w:rsid w:val="00213FAF"/>
    <w:rsid w:val="002142CA"/>
    <w:rsid w:val="0021487A"/>
    <w:rsid w:val="00214CF9"/>
    <w:rsid w:val="00214F4B"/>
    <w:rsid w:val="00215120"/>
    <w:rsid w:val="0021544F"/>
    <w:rsid w:val="002158E9"/>
    <w:rsid w:val="002160C2"/>
    <w:rsid w:val="002161E9"/>
    <w:rsid w:val="002162DB"/>
    <w:rsid w:val="00216544"/>
    <w:rsid w:val="002168D9"/>
    <w:rsid w:val="00216911"/>
    <w:rsid w:val="00216D4D"/>
    <w:rsid w:val="00216E4A"/>
    <w:rsid w:val="00216EDC"/>
    <w:rsid w:val="00217433"/>
    <w:rsid w:val="0021751F"/>
    <w:rsid w:val="00217617"/>
    <w:rsid w:val="002178FE"/>
    <w:rsid w:val="00217927"/>
    <w:rsid w:val="00217B0B"/>
    <w:rsid w:val="00217E7F"/>
    <w:rsid w:val="00217FF0"/>
    <w:rsid w:val="00217FFD"/>
    <w:rsid w:val="0022019C"/>
    <w:rsid w:val="0022059E"/>
    <w:rsid w:val="002205BD"/>
    <w:rsid w:val="00220A8F"/>
    <w:rsid w:val="00220C2D"/>
    <w:rsid w:val="00220CDF"/>
    <w:rsid w:val="00220CF6"/>
    <w:rsid w:val="00220ED9"/>
    <w:rsid w:val="00221280"/>
    <w:rsid w:val="0022169E"/>
    <w:rsid w:val="00221779"/>
    <w:rsid w:val="00221A8B"/>
    <w:rsid w:val="00221BF7"/>
    <w:rsid w:val="002221C3"/>
    <w:rsid w:val="0022222C"/>
    <w:rsid w:val="002223C8"/>
    <w:rsid w:val="002225AB"/>
    <w:rsid w:val="002225D6"/>
    <w:rsid w:val="002225DC"/>
    <w:rsid w:val="0022295B"/>
    <w:rsid w:val="00222D68"/>
    <w:rsid w:val="00222F79"/>
    <w:rsid w:val="00223310"/>
    <w:rsid w:val="002233ED"/>
    <w:rsid w:val="002236DB"/>
    <w:rsid w:val="00223769"/>
    <w:rsid w:val="00223B54"/>
    <w:rsid w:val="00223BAC"/>
    <w:rsid w:val="00223D48"/>
    <w:rsid w:val="00224100"/>
    <w:rsid w:val="002241AF"/>
    <w:rsid w:val="00224421"/>
    <w:rsid w:val="0022447A"/>
    <w:rsid w:val="00225431"/>
    <w:rsid w:val="00225472"/>
    <w:rsid w:val="00225765"/>
    <w:rsid w:val="0022583D"/>
    <w:rsid w:val="00225992"/>
    <w:rsid w:val="00225D32"/>
    <w:rsid w:val="00225D91"/>
    <w:rsid w:val="00225F75"/>
    <w:rsid w:val="00225FF0"/>
    <w:rsid w:val="0022602A"/>
    <w:rsid w:val="00226125"/>
    <w:rsid w:val="002262C8"/>
    <w:rsid w:val="002264CA"/>
    <w:rsid w:val="002267A2"/>
    <w:rsid w:val="00226821"/>
    <w:rsid w:val="00227091"/>
    <w:rsid w:val="00227367"/>
    <w:rsid w:val="002277C3"/>
    <w:rsid w:val="00227AA1"/>
    <w:rsid w:val="00227F7B"/>
    <w:rsid w:val="00227F8C"/>
    <w:rsid w:val="0023055C"/>
    <w:rsid w:val="002307E2"/>
    <w:rsid w:val="00230933"/>
    <w:rsid w:val="0023099F"/>
    <w:rsid w:val="00230B61"/>
    <w:rsid w:val="002310D3"/>
    <w:rsid w:val="002311D3"/>
    <w:rsid w:val="00231BCE"/>
    <w:rsid w:val="0023241B"/>
    <w:rsid w:val="00232571"/>
    <w:rsid w:val="00232C1D"/>
    <w:rsid w:val="00232EFB"/>
    <w:rsid w:val="002330AA"/>
    <w:rsid w:val="0023349A"/>
    <w:rsid w:val="002335F7"/>
    <w:rsid w:val="0023388D"/>
    <w:rsid w:val="00233A22"/>
    <w:rsid w:val="00233D65"/>
    <w:rsid w:val="00233FB9"/>
    <w:rsid w:val="0023409F"/>
    <w:rsid w:val="002343B6"/>
    <w:rsid w:val="002343EA"/>
    <w:rsid w:val="00234593"/>
    <w:rsid w:val="0023475B"/>
    <w:rsid w:val="00234879"/>
    <w:rsid w:val="00234B32"/>
    <w:rsid w:val="00234D8C"/>
    <w:rsid w:val="00235292"/>
    <w:rsid w:val="0023532F"/>
    <w:rsid w:val="00235779"/>
    <w:rsid w:val="002358FF"/>
    <w:rsid w:val="00235975"/>
    <w:rsid w:val="00235EF9"/>
    <w:rsid w:val="00236B9D"/>
    <w:rsid w:val="00236DE6"/>
    <w:rsid w:val="00236F1F"/>
    <w:rsid w:val="00237129"/>
    <w:rsid w:val="00237750"/>
    <w:rsid w:val="00237815"/>
    <w:rsid w:val="00237B4D"/>
    <w:rsid w:val="00237E01"/>
    <w:rsid w:val="00237F23"/>
    <w:rsid w:val="002401E7"/>
    <w:rsid w:val="00240D22"/>
    <w:rsid w:val="002415F6"/>
    <w:rsid w:val="00241AED"/>
    <w:rsid w:val="00241B04"/>
    <w:rsid w:val="00241BF8"/>
    <w:rsid w:val="0024218F"/>
    <w:rsid w:val="00242CE2"/>
    <w:rsid w:val="00242D9B"/>
    <w:rsid w:val="00242F2D"/>
    <w:rsid w:val="002430B2"/>
    <w:rsid w:val="002436A4"/>
    <w:rsid w:val="00243948"/>
    <w:rsid w:val="00243E6F"/>
    <w:rsid w:val="002446DB"/>
    <w:rsid w:val="002447A0"/>
    <w:rsid w:val="00244C43"/>
    <w:rsid w:val="00244F24"/>
    <w:rsid w:val="00244FC0"/>
    <w:rsid w:val="00245121"/>
    <w:rsid w:val="002451E0"/>
    <w:rsid w:val="002452C0"/>
    <w:rsid w:val="0024543D"/>
    <w:rsid w:val="0024574A"/>
    <w:rsid w:val="00245989"/>
    <w:rsid w:val="00245D3E"/>
    <w:rsid w:val="00245DFB"/>
    <w:rsid w:val="00245F78"/>
    <w:rsid w:val="002460CA"/>
    <w:rsid w:val="002461B1"/>
    <w:rsid w:val="00246B59"/>
    <w:rsid w:val="002470BE"/>
    <w:rsid w:val="002470FB"/>
    <w:rsid w:val="0024763E"/>
    <w:rsid w:val="00247702"/>
    <w:rsid w:val="002479D8"/>
    <w:rsid w:val="00250446"/>
    <w:rsid w:val="00250721"/>
    <w:rsid w:val="0025078A"/>
    <w:rsid w:val="002508FA"/>
    <w:rsid w:val="00250A9C"/>
    <w:rsid w:val="00250AA7"/>
    <w:rsid w:val="00250D87"/>
    <w:rsid w:val="00250EB9"/>
    <w:rsid w:val="00250F2D"/>
    <w:rsid w:val="00250F40"/>
    <w:rsid w:val="00251441"/>
    <w:rsid w:val="002515E8"/>
    <w:rsid w:val="00251E16"/>
    <w:rsid w:val="00251E41"/>
    <w:rsid w:val="00252017"/>
    <w:rsid w:val="00252112"/>
    <w:rsid w:val="00252914"/>
    <w:rsid w:val="00252FB2"/>
    <w:rsid w:val="00253321"/>
    <w:rsid w:val="00253DED"/>
    <w:rsid w:val="00253F9E"/>
    <w:rsid w:val="00254205"/>
    <w:rsid w:val="0025440B"/>
    <w:rsid w:val="00254697"/>
    <w:rsid w:val="002548A3"/>
    <w:rsid w:val="002548C3"/>
    <w:rsid w:val="00254B54"/>
    <w:rsid w:val="00255006"/>
    <w:rsid w:val="002553BE"/>
    <w:rsid w:val="00255512"/>
    <w:rsid w:val="00255A88"/>
    <w:rsid w:val="00255C40"/>
    <w:rsid w:val="0025614F"/>
    <w:rsid w:val="00256487"/>
    <w:rsid w:val="00256738"/>
    <w:rsid w:val="002567A6"/>
    <w:rsid w:val="00256965"/>
    <w:rsid w:val="00256B7A"/>
    <w:rsid w:val="00256CB8"/>
    <w:rsid w:val="00256CCC"/>
    <w:rsid w:val="00256DE5"/>
    <w:rsid w:val="00256F68"/>
    <w:rsid w:val="0025713A"/>
    <w:rsid w:val="002571DC"/>
    <w:rsid w:val="002572CD"/>
    <w:rsid w:val="0025736B"/>
    <w:rsid w:val="002603C4"/>
    <w:rsid w:val="00260AD3"/>
    <w:rsid w:val="00260ADE"/>
    <w:rsid w:val="00260B47"/>
    <w:rsid w:val="00260CAE"/>
    <w:rsid w:val="00260D95"/>
    <w:rsid w:val="0026165B"/>
    <w:rsid w:val="00261B23"/>
    <w:rsid w:val="00262088"/>
    <w:rsid w:val="0026240A"/>
    <w:rsid w:val="00262498"/>
    <w:rsid w:val="00262897"/>
    <w:rsid w:val="00262C00"/>
    <w:rsid w:val="002633F3"/>
    <w:rsid w:val="002635CC"/>
    <w:rsid w:val="002635EC"/>
    <w:rsid w:val="00263987"/>
    <w:rsid w:val="0026421C"/>
    <w:rsid w:val="0026457A"/>
    <w:rsid w:val="002646AF"/>
    <w:rsid w:val="002647E2"/>
    <w:rsid w:val="002649AF"/>
    <w:rsid w:val="00264AC7"/>
    <w:rsid w:val="00264E82"/>
    <w:rsid w:val="00264FA2"/>
    <w:rsid w:val="002652A3"/>
    <w:rsid w:val="0026591B"/>
    <w:rsid w:val="00265D15"/>
    <w:rsid w:val="00265DE4"/>
    <w:rsid w:val="00265FC4"/>
    <w:rsid w:val="002661B3"/>
    <w:rsid w:val="00266339"/>
    <w:rsid w:val="00266412"/>
    <w:rsid w:val="00266A2D"/>
    <w:rsid w:val="00267020"/>
    <w:rsid w:val="00267B6B"/>
    <w:rsid w:val="002701E0"/>
    <w:rsid w:val="00270441"/>
    <w:rsid w:val="0027045D"/>
    <w:rsid w:val="00270541"/>
    <w:rsid w:val="00270993"/>
    <w:rsid w:val="00270A2D"/>
    <w:rsid w:val="00270A91"/>
    <w:rsid w:val="00271405"/>
    <w:rsid w:val="0027156C"/>
    <w:rsid w:val="00271659"/>
    <w:rsid w:val="002717D2"/>
    <w:rsid w:val="00271C44"/>
    <w:rsid w:val="00271C6D"/>
    <w:rsid w:val="00272016"/>
    <w:rsid w:val="0027207A"/>
    <w:rsid w:val="002727D9"/>
    <w:rsid w:val="002727E1"/>
    <w:rsid w:val="002729CB"/>
    <w:rsid w:val="00272A6F"/>
    <w:rsid w:val="00272C87"/>
    <w:rsid w:val="00272DF3"/>
    <w:rsid w:val="002734A3"/>
    <w:rsid w:val="002734F1"/>
    <w:rsid w:val="00273558"/>
    <w:rsid w:val="00273680"/>
    <w:rsid w:val="002736FC"/>
    <w:rsid w:val="002737B7"/>
    <w:rsid w:val="002739AC"/>
    <w:rsid w:val="00273E90"/>
    <w:rsid w:val="00273E92"/>
    <w:rsid w:val="0027402A"/>
    <w:rsid w:val="00274516"/>
    <w:rsid w:val="002747A9"/>
    <w:rsid w:val="00274893"/>
    <w:rsid w:val="0027490F"/>
    <w:rsid w:val="00274D52"/>
    <w:rsid w:val="00274D8C"/>
    <w:rsid w:val="00274E9E"/>
    <w:rsid w:val="00274ECA"/>
    <w:rsid w:val="0027549F"/>
    <w:rsid w:val="00275919"/>
    <w:rsid w:val="00275980"/>
    <w:rsid w:val="00275A2B"/>
    <w:rsid w:val="00275AF3"/>
    <w:rsid w:val="00275CD7"/>
    <w:rsid w:val="00275F11"/>
    <w:rsid w:val="002763C2"/>
    <w:rsid w:val="00276719"/>
    <w:rsid w:val="002767B9"/>
    <w:rsid w:val="00276F49"/>
    <w:rsid w:val="00277144"/>
    <w:rsid w:val="002772B6"/>
    <w:rsid w:val="00277415"/>
    <w:rsid w:val="0027750C"/>
    <w:rsid w:val="00277524"/>
    <w:rsid w:val="0027773B"/>
    <w:rsid w:val="00277BEE"/>
    <w:rsid w:val="00277C35"/>
    <w:rsid w:val="002800BB"/>
    <w:rsid w:val="00280137"/>
    <w:rsid w:val="002804CB"/>
    <w:rsid w:val="00280607"/>
    <w:rsid w:val="00280C85"/>
    <w:rsid w:val="0028105B"/>
    <w:rsid w:val="00281161"/>
    <w:rsid w:val="00281425"/>
    <w:rsid w:val="002816A1"/>
    <w:rsid w:val="002817A1"/>
    <w:rsid w:val="002819A6"/>
    <w:rsid w:val="002819F1"/>
    <w:rsid w:val="00281E1D"/>
    <w:rsid w:val="00281ED0"/>
    <w:rsid w:val="00282870"/>
    <w:rsid w:val="00282B3B"/>
    <w:rsid w:val="00282BE3"/>
    <w:rsid w:val="002832A2"/>
    <w:rsid w:val="00283B4E"/>
    <w:rsid w:val="00283C82"/>
    <w:rsid w:val="00283D76"/>
    <w:rsid w:val="002842A1"/>
    <w:rsid w:val="00284391"/>
    <w:rsid w:val="0028472B"/>
    <w:rsid w:val="00284962"/>
    <w:rsid w:val="00284DE4"/>
    <w:rsid w:val="00284E3D"/>
    <w:rsid w:val="00284F7D"/>
    <w:rsid w:val="0028536B"/>
    <w:rsid w:val="00285372"/>
    <w:rsid w:val="0028550D"/>
    <w:rsid w:val="0028569C"/>
    <w:rsid w:val="002859DC"/>
    <w:rsid w:val="00285E59"/>
    <w:rsid w:val="00285FCA"/>
    <w:rsid w:val="00285FD0"/>
    <w:rsid w:val="002860AC"/>
    <w:rsid w:val="002861E7"/>
    <w:rsid w:val="002864C3"/>
    <w:rsid w:val="002869FB"/>
    <w:rsid w:val="00286C52"/>
    <w:rsid w:val="00286CEB"/>
    <w:rsid w:val="00286DE4"/>
    <w:rsid w:val="00286E3A"/>
    <w:rsid w:val="002871AA"/>
    <w:rsid w:val="002874C3"/>
    <w:rsid w:val="00287955"/>
    <w:rsid w:val="00287A35"/>
    <w:rsid w:val="00290177"/>
    <w:rsid w:val="00290693"/>
    <w:rsid w:val="002908DA"/>
    <w:rsid w:val="00290BF0"/>
    <w:rsid w:val="00290C68"/>
    <w:rsid w:val="00290CD9"/>
    <w:rsid w:val="00290EBE"/>
    <w:rsid w:val="00290F22"/>
    <w:rsid w:val="00291101"/>
    <w:rsid w:val="0029150E"/>
    <w:rsid w:val="00291547"/>
    <w:rsid w:val="002917CD"/>
    <w:rsid w:val="00291D0A"/>
    <w:rsid w:val="00291E0A"/>
    <w:rsid w:val="00291FCD"/>
    <w:rsid w:val="002922BB"/>
    <w:rsid w:val="002925F0"/>
    <w:rsid w:val="00292CDE"/>
    <w:rsid w:val="00292D40"/>
    <w:rsid w:val="00292DF1"/>
    <w:rsid w:val="00293017"/>
    <w:rsid w:val="00293658"/>
    <w:rsid w:val="002938B5"/>
    <w:rsid w:val="00293DA0"/>
    <w:rsid w:val="00293EC3"/>
    <w:rsid w:val="002940CB"/>
    <w:rsid w:val="00294111"/>
    <w:rsid w:val="00294724"/>
    <w:rsid w:val="002949F8"/>
    <w:rsid w:val="00295277"/>
    <w:rsid w:val="0029549E"/>
    <w:rsid w:val="00295547"/>
    <w:rsid w:val="002955A9"/>
    <w:rsid w:val="00295B82"/>
    <w:rsid w:val="002961AA"/>
    <w:rsid w:val="0029656F"/>
    <w:rsid w:val="002968C8"/>
    <w:rsid w:val="00296C36"/>
    <w:rsid w:val="00297124"/>
    <w:rsid w:val="0029727F"/>
    <w:rsid w:val="00297280"/>
    <w:rsid w:val="002973D7"/>
    <w:rsid w:val="00297A69"/>
    <w:rsid w:val="002A0186"/>
    <w:rsid w:val="002A02F1"/>
    <w:rsid w:val="002A07C5"/>
    <w:rsid w:val="002A0E1A"/>
    <w:rsid w:val="002A0F43"/>
    <w:rsid w:val="002A1385"/>
    <w:rsid w:val="002A172B"/>
    <w:rsid w:val="002A1DA9"/>
    <w:rsid w:val="002A22C7"/>
    <w:rsid w:val="002A2370"/>
    <w:rsid w:val="002A284B"/>
    <w:rsid w:val="002A2E45"/>
    <w:rsid w:val="002A30F3"/>
    <w:rsid w:val="002A3157"/>
    <w:rsid w:val="002A3556"/>
    <w:rsid w:val="002A362F"/>
    <w:rsid w:val="002A3807"/>
    <w:rsid w:val="002A3844"/>
    <w:rsid w:val="002A3C4B"/>
    <w:rsid w:val="002A3E4E"/>
    <w:rsid w:val="002A3F56"/>
    <w:rsid w:val="002A437D"/>
    <w:rsid w:val="002A4530"/>
    <w:rsid w:val="002A45D2"/>
    <w:rsid w:val="002A47EE"/>
    <w:rsid w:val="002A49AE"/>
    <w:rsid w:val="002A4C62"/>
    <w:rsid w:val="002A4EDD"/>
    <w:rsid w:val="002A4FC5"/>
    <w:rsid w:val="002A5079"/>
    <w:rsid w:val="002A540E"/>
    <w:rsid w:val="002A568A"/>
    <w:rsid w:val="002A578A"/>
    <w:rsid w:val="002A5942"/>
    <w:rsid w:val="002A5B44"/>
    <w:rsid w:val="002A5E27"/>
    <w:rsid w:val="002A63C4"/>
    <w:rsid w:val="002A6698"/>
    <w:rsid w:val="002A6A3E"/>
    <w:rsid w:val="002A6B8B"/>
    <w:rsid w:val="002A7180"/>
    <w:rsid w:val="002A72E9"/>
    <w:rsid w:val="002A75B8"/>
    <w:rsid w:val="002A783B"/>
    <w:rsid w:val="002A7AC4"/>
    <w:rsid w:val="002A7E63"/>
    <w:rsid w:val="002A7EF6"/>
    <w:rsid w:val="002B03FC"/>
    <w:rsid w:val="002B0441"/>
    <w:rsid w:val="002B0477"/>
    <w:rsid w:val="002B06A8"/>
    <w:rsid w:val="002B09F2"/>
    <w:rsid w:val="002B0B98"/>
    <w:rsid w:val="002B0BE0"/>
    <w:rsid w:val="002B0CCE"/>
    <w:rsid w:val="002B0E59"/>
    <w:rsid w:val="002B0F52"/>
    <w:rsid w:val="002B102C"/>
    <w:rsid w:val="002B1038"/>
    <w:rsid w:val="002B11E1"/>
    <w:rsid w:val="002B1316"/>
    <w:rsid w:val="002B153C"/>
    <w:rsid w:val="002B174C"/>
    <w:rsid w:val="002B17CA"/>
    <w:rsid w:val="002B1B6B"/>
    <w:rsid w:val="002B1C34"/>
    <w:rsid w:val="002B1E50"/>
    <w:rsid w:val="002B2005"/>
    <w:rsid w:val="002B206B"/>
    <w:rsid w:val="002B20A7"/>
    <w:rsid w:val="002B2490"/>
    <w:rsid w:val="002B2D93"/>
    <w:rsid w:val="002B2ED7"/>
    <w:rsid w:val="002B2F5C"/>
    <w:rsid w:val="002B301D"/>
    <w:rsid w:val="002B3129"/>
    <w:rsid w:val="002B33E2"/>
    <w:rsid w:val="002B387F"/>
    <w:rsid w:val="002B39A6"/>
    <w:rsid w:val="002B3A6A"/>
    <w:rsid w:val="002B3B03"/>
    <w:rsid w:val="002B3E10"/>
    <w:rsid w:val="002B4025"/>
    <w:rsid w:val="002B450B"/>
    <w:rsid w:val="002B4964"/>
    <w:rsid w:val="002B4D21"/>
    <w:rsid w:val="002B4E54"/>
    <w:rsid w:val="002B4E85"/>
    <w:rsid w:val="002B4F76"/>
    <w:rsid w:val="002B5146"/>
    <w:rsid w:val="002B5154"/>
    <w:rsid w:val="002B523B"/>
    <w:rsid w:val="002B53A9"/>
    <w:rsid w:val="002B55B8"/>
    <w:rsid w:val="002B5960"/>
    <w:rsid w:val="002B5D5B"/>
    <w:rsid w:val="002B6026"/>
    <w:rsid w:val="002B618C"/>
    <w:rsid w:val="002B6362"/>
    <w:rsid w:val="002B6B86"/>
    <w:rsid w:val="002B6CEF"/>
    <w:rsid w:val="002B6F3F"/>
    <w:rsid w:val="002B6FD4"/>
    <w:rsid w:val="002B72B8"/>
    <w:rsid w:val="002B736A"/>
    <w:rsid w:val="002B78FB"/>
    <w:rsid w:val="002B7996"/>
    <w:rsid w:val="002C03EA"/>
    <w:rsid w:val="002C0B28"/>
    <w:rsid w:val="002C1041"/>
    <w:rsid w:val="002C16A3"/>
    <w:rsid w:val="002C1753"/>
    <w:rsid w:val="002C1AEF"/>
    <w:rsid w:val="002C1C27"/>
    <w:rsid w:val="002C1C8C"/>
    <w:rsid w:val="002C1E9F"/>
    <w:rsid w:val="002C2056"/>
    <w:rsid w:val="002C221E"/>
    <w:rsid w:val="002C22ED"/>
    <w:rsid w:val="002C248E"/>
    <w:rsid w:val="002C2833"/>
    <w:rsid w:val="002C2849"/>
    <w:rsid w:val="002C2BC8"/>
    <w:rsid w:val="002C2E6E"/>
    <w:rsid w:val="002C2E8B"/>
    <w:rsid w:val="002C2EC1"/>
    <w:rsid w:val="002C2EDE"/>
    <w:rsid w:val="002C30FD"/>
    <w:rsid w:val="002C328A"/>
    <w:rsid w:val="002C356D"/>
    <w:rsid w:val="002C3936"/>
    <w:rsid w:val="002C426E"/>
    <w:rsid w:val="002C4314"/>
    <w:rsid w:val="002C439F"/>
    <w:rsid w:val="002C4692"/>
    <w:rsid w:val="002C533F"/>
    <w:rsid w:val="002C5594"/>
    <w:rsid w:val="002C56E9"/>
    <w:rsid w:val="002C5E28"/>
    <w:rsid w:val="002C5F2D"/>
    <w:rsid w:val="002C62D9"/>
    <w:rsid w:val="002C65CB"/>
    <w:rsid w:val="002C6826"/>
    <w:rsid w:val="002C685C"/>
    <w:rsid w:val="002C68A8"/>
    <w:rsid w:val="002C6915"/>
    <w:rsid w:val="002C7860"/>
    <w:rsid w:val="002C7AA4"/>
    <w:rsid w:val="002C7BE9"/>
    <w:rsid w:val="002C7F38"/>
    <w:rsid w:val="002D06C0"/>
    <w:rsid w:val="002D0761"/>
    <w:rsid w:val="002D0D95"/>
    <w:rsid w:val="002D13B8"/>
    <w:rsid w:val="002D150E"/>
    <w:rsid w:val="002D172B"/>
    <w:rsid w:val="002D179D"/>
    <w:rsid w:val="002D18E3"/>
    <w:rsid w:val="002D1A4A"/>
    <w:rsid w:val="002D1F70"/>
    <w:rsid w:val="002D21D6"/>
    <w:rsid w:val="002D22A6"/>
    <w:rsid w:val="002D22F6"/>
    <w:rsid w:val="002D24FC"/>
    <w:rsid w:val="002D2A2A"/>
    <w:rsid w:val="002D2AB1"/>
    <w:rsid w:val="002D2AFF"/>
    <w:rsid w:val="002D2F92"/>
    <w:rsid w:val="002D2FD2"/>
    <w:rsid w:val="002D3576"/>
    <w:rsid w:val="002D3910"/>
    <w:rsid w:val="002D3D93"/>
    <w:rsid w:val="002D3E76"/>
    <w:rsid w:val="002D3FB4"/>
    <w:rsid w:val="002D4687"/>
    <w:rsid w:val="002D4809"/>
    <w:rsid w:val="002D4A7F"/>
    <w:rsid w:val="002D4B8F"/>
    <w:rsid w:val="002D4DD4"/>
    <w:rsid w:val="002D4E52"/>
    <w:rsid w:val="002D509A"/>
    <w:rsid w:val="002D50B8"/>
    <w:rsid w:val="002D5703"/>
    <w:rsid w:val="002D5865"/>
    <w:rsid w:val="002D6109"/>
    <w:rsid w:val="002D631B"/>
    <w:rsid w:val="002D6353"/>
    <w:rsid w:val="002D715E"/>
    <w:rsid w:val="002D739C"/>
    <w:rsid w:val="002D7404"/>
    <w:rsid w:val="002D77C0"/>
    <w:rsid w:val="002D7B90"/>
    <w:rsid w:val="002E047D"/>
    <w:rsid w:val="002E0BA2"/>
    <w:rsid w:val="002E0EC9"/>
    <w:rsid w:val="002E0FBC"/>
    <w:rsid w:val="002E107A"/>
    <w:rsid w:val="002E10CC"/>
    <w:rsid w:val="002E155D"/>
    <w:rsid w:val="002E16F7"/>
    <w:rsid w:val="002E1802"/>
    <w:rsid w:val="002E1EDC"/>
    <w:rsid w:val="002E1F20"/>
    <w:rsid w:val="002E206A"/>
    <w:rsid w:val="002E22BA"/>
    <w:rsid w:val="002E2709"/>
    <w:rsid w:val="002E296A"/>
    <w:rsid w:val="002E2A80"/>
    <w:rsid w:val="002E2E87"/>
    <w:rsid w:val="002E310C"/>
    <w:rsid w:val="002E3B16"/>
    <w:rsid w:val="002E3FA0"/>
    <w:rsid w:val="002E42A4"/>
    <w:rsid w:val="002E45BF"/>
    <w:rsid w:val="002E4679"/>
    <w:rsid w:val="002E522B"/>
    <w:rsid w:val="002E5776"/>
    <w:rsid w:val="002E59FA"/>
    <w:rsid w:val="002E5A8D"/>
    <w:rsid w:val="002E5AB0"/>
    <w:rsid w:val="002E5F34"/>
    <w:rsid w:val="002E60CA"/>
    <w:rsid w:val="002E60D4"/>
    <w:rsid w:val="002E6145"/>
    <w:rsid w:val="002E6632"/>
    <w:rsid w:val="002E666F"/>
    <w:rsid w:val="002E66D9"/>
    <w:rsid w:val="002E69AF"/>
    <w:rsid w:val="002E69F1"/>
    <w:rsid w:val="002E6D17"/>
    <w:rsid w:val="002E72A1"/>
    <w:rsid w:val="002E74F6"/>
    <w:rsid w:val="002E7723"/>
    <w:rsid w:val="002E7822"/>
    <w:rsid w:val="002E7CBB"/>
    <w:rsid w:val="002F001F"/>
    <w:rsid w:val="002F00FA"/>
    <w:rsid w:val="002F08CF"/>
    <w:rsid w:val="002F0C65"/>
    <w:rsid w:val="002F0D8A"/>
    <w:rsid w:val="002F0E0F"/>
    <w:rsid w:val="002F121C"/>
    <w:rsid w:val="002F12D0"/>
    <w:rsid w:val="002F14FB"/>
    <w:rsid w:val="002F16A5"/>
    <w:rsid w:val="002F1A51"/>
    <w:rsid w:val="002F1B1B"/>
    <w:rsid w:val="002F1CB9"/>
    <w:rsid w:val="002F1D0C"/>
    <w:rsid w:val="002F21C4"/>
    <w:rsid w:val="002F21CB"/>
    <w:rsid w:val="002F2214"/>
    <w:rsid w:val="002F2261"/>
    <w:rsid w:val="002F2531"/>
    <w:rsid w:val="002F3287"/>
    <w:rsid w:val="002F34AE"/>
    <w:rsid w:val="002F34B5"/>
    <w:rsid w:val="002F39D9"/>
    <w:rsid w:val="002F3B29"/>
    <w:rsid w:val="002F3BCF"/>
    <w:rsid w:val="002F4A65"/>
    <w:rsid w:val="002F4A7B"/>
    <w:rsid w:val="002F4E1A"/>
    <w:rsid w:val="002F51EC"/>
    <w:rsid w:val="002F57AD"/>
    <w:rsid w:val="002F57EB"/>
    <w:rsid w:val="002F57EE"/>
    <w:rsid w:val="002F582F"/>
    <w:rsid w:val="002F5F6B"/>
    <w:rsid w:val="002F60E7"/>
    <w:rsid w:val="002F64A7"/>
    <w:rsid w:val="002F6533"/>
    <w:rsid w:val="002F6550"/>
    <w:rsid w:val="002F6E91"/>
    <w:rsid w:val="002F77A2"/>
    <w:rsid w:val="002F77D0"/>
    <w:rsid w:val="0030021B"/>
    <w:rsid w:val="003002FA"/>
    <w:rsid w:val="0030056F"/>
    <w:rsid w:val="00300670"/>
    <w:rsid w:val="0030093B"/>
    <w:rsid w:val="00300A9D"/>
    <w:rsid w:val="00300BC8"/>
    <w:rsid w:val="00300C2E"/>
    <w:rsid w:val="00300DE1"/>
    <w:rsid w:val="003010E7"/>
    <w:rsid w:val="00301171"/>
    <w:rsid w:val="00301260"/>
    <w:rsid w:val="003012A2"/>
    <w:rsid w:val="00301AE9"/>
    <w:rsid w:val="00301CED"/>
    <w:rsid w:val="00301EF6"/>
    <w:rsid w:val="00301F11"/>
    <w:rsid w:val="0030213A"/>
    <w:rsid w:val="003022FB"/>
    <w:rsid w:val="00302828"/>
    <w:rsid w:val="0030282F"/>
    <w:rsid w:val="003028DE"/>
    <w:rsid w:val="00302E0B"/>
    <w:rsid w:val="00302EC8"/>
    <w:rsid w:val="0030332F"/>
    <w:rsid w:val="00303354"/>
    <w:rsid w:val="0030344E"/>
    <w:rsid w:val="00303531"/>
    <w:rsid w:val="00303B40"/>
    <w:rsid w:val="00303B8C"/>
    <w:rsid w:val="00303EB6"/>
    <w:rsid w:val="00303FB7"/>
    <w:rsid w:val="00304131"/>
    <w:rsid w:val="00304171"/>
    <w:rsid w:val="00304405"/>
    <w:rsid w:val="003044FB"/>
    <w:rsid w:val="003046E8"/>
    <w:rsid w:val="003049F1"/>
    <w:rsid w:val="00305368"/>
    <w:rsid w:val="00305458"/>
    <w:rsid w:val="003054D5"/>
    <w:rsid w:val="003054E2"/>
    <w:rsid w:val="003056DF"/>
    <w:rsid w:val="00305FAF"/>
    <w:rsid w:val="0030630D"/>
    <w:rsid w:val="00306D11"/>
    <w:rsid w:val="00306D1C"/>
    <w:rsid w:val="003071B0"/>
    <w:rsid w:val="003072E0"/>
    <w:rsid w:val="003077B5"/>
    <w:rsid w:val="003077D2"/>
    <w:rsid w:val="00307A77"/>
    <w:rsid w:val="0031035E"/>
    <w:rsid w:val="00310834"/>
    <w:rsid w:val="00310C62"/>
    <w:rsid w:val="00310DAA"/>
    <w:rsid w:val="00311023"/>
    <w:rsid w:val="00311202"/>
    <w:rsid w:val="003116CB"/>
    <w:rsid w:val="00311812"/>
    <w:rsid w:val="00311A22"/>
    <w:rsid w:val="00311FA7"/>
    <w:rsid w:val="00311FEF"/>
    <w:rsid w:val="00312226"/>
    <w:rsid w:val="003123BB"/>
    <w:rsid w:val="003124A2"/>
    <w:rsid w:val="00312738"/>
    <w:rsid w:val="00312A3E"/>
    <w:rsid w:val="00312AA5"/>
    <w:rsid w:val="00312E20"/>
    <w:rsid w:val="003132C6"/>
    <w:rsid w:val="003132D2"/>
    <w:rsid w:val="003132E2"/>
    <w:rsid w:val="00313397"/>
    <w:rsid w:val="00313424"/>
    <w:rsid w:val="003134E8"/>
    <w:rsid w:val="00313643"/>
    <w:rsid w:val="00313645"/>
    <w:rsid w:val="003136FA"/>
    <w:rsid w:val="00313797"/>
    <w:rsid w:val="00313AA7"/>
    <w:rsid w:val="00313ADD"/>
    <w:rsid w:val="00313BD5"/>
    <w:rsid w:val="00313CEC"/>
    <w:rsid w:val="00313D67"/>
    <w:rsid w:val="00313F55"/>
    <w:rsid w:val="0031443E"/>
    <w:rsid w:val="00314727"/>
    <w:rsid w:val="0031483F"/>
    <w:rsid w:val="0031489F"/>
    <w:rsid w:val="003149CD"/>
    <w:rsid w:val="00314C03"/>
    <w:rsid w:val="00314CD9"/>
    <w:rsid w:val="00314D9E"/>
    <w:rsid w:val="00315330"/>
    <w:rsid w:val="003156A7"/>
    <w:rsid w:val="003159A5"/>
    <w:rsid w:val="00315A6E"/>
    <w:rsid w:val="00315B7C"/>
    <w:rsid w:val="00315C1D"/>
    <w:rsid w:val="00315E10"/>
    <w:rsid w:val="00316354"/>
    <w:rsid w:val="003163B9"/>
    <w:rsid w:val="00316614"/>
    <w:rsid w:val="00316685"/>
    <w:rsid w:val="00316727"/>
    <w:rsid w:val="00316AF0"/>
    <w:rsid w:val="00316ECF"/>
    <w:rsid w:val="00317534"/>
    <w:rsid w:val="0031776D"/>
    <w:rsid w:val="00317C85"/>
    <w:rsid w:val="00317E06"/>
    <w:rsid w:val="00317FCF"/>
    <w:rsid w:val="00320218"/>
    <w:rsid w:val="003207F2"/>
    <w:rsid w:val="00320A6E"/>
    <w:rsid w:val="00320C18"/>
    <w:rsid w:val="0032120E"/>
    <w:rsid w:val="0032140C"/>
    <w:rsid w:val="00321459"/>
    <w:rsid w:val="00321B7F"/>
    <w:rsid w:val="00321C62"/>
    <w:rsid w:val="00321C85"/>
    <w:rsid w:val="00321D82"/>
    <w:rsid w:val="00322058"/>
    <w:rsid w:val="00322073"/>
    <w:rsid w:val="0032235E"/>
    <w:rsid w:val="003223DD"/>
    <w:rsid w:val="0032295D"/>
    <w:rsid w:val="00322B5D"/>
    <w:rsid w:val="00322BF7"/>
    <w:rsid w:val="003231D2"/>
    <w:rsid w:val="00323204"/>
    <w:rsid w:val="0032336C"/>
    <w:rsid w:val="00323428"/>
    <w:rsid w:val="00323524"/>
    <w:rsid w:val="003238FE"/>
    <w:rsid w:val="00323BF1"/>
    <w:rsid w:val="00323C81"/>
    <w:rsid w:val="00323E95"/>
    <w:rsid w:val="00324364"/>
    <w:rsid w:val="00324B54"/>
    <w:rsid w:val="00324EDB"/>
    <w:rsid w:val="00325017"/>
    <w:rsid w:val="0032547C"/>
    <w:rsid w:val="003255F1"/>
    <w:rsid w:val="003257C1"/>
    <w:rsid w:val="00325B47"/>
    <w:rsid w:val="00325BE4"/>
    <w:rsid w:val="00325E32"/>
    <w:rsid w:val="00325EA6"/>
    <w:rsid w:val="00325FAD"/>
    <w:rsid w:val="00325FC5"/>
    <w:rsid w:val="00326204"/>
    <w:rsid w:val="0032626E"/>
    <w:rsid w:val="00326411"/>
    <w:rsid w:val="00326605"/>
    <w:rsid w:val="00326829"/>
    <w:rsid w:val="0032682C"/>
    <w:rsid w:val="00326A44"/>
    <w:rsid w:val="00326BB7"/>
    <w:rsid w:val="00326C82"/>
    <w:rsid w:val="00326DFE"/>
    <w:rsid w:val="00327C77"/>
    <w:rsid w:val="00327F19"/>
    <w:rsid w:val="00327FFE"/>
    <w:rsid w:val="00330384"/>
    <w:rsid w:val="003303AA"/>
    <w:rsid w:val="003306A0"/>
    <w:rsid w:val="0033081C"/>
    <w:rsid w:val="00330843"/>
    <w:rsid w:val="00330A94"/>
    <w:rsid w:val="00330C24"/>
    <w:rsid w:val="00330D09"/>
    <w:rsid w:val="00330D29"/>
    <w:rsid w:val="003314C7"/>
    <w:rsid w:val="003317A6"/>
    <w:rsid w:val="003318C8"/>
    <w:rsid w:val="0033193E"/>
    <w:rsid w:val="00331E99"/>
    <w:rsid w:val="00331F9A"/>
    <w:rsid w:val="0033242E"/>
    <w:rsid w:val="0033246C"/>
    <w:rsid w:val="0033259F"/>
    <w:rsid w:val="003326A1"/>
    <w:rsid w:val="00332740"/>
    <w:rsid w:val="00332918"/>
    <w:rsid w:val="00332A4C"/>
    <w:rsid w:val="00332F65"/>
    <w:rsid w:val="0033314A"/>
    <w:rsid w:val="003331C5"/>
    <w:rsid w:val="00333213"/>
    <w:rsid w:val="00333219"/>
    <w:rsid w:val="00333434"/>
    <w:rsid w:val="00333491"/>
    <w:rsid w:val="0033357B"/>
    <w:rsid w:val="00333F25"/>
    <w:rsid w:val="003340BE"/>
    <w:rsid w:val="00334691"/>
    <w:rsid w:val="00334B7F"/>
    <w:rsid w:val="00334CA7"/>
    <w:rsid w:val="00334E7E"/>
    <w:rsid w:val="0033506B"/>
    <w:rsid w:val="00335077"/>
    <w:rsid w:val="0033554B"/>
    <w:rsid w:val="00335614"/>
    <w:rsid w:val="003356DF"/>
    <w:rsid w:val="0033577E"/>
    <w:rsid w:val="00335BB1"/>
    <w:rsid w:val="00336107"/>
    <w:rsid w:val="003362C0"/>
    <w:rsid w:val="0033694D"/>
    <w:rsid w:val="00336AB4"/>
    <w:rsid w:val="00336B3F"/>
    <w:rsid w:val="00336BDA"/>
    <w:rsid w:val="00336EE3"/>
    <w:rsid w:val="003372CB"/>
    <w:rsid w:val="0033777D"/>
    <w:rsid w:val="003377F0"/>
    <w:rsid w:val="00337A21"/>
    <w:rsid w:val="00337AB5"/>
    <w:rsid w:val="003400E2"/>
    <w:rsid w:val="003400F7"/>
    <w:rsid w:val="0034043A"/>
    <w:rsid w:val="00340BA8"/>
    <w:rsid w:val="00340E28"/>
    <w:rsid w:val="00341016"/>
    <w:rsid w:val="0034128E"/>
    <w:rsid w:val="00341694"/>
    <w:rsid w:val="003416DE"/>
    <w:rsid w:val="00341932"/>
    <w:rsid w:val="00341B43"/>
    <w:rsid w:val="00341FAA"/>
    <w:rsid w:val="00342343"/>
    <w:rsid w:val="00342650"/>
    <w:rsid w:val="0034280D"/>
    <w:rsid w:val="0034300B"/>
    <w:rsid w:val="003436F9"/>
    <w:rsid w:val="003437C8"/>
    <w:rsid w:val="00343B5F"/>
    <w:rsid w:val="00343BB3"/>
    <w:rsid w:val="00343C35"/>
    <w:rsid w:val="00343E38"/>
    <w:rsid w:val="00344276"/>
    <w:rsid w:val="003442FD"/>
    <w:rsid w:val="00344B0D"/>
    <w:rsid w:val="00344DCD"/>
    <w:rsid w:val="00345482"/>
    <w:rsid w:val="003455FE"/>
    <w:rsid w:val="00345714"/>
    <w:rsid w:val="003457DB"/>
    <w:rsid w:val="003459D4"/>
    <w:rsid w:val="00345B71"/>
    <w:rsid w:val="003461BE"/>
    <w:rsid w:val="00346293"/>
    <w:rsid w:val="00346365"/>
    <w:rsid w:val="003463F6"/>
    <w:rsid w:val="003465AF"/>
    <w:rsid w:val="00346661"/>
    <w:rsid w:val="00346A6D"/>
    <w:rsid w:val="00346BC2"/>
    <w:rsid w:val="00346D99"/>
    <w:rsid w:val="00347085"/>
    <w:rsid w:val="00347D7D"/>
    <w:rsid w:val="00347FC8"/>
    <w:rsid w:val="00350297"/>
    <w:rsid w:val="003502FA"/>
    <w:rsid w:val="00350795"/>
    <w:rsid w:val="003507EB"/>
    <w:rsid w:val="00350983"/>
    <w:rsid w:val="00350AF7"/>
    <w:rsid w:val="00350F41"/>
    <w:rsid w:val="00350F98"/>
    <w:rsid w:val="00351185"/>
    <w:rsid w:val="00351564"/>
    <w:rsid w:val="003517F0"/>
    <w:rsid w:val="003519DD"/>
    <w:rsid w:val="00351A15"/>
    <w:rsid w:val="00351C82"/>
    <w:rsid w:val="00351DEB"/>
    <w:rsid w:val="00351EE6"/>
    <w:rsid w:val="00351F81"/>
    <w:rsid w:val="0035267E"/>
    <w:rsid w:val="00352825"/>
    <w:rsid w:val="00352ED4"/>
    <w:rsid w:val="0035309C"/>
    <w:rsid w:val="0035325E"/>
    <w:rsid w:val="00353317"/>
    <w:rsid w:val="00353484"/>
    <w:rsid w:val="00353906"/>
    <w:rsid w:val="0035392F"/>
    <w:rsid w:val="00353BAA"/>
    <w:rsid w:val="00354198"/>
    <w:rsid w:val="00354792"/>
    <w:rsid w:val="0035484E"/>
    <w:rsid w:val="00354B4E"/>
    <w:rsid w:val="00354B9C"/>
    <w:rsid w:val="00355152"/>
    <w:rsid w:val="00355159"/>
    <w:rsid w:val="00355262"/>
    <w:rsid w:val="00355628"/>
    <w:rsid w:val="00355820"/>
    <w:rsid w:val="0035608E"/>
    <w:rsid w:val="00356331"/>
    <w:rsid w:val="003568B3"/>
    <w:rsid w:val="00356CD7"/>
    <w:rsid w:val="0035735B"/>
    <w:rsid w:val="003577DF"/>
    <w:rsid w:val="003579D5"/>
    <w:rsid w:val="00357C00"/>
    <w:rsid w:val="00357CAC"/>
    <w:rsid w:val="0036039E"/>
    <w:rsid w:val="003606AD"/>
    <w:rsid w:val="003607E5"/>
    <w:rsid w:val="003609D8"/>
    <w:rsid w:val="00360C2F"/>
    <w:rsid w:val="00360DAA"/>
    <w:rsid w:val="00360E74"/>
    <w:rsid w:val="00361138"/>
    <w:rsid w:val="00361413"/>
    <w:rsid w:val="00361515"/>
    <w:rsid w:val="003616C8"/>
    <w:rsid w:val="00361A1E"/>
    <w:rsid w:val="00361BA3"/>
    <w:rsid w:val="00362347"/>
    <w:rsid w:val="0036253F"/>
    <w:rsid w:val="00363133"/>
    <w:rsid w:val="0036334C"/>
    <w:rsid w:val="00363363"/>
    <w:rsid w:val="003633D3"/>
    <w:rsid w:val="003634F9"/>
    <w:rsid w:val="00363A29"/>
    <w:rsid w:val="00363C5C"/>
    <w:rsid w:val="00363D87"/>
    <w:rsid w:val="00363F4C"/>
    <w:rsid w:val="0036413B"/>
    <w:rsid w:val="00364249"/>
    <w:rsid w:val="00364A39"/>
    <w:rsid w:val="00364C0F"/>
    <w:rsid w:val="00364CD5"/>
    <w:rsid w:val="003651AB"/>
    <w:rsid w:val="0036527D"/>
    <w:rsid w:val="00365334"/>
    <w:rsid w:val="0036544D"/>
    <w:rsid w:val="00365E93"/>
    <w:rsid w:val="00366333"/>
    <w:rsid w:val="0036638A"/>
    <w:rsid w:val="00366442"/>
    <w:rsid w:val="00366612"/>
    <w:rsid w:val="00366AF7"/>
    <w:rsid w:val="00366D90"/>
    <w:rsid w:val="003674E4"/>
    <w:rsid w:val="0036763F"/>
    <w:rsid w:val="00367771"/>
    <w:rsid w:val="00367CB0"/>
    <w:rsid w:val="00370D35"/>
    <w:rsid w:val="00370E25"/>
    <w:rsid w:val="00370F96"/>
    <w:rsid w:val="00371296"/>
    <w:rsid w:val="00371611"/>
    <w:rsid w:val="00371769"/>
    <w:rsid w:val="0037177F"/>
    <w:rsid w:val="00371DE3"/>
    <w:rsid w:val="0037227B"/>
    <w:rsid w:val="0037235D"/>
    <w:rsid w:val="003723AB"/>
    <w:rsid w:val="00372593"/>
    <w:rsid w:val="003728FF"/>
    <w:rsid w:val="00372E1E"/>
    <w:rsid w:val="00372F51"/>
    <w:rsid w:val="003731D6"/>
    <w:rsid w:val="00373469"/>
    <w:rsid w:val="00373A50"/>
    <w:rsid w:val="00373AFC"/>
    <w:rsid w:val="00373B3E"/>
    <w:rsid w:val="00373B65"/>
    <w:rsid w:val="00373CBC"/>
    <w:rsid w:val="00374250"/>
    <w:rsid w:val="003748E7"/>
    <w:rsid w:val="00374CA2"/>
    <w:rsid w:val="003750F6"/>
    <w:rsid w:val="00375130"/>
    <w:rsid w:val="00375407"/>
    <w:rsid w:val="0037540E"/>
    <w:rsid w:val="00375448"/>
    <w:rsid w:val="00375C2E"/>
    <w:rsid w:val="00375D0C"/>
    <w:rsid w:val="003760C2"/>
    <w:rsid w:val="00376334"/>
    <w:rsid w:val="0037673A"/>
    <w:rsid w:val="003767AA"/>
    <w:rsid w:val="003767FF"/>
    <w:rsid w:val="00376EE3"/>
    <w:rsid w:val="00376FF3"/>
    <w:rsid w:val="0037731D"/>
    <w:rsid w:val="0037746A"/>
    <w:rsid w:val="00377AB7"/>
    <w:rsid w:val="003800CF"/>
    <w:rsid w:val="003803A4"/>
    <w:rsid w:val="00380807"/>
    <w:rsid w:val="00380836"/>
    <w:rsid w:val="00380AAE"/>
    <w:rsid w:val="00381408"/>
    <w:rsid w:val="003814E4"/>
    <w:rsid w:val="00381637"/>
    <w:rsid w:val="00381AF4"/>
    <w:rsid w:val="00381BBE"/>
    <w:rsid w:val="00381C2D"/>
    <w:rsid w:val="00381DE3"/>
    <w:rsid w:val="00382006"/>
    <w:rsid w:val="00382352"/>
    <w:rsid w:val="003828C5"/>
    <w:rsid w:val="00382A26"/>
    <w:rsid w:val="00382F9E"/>
    <w:rsid w:val="00382FD9"/>
    <w:rsid w:val="0038304D"/>
    <w:rsid w:val="0038307D"/>
    <w:rsid w:val="003832E3"/>
    <w:rsid w:val="00383444"/>
    <w:rsid w:val="003834E8"/>
    <w:rsid w:val="00383845"/>
    <w:rsid w:val="00383BEC"/>
    <w:rsid w:val="00383C25"/>
    <w:rsid w:val="00383D2E"/>
    <w:rsid w:val="00383EA7"/>
    <w:rsid w:val="00383FCA"/>
    <w:rsid w:val="00384120"/>
    <w:rsid w:val="003841FF"/>
    <w:rsid w:val="003842C5"/>
    <w:rsid w:val="003849C0"/>
    <w:rsid w:val="00384A14"/>
    <w:rsid w:val="00385119"/>
    <w:rsid w:val="0038512A"/>
    <w:rsid w:val="00385E67"/>
    <w:rsid w:val="00385F58"/>
    <w:rsid w:val="00385FCB"/>
    <w:rsid w:val="00386B3D"/>
    <w:rsid w:val="00386C40"/>
    <w:rsid w:val="00386F20"/>
    <w:rsid w:val="00387180"/>
    <w:rsid w:val="00387273"/>
    <w:rsid w:val="00387495"/>
    <w:rsid w:val="00387518"/>
    <w:rsid w:val="0038764F"/>
    <w:rsid w:val="0038765D"/>
    <w:rsid w:val="0038773B"/>
    <w:rsid w:val="00387CB0"/>
    <w:rsid w:val="00390099"/>
    <w:rsid w:val="00390534"/>
    <w:rsid w:val="00390846"/>
    <w:rsid w:val="00390A22"/>
    <w:rsid w:val="00390DFD"/>
    <w:rsid w:val="0039100C"/>
    <w:rsid w:val="00391636"/>
    <w:rsid w:val="00391AFC"/>
    <w:rsid w:val="00391E42"/>
    <w:rsid w:val="00392AAA"/>
    <w:rsid w:val="00392C30"/>
    <w:rsid w:val="00393058"/>
    <w:rsid w:val="0039325D"/>
    <w:rsid w:val="0039338E"/>
    <w:rsid w:val="003933C9"/>
    <w:rsid w:val="00393822"/>
    <w:rsid w:val="003939B6"/>
    <w:rsid w:val="00393B71"/>
    <w:rsid w:val="00393DB7"/>
    <w:rsid w:val="00393EE6"/>
    <w:rsid w:val="00393F9B"/>
    <w:rsid w:val="0039469E"/>
    <w:rsid w:val="0039474D"/>
    <w:rsid w:val="00394C8A"/>
    <w:rsid w:val="00395011"/>
    <w:rsid w:val="00395A99"/>
    <w:rsid w:val="00395F66"/>
    <w:rsid w:val="0039631B"/>
    <w:rsid w:val="0039692B"/>
    <w:rsid w:val="00396B9C"/>
    <w:rsid w:val="00396DCE"/>
    <w:rsid w:val="00396E24"/>
    <w:rsid w:val="00396F4E"/>
    <w:rsid w:val="003971D4"/>
    <w:rsid w:val="003972E0"/>
    <w:rsid w:val="00397483"/>
    <w:rsid w:val="003979F4"/>
    <w:rsid w:val="00397E96"/>
    <w:rsid w:val="003A05E6"/>
    <w:rsid w:val="003A07F6"/>
    <w:rsid w:val="003A08D0"/>
    <w:rsid w:val="003A0AE1"/>
    <w:rsid w:val="003A0B0A"/>
    <w:rsid w:val="003A0F1F"/>
    <w:rsid w:val="003A10B8"/>
    <w:rsid w:val="003A11ED"/>
    <w:rsid w:val="003A1A7A"/>
    <w:rsid w:val="003A26D2"/>
    <w:rsid w:val="003A287F"/>
    <w:rsid w:val="003A28EA"/>
    <w:rsid w:val="003A29E5"/>
    <w:rsid w:val="003A2D80"/>
    <w:rsid w:val="003A2DEE"/>
    <w:rsid w:val="003A2F2D"/>
    <w:rsid w:val="003A33C3"/>
    <w:rsid w:val="003A3454"/>
    <w:rsid w:val="003A3617"/>
    <w:rsid w:val="003A3650"/>
    <w:rsid w:val="003A377B"/>
    <w:rsid w:val="003A3827"/>
    <w:rsid w:val="003A3A59"/>
    <w:rsid w:val="003A4601"/>
    <w:rsid w:val="003A463D"/>
    <w:rsid w:val="003A47EE"/>
    <w:rsid w:val="003A49FD"/>
    <w:rsid w:val="003A4B4D"/>
    <w:rsid w:val="003A4BDA"/>
    <w:rsid w:val="003A5219"/>
    <w:rsid w:val="003A530F"/>
    <w:rsid w:val="003A5548"/>
    <w:rsid w:val="003A5BDF"/>
    <w:rsid w:val="003A5DFB"/>
    <w:rsid w:val="003A5EB0"/>
    <w:rsid w:val="003A64C7"/>
    <w:rsid w:val="003A6692"/>
    <w:rsid w:val="003A68AD"/>
    <w:rsid w:val="003A6925"/>
    <w:rsid w:val="003A6C09"/>
    <w:rsid w:val="003A6C2E"/>
    <w:rsid w:val="003A6C4B"/>
    <w:rsid w:val="003A70D7"/>
    <w:rsid w:val="003A7118"/>
    <w:rsid w:val="003A712D"/>
    <w:rsid w:val="003A74E1"/>
    <w:rsid w:val="003A75C1"/>
    <w:rsid w:val="003B002F"/>
    <w:rsid w:val="003B0057"/>
    <w:rsid w:val="003B04D8"/>
    <w:rsid w:val="003B08D0"/>
    <w:rsid w:val="003B0B3E"/>
    <w:rsid w:val="003B0FF5"/>
    <w:rsid w:val="003B1050"/>
    <w:rsid w:val="003B14D7"/>
    <w:rsid w:val="003B15AC"/>
    <w:rsid w:val="003B184B"/>
    <w:rsid w:val="003B1A1D"/>
    <w:rsid w:val="003B1A6F"/>
    <w:rsid w:val="003B1ACB"/>
    <w:rsid w:val="003B1E2A"/>
    <w:rsid w:val="003B22D5"/>
    <w:rsid w:val="003B2499"/>
    <w:rsid w:val="003B2515"/>
    <w:rsid w:val="003B25BC"/>
    <w:rsid w:val="003B269B"/>
    <w:rsid w:val="003B28D8"/>
    <w:rsid w:val="003B29A3"/>
    <w:rsid w:val="003B29C0"/>
    <w:rsid w:val="003B2C5C"/>
    <w:rsid w:val="003B2D91"/>
    <w:rsid w:val="003B2F5F"/>
    <w:rsid w:val="003B33D2"/>
    <w:rsid w:val="003B34B3"/>
    <w:rsid w:val="003B3841"/>
    <w:rsid w:val="003B394A"/>
    <w:rsid w:val="003B3BC8"/>
    <w:rsid w:val="003B41BC"/>
    <w:rsid w:val="003B4266"/>
    <w:rsid w:val="003B45CC"/>
    <w:rsid w:val="003B466A"/>
    <w:rsid w:val="003B4782"/>
    <w:rsid w:val="003B47DA"/>
    <w:rsid w:val="003B4904"/>
    <w:rsid w:val="003B4CEF"/>
    <w:rsid w:val="003B4F4D"/>
    <w:rsid w:val="003B52DB"/>
    <w:rsid w:val="003B5A09"/>
    <w:rsid w:val="003B5A2C"/>
    <w:rsid w:val="003B5A66"/>
    <w:rsid w:val="003B5ED8"/>
    <w:rsid w:val="003B6192"/>
    <w:rsid w:val="003B65BE"/>
    <w:rsid w:val="003B6893"/>
    <w:rsid w:val="003B694F"/>
    <w:rsid w:val="003B69A5"/>
    <w:rsid w:val="003B6B23"/>
    <w:rsid w:val="003B6CA8"/>
    <w:rsid w:val="003B6F47"/>
    <w:rsid w:val="003B70E5"/>
    <w:rsid w:val="003B7425"/>
    <w:rsid w:val="003B7532"/>
    <w:rsid w:val="003B7744"/>
    <w:rsid w:val="003B77AA"/>
    <w:rsid w:val="003B7876"/>
    <w:rsid w:val="003B7B28"/>
    <w:rsid w:val="003B7CA2"/>
    <w:rsid w:val="003B7CDC"/>
    <w:rsid w:val="003C006E"/>
    <w:rsid w:val="003C01A9"/>
    <w:rsid w:val="003C01C5"/>
    <w:rsid w:val="003C06A9"/>
    <w:rsid w:val="003C0777"/>
    <w:rsid w:val="003C1682"/>
    <w:rsid w:val="003C18E8"/>
    <w:rsid w:val="003C19BC"/>
    <w:rsid w:val="003C1AEF"/>
    <w:rsid w:val="003C1C75"/>
    <w:rsid w:val="003C24E8"/>
    <w:rsid w:val="003C2577"/>
    <w:rsid w:val="003C2682"/>
    <w:rsid w:val="003C2A9C"/>
    <w:rsid w:val="003C2D8D"/>
    <w:rsid w:val="003C2DD2"/>
    <w:rsid w:val="003C3128"/>
    <w:rsid w:val="003C3277"/>
    <w:rsid w:val="003C32DF"/>
    <w:rsid w:val="003C33A7"/>
    <w:rsid w:val="003C363E"/>
    <w:rsid w:val="003C39C9"/>
    <w:rsid w:val="003C3E92"/>
    <w:rsid w:val="003C423E"/>
    <w:rsid w:val="003C42D0"/>
    <w:rsid w:val="003C455A"/>
    <w:rsid w:val="003C4728"/>
    <w:rsid w:val="003C4D2B"/>
    <w:rsid w:val="003C4EC0"/>
    <w:rsid w:val="003C55C3"/>
    <w:rsid w:val="003C564C"/>
    <w:rsid w:val="003C575E"/>
    <w:rsid w:val="003C57A0"/>
    <w:rsid w:val="003C5C18"/>
    <w:rsid w:val="003C6926"/>
    <w:rsid w:val="003C69DB"/>
    <w:rsid w:val="003C7227"/>
    <w:rsid w:val="003C7244"/>
    <w:rsid w:val="003C732D"/>
    <w:rsid w:val="003C7658"/>
    <w:rsid w:val="003C765F"/>
    <w:rsid w:val="003C7716"/>
    <w:rsid w:val="003C77AD"/>
    <w:rsid w:val="003C792D"/>
    <w:rsid w:val="003C7A76"/>
    <w:rsid w:val="003C7B77"/>
    <w:rsid w:val="003C7CF3"/>
    <w:rsid w:val="003D0144"/>
    <w:rsid w:val="003D0724"/>
    <w:rsid w:val="003D077F"/>
    <w:rsid w:val="003D0834"/>
    <w:rsid w:val="003D0A20"/>
    <w:rsid w:val="003D0B51"/>
    <w:rsid w:val="003D0C33"/>
    <w:rsid w:val="003D0CD8"/>
    <w:rsid w:val="003D0EAA"/>
    <w:rsid w:val="003D0FEB"/>
    <w:rsid w:val="003D106B"/>
    <w:rsid w:val="003D10D1"/>
    <w:rsid w:val="003D129F"/>
    <w:rsid w:val="003D134E"/>
    <w:rsid w:val="003D1525"/>
    <w:rsid w:val="003D16DE"/>
    <w:rsid w:val="003D18D1"/>
    <w:rsid w:val="003D19BB"/>
    <w:rsid w:val="003D1A5E"/>
    <w:rsid w:val="003D1E4A"/>
    <w:rsid w:val="003D1E8B"/>
    <w:rsid w:val="003D1EBB"/>
    <w:rsid w:val="003D227E"/>
    <w:rsid w:val="003D231E"/>
    <w:rsid w:val="003D234B"/>
    <w:rsid w:val="003D25E9"/>
    <w:rsid w:val="003D2C9A"/>
    <w:rsid w:val="003D2D01"/>
    <w:rsid w:val="003D2E27"/>
    <w:rsid w:val="003D2E55"/>
    <w:rsid w:val="003D315D"/>
    <w:rsid w:val="003D3307"/>
    <w:rsid w:val="003D37EC"/>
    <w:rsid w:val="003D410C"/>
    <w:rsid w:val="003D4131"/>
    <w:rsid w:val="003D4788"/>
    <w:rsid w:val="003D4811"/>
    <w:rsid w:val="003D4B8B"/>
    <w:rsid w:val="003D4BDE"/>
    <w:rsid w:val="003D4D99"/>
    <w:rsid w:val="003D4DAA"/>
    <w:rsid w:val="003D4E19"/>
    <w:rsid w:val="003D530E"/>
    <w:rsid w:val="003D584F"/>
    <w:rsid w:val="003D5B51"/>
    <w:rsid w:val="003D5B9D"/>
    <w:rsid w:val="003D5C92"/>
    <w:rsid w:val="003D639A"/>
    <w:rsid w:val="003D642F"/>
    <w:rsid w:val="003D65B5"/>
    <w:rsid w:val="003D6DB4"/>
    <w:rsid w:val="003D705E"/>
    <w:rsid w:val="003D750A"/>
    <w:rsid w:val="003D77DB"/>
    <w:rsid w:val="003D7D1B"/>
    <w:rsid w:val="003D7E8F"/>
    <w:rsid w:val="003D7EB3"/>
    <w:rsid w:val="003E00B4"/>
    <w:rsid w:val="003E0187"/>
    <w:rsid w:val="003E0420"/>
    <w:rsid w:val="003E05A2"/>
    <w:rsid w:val="003E0A77"/>
    <w:rsid w:val="003E0A9B"/>
    <w:rsid w:val="003E0AE8"/>
    <w:rsid w:val="003E0F3F"/>
    <w:rsid w:val="003E17FF"/>
    <w:rsid w:val="003E19D3"/>
    <w:rsid w:val="003E1B9B"/>
    <w:rsid w:val="003E2012"/>
    <w:rsid w:val="003E2314"/>
    <w:rsid w:val="003E2394"/>
    <w:rsid w:val="003E244D"/>
    <w:rsid w:val="003E2510"/>
    <w:rsid w:val="003E25BE"/>
    <w:rsid w:val="003E2B13"/>
    <w:rsid w:val="003E2E22"/>
    <w:rsid w:val="003E3172"/>
    <w:rsid w:val="003E32E0"/>
    <w:rsid w:val="003E3504"/>
    <w:rsid w:val="003E35AE"/>
    <w:rsid w:val="003E3606"/>
    <w:rsid w:val="003E387C"/>
    <w:rsid w:val="003E3A3D"/>
    <w:rsid w:val="003E406B"/>
    <w:rsid w:val="003E4399"/>
    <w:rsid w:val="003E4425"/>
    <w:rsid w:val="003E44AB"/>
    <w:rsid w:val="003E4777"/>
    <w:rsid w:val="003E4B7D"/>
    <w:rsid w:val="003E4E72"/>
    <w:rsid w:val="003E4F8F"/>
    <w:rsid w:val="003E5295"/>
    <w:rsid w:val="003E5332"/>
    <w:rsid w:val="003E53AC"/>
    <w:rsid w:val="003E54B9"/>
    <w:rsid w:val="003E56BF"/>
    <w:rsid w:val="003E5740"/>
    <w:rsid w:val="003E579C"/>
    <w:rsid w:val="003E5F68"/>
    <w:rsid w:val="003E627F"/>
    <w:rsid w:val="003E66DA"/>
    <w:rsid w:val="003E68FC"/>
    <w:rsid w:val="003E6AFF"/>
    <w:rsid w:val="003E6B59"/>
    <w:rsid w:val="003E6DF5"/>
    <w:rsid w:val="003E719D"/>
    <w:rsid w:val="003E7366"/>
    <w:rsid w:val="003E7472"/>
    <w:rsid w:val="003E791C"/>
    <w:rsid w:val="003E79E7"/>
    <w:rsid w:val="003E7A84"/>
    <w:rsid w:val="003E7E07"/>
    <w:rsid w:val="003E7E68"/>
    <w:rsid w:val="003F0116"/>
    <w:rsid w:val="003F03E6"/>
    <w:rsid w:val="003F0473"/>
    <w:rsid w:val="003F069A"/>
    <w:rsid w:val="003F0A04"/>
    <w:rsid w:val="003F0A70"/>
    <w:rsid w:val="003F0A98"/>
    <w:rsid w:val="003F0BD7"/>
    <w:rsid w:val="003F0D32"/>
    <w:rsid w:val="003F1117"/>
    <w:rsid w:val="003F1384"/>
    <w:rsid w:val="003F15C0"/>
    <w:rsid w:val="003F18A9"/>
    <w:rsid w:val="003F18DB"/>
    <w:rsid w:val="003F19E6"/>
    <w:rsid w:val="003F19E8"/>
    <w:rsid w:val="003F1DF5"/>
    <w:rsid w:val="003F25DC"/>
    <w:rsid w:val="003F26AB"/>
    <w:rsid w:val="003F28EB"/>
    <w:rsid w:val="003F2DEC"/>
    <w:rsid w:val="003F2EEA"/>
    <w:rsid w:val="003F3033"/>
    <w:rsid w:val="003F307A"/>
    <w:rsid w:val="003F324D"/>
    <w:rsid w:val="003F342D"/>
    <w:rsid w:val="003F34EB"/>
    <w:rsid w:val="003F399A"/>
    <w:rsid w:val="003F3AFE"/>
    <w:rsid w:val="003F3E66"/>
    <w:rsid w:val="003F3E99"/>
    <w:rsid w:val="003F3F01"/>
    <w:rsid w:val="003F3F44"/>
    <w:rsid w:val="003F4845"/>
    <w:rsid w:val="003F48A6"/>
    <w:rsid w:val="003F48F0"/>
    <w:rsid w:val="003F558C"/>
    <w:rsid w:val="003F5DFF"/>
    <w:rsid w:val="003F5F76"/>
    <w:rsid w:val="003F6179"/>
    <w:rsid w:val="003F6B76"/>
    <w:rsid w:val="003F70F7"/>
    <w:rsid w:val="003F70FF"/>
    <w:rsid w:val="003F737D"/>
    <w:rsid w:val="003F73EF"/>
    <w:rsid w:val="003F7822"/>
    <w:rsid w:val="003F7A66"/>
    <w:rsid w:val="0040028C"/>
    <w:rsid w:val="00400909"/>
    <w:rsid w:val="00400975"/>
    <w:rsid w:val="004009CD"/>
    <w:rsid w:val="00401490"/>
    <w:rsid w:val="00401909"/>
    <w:rsid w:val="004022AE"/>
    <w:rsid w:val="00402467"/>
    <w:rsid w:val="00402710"/>
    <w:rsid w:val="00402A6C"/>
    <w:rsid w:val="00402CA1"/>
    <w:rsid w:val="00402D34"/>
    <w:rsid w:val="004030F5"/>
    <w:rsid w:val="004032A7"/>
    <w:rsid w:val="00403332"/>
    <w:rsid w:val="004033E7"/>
    <w:rsid w:val="0040350E"/>
    <w:rsid w:val="004036CC"/>
    <w:rsid w:val="00403F00"/>
    <w:rsid w:val="0040491B"/>
    <w:rsid w:val="004049FA"/>
    <w:rsid w:val="00404AF4"/>
    <w:rsid w:val="00404ED1"/>
    <w:rsid w:val="00404F39"/>
    <w:rsid w:val="00405466"/>
    <w:rsid w:val="0040550B"/>
    <w:rsid w:val="0040550D"/>
    <w:rsid w:val="00405575"/>
    <w:rsid w:val="00405A75"/>
    <w:rsid w:val="00405B91"/>
    <w:rsid w:val="00405CC8"/>
    <w:rsid w:val="00406054"/>
    <w:rsid w:val="004063C3"/>
    <w:rsid w:val="004065E0"/>
    <w:rsid w:val="004066FD"/>
    <w:rsid w:val="0040686A"/>
    <w:rsid w:val="0040692D"/>
    <w:rsid w:val="00406B24"/>
    <w:rsid w:val="00406CC7"/>
    <w:rsid w:val="00406F90"/>
    <w:rsid w:val="00407015"/>
    <w:rsid w:val="00407289"/>
    <w:rsid w:val="0040758A"/>
    <w:rsid w:val="004076F5"/>
    <w:rsid w:val="0040780D"/>
    <w:rsid w:val="00407AA5"/>
    <w:rsid w:val="00407B6D"/>
    <w:rsid w:val="00407E1B"/>
    <w:rsid w:val="00407ECB"/>
    <w:rsid w:val="00407F45"/>
    <w:rsid w:val="004107D8"/>
    <w:rsid w:val="00410A57"/>
    <w:rsid w:val="00410BFD"/>
    <w:rsid w:val="00410E2B"/>
    <w:rsid w:val="004114E1"/>
    <w:rsid w:val="004116CA"/>
    <w:rsid w:val="0041199B"/>
    <w:rsid w:val="00411AD5"/>
    <w:rsid w:val="00411C8C"/>
    <w:rsid w:val="00411D23"/>
    <w:rsid w:val="00411DC0"/>
    <w:rsid w:val="00411F07"/>
    <w:rsid w:val="00412460"/>
    <w:rsid w:val="0041248C"/>
    <w:rsid w:val="0041257E"/>
    <w:rsid w:val="004127B1"/>
    <w:rsid w:val="004129BC"/>
    <w:rsid w:val="00412F15"/>
    <w:rsid w:val="0041338A"/>
    <w:rsid w:val="00413454"/>
    <w:rsid w:val="004134B8"/>
    <w:rsid w:val="004136F0"/>
    <w:rsid w:val="00413A7D"/>
    <w:rsid w:val="00413AF3"/>
    <w:rsid w:val="00413C2E"/>
    <w:rsid w:val="00413CCD"/>
    <w:rsid w:val="00413E3E"/>
    <w:rsid w:val="0041403A"/>
    <w:rsid w:val="00414194"/>
    <w:rsid w:val="0041443B"/>
    <w:rsid w:val="00414682"/>
    <w:rsid w:val="00414974"/>
    <w:rsid w:val="00414B17"/>
    <w:rsid w:val="0041556B"/>
    <w:rsid w:val="00415748"/>
    <w:rsid w:val="00415A1D"/>
    <w:rsid w:val="00415C08"/>
    <w:rsid w:val="00415D2C"/>
    <w:rsid w:val="00415D50"/>
    <w:rsid w:val="00415EF3"/>
    <w:rsid w:val="0041603B"/>
    <w:rsid w:val="00416050"/>
    <w:rsid w:val="00416083"/>
    <w:rsid w:val="004165A5"/>
    <w:rsid w:val="004168C9"/>
    <w:rsid w:val="00416AB0"/>
    <w:rsid w:val="00417022"/>
    <w:rsid w:val="00417270"/>
    <w:rsid w:val="00417539"/>
    <w:rsid w:val="004200F4"/>
    <w:rsid w:val="004201FF"/>
    <w:rsid w:val="004203C7"/>
    <w:rsid w:val="004205AE"/>
    <w:rsid w:val="004207D4"/>
    <w:rsid w:val="00420983"/>
    <w:rsid w:val="004209D1"/>
    <w:rsid w:val="00420DFA"/>
    <w:rsid w:val="00421593"/>
    <w:rsid w:val="0042188F"/>
    <w:rsid w:val="00421B3B"/>
    <w:rsid w:val="00421E96"/>
    <w:rsid w:val="00422128"/>
    <w:rsid w:val="00422458"/>
    <w:rsid w:val="004224F3"/>
    <w:rsid w:val="00422614"/>
    <w:rsid w:val="00422BFD"/>
    <w:rsid w:val="00422FDA"/>
    <w:rsid w:val="0042345B"/>
    <w:rsid w:val="004236F5"/>
    <w:rsid w:val="004238F3"/>
    <w:rsid w:val="00423DF1"/>
    <w:rsid w:val="00423EC5"/>
    <w:rsid w:val="00423F6D"/>
    <w:rsid w:val="00423F78"/>
    <w:rsid w:val="00423FB3"/>
    <w:rsid w:val="004240A3"/>
    <w:rsid w:val="004241BC"/>
    <w:rsid w:val="004244F9"/>
    <w:rsid w:val="00424AE9"/>
    <w:rsid w:val="004250E1"/>
    <w:rsid w:val="004251BE"/>
    <w:rsid w:val="0042554E"/>
    <w:rsid w:val="0042558F"/>
    <w:rsid w:val="00425754"/>
    <w:rsid w:val="00425A6C"/>
    <w:rsid w:val="00425E7F"/>
    <w:rsid w:val="00425EBE"/>
    <w:rsid w:val="00425F02"/>
    <w:rsid w:val="00426618"/>
    <w:rsid w:val="004266B8"/>
    <w:rsid w:val="0042677B"/>
    <w:rsid w:val="00426B62"/>
    <w:rsid w:val="00426E0D"/>
    <w:rsid w:val="00426F34"/>
    <w:rsid w:val="004272A2"/>
    <w:rsid w:val="00427324"/>
    <w:rsid w:val="00427889"/>
    <w:rsid w:val="00427C9F"/>
    <w:rsid w:val="00427CB5"/>
    <w:rsid w:val="00427F0D"/>
    <w:rsid w:val="00430022"/>
    <w:rsid w:val="00430028"/>
    <w:rsid w:val="00430092"/>
    <w:rsid w:val="00430281"/>
    <w:rsid w:val="004306A0"/>
    <w:rsid w:val="00430E1E"/>
    <w:rsid w:val="004310B3"/>
    <w:rsid w:val="004310D6"/>
    <w:rsid w:val="00431193"/>
    <w:rsid w:val="00431247"/>
    <w:rsid w:val="004313BE"/>
    <w:rsid w:val="004313F2"/>
    <w:rsid w:val="00431AA4"/>
    <w:rsid w:val="00431BA2"/>
    <w:rsid w:val="0043206A"/>
    <w:rsid w:val="004321B6"/>
    <w:rsid w:val="004324B2"/>
    <w:rsid w:val="004324E2"/>
    <w:rsid w:val="004327BB"/>
    <w:rsid w:val="00432B5B"/>
    <w:rsid w:val="00432EB2"/>
    <w:rsid w:val="00432F42"/>
    <w:rsid w:val="004331B1"/>
    <w:rsid w:val="004333D9"/>
    <w:rsid w:val="00433438"/>
    <w:rsid w:val="00433575"/>
    <w:rsid w:val="00433840"/>
    <w:rsid w:val="00433FDF"/>
    <w:rsid w:val="004342AF"/>
    <w:rsid w:val="004343DE"/>
    <w:rsid w:val="00434421"/>
    <w:rsid w:val="004344F9"/>
    <w:rsid w:val="004345FA"/>
    <w:rsid w:val="0043468B"/>
    <w:rsid w:val="00434CCD"/>
    <w:rsid w:val="00435084"/>
    <w:rsid w:val="004350EA"/>
    <w:rsid w:val="004352B8"/>
    <w:rsid w:val="0043542B"/>
    <w:rsid w:val="004355EC"/>
    <w:rsid w:val="00435902"/>
    <w:rsid w:val="00435A76"/>
    <w:rsid w:val="00436536"/>
    <w:rsid w:val="00436899"/>
    <w:rsid w:val="004369D9"/>
    <w:rsid w:val="00436ABA"/>
    <w:rsid w:val="004371C6"/>
    <w:rsid w:val="004371D4"/>
    <w:rsid w:val="00437487"/>
    <w:rsid w:val="004374DD"/>
    <w:rsid w:val="004377B4"/>
    <w:rsid w:val="00437805"/>
    <w:rsid w:val="0043783C"/>
    <w:rsid w:val="00437883"/>
    <w:rsid w:val="00437930"/>
    <w:rsid w:val="00437EFE"/>
    <w:rsid w:val="00437F31"/>
    <w:rsid w:val="0044019B"/>
    <w:rsid w:val="004402F2"/>
    <w:rsid w:val="0044045E"/>
    <w:rsid w:val="00440BCC"/>
    <w:rsid w:val="0044113E"/>
    <w:rsid w:val="00441249"/>
    <w:rsid w:val="00441361"/>
    <w:rsid w:val="004415A7"/>
    <w:rsid w:val="004417BD"/>
    <w:rsid w:val="00441806"/>
    <w:rsid w:val="00441C33"/>
    <w:rsid w:val="0044234F"/>
    <w:rsid w:val="004423D6"/>
    <w:rsid w:val="004424A8"/>
    <w:rsid w:val="00442756"/>
    <w:rsid w:val="00442E6E"/>
    <w:rsid w:val="00442F96"/>
    <w:rsid w:val="0044335B"/>
    <w:rsid w:val="00443A78"/>
    <w:rsid w:val="00443DF2"/>
    <w:rsid w:val="00444319"/>
    <w:rsid w:val="004443CA"/>
    <w:rsid w:val="004443E6"/>
    <w:rsid w:val="004444FC"/>
    <w:rsid w:val="004446E7"/>
    <w:rsid w:val="00444AFB"/>
    <w:rsid w:val="00444D6A"/>
    <w:rsid w:val="00444DBF"/>
    <w:rsid w:val="00444DD7"/>
    <w:rsid w:val="00445288"/>
    <w:rsid w:val="0044536A"/>
    <w:rsid w:val="004453C1"/>
    <w:rsid w:val="0044568A"/>
    <w:rsid w:val="00445936"/>
    <w:rsid w:val="00445BF0"/>
    <w:rsid w:val="00445E3F"/>
    <w:rsid w:val="00445EE0"/>
    <w:rsid w:val="004460C6"/>
    <w:rsid w:val="004466B6"/>
    <w:rsid w:val="00446C0E"/>
    <w:rsid w:val="00446C2E"/>
    <w:rsid w:val="004472CC"/>
    <w:rsid w:val="00447593"/>
    <w:rsid w:val="004477F7"/>
    <w:rsid w:val="0044786E"/>
    <w:rsid w:val="00447906"/>
    <w:rsid w:val="00447E95"/>
    <w:rsid w:val="00450224"/>
    <w:rsid w:val="004504AA"/>
    <w:rsid w:val="004504FA"/>
    <w:rsid w:val="004505F3"/>
    <w:rsid w:val="0045065B"/>
    <w:rsid w:val="00450960"/>
    <w:rsid w:val="00450B54"/>
    <w:rsid w:val="00450DA0"/>
    <w:rsid w:val="00450DED"/>
    <w:rsid w:val="00450EC8"/>
    <w:rsid w:val="00450FAB"/>
    <w:rsid w:val="004511A1"/>
    <w:rsid w:val="00451355"/>
    <w:rsid w:val="0045192B"/>
    <w:rsid w:val="00452609"/>
    <w:rsid w:val="00452F39"/>
    <w:rsid w:val="00453762"/>
    <w:rsid w:val="004537C7"/>
    <w:rsid w:val="00453A1D"/>
    <w:rsid w:val="00453B1E"/>
    <w:rsid w:val="00453C4E"/>
    <w:rsid w:val="00453CC7"/>
    <w:rsid w:val="00453EAB"/>
    <w:rsid w:val="004540BB"/>
    <w:rsid w:val="0045426B"/>
    <w:rsid w:val="004545D2"/>
    <w:rsid w:val="00454F51"/>
    <w:rsid w:val="004551B2"/>
    <w:rsid w:val="00455227"/>
    <w:rsid w:val="004552A3"/>
    <w:rsid w:val="004562A4"/>
    <w:rsid w:val="00456365"/>
    <w:rsid w:val="0045641F"/>
    <w:rsid w:val="0045664B"/>
    <w:rsid w:val="00456760"/>
    <w:rsid w:val="00456BB8"/>
    <w:rsid w:val="00456CA8"/>
    <w:rsid w:val="00456EB9"/>
    <w:rsid w:val="00456FAE"/>
    <w:rsid w:val="00456FC2"/>
    <w:rsid w:val="00457239"/>
    <w:rsid w:val="00457259"/>
    <w:rsid w:val="00457541"/>
    <w:rsid w:val="004576C5"/>
    <w:rsid w:val="00457990"/>
    <w:rsid w:val="004579A8"/>
    <w:rsid w:val="00457C0B"/>
    <w:rsid w:val="0046005C"/>
    <w:rsid w:val="004601DD"/>
    <w:rsid w:val="0046033B"/>
    <w:rsid w:val="00460472"/>
    <w:rsid w:val="004607CF"/>
    <w:rsid w:val="00460857"/>
    <w:rsid w:val="00460C8E"/>
    <w:rsid w:val="00460CC5"/>
    <w:rsid w:val="00460D38"/>
    <w:rsid w:val="00460DD4"/>
    <w:rsid w:val="00460EE2"/>
    <w:rsid w:val="00460FE1"/>
    <w:rsid w:val="004616E4"/>
    <w:rsid w:val="004618E3"/>
    <w:rsid w:val="00461D72"/>
    <w:rsid w:val="0046224B"/>
    <w:rsid w:val="004622A2"/>
    <w:rsid w:val="00462480"/>
    <w:rsid w:val="004625C6"/>
    <w:rsid w:val="00462B29"/>
    <w:rsid w:val="00462BE9"/>
    <w:rsid w:val="00462CE9"/>
    <w:rsid w:val="00462FE5"/>
    <w:rsid w:val="0046339E"/>
    <w:rsid w:val="0046360F"/>
    <w:rsid w:val="0046373F"/>
    <w:rsid w:val="00463934"/>
    <w:rsid w:val="00463ACD"/>
    <w:rsid w:val="00463DF8"/>
    <w:rsid w:val="00463FC3"/>
    <w:rsid w:val="004640FE"/>
    <w:rsid w:val="004644B2"/>
    <w:rsid w:val="004647DA"/>
    <w:rsid w:val="004648D2"/>
    <w:rsid w:val="00464D20"/>
    <w:rsid w:val="00464F09"/>
    <w:rsid w:val="00464FA3"/>
    <w:rsid w:val="004656B6"/>
    <w:rsid w:val="004663EA"/>
    <w:rsid w:val="0046657A"/>
    <w:rsid w:val="004666F6"/>
    <w:rsid w:val="00466709"/>
    <w:rsid w:val="00466735"/>
    <w:rsid w:val="0046734C"/>
    <w:rsid w:val="00467893"/>
    <w:rsid w:val="00467BAE"/>
    <w:rsid w:val="00467D12"/>
    <w:rsid w:val="00467E1E"/>
    <w:rsid w:val="0047081F"/>
    <w:rsid w:val="00470944"/>
    <w:rsid w:val="00470C5A"/>
    <w:rsid w:val="00470EA5"/>
    <w:rsid w:val="00470F29"/>
    <w:rsid w:val="00470F75"/>
    <w:rsid w:val="004711C0"/>
    <w:rsid w:val="00471541"/>
    <w:rsid w:val="00471956"/>
    <w:rsid w:val="00471A8E"/>
    <w:rsid w:val="00471B48"/>
    <w:rsid w:val="00471C08"/>
    <w:rsid w:val="00472444"/>
    <w:rsid w:val="00472641"/>
    <w:rsid w:val="0047264E"/>
    <w:rsid w:val="00472D70"/>
    <w:rsid w:val="004731AE"/>
    <w:rsid w:val="00473945"/>
    <w:rsid w:val="00473DEC"/>
    <w:rsid w:val="00473F6B"/>
    <w:rsid w:val="0047414D"/>
    <w:rsid w:val="00474502"/>
    <w:rsid w:val="0047469B"/>
    <w:rsid w:val="00474A86"/>
    <w:rsid w:val="00474C66"/>
    <w:rsid w:val="00474E4E"/>
    <w:rsid w:val="00474F57"/>
    <w:rsid w:val="00475117"/>
    <w:rsid w:val="00475185"/>
    <w:rsid w:val="00475217"/>
    <w:rsid w:val="00475317"/>
    <w:rsid w:val="004757D7"/>
    <w:rsid w:val="00475A95"/>
    <w:rsid w:val="00475DFC"/>
    <w:rsid w:val="00475F8E"/>
    <w:rsid w:val="004762C4"/>
    <w:rsid w:val="0047649E"/>
    <w:rsid w:val="00476843"/>
    <w:rsid w:val="00476C35"/>
    <w:rsid w:val="00476C43"/>
    <w:rsid w:val="00476E61"/>
    <w:rsid w:val="00477036"/>
    <w:rsid w:val="00477258"/>
    <w:rsid w:val="00477411"/>
    <w:rsid w:val="0047747C"/>
    <w:rsid w:val="00477592"/>
    <w:rsid w:val="00477944"/>
    <w:rsid w:val="00477BD6"/>
    <w:rsid w:val="00477C06"/>
    <w:rsid w:val="00477DA8"/>
    <w:rsid w:val="00477DDE"/>
    <w:rsid w:val="00477ED7"/>
    <w:rsid w:val="0048049E"/>
    <w:rsid w:val="00480537"/>
    <w:rsid w:val="0048074F"/>
    <w:rsid w:val="00480B33"/>
    <w:rsid w:val="00480B7D"/>
    <w:rsid w:val="00480D92"/>
    <w:rsid w:val="00481164"/>
    <w:rsid w:val="0048117A"/>
    <w:rsid w:val="004811CD"/>
    <w:rsid w:val="004811D8"/>
    <w:rsid w:val="004813DD"/>
    <w:rsid w:val="0048196C"/>
    <w:rsid w:val="00481ABA"/>
    <w:rsid w:val="00481E1B"/>
    <w:rsid w:val="004820A0"/>
    <w:rsid w:val="0048220D"/>
    <w:rsid w:val="00482447"/>
    <w:rsid w:val="00482708"/>
    <w:rsid w:val="004829E3"/>
    <w:rsid w:val="00482C05"/>
    <w:rsid w:val="00482DF9"/>
    <w:rsid w:val="00483188"/>
    <w:rsid w:val="004839E4"/>
    <w:rsid w:val="00483C58"/>
    <w:rsid w:val="00483C7B"/>
    <w:rsid w:val="00483C9A"/>
    <w:rsid w:val="00483D2E"/>
    <w:rsid w:val="00484453"/>
    <w:rsid w:val="004845B9"/>
    <w:rsid w:val="004845D9"/>
    <w:rsid w:val="0048481C"/>
    <w:rsid w:val="004848D9"/>
    <w:rsid w:val="0048492E"/>
    <w:rsid w:val="00484D93"/>
    <w:rsid w:val="00484EE5"/>
    <w:rsid w:val="004851B6"/>
    <w:rsid w:val="004853DC"/>
    <w:rsid w:val="004853FA"/>
    <w:rsid w:val="004858CA"/>
    <w:rsid w:val="00485B42"/>
    <w:rsid w:val="00486449"/>
    <w:rsid w:val="00486A02"/>
    <w:rsid w:val="00486CE8"/>
    <w:rsid w:val="00486F4C"/>
    <w:rsid w:val="00486F87"/>
    <w:rsid w:val="00487023"/>
    <w:rsid w:val="0048710D"/>
    <w:rsid w:val="004879D1"/>
    <w:rsid w:val="00487B39"/>
    <w:rsid w:val="00487B80"/>
    <w:rsid w:val="0049015F"/>
    <w:rsid w:val="004902B6"/>
    <w:rsid w:val="004906C3"/>
    <w:rsid w:val="0049121E"/>
    <w:rsid w:val="004917B6"/>
    <w:rsid w:val="00491837"/>
    <w:rsid w:val="00491A8A"/>
    <w:rsid w:val="00491BAC"/>
    <w:rsid w:val="00491D38"/>
    <w:rsid w:val="00491DE7"/>
    <w:rsid w:val="004923C2"/>
    <w:rsid w:val="00492498"/>
    <w:rsid w:val="0049298E"/>
    <w:rsid w:val="00493978"/>
    <w:rsid w:val="00493B47"/>
    <w:rsid w:val="00493BDC"/>
    <w:rsid w:val="00493D92"/>
    <w:rsid w:val="00493E12"/>
    <w:rsid w:val="00493F2E"/>
    <w:rsid w:val="00494040"/>
    <w:rsid w:val="0049462F"/>
    <w:rsid w:val="00494876"/>
    <w:rsid w:val="00494A18"/>
    <w:rsid w:val="00494B9B"/>
    <w:rsid w:val="0049523F"/>
    <w:rsid w:val="0049524F"/>
    <w:rsid w:val="004956C8"/>
    <w:rsid w:val="0049582C"/>
    <w:rsid w:val="0049589D"/>
    <w:rsid w:val="004958B4"/>
    <w:rsid w:val="00495E9A"/>
    <w:rsid w:val="00495F6B"/>
    <w:rsid w:val="00496062"/>
    <w:rsid w:val="0049628F"/>
    <w:rsid w:val="004964DB"/>
    <w:rsid w:val="0049651B"/>
    <w:rsid w:val="00496796"/>
    <w:rsid w:val="00496D14"/>
    <w:rsid w:val="00496E31"/>
    <w:rsid w:val="00496E92"/>
    <w:rsid w:val="00496FC2"/>
    <w:rsid w:val="00497002"/>
    <w:rsid w:val="0049705B"/>
    <w:rsid w:val="004977C8"/>
    <w:rsid w:val="004978CD"/>
    <w:rsid w:val="00497A8E"/>
    <w:rsid w:val="004A03B6"/>
    <w:rsid w:val="004A03CA"/>
    <w:rsid w:val="004A04B7"/>
    <w:rsid w:val="004A07E1"/>
    <w:rsid w:val="004A0BEA"/>
    <w:rsid w:val="004A0E1F"/>
    <w:rsid w:val="004A10A8"/>
    <w:rsid w:val="004A10B2"/>
    <w:rsid w:val="004A1771"/>
    <w:rsid w:val="004A18C0"/>
    <w:rsid w:val="004A1D87"/>
    <w:rsid w:val="004A1F51"/>
    <w:rsid w:val="004A2330"/>
    <w:rsid w:val="004A2437"/>
    <w:rsid w:val="004A260F"/>
    <w:rsid w:val="004A3249"/>
    <w:rsid w:val="004A3277"/>
    <w:rsid w:val="004A39B9"/>
    <w:rsid w:val="004A46D2"/>
    <w:rsid w:val="004A46EB"/>
    <w:rsid w:val="004A4768"/>
    <w:rsid w:val="004A4954"/>
    <w:rsid w:val="004A4A26"/>
    <w:rsid w:val="004A4B3C"/>
    <w:rsid w:val="004A4D4B"/>
    <w:rsid w:val="004A549D"/>
    <w:rsid w:val="004A584B"/>
    <w:rsid w:val="004A5A3B"/>
    <w:rsid w:val="004A5CE2"/>
    <w:rsid w:val="004A5F9D"/>
    <w:rsid w:val="004A646D"/>
    <w:rsid w:val="004A6500"/>
    <w:rsid w:val="004A6615"/>
    <w:rsid w:val="004A68D2"/>
    <w:rsid w:val="004A6A18"/>
    <w:rsid w:val="004A6AAA"/>
    <w:rsid w:val="004A6ADB"/>
    <w:rsid w:val="004A6CCD"/>
    <w:rsid w:val="004A6D98"/>
    <w:rsid w:val="004A74B2"/>
    <w:rsid w:val="004A756D"/>
    <w:rsid w:val="004A757A"/>
    <w:rsid w:val="004A781E"/>
    <w:rsid w:val="004A7A1A"/>
    <w:rsid w:val="004A7C29"/>
    <w:rsid w:val="004A7D03"/>
    <w:rsid w:val="004B033F"/>
    <w:rsid w:val="004B0475"/>
    <w:rsid w:val="004B075C"/>
    <w:rsid w:val="004B0834"/>
    <w:rsid w:val="004B0919"/>
    <w:rsid w:val="004B0AD1"/>
    <w:rsid w:val="004B0AE9"/>
    <w:rsid w:val="004B0B9C"/>
    <w:rsid w:val="004B0D8E"/>
    <w:rsid w:val="004B0E6F"/>
    <w:rsid w:val="004B10EA"/>
    <w:rsid w:val="004B1261"/>
    <w:rsid w:val="004B1459"/>
    <w:rsid w:val="004B24AD"/>
    <w:rsid w:val="004B28FE"/>
    <w:rsid w:val="004B2F00"/>
    <w:rsid w:val="004B32CF"/>
    <w:rsid w:val="004B3675"/>
    <w:rsid w:val="004B3847"/>
    <w:rsid w:val="004B3B29"/>
    <w:rsid w:val="004B408C"/>
    <w:rsid w:val="004B43BA"/>
    <w:rsid w:val="004B4561"/>
    <w:rsid w:val="004B4A8B"/>
    <w:rsid w:val="004B4B28"/>
    <w:rsid w:val="004B4D52"/>
    <w:rsid w:val="004B4F49"/>
    <w:rsid w:val="004B5535"/>
    <w:rsid w:val="004B5596"/>
    <w:rsid w:val="004B58B6"/>
    <w:rsid w:val="004B5930"/>
    <w:rsid w:val="004B5B4E"/>
    <w:rsid w:val="004B5C98"/>
    <w:rsid w:val="004B5D7C"/>
    <w:rsid w:val="004B5F8E"/>
    <w:rsid w:val="004B5FA1"/>
    <w:rsid w:val="004B5FFA"/>
    <w:rsid w:val="004B6026"/>
    <w:rsid w:val="004B6029"/>
    <w:rsid w:val="004B65DE"/>
    <w:rsid w:val="004B6C61"/>
    <w:rsid w:val="004B6EB6"/>
    <w:rsid w:val="004B714B"/>
    <w:rsid w:val="004B76AA"/>
    <w:rsid w:val="004B76BF"/>
    <w:rsid w:val="004B77B5"/>
    <w:rsid w:val="004C008F"/>
    <w:rsid w:val="004C04D5"/>
    <w:rsid w:val="004C076E"/>
    <w:rsid w:val="004C11A9"/>
    <w:rsid w:val="004C1511"/>
    <w:rsid w:val="004C1B84"/>
    <w:rsid w:val="004C1F57"/>
    <w:rsid w:val="004C2012"/>
    <w:rsid w:val="004C220E"/>
    <w:rsid w:val="004C24A8"/>
    <w:rsid w:val="004C25AF"/>
    <w:rsid w:val="004C29BC"/>
    <w:rsid w:val="004C2E10"/>
    <w:rsid w:val="004C2F12"/>
    <w:rsid w:val="004C32AF"/>
    <w:rsid w:val="004C3316"/>
    <w:rsid w:val="004C3462"/>
    <w:rsid w:val="004C359F"/>
    <w:rsid w:val="004C3CBA"/>
    <w:rsid w:val="004C3DA9"/>
    <w:rsid w:val="004C3EDC"/>
    <w:rsid w:val="004C447F"/>
    <w:rsid w:val="004C4484"/>
    <w:rsid w:val="004C46BE"/>
    <w:rsid w:val="004C4C72"/>
    <w:rsid w:val="004C5210"/>
    <w:rsid w:val="004C5597"/>
    <w:rsid w:val="004C567B"/>
    <w:rsid w:val="004C5A68"/>
    <w:rsid w:val="004C5B32"/>
    <w:rsid w:val="004C5B82"/>
    <w:rsid w:val="004C5BAE"/>
    <w:rsid w:val="004C5C1F"/>
    <w:rsid w:val="004C5CF2"/>
    <w:rsid w:val="004C5FD6"/>
    <w:rsid w:val="004C6AB9"/>
    <w:rsid w:val="004C7494"/>
    <w:rsid w:val="004C74D8"/>
    <w:rsid w:val="004C76F5"/>
    <w:rsid w:val="004C77EA"/>
    <w:rsid w:val="004C7B27"/>
    <w:rsid w:val="004C7B7B"/>
    <w:rsid w:val="004C7C5D"/>
    <w:rsid w:val="004C7E4E"/>
    <w:rsid w:val="004C7ED9"/>
    <w:rsid w:val="004D019D"/>
    <w:rsid w:val="004D0BA8"/>
    <w:rsid w:val="004D0BB8"/>
    <w:rsid w:val="004D0C1F"/>
    <w:rsid w:val="004D0D1F"/>
    <w:rsid w:val="004D0FBB"/>
    <w:rsid w:val="004D1124"/>
    <w:rsid w:val="004D1308"/>
    <w:rsid w:val="004D1473"/>
    <w:rsid w:val="004D176E"/>
    <w:rsid w:val="004D1813"/>
    <w:rsid w:val="004D1829"/>
    <w:rsid w:val="004D1A0F"/>
    <w:rsid w:val="004D1A76"/>
    <w:rsid w:val="004D1AED"/>
    <w:rsid w:val="004D1B07"/>
    <w:rsid w:val="004D1CB1"/>
    <w:rsid w:val="004D1EB2"/>
    <w:rsid w:val="004D21B8"/>
    <w:rsid w:val="004D231D"/>
    <w:rsid w:val="004D23AB"/>
    <w:rsid w:val="004D253D"/>
    <w:rsid w:val="004D2743"/>
    <w:rsid w:val="004D3411"/>
    <w:rsid w:val="004D3BC8"/>
    <w:rsid w:val="004D4026"/>
    <w:rsid w:val="004D459C"/>
    <w:rsid w:val="004D471D"/>
    <w:rsid w:val="004D4749"/>
    <w:rsid w:val="004D496E"/>
    <w:rsid w:val="004D4A51"/>
    <w:rsid w:val="004D4D3D"/>
    <w:rsid w:val="004D4E64"/>
    <w:rsid w:val="004D4ED4"/>
    <w:rsid w:val="004D51D5"/>
    <w:rsid w:val="004D5291"/>
    <w:rsid w:val="004D52E1"/>
    <w:rsid w:val="004D5C31"/>
    <w:rsid w:val="004D5CBC"/>
    <w:rsid w:val="004D5D22"/>
    <w:rsid w:val="004D65A5"/>
    <w:rsid w:val="004D65FC"/>
    <w:rsid w:val="004D66BE"/>
    <w:rsid w:val="004D6829"/>
    <w:rsid w:val="004D6C28"/>
    <w:rsid w:val="004D6ED6"/>
    <w:rsid w:val="004D6EDD"/>
    <w:rsid w:val="004D708E"/>
    <w:rsid w:val="004D7635"/>
    <w:rsid w:val="004D7D08"/>
    <w:rsid w:val="004E04A7"/>
    <w:rsid w:val="004E055F"/>
    <w:rsid w:val="004E06CE"/>
    <w:rsid w:val="004E0A70"/>
    <w:rsid w:val="004E0A9F"/>
    <w:rsid w:val="004E0BE6"/>
    <w:rsid w:val="004E0E1D"/>
    <w:rsid w:val="004E0E8F"/>
    <w:rsid w:val="004E14C3"/>
    <w:rsid w:val="004E15D3"/>
    <w:rsid w:val="004E1839"/>
    <w:rsid w:val="004E1A1F"/>
    <w:rsid w:val="004E1ABC"/>
    <w:rsid w:val="004E1DC8"/>
    <w:rsid w:val="004E205C"/>
    <w:rsid w:val="004E20A2"/>
    <w:rsid w:val="004E23AC"/>
    <w:rsid w:val="004E240B"/>
    <w:rsid w:val="004E2427"/>
    <w:rsid w:val="004E27EF"/>
    <w:rsid w:val="004E2DA7"/>
    <w:rsid w:val="004E2DFE"/>
    <w:rsid w:val="004E31D7"/>
    <w:rsid w:val="004E327D"/>
    <w:rsid w:val="004E354C"/>
    <w:rsid w:val="004E3AD5"/>
    <w:rsid w:val="004E3F0C"/>
    <w:rsid w:val="004E4086"/>
    <w:rsid w:val="004E4567"/>
    <w:rsid w:val="004E46CD"/>
    <w:rsid w:val="004E4866"/>
    <w:rsid w:val="004E4909"/>
    <w:rsid w:val="004E4BB5"/>
    <w:rsid w:val="004E4E7C"/>
    <w:rsid w:val="004E4FDF"/>
    <w:rsid w:val="004E5077"/>
    <w:rsid w:val="004E5121"/>
    <w:rsid w:val="004E5893"/>
    <w:rsid w:val="004E5896"/>
    <w:rsid w:val="004E63F2"/>
    <w:rsid w:val="004E67F8"/>
    <w:rsid w:val="004E742C"/>
    <w:rsid w:val="004E76F4"/>
    <w:rsid w:val="004E7788"/>
    <w:rsid w:val="004E7A51"/>
    <w:rsid w:val="004E7AAE"/>
    <w:rsid w:val="004E7C6F"/>
    <w:rsid w:val="004E7FEA"/>
    <w:rsid w:val="004F0112"/>
    <w:rsid w:val="004F0141"/>
    <w:rsid w:val="004F03EE"/>
    <w:rsid w:val="004F0D5F"/>
    <w:rsid w:val="004F0E57"/>
    <w:rsid w:val="004F100A"/>
    <w:rsid w:val="004F12AF"/>
    <w:rsid w:val="004F14A6"/>
    <w:rsid w:val="004F1654"/>
    <w:rsid w:val="004F1FC3"/>
    <w:rsid w:val="004F24F7"/>
    <w:rsid w:val="004F2962"/>
    <w:rsid w:val="004F2993"/>
    <w:rsid w:val="004F2BA9"/>
    <w:rsid w:val="004F2BB3"/>
    <w:rsid w:val="004F30D3"/>
    <w:rsid w:val="004F3453"/>
    <w:rsid w:val="004F4205"/>
    <w:rsid w:val="004F4223"/>
    <w:rsid w:val="004F4943"/>
    <w:rsid w:val="004F4AF1"/>
    <w:rsid w:val="004F4F43"/>
    <w:rsid w:val="004F5049"/>
    <w:rsid w:val="004F541C"/>
    <w:rsid w:val="004F5687"/>
    <w:rsid w:val="004F56BC"/>
    <w:rsid w:val="004F5B63"/>
    <w:rsid w:val="004F5F30"/>
    <w:rsid w:val="004F607E"/>
    <w:rsid w:val="004F698A"/>
    <w:rsid w:val="004F69DA"/>
    <w:rsid w:val="004F6EEB"/>
    <w:rsid w:val="004F6F0B"/>
    <w:rsid w:val="004F712C"/>
    <w:rsid w:val="004F73CC"/>
    <w:rsid w:val="004F7462"/>
    <w:rsid w:val="004F7480"/>
    <w:rsid w:val="004F773B"/>
    <w:rsid w:val="004F7C13"/>
    <w:rsid w:val="004F7CF5"/>
    <w:rsid w:val="00500108"/>
    <w:rsid w:val="005002A8"/>
    <w:rsid w:val="00500811"/>
    <w:rsid w:val="00500863"/>
    <w:rsid w:val="005008DC"/>
    <w:rsid w:val="00500B63"/>
    <w:rsid w:val="00500B82"/>
    <w:rsid w:val="00501114"/>
    <w:rsid w:val="0050129C"/>
    <w:rsid w:val="005012F5"/>
    <w:rsid w:val="005019C1"/>
    <w:rsid w:val="00501E63"/>
    <w:rsid w:val="00501FCD"/>
    <w:rsid w:val="00502000"/>
    <w:rsid w:val="00502278"/>
    <w:rsid w:val="00502617"/>
    <w:rsid w:val="00502718"/>
    <w:rsid w:val="00502CE2"/>
    <w:rsid w:val="00502D5F"/>
    <w:rsid w:val="00502E9A"/>
    <w:rsid w:val="00503015"/>
    <w:rsid w:val="005030AE"/>
    <w:rsid w:val="0050365F"/>
    <w:rsid w:val="005036FF"/>
    <w:rsid w:val="005037D0"/>
    <w:rsid w:val="00503858"/>
    <w:rsid w:val="00503BC4"/>
    <w:rsid w:val="00503BCB"/>
    <w:rsid w:val="005042B9"/>
    <w:rsid w:val="0050443E"/>
    <w:rsid w:val="00504760"/>
    <w:rsid w:val="00504850"/>
    <w:rsid w:val="00504AEF"/>
    <w:rsid w:val="00505316"/>
    <w:rsid w:val="005063B7"/>
    <w:rsid w:val="00506657"/>
    <w:rsid w:val="00506968"/>
    <w:rsid w:val="00506AD6"/>
    <w:rsid w:val="00506C9F"/>
    <w:rsid w:val="00506ED5"/>
    <w:rsid w:val="00507337"/>
    <w:rsid w:val="00507368"/>
    <w:rsid w:val="00507750"/>
    <w:rsid w:val="005078BC"/>
    <w:rsid w:val="00507DA9"/>
    <w:rsid w:val="005102C3"/>
    <w:rsid w:val="00510B09"/>
    <w:rsid w:val="00510F3F"/>
    <w:rsid w:val="005112FB"/>
    <w:rsid w:val="00511310"/>
    <w:rsid w:val="005122B5"/>
    <w:rsid w:val="00512330"/>
    <w:rsid w:val="0051246A"/>
    <w:rsid w:val="00512951"/>
    <w:rsid w:val="00512EF3"/>
    <w:rsid w:val="00513099"/>
    <w:rsid w:val="00513103"/>
    <w:rsid w:val="005131D6"/>
    <w:rsid w:val="0051362E"/>
    <w:rsid w:val="005137DF"/>
    <w:rsid w:val="0051383D"/>
    <w:rsid w:val="00513A8B"/>
    <w:rsid w:val="00513DCE"/>
    <w:rsid w:val="00513E7E"/>
    <w:rsid w:val="00513E93"/>
    <w:rsid w:val="0051418B"/>
    <w:rsid w:val="00514340"/>
    <w:rsid w:val="00514696"/>
    <w:rsid w:val="005149DB"/>
    <w:rsid w:val="00514BBA"/>
    <w:rsid w:val="00514D06"/>
    <w:rsid w:val="005150DA"/>
    <w:rsid w:val="00515512"/>
    <w:rsid w:val="005159D4"/>
    <w:rsid w:val="00515E51"/>
    <w:rsid w:val="00516B63"/>
    <w:rsid w:val="00516D75"/>
    <w:rsid w:val="00516F20"/>
    <w:rsid w:val="005171A9"/>
    <w:rsid w:val="005173C4"/>
    <w:rsid w:val="005174D4"/>
    <w:rsid w:val="00517680"/>
    <w:rsid w:val="00517ABD"/>
    <w:rsid w:val="0052033E"/>
    <w:rsid w:val="00520340"/>
    <w:rsid w:val="0052077B"/>
    <w:rsid w:val="005208BA"/>
    <w:rsid w:val="0052091B"/>
    <w:rsid w:val="005209EF"/>
    <w:rsid w:val="00521100"/>
    <w:rsid w:val="00521E36"/>
    <w:rsid w:val="00521E78"/>
    <w:rsid w:val="005228D3"/>
    <w:rsid w:val="005229C9"/>
    <w:rsid w:val="00522DA1"/>
    <w:rsid w:val="00522E45"/>
    <w:rsid w:val="0052339E"/>
    <w:rsid w:val="0052346A"/>
    <w:rsid w:val="00523EE2"/>
    <w:rsid w:val="00524329"/>
    <w:rsid w:val="00524748"/>
    <w:rsid w:val="00524BEE"/>
    <w:rsid w:val="00524BFC"/>
    <w:rsid w:val="00524D14"/>
    <w:rsid w:val="00524DD4"/>
    <w:rsid w:val="00524E30"/>
    <w:rsid w:val="00524F2D"/>
    <w:rsid w:val="005251BE"/>
    <w:rsid w:val="00525A55"/>
    <w:rsid w:val="00525D3F"/>
    <w:rsid w:val="00526023"/>
    <w:rsid w:val="00526747"/>
    <w:rsid w:val="00526901"/>
    <w:rsid w:val="00526C47"/>
    <w:rsid w:val="00526F70"/>
    <w:rsid w:val="005270C4"/>
    <w:rsid w:val="0052728C"/>
    <w:rsid w:val="00527572"/>
    <w:rsid w:val="005275DD"/>
    <w:rsid w:val="005276E6"/>
    <w:rsid w:val="005276ED"/>
    <w:rsid w:val="00527B28"/>
    <w:rsid w:val="00527BE6"/>
    <w:rsid w:val="00527C9D"/>
    <w:rsid w:val="00527F08"/>
    <w:rsid w:val="00530043"/>
    <w:rsid w:val="0053033A"/>
    <w:rsid w:val="005306B9"/>
    <w:rsid w:val="005308ED"/>
    <w:rsid w:val="00530CA6"/>
    <w:rsid w:val="00530D96"/>
    <w:rsid w:val="0053127E"/>
    <w:rsid w:val="00531332"/>
    <w:rsid w:val="00531369"/>
    <w:rsid w:val="00531908"/>
    <w:rsid w:val="00531B9C"/>
    <w:rsid w:val="00531C66"/>
    <w:rsid w:val="00531FED"/>
    <w:rsid w:val="005323DC"/>
    <w:rsid w:val="00532471"/>
    <w:rsid w:val="005327F4"/>
    <w:rsid w:val="00532AAF"/>
    <w:rsid w:val="00532B47"/>
    <w:rsid w:val="00532EAA"/>
    <w:rsid w:val="005336F8"/>
    <w:rsid w:val="005338D4"/>
    <w:rsid w:val="005339C8"/>
    <w:rsid w:val="00533ED8"/>
    <w:rsid w:val="005344CC"/>
    <w:rsid w:val="00534642"/>
    <w:rsid w:val="0053475C"/>
    <w:rsid w:val="005348A2"/>
    <w:rsid w:val="0053543C"/>
    <w:rsid w:val="00535C6E"/>
    <w:rsid w:val="00535ED7"/>
    <w:rsid w:val="005363CC"/>
    <w:rsid w:val="005364CD"/>
    <w:rsid w:val="005366B6"/>
    <w:rsid w:val="00536751"/>
    <w:rsid w:val="00536A6B"/>
    <w:rsid w:val="005372F7"/>
    <w:rsid w:val="00537354"/>
    <w:rsid w:val="00537461"/>
    <w:rsid w:val="00537977"/>
    <w:rsid w:val="00537A17"/>
    <w:rsid w:val="00537AD7"/>
    <w:rsid w:val="00537DC5"/>
    <w:rsid w:val="00537EC7"/>
    <w:rsid w:val="0054041F"/>
    <w:rsid w:val="00540606"/>
    <w:rsid w:val="00540ABB"/>
    <w:rsid w:val="00540C43"/>
    <w:rsid w:val="00541060"/>
    <w:rsid w:val="00541346"/>
    <w:rsid w:val="0054140F"/>
    <w:rsid w:val="005418CF"/>
    <w:rsid w:val="00541A3B"/>
    <w:rsid w:val="00541D78"/>
    <w:rsid w:val="00541E4B"/>
    <w:rsid w:val="00541F32"/>
    <w:rsid w:val="00542002"/>
    <w:rsid w:val="0054205C"/>
    <w:rsid w:val="005422E9"/>
    <w:rsid w:val="005428E2"/>
    <w:rsid w:val="00542CB8"/>
    <w:rsid w:val="005438F2"/>
    <w:rsid w:val="00543CD9"/>
    <w:rsid w:val="00543EEB"/>
    <w:rsid w:val="00543F0B"/>
    <w:rsid w:val="0054414E"/>
    <w:rsid w:val="00544419"/>
    <w:rsid w:val="0054457A"/>
    <w:rsid w:val="0054476A"/>
    <w:rsid w:val="005448F4"/>
    <w:rsid w:val="00544AE5"/>
    <w:rsid w:val="00544CDE"/>
    <w:rsid w:val="00544EB5"/>
    <w:rsid w:val="005450B0"/>
    <w:rsid w:val="005451D6"/>
    <w:rsid w:val="005455B1"/>
    <w:rsid w:val="005457EC"/>
    <w:rsid w:val="00546142"/>
    <w:rsid w:val="005462FD"/>
    <w:rsid w:val="005463A3"/>
    <w:rsid w:val="005463DC"/>
    <w:rsid w:val="00546A1F"/>
    <w:rsid w:val="00546A2A"/>
    <w:rsid w:val="00546AC4"/>
    <w:rsid w:val="00546B54"/>
    <w:rsid w:val="00546D8E"/>
    <w:rsid w:val="00547125"/>
    <w:rsid w:val="005472E5"/>
    <w:rsid w:val="00547352"/>
    <w:rsid w:val="00547971"/>
    <w:rsid w:val="00547BA4"/>
    <w:rsid w:val="00547CD4"/>
    <w:rsid w:val="00547E93"/>
    <w:rsid w:val="00547FA7"/>
    <w:rsid w:val="00547FF1"/>
    <w:rsid w:val="00550373"/>
    <w:rsid w:val="00550537"/>
    <w:rsid w:val="005506D7"/>
    <w:rsid w:val="005507E1"/>
    <w:rsid w:val="0055095B"/>
    <w:rsid w:val="00550D35"/>
    <w:rsid w:val="005513E9"/>
    <w:rsid w:val="00551405"/>
    <w:rsid w:val="0055164F"/>
    <w:rsid w:val="00551AD5"/>
    <w:rsid w:val="00551DFF"/>
    <w:rsid w:val="00552395"/>
    <w:rsid w:val="005527C0"/>
    <w:rsid w:val="00552A91"/>
    <w:rsid w:val="00552C8F"/>
    <w:rsid w:val="00552D28"/>
    <w:rsid w:val="00552E98"/>
    <w:rsid w:val="005530AF"/>
    <w:rsid w:val="005533CA"/>
    <w:rsid w:val="00553810"/>
    <w:rsid w:val="00553AF1"/>
    <w:rsid w:val="00553C96"/>
    <w:rsid w:val="00553FD9"/>
    <w:rsid w:val="0055401D"/>
    <w:rsid w:val="005540B4"/>
    <w:rsid w:val="00554183"/>
    <w:rsid w:val="00554552"/>
    <w:rsid w:val="00554569"/>
    <w:rsid w:val="00554C25"/>
    <w:rsid w:val="00554CA7"/>
    <w:rsid w:val="00554FEA"/>
    <w:rsid w:val="00555122"/>
    <w:rsid w:val="0055589C"/>
    <w:rsid w:val="00555CF2"/>
    <w:rsid w:val="00555FA1"/>
    <w:rsid w:val="00555FFD"/>
    <w:rsid w:val="0055677B"/>
    <w:rsid w:val="00556D19"/>
    <w:rsid w:val="005571B0"/>
    <w:rsid w:val="0055724E"/>
    <w:rsid w:val="0055761E"/>
    <w:rsid w:val="005576CC"/>
    <w:rsid w:val="00557A2D"/>
    <w:rsid w:val="00557AD8"/>
    <w:rsid w:val="00557D93"/>
    <w:rsid w:val="00557E87"/>
    <w:rsid w:val="00557EA0"/>
    <w:rsid w:val="0056025A"/>
    <w:rsid w:val="005603DE"/>
    <w:rsid w:val="00560498"/>
    <w:rsid w:val="0056050C"/>
    <w:rsid w:val="0056054D"/>
    <w:rsid w:val="0056082F"/>
    <w:rsid w:val="00560963"/>
    <w:rsid w:val="00560995"/>
    <w:rsid w:val="00560ACD"/>
    <w:rsid w:val="00560B36"/>
    <w:rsid w:val="00561AFF"/>
    <w:rsid w:val="00561C60"/>
    <w:rsid w:val="00561D24"/>
    <w:rsid w:val="00561DB0"/>
    <w:rsid w:val="0056210C"/>
    <w:rsid w:val="0056247C"/>
    <w:rsid w:val="0056257E"/>
    <w:rsid w:val="00562B2E"/>
    <w:rsid w:val="00562B55"/>
    <w:rsid w:val="00562DA8"/>
    <w:rsid w:val="0056327D"/>
    <w:rsid w:val="005633F8"/>
    <w:rsid w:val="00563426"/>
    <w:rsid w:val="0056348A"/>
    <w:rsid w:val="005635CD"/>
    <w:rsid w:val="00563617"/>
    <w:rsid w:val="0056370D"/>
    <w:rsid w:val="0056388A"/>
    <w:rsid w:val="00563CF3"/>
    <w:rsid w:val="00563E8D"/>
    <w:rsid w:val="0056445C"/>
    <w:rsid w:val="00564756"/>
    <w:rsid w:val="00564AAB"/>
    <w:rsid w:val="00564C54"/>
    <w:rsid w:val="00564E5D"/>
    <w:rsid w:val="00565304"/>
    <w:rsid w:val="00565885"/>
    <w:rsid w:val="00565DEC"/>
    <w:rsid w:val="00566080"/>
    <w:rsid w:val="0056611B"/>
    <w:rsid w:val="005666DF"/>
    <w:rsid w:val="005668C1"/>
    <w:rsid w:val="005668D0"/>
    <w:rsid w:val="005672AD"/>
    <w:rsid w:val="00567463"/>
    <w:rsid w:val="005674AB"/>
    <w:rsid w:val="005678B1"/>
    <w:rsid w:val="00567FB9"/>
    <w:rsid w:val="005700DB"/>
    <w:rsid w:val="00570177"/>
    <w:rsid w:val="005703F4"/>
    <w:rsid w:val="00570CBD"/>
    <w:rsid w:val="00570FFB"/>
    <w:rsid w:val="0057107E"/>
    <w:rsid w:val="005710D1"/>
    <w:rsid w:val="00571678"/>
    <w:rsid w:val="00571AEC"/>
    <w:rsid w:val="00572440"/>
    <w:rsid w:val="00572616"/>
    <w:rsid w:val="0057319B"/>
    <w:rsid w:val="00573219"/>
    <w:rsid w:val="0057336C"/>
    <w:rsid w:val="005735BB"/>
    <w:rsid w:val="00573988"/>
    <w:rsid w:val="00573A35"/>
    <w:rsid w:val="00573C9A"/>
    <w:rsid w:val="00573F85"/>
    <w:rsid w:val="0057404F"/>
    <w:rsid w:val="005740F6"/>
    <w:rsid w:val="005741F0"/>
    <w:rsid w:val="005742B0"/>
    <w:rsid w:val="005744A4"/>
    <w:rsid w:val="005748BC"/>
    <w:rsid w:val="00574AEA"/>
    <w:rsid w:val="00574B15"/>
    <w:rsid w:val="00574E40"/>
    <w:rsid w:val="0057534B"/>
    <w:rsid w:val="005755B5"/>
    <w:rsid w:val="00575AC4"/>
    <w:rsid w:val="00575D21"/>
    <w:rsid w:val="00575DE2"/>
    <w:rsid w:val="005765CE"/>
    <w:rsid w:val="00576BFF"/>
    <w:rsid w:val="0057711F"/>
    <w:rsid w:val="00577258"/>
    <w:rsid w:val="00577341"/>
    <w:rsid w:val="005773E3"/>
    <w:rsid w:val="00577AC6"/>
    <w:rsid w:val="00577B59"/>
    <w:rsid w:val="005802A0"/>
    <w:rsid w:val="00580429"/>
    <w:rsid w:val="00580618"/>
    <w:rsid w:val="00580E08"/>
    <w:rsid w:val="00580ECB"/>
    <w:rsid w:val="00581A11"/>
    <w:rsid w:val="00581D26"/>
    <w:rsid w:val="00581EFC"/>
    <w:rsid w:val="00582042"/>
    <w:rsid w:val="005820DE"/>
    <w:rsid w:val="005821FF"/>
    <w:rsid w:val="00582437"/>
    <w:rsid w:val="005829C3"/>
    <w:rsid w:val="00582A88"/>
    <w:rsid w:val="00582B3A"/>
    <w:rsid w:val="00582FA5"/>
    <w:rsid w:val="00583075"/>
    <w:rsid w:val="00583203"/>
    <w:rsid w:val="005833BC"/>
    <w:rsid w:val="00583B35"/>
    <w:rsid w:val="005842A6"/>
    <w:rsid w:val="005843F2"/>
    <w:rsid w:val="00584558"/>
    <w:rsid w:val="005849FD"/>
    <w:rsid w:val="00584CEE"/>
    <w:rsid w:val="00584D43"/>
    <w:rsid w:val="005855FB"/>
    <w:rsid w:val="00585859"/>
    <w:rsid w:val="00586267"/>
    <w:rsid w:val="00586469"/>
    <w:rsid w:val="005870D3"/>
    <w:rsid w:val="0058753D"/>
    <w:rsid w:val="00587A9D"/>
    <w:rsid w:val="00587BAB"/>
    <w:rsid w:val="00587C40"/>
    <w:rsid w:val="00587F30"/>
    <w:rsid w:val="00590287"/>
    <w:rsid w:val="005906BF"/>
    <w:rsid w:val="00590BAF"/>
    <w:rsid w:val="00590C76"/>
    <w:rsid w:val="00590FA1"/>
    <w:rsid w:val="0059194D"/>
    <w:rsid w:val="00591C98"/>
    <w:rsid w:val="00591CD4"/>
    <w:rsid w:val="005920CF"/>
    <w:rsid w:val="00592311"/>
    <w:rsid w:val="0059284F"/>
    <w:rsid w:val="005929EF"/>
    <w:rsid w:val="005935DB"/>
    <w:rsid w:val="005935F6"/>
    <w:rsid w:val="005937EF"/>
    <w:rsid w:val="0059392A"/>
    <w:rsid w:val="0059399F"/>
    <w:rsid w:val="00593B2E"/>
    <w:rsid w:val="0059443E"/>
    <w:rsid w:val="005949A6"/>
    <w:rsid w:val="005949DB"/>
    <w:rsid w:val="00594BF9"/>
    <w:rsid w:val="00594D05"/>
    <w:rsid w:val="00595292"/>
    <w:rsid w:val="00595562"/>
    <w:rsid w:val="00595630"/>
    <w:rsid w:val="00595842"/>
    <w:rsid w:val="00595983"/>
    <w:rsid w:val="005959A9"/>
    <w:rsid w:val="00595B1F"/>
    <w:rsid w:val="00595DE3"/>
    <w:rsid w:val="005960DD"/>
    <w:rsid w:val="005962D7"/>
    <w:rsid w:val="00596524"/>
    <w:rsid w:val="0059681E"/>
    <w:rsid w:val="005968FE"/>
    <w:rsid w:val="00596BC6"/>
    <w:rsid w:val="00597034"/>
    <w:rsid w:val="00597035"/>
    <w:rsid w:val="00597086"/>
    <w:rsid w:val="00597601"/>
    <w:rsid w:val="005977A6"/>
    <w:rsid w:val="00597C51"/>
    <w:rsid w:val="00597E22"/>
    <w:rsid w:val="005A0110"/>
    <w:rsid w:val="005A0121"/>
    <w:rsid w:val="005A015A"/>
    <w:rsid w:val="005A01FF"/>
    <w:rsid w:val="005A0398"/>
    <w:rsid w:val="005A045A"/>
    <w:rsid w:val="005A08A8"/>
    <w:rsid w:val="005A0950"/>
    <w:rsid w:val="005A0B67"/>
    <w:rsid w:val="005A0D97"/>
    <w:rsid w:val="005A13B0"/>
    <w:rsid w:val="005A175A"/>
    <w:rsid w:val="005A1845"/>
    <w:rsid w:val="005A1852"/>
    <w:rsid w:val="005A1E4A"/>
    <w:rsid w:val="005A2354"/>
    <w:rsid w:val="005A27E6"/>
    <w:rsid w:val="005A290A"/>
    <w:rsid w:val="005A32A8"/>
    <w:rsid w:val="005A32E7"/>
    <w:rsid w:val="005A3416"/>
    <w:rsid w:val="005A3959"/>
    <w:rsid w:val="005A3BD2"/>
    <w:rsid w:val="005A3D1E"/>
    <w:rsid w:val="005A4253"/>
    <w:rsid w:val="005A427A"/>
    <w:rsid w:val="005A42BD"/>
    <w:rsid w:val="005A440E"/>
    <w:rsid w:val="005A4590"/>
    <w:rsid w:val="005A4658"/>
    <w:rsid w:val="005A4679"/>
    <w:rsid w:val="005A489C"/>
    <w:rsid w:val="005A48D7"/>
    <w:rsid w:val="005A4B01"/>
    <w:rsid w:val="005A5597"/>
    <w:rsid w:val="005A56B7"/>
    <w:rsid w:val="005A58C5"/>
    <w:rsid w:val="005A58CB"/>
    <w:rsid w:val="005A5BF1"/>
    <w:rsid w:val="005A5C8C"/>
    <w:rsid w:val="005A5E66"/>
    <w:rsid w:val="005A5ED6"/>
    <w:rsid w:val="005A6406"/>
    <w:rsid w:val="005A6A6F"/>
    <w:rsid w:val="005A7242"/>
    <w:rsid w:val="005A747E"/>
    <w:rsid w:val="005A76F1"/>
    <w:rsid w:val="005A7929"/>
    <w:rsid w:val="005A79AF"/>
    <w:rsid w:val="005A7C6C"/>
    <w:rsid w:val="005A7E96"/>
    <w:rsid w:val="005A7F8E"/>
    <w:rsid w:val="005B0124"/>
    <w:rsid w:val="005B01D4"/>
    <w:rsid w:val="005B0306"/>
    <w:rsid w:val="005B07A2"/>
    <w:rsid w:val="005B0811"/>
    <w:rsid w:val="005B0861"/>
    <w:rsid w:val="005B0C4D"/>
    <w:rsid w:val="005B0DD4"/>
    <w:rsid w:val="005B110E"/>
    <w:rsid w:val="005B1C20"/>
    <w:rsid w:val="005B1C21"/>
    <w:rsid w:val="005B1E2A"/>
    <w:rsid w:val="005B1E31"/>
    <w:rsid w:val="005B225C"/>
    <w:rsid w:val="005B2347"/>
    <w:rsid w:val="005B2353"/>
    <w:rsid w:val="005B25E9"/>
    <w:rsid w:val="005B2BA3"/>
    <w:rsid w:val="005B2C67"/>
    <w:rsid w:val="005B35CE"/>
    <w:rsid w:val="005B3773"/>
    <w:rsid w:val="005B3810"/>
    <w:rsid w:val="005B399F"/>
    <w:rsid w:val="005B3E28"/>
    <w:rsid w:val="005B4463"/>
    <w:rsid w:val="005B452B"/>
    <w:rsid w:val="005B4A43"/>
    <w:rsid w:val="005B4ACA"/>
    <w:rsid w:val="005B4EA2"/>
    <w:rsid w:val="005B51A0"/>
    <w:rsid w:val="005B56BB"/>
    <w:rsid w:val="005B57E5"/>
    <w:rsid w:val="005B5A19"/>
    <w:rsid w:val="005B5D0A"/>
    <w:rsid w:val="005B5D5F"/>
    <w:rsid w:val="005B5E6F"/>
    <w:rsid w:val="005B5FA3"/>
    <w:rsid w:val="005B6312"/>
    <w:rsid w:val="005B64EC"/>
    <w:rsid w:val="005B6715"/>
    <w:rsid w:val="005B684B"/>
    <w:rsid w:val="005B68D1"/>
    <w:rsid w:val="005B6AC5"/>
    <w:rsid w:val="005B6ADE"/>
    <w:rsid w:val="005B70C8"/>
    <w:rsid w:val="005B747E"/>
    <w:rsid w:val="005B7594"/>
    <w:rsid w:val="005B7CEC"/>
    <w:rsid w:val="005C0146"/>
    <w:rsid w:val="005C026D"/>
    <w:rsid w:val="005C02F1"/>
    <w:rsid w:val="005C087B"/>
    <w:rsid w:val="005C0BA7"/>
    <w:rsid w:val="005C0BC8"/>
    <w:rsid w:val="005C0EA2"/>
    <w:rsid w:val="005C11E9"/>
    <w:rsid w:val="005C1593"/>
    <w:rsid w:val="005C1661"/>
    <w:rsid w:val="005C173A"/>
    <w:rsid w:val="005C17AC"/>
    <w:rsid w:val="005C1E6F"/>
    <w:rsid w:val="005C1E7B"/>
    <w:rsid w:val="005C1ED0"/>
    <w:rsid w:val="005C2070"/>
    <w:rsid w:val="005C21B3"/>
    <w:rsid w:val="005C22C7"/>
    <w:rsid w:val="005C24A5"/>
    <w:rsid w:val="005C2BB1"/>
    <w:rsid w:val="005C2C02"/>
    <w:rsid w:val="005C2C34"/>
    <w:rsid w:val="005C34C2"/>
    <w:rsid w:val="005C351E"/>
    <w:rsid w:val="005C3B24"/>
    <w:rsid w:val="005C4377"/>
    <w:rsid w:val="005C4731"/>
    <w:rsid w:val="005C4848"/>
    <w:rsid w:val="005C4B44"/>
    <w:rsid w:val="005C4B5C"/>
    <w:rsid w:val="005C4D22"/>
    <w:rsid w:val="005C4E3C"/>
    <w:rsid w:val="005C52C2"/>
    <w:rsid w:val="005C5410"/>
    <w:rsid w:val="005C5470"/>
    <w:rsid w:val="005C555B"/>
    <w:rsid w:val="005C558B"/>
    <w:rsid w:val="005C596C"/>
    <w:rsid w:val="005C5A8C"/>
    <w:rsid w:val="005C5B0E"/>
    <w:rsid w:val="005C5CCD"/>
    <w:rsid w:val="005C5F4A"/>
    <w:rsid w:val="005C62F9"/>
    <w:rsid w:val="005C65EA"/>
    <w:rsid w:val="005C67C5"/>
    <w:rsid w:val="005C6849"/>
    <w:rsid w:val="005C685C"/>
    <w:rsid w:val="005C6A21"/>
    <w:rsid w:val="005C6AE0"/>
    <w:rsid w:val="005C6BF2"/>
    <w:rsid w:val="005C6D4F"/>
    <w:rsid w:val="005C6EB2"/>
    <w:rsid w:val="005C7530"/>
    <w:rsid w:val="005C7573"/>
    <w:rsid w:val="005C779B"/>
    <w:rsid w:val="005C77FB"/>
    <w:rsid w:val="005C7A1C"/>
    <w:rsid w:val="005D00A7"/>
    <w:rsid w:val="005D07E4"/>
    <w:rsid w:val="005D0A33"/>
    <w:rsid w:val="005D0BE2"/>
    <w:rsid w:val="005D104F"/>
    <w:rsid w:val="005D12CB"/>
    <w:rsid w:val="005D17E8"/>
    <w:rsid w:val="005D193D"/>
    <w:rsid w:val="005D1AF2"/>
    <w:rsid w:val="005D1BF6"/>
    <w:rsid w:val="005D1F8E"/>
    <w:rsid w:val="005D1FA1"/>
    <w:rsid w:val="005D236C"/>
    <w:rsid w:val="005D24F8"/>
    <w:rsid w:val="005D2563"/>
    <w:rsid w:val="005D25BD"/>
    <w:rsid w:val="005D2698"/>
    <w:rsid w:val="005D2806"/>
    <w:rsid w:val="005D2A31"/>
    <w:rsid w:val="005D2B14"/>
    <w:rsid w:val="005D2BC0"/>
    <w:rsid w:val="005D36B0"/>
    <w:rsid w:val="005D3C38"/>
    <w:rsid w:val="005D3E67"/>
    <w:rsid w:val="005D3F2F"/>
    <w:rsid w:val="005D3F9F"/>
    <w:rsid w:val="005D40B3"/>
    <w:rsid w:val="005D42F6"/>
    <w:rsid w:val="005D4581"/>
    <w:rsid w:val="005D46F6"/>
    <w:rsid w:val="005D47A9"/>
    <w:rsid w:val="005D48BB"/>
    <w:rsid w:val="005D4DA8"/>
    <w:rsid w:val="005D4E8C"/>
    <w:rsid w:val="005D5102"/>
    <w:rsid w:val="005D510F"/>
    <w:rsid w:val="005D54F9"/>
    <w:rsid w:val="005D5505"/>
    <w:rsid w:val="005D5CF6"/>
    <w:rsid w:val="005D606F"/>
    <w:rsid w:val="005D65BE"/>
    <w:rsid w:val="005D67E2"/>
    <w:rsid w:val="005D6E9E"/>
    <w:rsid w:val="005D70DA"/>
    <w:rsid w:val="005D71CE"/>
    <w:rsid w:val="005D73AA"/>
    <w:rsid w:val="005D7860"/>
    <w:rsid w:val="005D7A43"/>
    <w:rsid w:val="005D7A80"/>
    <w:rsid w:val="005E026C"/>
    <w:rsid w:val="005E07E2"/>
    <w:rsid w:val="005E0B27"/>
    <w:rsid w:val="005E0D3D"/>
    <w:rsid w:val="005E0F4B"/>
    <w:rsid w:val="005E10DC"/>
    <w:rsid w:val="005E11A5"/>
    <w:rsid w:val="005E1205"/>
    <w:rsid w:val="005E1265"/>
    <w:rsid w:val="005E143F"/>
    <w:rsid w:val="005E1611"/>
    <w:rsid w:val="005E1A21"/>
    <w:rsid w:val="005E2044"/>
    <w:rsid w:val="005E22C4"/>
    <w:rsid w:val="005E2672"/>
    <w:rsid w:val="005E2826"/>
    <w:rsid w:val="005E2A38"/>
    <w:rsid w:val="005E2B65"/>
    <w:rsid w:val="005E2DAD"/>
    <w:rsid w:val="005E3043"/>
    <w:rsid w:val="005E3048"/>
    <w:rsid w:val="005E30B5"/>
    <w:rsid w:val="005E30C5"/>
    <w:rsid w:val="005E3272"/>
    <w:rsid w:val="005E3354"/>
    <w:rsid w:val="005E3A3C"/>
    <w:rsid w:val="005E3B18"/>
    <w:rsid w:val="005E3B78"/>
    <w:rsid w:val="005E3D10"/>
    <w:rsid w:val="005E3E52"/>
    <w:rsid w:val="005E42FD"/>
    <w:rsid w:val="005E4660"/>
    <w:rsid w:val="005E4834"/>
    <w:rsid w:val="005E4907"/>
    <w:rsid w:val="005E4A2E"/>
    <w:rsid w:val="005E4C84"/>
    <w:rsid w:val="005E4CC0"/>
    <w:rsid w:val="005E4ECD"/>
    <w:rsid w:val="005E5B9C"/>
    <w:rsid w:val="005E5BC4"/>
    <w:rsid w:val="005E5CB8"/>
    <w:rsid w:val="005E5D0A"/>
    <w:rsid w:val="005E5E51"/>
    <w:rsid w:val="005E5EFA"/>
    <w:rsid w:val="005E6140"/>
    <w:rsid w:val="005E6363"/>
    <w:rsid w:val="005E72FC"/>
    <w:rsid w:val="005E7B6E"/>
    <w:rsid w:val="005F006E"/>
    <w:rsid w:val="005F016C"/>
    <w:rsid w:val="005F06B0"/>
    <w:rsid w:val="005F08D5"/>
    <w:rsid w:val="005F133D"/>
    <w:rsid w:val="005F16D1"/>
    <w:rsid w:val="005F1885"/>
    <w:rsid w:val="005F1F6C"/>
    <w:rsid w:val="005F2583"/>
    <w:rsid w:val="005F2707"/>
    <w:rsid w:val="005F284F"/>
    <w:rsid w:val="005F28B0"/>
    <w:rsid w:val="005F2953"/>
    <w:rsid w:val="005F2C54"/>
    <w:rsid w:val="005F2DBC"/>
    <w:rsid w:val="005F2DC3"/>
    <w:rsid w:val="005F2EFB"/>
    <w:rsid w:val="005F2F3A"/>
    <w:rsid w:val="005F30AE"/>
    <w:rsid w:val="005F3781"/>
    <w:rsid w:val="005F3896"/>
    <w:rsid w:val="005F4181"/>
    <w:rsid w:val="005F41FE"/>
    <w:rsid w:val="005F45CA"/>
    <w:rsid w:val="005F4FDD"/>
    <w:rsid w:val="005F5078"/>
    <w:rsid w:val="005F5675"/>
    <w:rsid w:val="005F5B06"/>
    <w:rsid w:val="005F5EB3"/>
    <w:rsid w:val="005F5F04"/>
    <w:rsid w:val="005F5FFF"/>
    <w:rsid w:val="005F633A"/>
    <w:rsid w:val="005F65C8"/>
    <w:rsid w:val="005F6785"/>
    <w:rsid w:val="005F67A6"/>
    <w:rsid w:val="005F6841"/>
    <w:rsid w:val="005F6C0A"/>
    <w:rsid w:val="005F6C1C"/>
    <w:rsid w:val="005F6CF4"/>
    <w:rsid w:val="005F7908"/>
    <w:rsid w:val="005F7D42"/>
    <w:rsid w:val="005F7F46"/>
    <w:rsid w:val="006003C2"/>
    <w:rsid w:val="006003CA"/>
    <w:rsid w:val="006004AD"/>
    <w:rsid w:val="006008F5"/>
    <w:rsid w:val="006009F5"/>
    <w:rsid w:val="00600C28"/>
    <w:rsid w:val="00600DCA"/>
    <w:rsid w:val="0060115B"/>
    <w:rsid w:val="00601A60"/>
    <w:rsid w:val="00601B29"/>
    <w:rsid w:val="00601DAD"/>
    <w:rsid w:val="00601E4B"/>
    <w:rsid w:val="00601F87"/>
    <w:rsid w:val="0060220E"/>
    <w:rsid w:val="006022F6"/>
    <w:rsid w:val="00602608"/>
    <w:rsid w:val="00602A56"/>
    <w:rsid w:val="00602CD8"/>
    <w:rsid w:val="006034CA"/>
    <w:rsid w:val="006036F3"/>
    <w:rsid w:val="00603C68"/>
    <w:rsid w:val="0060478C"/>
    <w:rsid w:val="00604891"/>
    <w:rsid w:val="00604C02"/>
    <w:rsid w:val="00604DCE"/>
    <w:rsid w:val="0060557D"/>
    <w:rsid w:val="00605682"/>
    <w:rsid w:val="00606352"/>
    <w:rsid w:val="006067C6"/>
    <w:rsid w:val="0060681E"/>
    <w:rsid w:val="00606821"/>
    <w:rsid w:val="006068CE"/>
    <w:rsid w:val="006068D8"/>
    <w:rsid w:val="0060691D"/>
    <w:rsid w:val="00606AAA"/>
    <w:rsid w:val="00606F95"/>
    <w:rsid w:val="0060736D"/>
    <w:rsid w:val="006077DF"/>
    <w:rsid w:val="0060783A"/>
    <w:rsid w:val="0060797D"/>
    <w:rsid w:val="0061023C"/>
    <w:rsid w:val="00610530"/>
    <w:rsid w:val="00610782"/>
    <w:rsid w:val="006108A5"/>
    <w:rsid w:val="00610998"/>
    <w:rsid w:val="00610AEF"/>
    <w:rsid w:val="00610C50"/>
    <w:rsid w:val="00610EC9"/>
    <w:rsid w:val="0061104B"/>
    <w:rsid w:val="0061108C"/>
    <w:rsid w:val="006114E8"/>
    <w:rsid w:val="00611778"/>
    <w:rsid w:val="00611930"/>
    <w:rsid w:val="00611B2D"/>
    <w:rsid w:val="00612002"/>
    <w:rsid w:val="006122BE"/>
    <w:rsid w:val="00612421"/>
    <w:rsid w:val="006126F1"/>
    <w:rsid w:val="0061272D"/>
    <w:rsid w:val="0061281B"/>
    <w:rsid w:val="0061293F"/>
    <w:rsid w:val="00612C3D"/>
    <w:rsid w:val="00612E80"/>
    <w:rsid w:val="00612F02"/>
    <w:rsid w:val="00612F71"/>
    <w:rsid w:val="006135F8"/>
    <w:rsid w:val="00613752"/>
    <w:rsid w:val="006137B7"/>
    <w:rsid w:val="00613AEC"/>
    <w:rsid w:val="00613EEA"/>
    <w:rsid w:val="00614001"/>
    <w:rsid w:val="006140A5"/>
    <w:rsid w:val="0061445B"/>
    <w:rsid w:val="006144A6"/>
    <w:rsid w:val="00614862"/>
    <w:rsid w:val="00614ACA"/>
    <w:rsid w:val="00614CD2"/>
    <w:rsid w:val="00614F9E"/>
    <w:rsid w:val="00615065"/>
    <w:rsid w:val="00615304"/>
    <w:rsid w:val="00615488"/>
    <w:rsid w:val="00615831"/>
    <w:rsid w:val="00615D30"/>
    <w:rsid w:val="00615DE6"/>
    <w:rsid w:val="00616118"/>
    <w:rsid w:val="00616126"/>
    <w:rsid w:val="00616192"/>
    <w:rsid w:val="0061641B"/>
    <w:rsid w:val="00616B80"/>
    <w:rsid w:val="00616CA5"/>
    <w:rsid w:val="00616D47"/>
    <w:rsid w:val="0061716B"/>
    <w:rsid w:val="00617980"/>
    <w:rsid w:val="00617A14"/>
    <w:rsid w:val="00617AA1"/>
    <w:rsid w:val="006205DE"/>
    <w:rsid w:val="00620A0A"/>
    <w:rsid w:val="00620E3E"/>
    <w:rsid w:val="00621637"/>
    <w:rsid w:val="00621643"/>
    <w:rsid w:val="00621902"/>
    <w:rsid w:val="006219F3"/>
    <w:rsid w:val="00621ACC"/>
    <w:rsid w:val="00621E69"/>
    <w:rsid w:val="00621F10"/>
    <w:rsid w:val="0062231B"/>
    <w:rsid w:val="0062244A"/>
    <w:rsid w:val="006227D8"/>
    <w:rsid w:val="00622841"/>
    <w:rsid w:val="006229B5"/>
    <w:rsid w:val="00622B41"/>
    <w:rsid w:val="00622BF1"/>
    <w:rsid w:val="00622C24"/>
    <w:rsid w:val="00622CE4"/>
    <w:rsid w:val="00622D3E"/>
    <w:rsid w:val="006234F8"/>
    <w:rsid w:val="00623D67"/>
    <w:rsid w:val="00624253"/>
    <w:rsid w:val="0062437D"/>
    <w:rsid w:val="006245DB"/>
    <w:rsid w:val="006246E3"/>
    <w:rsid w:val="006248C6"/>
    <w:rsid w:val="00624D59"/>
    <w:rsid w:val="00625520"/>
    <w:rsid w:val="00625A2A"/>
    <w:rsid w:val="00625AD1"/>
    <w:rsid w:val="006263E9"/>
    <w:rsid w:val="00626838"/>
    <w:rsid w:val="006272AA"/>
    <w:rsid w:val="00627523"/>
    <w:rsid w:val="00627C7B"/>
    <w:rsid w:val="00627C7C"/>
    <w:rsid w:val="00627D0F"/>
    <w:rsid w:val="00627D6F"/>
    <w:rsid w:val="00627E63"/>
    <w:rsid w:val="006301CB"/>
    <w:rsid w:val="0063028D"/>
    <w:rsid w:val="00630378"/>
    <w:rsid w:val="00630806"/>
    <w:rsid w:val="00630923"/>
    <w:rsid w:val="00630EB3"/>
    <w:rsid w:val="00630FA7"/>
    <w:rsid w:val="00631173"/>
    <w:rsid w:val="00631620"/>
    <w:rsid w:val="00631770"/>
    <w:rsid w:val="00631A27"/>
    <w:rsid w:val="00631A83"/>
    <w:rsid w:val="0063204E"/>
    <w:rsid w:val="00632834"/>
    <w:rsid w:val="006329B8"/>
    <w:rsid w:val="00632B8A"/>
    <w:rsid w:val="00633123"/>
    <w:rsid w:val="006334CD"/>
    <w:rsid w:val="006335B0"/>
    <w:rsid w:val="006336BD"/>
    <w:rsid w:val="00633B14"/>
    <w:rsid w:val="00633B7F"/>
    <w:rsid w:val="0063418F"/>
    <w:rsid w:val="0063425A"/>
    <w:rsid w:val="0063465A"/>
    <w:rsid w:val="00634704"/>
    <w:rsid w:val="0063479B"/>
    <w:rsid w:val="00634D64"/>
    <w:rsid w:val="0063501E"/>
    <w:rsid w:val="006350F6"/>
    <w:rsid w:val="00635242"/>
    <w:rsid w:val="006352A3"/>
    <w:rsid w:val="006353DB"/>
    <w:rsid w:val="00635476"/>
    <w:rsid w:val="006358EE"/>
    <w:rsid w:val="00635AB4"/>
    <w:rsid w:val="00635ED2"/>
    <w:rsid w:val="00636058"/>
    <w:rsid w:val="00636250"/>
    <w:rsid w:val="006362D3"/>
    <w:rsid w:val="006363CB"/>
    <w:rsid w:val="00636509"/>
    <w:rsid w:val="006365A0"/>
    <w:rsid w:val="00636C05"/>
    <w:rsid w:val="00636F08"/>
    <w:rsid w:val="00636F90"/>
    <w:rsid w:val="006370F2"/>
    <w:rsid w:val="00637150"/>
    <w:rsid w:val="006371B6"/>
    <w:rsid w:val="00637648"/>
    <w:rsid w:val="00637884"/>
    <w:rsid w:val="006378CA"/>
    <w:rsid w:val="0063791C"/>
    <w:rsid w:val="00637A58"/>
    <w:rsid w:val="00637A7C"/>
    <w:rsid w:val="00637C0D"/>
    <w:rsid w:val="00640A4D"/>
    <w:rsid w:val="00640AC6"/>
    <w:rsid w:val="00640DA4"/>
    <w:rsid w:val="00641098"/>
    <w:rsid w:val="0064191C"/>
    <w:rsid w:val="00641A66"/>
    <w:rsid w:val="00641A99"/>
    <w:rsid w:val="00642040"/>
    <w:rsid w:val="006421A2"/>
    <w:rsid w:val="0064240F"/>
    <w:rsid w:val="00642701"/>
    <w:rsid w:val="006429B7"/>
    <w:rsid w:val="00642E44"/>
    <w:rsid w:val="00642EB6"/>
    <w:rsid w:val="00643078"/>
    <w:rsid w:val="006436A4"/>
    <w:rsid w:val="00643850"/>
    <w:rsid w:val="00643865"/>
    <w:rsid w:val="00643BB3"/>
    <w:rsid w:val="00643C85"/>
    <w:rsid w:val="00644148"/>
    <w:rsid w:val="00644320"/>
    <w:rsid w:val="00644671"/>
    <w:rsid w:val="00644896"/>
    <w:rsid w:val="0064496A"/>
    <w:rsid w:val="00644AF5"/>
    <w:rsid w:val="00644BCD"/>
    <w:rsid w:val="00644E3A"/>
    <w:rsid w:val="0064547C"/>
    <w:rsid w:val="0064549C"/>
    <w:rsid w:val="006454D9"/>
    <w:rsid w:val="006459A9"/>
    <w:rsid w:val="00645FC3"/>
    <w:rsid w:val="00646864"/>
    <w:rsid w:val="00646874"/>
    <w:rsid w:val="00646A0A"/>
    <w:rsid w:val="00646B6D"/>
    <w:rsid w:val="006478B6"/>
    <w:rsid w:val="00647D93"/>
    <w:rsid w:val="0065053D"/>
    <w:rsid w:val="00650839"/>
    <w:rsid w:val="006509B2"/>
    <w:rsid w:val="00650E25"/>
    <w:rsid w:val="006514E6"/>
    <w:rsid w:val="0065171B"/>
    <w:rsid w:val="006517BC"/>
    <w:rsid w:val="00651919"/>
    <w:rsid w:val="006519C2"/>
    <w:rsid w:val="00652017"/>
    <w:rsid w:val="00652634"/>
    <w:rsid w:val="0065273D"/>
    <w:rsid w:val="00652AD4"/>
    <w:rsid w:val="00652DDB"/>
    <w:rsid w:val="00652F47"/>
    <w:rsid w:val="006532B1"/>
    <w:rsid w:val="0065350B"/>
    <w:rsid w:val="0065354D"/>
    <w:rsid w:val="00653666"/>
    <w:rsid w:val="0065386D"/>
    <w:rsid w:val="00653D60"/>
    <w:rsid w:val="00653E8A"/>
    <w:rsid w:val="006546FC"/>
    <w:rsid w:val="0065487F"/>
    <w:rsid w:val="00654960"/>
    <w:rsid w:val="00654E42"/>
    <w:rsid w:val="00654FBC"/>
    <w:rsid w:val="00655687"/>
    <w:rsid w:val="00655A95"/>
    <w:rsid w:val="00655B3A"/>
    <w:rsid w:val="00655F95"/>
    <w:rsid w:val="0065611C"/>
    <w:rsid w:val="006568A2"/>
    <w:rsid w:val="00656D6A"/>
    <w:rsid w:val="00656EF3"/>
    <w:rsid w:val="006571C6"/>
    <w:rsid w:val="00657495"/>
    <w:rsid w:val="00657596"/>
    <w:rsid w:val="00657C4F"/>
    <w:rsid w:val="00657C68"/>
    <w:rsid w:val="00657C9D"/>
    <w:rsid w:val="00657F44"/>
    <w:rsid w:val="006600DB"/>
    <w:rsid w:val="006602C9"/>
    <w:rsid w:val="0066030A"/>
    <w:rsid w:val="00660317"/>
    <w:rsid w:val="006603C0"/>
    <w:rsid w:val="00660511"/>
    <w:rsid w:val="00660798"/>
    <w:rsid w:val="0066099E"/>
    <w:rsid w:val="00660D51"/>
    <w:rsid w:val="00661117"/>
    <w:rsid w:val="006614CB"/>
    <w:rsid w:val="0066150C"/>
    <w:rsid w:val="006625AE"/>
    <w:rsid w:val="00662D0F"/>
    <w:rsid w:val="00662F64"/>
    <w:rsid w:val="006632BB"/>
    <w:rsid w:val="00663352"/>
    <w:rsid w:val="0066337D"/>
    <w:rsid w:val="006633FD"/>
    <w:rsid w:val="00663626"/>
    <w:rsid w:val="0066373A"/>
    <w:rsid w:val="0066384C"/>
    <w:rsid w:val="00663B50"/>
    <w:rsid w:val="00663B59"/>
    <w:rsid w:val="00663CA1"/>
    <w:rsid w:val="00663E40"/>
    <w:rsid w:val="00663E5F"/>
    <w:rsid w:val="00664483"/>
    <w:rsid w:val="00664C48"/>
    <w:rsid w:val="006650E1"/>
    <w:rsid w:val="00665228"/>
    <w:rsid w:val="006655D0"/>
    <w:rsid w:val="00665AE8"/>
    <w:rsid w:val="00665CBD"/>
    <w:rsid w:val="00665F41"/>
    <w:rsid w:val="00666516"/>
    <w:rsid w:val="0066663B"/>
    <w:rsid w:val="0066692A"/>
    <w:rsid w:val="0066697E"/>
    <w:rsid w:val="006669B0"/>
    <w:rsid w:val="006669BA"/>
    <w:rsid w:val="00666D9D"/>
    <w:rsid w:val="00667190"/>
    <w:rsid w:val="006672AD"/>
    <w:rsid w:val="006672AF"/>
    <w:rsid w:val="00667356"/>
    <w:rsid w:val="0066775B"/>
    <w:rsid w:val="0066793B"/>
    <w:rsid w:val="00667C13"/>
    <w:rsid w:val="00667EC2"/>
    <w:rsid w:val="00667F77"/>
    <w:rsid w:val="006702AA"/>
    <w:rsid w:val="00670313"/>
    <w:rsid w:val="00670429"/>
    <w:rsid w:val="00670780"/>
    <w:rsid w:val="00670983"/>
    <w:rsid w:val="00670BE4"/>
    <w:rsid w:val="00670DD7"/>
    <w:rsid w:val="00670FAD"/>
    <w:rsid w:val="00671088"/>
    <w:rsid w:val="006711A1"/>
    <w:rsid w:val="00671358"/>
    <w:rsid w:val="006715BB"/>
    <w:rsid w:val="006716C8"/>
    <w:rsid w:val="00671D50"/>
    <w:rsid w:val="00672764"/>
    <w:rsid w:val="006727CF"/>
    <w:rsid w:val="006728AB"/>
    <w:rsid w:val="00672C35"/>
    <w:rsid w:val="00672C85"/>
    <w:rsid w:val="00672CCC"/>
    <w:rsid w:val="00672D90"/>
    <w:rsid w:val="006736C8"/>
    <w:rsid w:val="00673EB9"/>
    <w:rsid w:val="00673F0C"/>
    <w:rsid w:val="006744E3"/>
    <w:rsid w:val="00674738"/>
    <w:rsid w:val="00674757"/>
    <w:rsid w:val="00674941"/>
    <w:rsid w:val="00674A84"/>
    <w:rsid w:val="006752F6"/>
    <w:rsid w:val="0067549A"/>
    <w:rsid w:val="006755ED"/>
    <w:rsid w:val="006757AE"/>
    <w:rsid w:val="006757C1"/>
    <w:rsid w:val="0067585D"/>
    <w:rsid w:val="00675AA9"/>
    <w:rsid w:val="00675EFB"/>
    <w:rsid w:val="00675F7A"/>
    <w:rsid w:val="006765A4"/>
    <w:rsid w:val="006766C8"/>
    <w:rsid w:val="006767F1"/>
    <w:rsid w:val="00676B0A"/>
    <w:rsid w:val="006770C6"/>
    <w:rsid w:val="00677411"/>
    <w:rsid w:val="0067741F"/>
    <w:rsid w:val="0067753F"/>
    <w:rsid w:val="00677547"/>
    <w:rsid w:val="006779DB"/>
    <w:rsid w:val="00677A31"/>
    <w:rsid w:val="00677A4F"/>
    <w:rsid w:val="00677A80"/>
    <w:rsid w:val="00677CDF"/>
    <w:rsid w:val="006802D9"/>
    <w:rsid w:val="0068035F"/>
    <w:rsid w:val="00680388"/>
    <w:rsid w:val="00680632"/>
    <w:rsid w:val="0068065E"/>
    <w:rsid w:val="006806B2"/>
    <w:rsid w:val="00680A35"/>
    <w:rsid w:val="00680C83"/>
    <w:rsid w:val="00680C8C"/>
    <w:rsid w:val="00680CCA"/>
    <w:rsid w:val="00680F91"/>
    <w:rsid w:val="00681935"/>
    <w:rsid w:val="0068261C"/>
    <w:rsid w:val="00682640"/>
    <w:rsid w:val="00682B2C"/>
    <w:rsid w:val="00683110"/>
    <w:rsid w:val="006839C7"/>
    <w:rsid w:val="00683D5C"/>
    <w:rsid w:val="006841BB"/>
    <w:rsid w:val="006841E5"/>
    <w:rsid w:val="00684309"/>
    <w:rsid w:val="0068448C"/>
    <w:rsid w:val="006844EA"/>
    <w:rsid w:val="006847CB"/>
    <w:rsid w:val="006849BD"/>
    <w:rsid w:val="00684B16"/>
    <w:rsid w:val="00684BF4"/>
    <w:rsid w:val="00684E11"/>
    <w:rsid w:val="00684E8F"/>
    <w:rsid w:val="0068534B"/>
    <w:rsid w:val="0068547B"/>
    <w:rsid w:val="006854A2"/>
    <w:rsid w:val="006855C6"/>
    <w:rsid w:val="00685E42"/>
    <w:rsid w:val="00685F09"/>
    <w:rsid w:val="0068617E"/>
    <w:rsid w:val="006862C7"/>
    <w:rsid w:val="00686491"/>
    <w:rsid w:val="00686A59"/>
    <w:rsid w:val="00686C6B"/>
    <w:rsid w:val="00686C94"/>
    <w:rsid w:val="00686CB6"/>
    <w:rsid w:val="00686D56"/>
    <w:rsid w:val="00686FFE"/>
    <w:rsid w:val="006871A0"/>
    <w:rsid w:val="00687234"/>
    <w:rsid w:val="0068751D"/>
    <w:rsid w:val="00687A49"/>
    <w:rsid w:val="00687C36"/>
    <w:rsid w:val="00690169"/>
    <w:rsid w:val="006901C3"/>
    <w:rsid w:val="00690476"/>
    <w:rsid w:val="006904D5"/>
    <w:rsid w:val="00690875"/>
    <w:rsid w:val="00690A84"/>
    <w:rsid w:val="00690E16"/>
    <w:rsid w:val="00690EF4"/>
    <w:rsid w:val="006910B0"/>
    <w:rsid w:val="0069159B"/>
    <w:rsid w:val="006917BD"/>
    <w:rsid w:val="00691A4E"/>
    <w:rsid w:val="00691B26"/>
    <w:rsid w:val="00691C08"/>
    <w:rsid w:val="00692396"/>
    <w:rsid w:val="00692451"/>
    <w:rsid w:val="00692643"/>
    <w:rsid w:val="00693179"/>
    <w:rsid w:val="006931FE"/>
    <w:rsid w:val="006932AD"/>
    <w:rsid w:val="00693341"/>
    <w:rsid w:val="00693567"/>
    <w:rsid w:val="006936B3"/>
    <w:rsid w:val="00693DC9"/>
    <w:rsid w:val="00693EF3"/>
    <w:rsid w:val="006943E3"/>
    <w:rsid w:val="006943F7"/>
    <w:rsid w:val="00694715"/>
    <w:rsid w:val="006947D6"/>
    <w:rsid w:val="006948C1"/>
    <w:rsid w:val="006949E6"/>
    <w:rsid w:val="00694E6A"/>
    <w:rsid w:val="00694FA1"/>
    <w:rsid w:val="0069504E"/>
    <w:rsid w:val="0069505F"/>
    <w:rsid w:val="00695182"/>
    <w:rsid w:val="0069552B"/>
    <w:rsid w:val="00695DAC"/>
    <w:rsid w:val="00695DBC"/>
    <w:rsid w:val="00695F1C"/>
    <w:rsid w:val="0069608C"/>
    <w:rsid w:val="00696160"/>
    <w:rsid w:val="006966B1"/>
    <w:rsid w:val="00696818"/>
    <w:rsid w:val="00696A55"/>
    <w:rsid w:val="00696E09"/>
    <w:rsid w:val="006970B4"/>
    <w:rsid w:val="00697319"/>
    <w:rsid w:val="00697712"/>
    <w:rsid w:val="00697952"/>
    <w:rsid w:val="006979E9"/>
    <w:rsid w:val="006A0347"/>
    <w:rsid w:val="006A049A"/>
    <w:rsid w:val="006A0877"/>
    <w:rsid w:val="006A0A17"/>
    <w:rsid w:val="006A0A47"/>
    <w:rsid w:val="006A0A6B"/>
    <w:rsid w:val="006A0C63"/>
    <w:rsid w:val="006A0D57"/>
    <w:rsid w:val="006A0D87"/>
    <w:rsid w:val="006A0FBA"/>
    <w:rsid w:val="006A1005"/>
    <w:rsid w:val="006A1057"/>
    <w:rsid w:val="006A11EB"/>
    <w:rsid w:val="006A1246"/>
    <w:rsid w:val="006A1B7F"/>
    <w:rsid w:val="006A2142"/>
    <w:rsid w:val="006A21A5"/>
    <w:rsid w:val="006A2330"/>
    <w:rsid w:val="006A2D2A"/>
    <w:rsid w:val="006A2D7D"/>
    <w:rsid w:val="006A2E88"/>
    <w:rsid w:val="006A3032"/>
    <w:rsid w:val="006A3039"/>
    <w:rsid w:val="006A30F7"/>
    <w:rsid w:val="006A338E"/>
    <w:rsid w:val="006A379F"/>
    <w:rsid w:val="006A3ED4"/>
    <w:rsid w:val="006A451B"/>
    <w:rsid w:val="006A4805"/>
    <w:rsid w:val="006A4A77"/>
    <w:rsid w:val="006A4DB5"/>
    <w:rsid w:val="006A5AE3"/>
    <w:rsid w:val="006A5CE1"/>
    <w:rsid w:val="006A6485"/>
    <w:rsid w:val="006A65C1"/>
    <w:rsid w:val="006A6640"/>
    <w:rsid w:val="006A66D0"/>
    <w:rsid w:val="006A6CB2"/>
    <w:rsid w:val="006A6D50"/>
    <w:rsid w:val="006A741C"/>
    <w:rsid w:val="006A7646"/>
    <w:rsid w:val="006A774F"/>
    <w:rsid w:val="006A77A2"/>
    <w:rsid w:val="006A7939"/>
    <w:rsid w:val="006A7AFC"/>
    <w:rsid w:val="006A7C44"/>
    <w:rsid w:val="006A7F5E"/>
    <w:rsid w:val="006B02B7"/>
    <w:rsid w:val="006B0513"/>
    <w:rsid w:val="006B09A5"/>
    <w:rsid w:val="006B0B9C"/>
    <w:rsid w:val="006B0CC4"/>
    <w:rsid w:val="006B0D8A"/>
    <w:rsid w:val="006B1048"/>
    <w:rsid w:val="006B1134"/>
    <w:rsid w:val="006B145D"/>
    <w:rsid w:val="006B167D"/>
    <w:rsid w:val="006B1802"/>
    <w:rsid w:val="006B1A63"/>
    <w:rsid w:val="006B1AF0"/>
    <w:rsid w:val="006B1D87"/>
    <w:rsid w:val="006B20EA"/>
    <w:rsid w:val="006B2A34"/>
    <w:rsid w:val="006B2AF4"/>
    <w:rsid w:val="006B308E"/>
    <w:rsid w:val="006B30A0"/>
    <w:rsid w:val="006B3174"/>
    <w:rsid w:val="006B33EB"/>
    <w:rsid w:val="006B3687"/>
    <w:rsid w:val="006B3821"/>
    <w:rsid w:val="006B38BF"/>
    <w:rsid w:val="006B3A39"/>
    <w:rsid w:val="006B3DE6"/>
    <w:rsid w:val="006B40E0"/>
    <w:rsid w:val="006B41BC"/>
    <w:rsid w:val="006B4377"/>
    <w:rsid w:val="006B49B7"/>
    <w:rsid w:val="006B4A25"/>
    <w:rsid w:val="006B4A66"/>
    <w:rsid w:val="006B4C5F"/>
    <w:rsid w:val="006B4FAF"/>
    <w:rsid w:val="006B553B"/>
    <w:rsid w:val="006B55FF"/>
    <w:rsid w:val="006B58D6"/>
    <w:rsid w:val="006B5F33"/>
    <w:rsid w:val="006B632A"/>
    <w:rsid w:val="006B63DC"/>
    <w:rsid w:val="006B6471"/>
    <w:rsid w:val="006B694D"/>
    <w:rsid w:val="006B7000"/>
    <w:rsid w:val="006B7093"/>
    <w:rsid w:val="006B7154"/>
    <w:rsid w:val="006B7172"/>
    <w:rsid w:val="006B72E8"/>
    <w:rsid w:val="006B78C6"/>
    <w:rsid w:val="006B7D88"/>
    <w:rsid w:val="006C00DF"/>
    <w:rsid w:val="006C0107"/>
    <w:rsid w:val="006C07EF"/>
    <w:rsid w:val="006C084F"/>
    <w:rsid w:val="006C0BD8"/>
    <w:rsid w:val="006C0C33"/>
    <w:rsid w:val="006C0DF5"/>
    <w:rsid w:val="006C0F1A"/>
    <w:rsid w:val="006C1226"/>
    <w:rsid w:val="006C1333"/>
    <w:rsid w:val="006C19FD"/>
    <w:rsid w:val="006C1D38"/>
    <w:rsid w:val="006C1F26"/>
    <w:rsid w:val="006C2064"/>
    <w:rsid w:val="006C23CA"/>
    <w:rsid w:val="006C2421"/>
    <w:rsid w:val="006C25E6"/>
    <w:rsid w:val="006C2CDE"/>
    <w:rsid w:val="006C3003"/>
    <w:rsid w:val="006C3382"/>
    <w:rsid w:val="006C3BE4"/>
    <w:rsid w:val="006C3CA7"/>
    <w:rsid w:val="006C3F83"/>
    <w:rsid w:val="006C46B0"/>
    <w:rsid w:val="006C4AD5"/>
    <w:rsid w:val="006C4BC2"/>
    <w:rsid w:val="006C4C29"/>
    <w:rsid w:val="006C4F20"/>
    <w:rsid w:val="006C4F67"/>
    <w:rsid w:val="006C5375"/>
    <w:rsid w:val="006C56D3"/>
    <w:rsid w:val="006C5811"/>
    <w:rsid w:val="006C58FF"/>
    <w:rsid w:val="006C5D95"/>
    <w:rsid w:val="006C5FD7"/>
    <w:rsid w:val="006C6283"/>
    <w:rsid w:val="006C6661"/>
    <w:rsid w:val="006C68DF"/>
    <w:rsid w:val="006C6944"/>
    <w:rsid w:val="006C6957"/>
    <w:rsid w:val="006C69FB"/>
    <w:rsid w:val="006C6B9C"/>
    <w:rsid w:val="006C721F"/>
    <w:rsid w:val="006C74EE"/>
    <w:rsid w:val="006C7625"/>
    <w:rsid w:val="006C7CE9"/>
    <w:rsid w:val="006C7F26"/>
    <w:rsid w:val="006D0563"/>
    <w:rsid w:val="006D05B3"/>
    <w:rsid w:val="006D05B4"/>
    <w:rsid w:val="006D0C29"/>
    <w:rsid w:val="006D0D14"/>
    <w:rsid w:val="006D10E2"/>
    <w:rsid w:val="006D141E"/>
    <w:rsid w:val="006D1919"/>
    <w:rsid w:val="006D1B34"/>
    <w:rsid w:val="006D1C07"/>
    <w:rsid w:val="006D1C7A"/>
    <w:rsid w:val="006D1D22"/>
    <w:rsid w:val="006D1E92"/>
    <w:rsid w:val="006D1F66"/>
    <w:rsid w:val="006D201F"/>
    <w:rsid w:val="006D292A"/>
    <w:rsid w:val="006D2AEB"/>
    <w:rsid w:val="006D31DD"/>
    <w:rsid w:val="006D3FF2"/>
    <w:rsid w:val="006D4004"/>
    <w:rsid w:val="006D410D"/>
    <w:rsid w:val="006D41B1"/>
    <w:rsid w:val="006D420E"/>
    <w:rsid w:val="006D47CA"/>
    <w:rsid w:val="006D4889"/>
    <w:rsid w:val="006D4A4A"/>
    <w:rsid w:val="006D4A9A"/>
    <w:rsid w:val="006D4AFF"/>
    <w:rsid w:val="006D501E"/>
    <w:rsid w:val="006D5761"/>
    <w:rsid w:val="006D579B"/>
    <w:rsid w:val="006D5888"/>
    <w:rsid w:val="006D6169"/>
    <w:rsid w:val="006D656C"/>
    <w:rsid w:val="006D688D"/>
    <w:rsid w:val="006D69ED"/>
    <w:rsid w:val="006D6AF0"/>
    <w:rsid w:val="006D6BBB"/>
    <w:rsid w:val="006D6F17"/>
    <w:rsid w:val="006D7069"/>
    <w:rsid w:val="006D7298"/>
    <w:rsid w:val="006D75D6"/>
    <w:rsid w:val="006D771F"/>
    <w:rsid w:val="006D7E78"/>
    <w:rsid w:val="006D7ECD"/>
    <w:rsid w:val="006D7FBA"/>
    <w:rsid w:val="006D7FC0"/>
    <w:rsid w:val="006D7FFD"/>
    <w:rsid w:val="006E0432"/>
    <w:rsid w:val="006E0589"/>
    <w:rsid w:val="006E081E"/>
    <w:rsid w:val="006E0A0C"/>
    <w:rsid w:val="006E1845"/>
    <w:rsid w:val="006E19B1"/>
    <w:rsid w:val="006E1B11"/>
    <w:rsid w:val="006E1C5B"/>
    <w:rsid w:val="006E1CE1"/>
    <w:rsid w:val="006E2018"/>
    <w:rsid w:val="006E20EE"/>
    <w:rsid w:val="006E2402"/>
    <w:rsid w:val="006E275D"/>
    <w:rsid w:val="006E2C1F"/>
    <w:rsid w:val="006E2DDC"/>
    <w:rsid w:val="006E2E71"/>
    <w:rsid w:val="006E2E77"/>
    <w:rsid w:val="006E303B"/>
    <w:rsid w:val="006E3385"/>
    <w:rsid w:val="006E33E7"/>
    <w:rsid w:val="006E3704"/>
    <w:rsid w:val="006E3AC0"/>
    <w:rsid w:val="006E3B92"/>
    <w:rsid w:val="006E3FFD"/>
    <w:rsid w:val="006E4254"/>
    <w:rsid w:val="006E42BF"/>
    <w:rsid w:val="006E4C00"/>
    <w:rsid w:val="006E4ED3"/>
    <w:rsid w:val="006E50B2"/>
    <w:rsid w:val="006E5101"/>
    <w:rsid w:val="006E531A"/>
    <w:rsid w:val="006E53D6"/>
    <w:rsid w:val="006E550D"/>
    <w:rsid w:val="006E5526"/>
    <w:rsid w:val="006E5AA8"/>
    <w:rsid w:val="006E5AFB"/>
    <w:rsid w:val="006E5D45"/>
    <w:rsid w:val="006E63AD"/>
    <w:rsid w:val="006E66BD"/>
    <w:rsid w:val="006E68A0"/>
    <w:rsid w:val="006E6ACD"/>
    <w:rsid w:val="006E6B93"/>
    <w:rsid w:val="006E6D20"/>
    <w:rsid w:val="006E6E7A"/>
    <w:rsid w:val="006E6F19"/>
    <w:rsid w:val="006E70A6"/>
    <w:rsid w:val="006E7674"/>
    <w:rsid w:val="006E771B"/>
    <w:rsid w:val="006E7D94"/>
    <w:rsid w:val="006F00AA"/>
    <w:rsid w:val="006F01D1"/>
    <w:rsid w:val="006F041D"/>
    <w:rsid w:val="006F0B81"/>
    <w:rsid w:val="006F0DA7"/>
    <w:rsid w:val="006F1377"/>
    <w:rsid w:val="006F151A"/>
    <w:rsid w:val="006F1660"/>
    <w:rsid w:val="006F174A"/>
    <w:rsid w:val="006F1808"/>
    <w:rsid w:val="006F1B1C"/>
    <w:rsid w:val="006F1B35"/>
    <w:rsid w:val="006F1F66"/>
    <w:rsid w:val="006F2078"/>
    <w:rsid w:val="006F2178"/>
    <w:rsid w:val="006F2408"/>
    <w:rsid w:val="006F24A7"/>
    <w:rsid w:val="006F27C1"/>
    <w:rsid w:val="006F285D"/>
    <w:rsid w:val="006F29F0"/>
    <w:rsid w:val="006F2C73"/>
    <w:rsid w:val="006F2CA1"/>
    <w:rsid w:val="006F2DC9"/>
    <w:rsid w:val="006F32C7"/>
    <w:rsid w:val="006F3486"/>
    <w:rsid w:val="006F3913"/>
    <w:rsid w:val="006F39D0"/>
    <w:rsid w:val="006F3DFC"/>
    <w:rsid w:val="006F3F89"/>
    <w:rsid w:val="006F4098"/>
    <w:rsid w:val="006F4242"/>
    <w:rsid w:val="006F4560"/>
    <w:rsid w:val="006F476C"/>
    <w:rsid w:val="006F47D7"/>
    <w:rsid w:val="006F4FA9"/>
    <w:rsid w:val="006F5115"/>
    <w:rsid w:val="006F51E5"/>
    <w:rsid w:val="006F52B6"/>
    <w:rsid w:val="006F52E1"/>
    <w:rsid w:val="006F5BCE"/>
    <w:rsid w:val="006F5C0E"/>
    <w:rsid w:val="006F5D2B"/>
    <w:rsid w:val="006F5EE8"/>
    <w:rsid w:val="006F5F9D"/>
    <w:rsid w:val="006F659A"/>
    <w:rsid w:val="006F6698"/>
    <w:rsid w:val="006F66F9"/>
    <w:rsid w:val="006F6D2F"/>
    <w:rsid w:val="006F6D95"/>
    <w:rsid w:val="006F6DEE"/>
    <w:rsid w:val="006F78D3"/>
    <w:rsid w:val="006F7A81"/>
    <w:rsid w:val="006F7D97"/>
    <w:rsid w:val="007002DD"/>
    <w:rsid w:val="00700653"/>
    <w:rsid w:val="00700D50"/>
    <w:rsid w:val="007018FC"/>
    <w:rsid w:val="00701AF9"/>
    <w:rsid w:val="00702662"/>
    <w:rsid w:val="0070297A"/>
    <w:rsid w:val="00702CAE"/>
    <w:rsid w:val="00704715"/>
    <w:rsid w:val="00704C15"/>
    <w:rsid w:val="00704E0E"/>
    <w:rsid w:val="00704E64"/>
    <w:rsid w:val="00704E9D"/>
    <w:rsid w:val="0070525F"/>
    <w:rsid w:val="007053DF"/>
    <w:rsid w:val="007058AA"/>
    <w:rsid w:val="00705B1E"/>
    <w:rsid w:val="00705D65"/>
    <w:rsid w:val="00705D7E"/>
    <w:rsid w:val="00705E45"/>
    <w:rsid w:val="00705EEF"/>
    <w:rsid w:val="00705F7E"/>
    <w:rsid w:val="007062A1"/>
    <w:rsid w:val="00706697"/>
    <w:rsid w:val="007067E6"/>
    <w:rsid w:val="00706AED"/>
    <w:rsid w:val="00706B73"/>
    <w:rsid w:val="00706ED0"/>
    <w:rsid w:val="0070713C"/>
    <w:rsid w:val="007071A7"/>
    <w:rsid w:val="007072C1"/>
    <w:rsid w:val="0070738C"/>
    <w:rsid w:val="007075F9"/>
    <w:rsid w:val="007079AF"/>
    <w:rsid w:val="00707BAA"/>
    <w:rsid w:val="00707E34"/>
    <w:rsid w:val="00707E89"/>
    <w:rsid w:val="00710367"/>
    <w:rsid w:val="00710409"/>
    <w:rsid w:val="00710A78"/>
    <w:rsid w:val="00710B6D"/>
    <w:rsid w:val="00710DE5"/>
    <w:rsid w:val="00710F47"/>
    <w:rsid w:val="00711005"/>
    <w:rsid w:val="00711272"/>
    <w:rsid w:val="00711471"/>
    <w:rsid w:val="00711585"/>
    <w:rsid w:val="00711651"/>
    <w:rsid w:val="007118E2"/>
    <w:rsid w:val="007119BC"/>
    <w:rsid w:val="00711A07"/>
    <w:rsid w:val="00711B3E"/>
    <w:rsid w:val="00711BD5"/>
    <w:rsid w:val="00711D66"/>
    <w:rsid w:val="00711EF4"/>
    <w:rsid w:val="00711F45"/>
    <w:rsid w:val="00712159"/>
    <w:rsid w:val="00712189"/>
    <w:rsid w:val="00712236"/>
    <w:rsid w:val="00712651"/>
    <w:rsid w:val="007128B6"/>
    <w:rsid w:val="00712A04"/>
    <w:rsid w:val="00712EF3"/>
    <w:rsid w:val="00712F01"/>
    <w:rsid w:val="0071323E"/>
    <w:rsid w:val="00713401"/>
    <w:rsid w:val="00713793"/>
    <w:rsid w:val="00713891"/>
    <w:rsid w:val="00713C06"/>
    <w:rsid w:val="00713ED2"/>
    <w:rsid w:val="00713EEA"/>
    <w:rsid w:val="00714076"/>
    <w:rsid w:val="0071421A"/>
    <w:rsid w:val="00714355"/>
    <w:rsid w:val="00714490"/>
    <w:rsid w:val="007144DA"/>
    <w:rsid w:val="0071481E"/>
    <w:rsid w:val="00715016"/>
    <w:rsid w:val="0071539D"/>
    <w:rsid w:val="00715534"/>
    <w:rsid w:val="0071564E"/>
    <w:rsid w:val="0071573E"/>
    <w:rsid w:val="007158EC"/>
    <w:rsid w:val="00715AE3"/>
    <w:rsid w:val="00715F86"/>
    <w:rsid w:val="00715FDB"/>
    <w:rsid w:val="0071626F"/>
    <w:rsid w:val="0071640B"/>
    <w:rsid w:val="00716746"/>
    <w:rsid w:val="007168D8"/>
    <w:rsid w:val="00716999"/>
    <w:rsid w:val="00716B7B"/>
    <w:rsid w:val="00716F1A"/>
    <w:rsid w:val="00716F33"/>
    <w:rsid w:val="007170C1"/>
    <w:rsid w:val="007174DD"/>
    <w:rsid w:val="007175FC"/>
    <w:rsid w:val="00717670"/>
    <w:rsid w:val="00717B84"/>
    <w:rsid w:val="00717B86"/>
    <w:rsid w:val="007200FD"/>
    <w:rsid w:val="007203FE"/>
    <w:rsid w:val="0072052F"/>
    <w:rsid w:val="007208D3"/>
    <w:rsid w:val="00720922"/>
    <w:rsid w:val="00720B5C"/>
    <w:rsid w:val="007212BB"/>
    <w:rsid w:val="00721431"/>
    <w:rsid w:val="00721570"/>
    <w:rsid w:val="00721633"/>
    <w:rsid w:val="00721ABB"/>
    <w:rsid w:val="00721BCD"/>
    <w:rsid w:val="00721C9B"/>
    <w:rsid w:val="00721CBD"/>
    <w:rsid w:val="00721E1C"/>
    <w:rsid w:val="00721FB5"/>
    <w:rsid w:val="0072216B"/>
    <w:rsid w:val="00722877"/>
    <w:rsid w:val="00722B21"/>
    <w:rsid w:val="00723197"/>
    <w:rsid w:val="007238E4"/>
    <w:rsid w:val="007239DC"/>
    <w:rsid w:val="007239F6"/>
    <w:rsid w:val="00723A64"/>
    <w:rsid w:val="00723A8A"/>
    <w:rsid w:val="00723BA1"/>
    <w:rsid w:val="00724363"/>
    <w:rsid w:val="0072467F"/>
    <w:rsid w:val="007246C9"/>
    <w:rsid w:val="00724848"/>
    <w:rsid w:val="00724927"/>
    <w:rsid w:val="00724A84"/>
    <w:rsid w:val="00724C81"/>
    <w:rsid w:val="00724E3D"/>
    <w:rsid w:val="00725376"/>
    <w:rsid w:val="0072545C"/>
    <w:rsid w:val="00725463"/>
    <w:rsid w:val="007255FD"/>
    <w:rsid w:val="00725780"/>
    <w:rsid w:val="00725EE3"/>
    <w:rsid w:val="007269C0"/>
    <w:rsid w:val="00726AFA"/>
    <w:rsid w:val="0072730C"/>
    <w:rsid w:val="00727317"/>
    <w:rsid w:val="00727346"/>
    <w:rsid w:val="0072736E"/>
    <w:rsid w:val="007274AD"/>
    <w:rsid w:val="007275C1"/>
    <w:rsid w:val="00727603"/>
    <w:rsid w:val="00727EF8"/>
    <w:rsid w:val="00727FC7"/>
    <w:rsid w:val="00727FEA"/>
    <w:rsid w:val="007302A2"/>
    <w:rsid w:val="0073034D"/>
    <w:rsid w:val="007303F0"/>
    <w:rsid w:val="00730924"/>
    <w:rsid w:val="00730BA8"/>
    <w:rsid w:val="00730C21"/>
    <w:rsid w:val="00730D04"/>
    <w:rsid w:val="00730D32"/>
    <w:rsid w:val="00730D83"/>
    <w:rsid w:val="00730F43"/>
    <w:rsid w:val="00731196"/>
    <w:rsid w:val="007311B7"/>
    <w:rsid w:val="00731F84"/>
    <w:rsid w:val="00732055"/>
    <w:rsid w:val="00732158"/>
    <w:rsid w:val="007321A3"/>
    <w:rsid w:val="00732770"/>
    <w:rsid w:val="0073336A"/>
    <w:rsid w:val="0073341A"/>
    <w:rsid w:val="00733A46"/>
    <w:rsid w:val="00733B3A"/>
    <w:rsid w:val="00733E3F"/>
    <w:rsid w:val="007340EC"/>
    <w:rsid w:val="007342B1"/>
    <w:rsid w:val="007343D9"/>
    <w:rsid w:val="007343EE"/>
    <w:rsid w:val="00734422"/>
    <w:rsid w:val="0073458A"/>
    <w:rsid w:val="007345A7"/>
    <w:rsid w:val="007345BA"/>
    <w:rsid w:val="0073496A"/>
    <w:rsid w:val="00734E92"/>
    <w:rsid w:val="00734EFD"/>
    <w:rsid w:val="007353F4"/>
    <w:rsid w:val="0073562C"/>
    <w:rsid w:val="007363CA"/>
    <w:rsid w:val="007368F9"/>
    <w:rsid w:val="00736B96"/>
    <w:rsid w:val="00736DDE"/>
    <w:rsid w:val="00736E02"/>
    <w:rsid w:val="00736F7A"/>
    <w:rsid w:val="007373F1"/>
    <w:rsid w:val="00737548"/>
    <w:rsid w:val="00737B4B"/>
    <w:rsid w:val="0074015F"/>
    <w:rsid w:val="0074042C"/>
    <w:rsid w:val="00740C88"/>
    <w:rsid w:val="00741571"/>
    <w:rsid w:val="0074171D"/>
    <w:rsid w:val="007418DB"/>
    <w:rsid w:val="00741B4D"/>
    <w:rsid w:val="00741E6D"/>
    <w:rsid w:val="00741FF4"/>
    <w:rsid w:val="0074204B"/>
    <w:rsid w:val="007422E0"/>
    <w:rsid w:val="00742574"/>
    <w:rsid w:val="007425BD"/>
    <w:rsid w:val="00742861"/>
    <w:rsid w:val="007428DA"/>
    <w:rsid w:val="0074295C"/>
    <w:rsid w:val="00742CFA"/>
    <w:rsid w:val="00742DFE"/>
    <w:rsid w:val="00742E69"/>
    <w:rsid w:val="007431E6"/>
    <w:rsid w:val="007435B1"/>
    <w:rsid w:val="007435BF"/>
    <w:rsid w:val="007438FE"/>
    <w:rsid w:val="00743B59"/>
    <w:rsid w:val="00743EAA"/>
    <w:rsid w:val="00743EEB"/>
    <w:rsid w:val="007442B8"/>
    <w:rsid w:val="0074448D"/>
    <w:rsid w:val="007446D6"/>
    <w:rsid w:val="007448D0"/>
    <w:rsid w:val="00744C37"/>
    <w:rsid w:val="00744D2B"/>
    <w:rsid w:val="00744E22"/>
    <w:rsid w:val="0074500B"/>
    <w:rsid w:val="007452ED"/>
    <w:rsid w:val="00745ED9"/>
    <w:rsid w:val="00745F9E"/>
    <w:rsid w:val="007462F4"/>
    <w:rsid w:val="007464EB"/>
    <w:rsid w:val="00746992"/>
    <w:rsid w:val="00746A8B"/>
    <w:rsid w:val="00746BFD"/>
    <w:rsid w:val="00746C4E"/>
    <w:rsid w:val="00747116"/>
    <w:rsid w:val="00747289"/>
    <w:rsid w:val="007472A0"/>
    <w:rsid w:val="0074731E"/>
    <w:rsid w:val="0074749F"/>
    <w:rsid w:val="0074751F"/>
    <w:rsid w:val="00747A39"/>
    <w:rsid w:val="00747A91"/>
    <w:rsid w:val="00750153"/>
    <w:rsid w:val="00750448"/>
    <w:rsid w:val="00750771"/>
    <w:rsid w:val="00750858"/>
    <w:rsid w:val="00751142"/>
    <w:rsid w:val="007514FB"/>
    <w:rsid w:val="0075159D"/>
    <w:rsid w:val="00751C14"/>
    <w:rsid w:val="00751C2C"/>
    <w:rsid w:val="00751CD2"/>
    <w:rsid w:val="00752068"/>
    <w:rsid w:val="00752139"/>
    <w:rsid w:val="00752541"/>
    <w:rsid w:val="007526F3"/>
    <w:rsid w:val="00752AA4"/>
    <w:rsid w:val="00752BB6"/>
    <w:rsid w:val="00752BBA"/>
    <w:rsid w:val="00752F46"/>
    <w:rsid w:val="00753133"/>
    <w:rsid w:val="007531A7"/>
    <w:rsid w:val="0075367C"/>
    <w:rsid w:val="0075379A"/>
    <w:rsid w:val="0075415C"/>
    <w:rsid w:val="00754341"/>
    <w:rsid w:val="007545D6"/>
    <w:rsid w:val="0075471F"/>
    <w:rsid w:val="00754C72"/>
    <w:rsid w:val="00754C7E"/>
    <w:rsid w:val="00754E01"/>
    <w:rsid w:val="00754EF4"/>
    <w:rsid w:val="0075537C"/>
    <w:rsid w:val="007553C6"/>
    <w:rsid w:val="00755545"/>
    <w:rsid w:val="00755B7C"/>
    <w:rsid w:val="00755C0C"/>
    <w:rsid w:val="007560DD"/>
    <w:rsid w:val="00756406"/>
    <w:rsid w:val="007565A3"/>
    <w:rsid w:val="007565E7"/>
    <w:rsid w:val="00756601"/>
    <w:rsid w:val="00756694"/>
    <w:rsid w:val="00756895"/>
    <w:rsid w:val="007568BF"/>
    <w:rsid w:val="00756CCC"/>
    <w:rsid w:val="00756D6C"/>
    <w:rsid w:val="0075715E"/>
    <w:rsid w:val="007573A5"/>
    <w:rsid w:val="00757BDD"/>
    <w:rsid w:val="00757D18"/>
    <w:rsid w:val="00757F9A"/>
    <w:rsid w:val="007604B9"/>
    <w:rsid w:val="00760612"/>
    <w:rsid w:val="0076066D"/>
    <w:rsid w:val="007608B9"/>
    <w:rsid w:val="007611A5"/>
    <w:rsid w:val="00761517"/>
    <w:rsid w:val="00761A26"/>
    <w:rsid w:val="00761C11"/>
    <w:rsid w:val="00761CBC"/>
    <w:rsid w:val="00761EC3"/>
    <w:rsid w:val="00762250"/>
    <w:rsid w:val="00762283"/>
    <w:rsid w:val="007623AC"/>
    <w:rsid w:val="007625B6"/>
    <w:rsid w:val="007625BF"/>
    <w:rsid w:val="00762B62"/>
    <w:rsid w:val="00762BE3"/>
    <w:rsid w:val="00762EAC"/>
    <w:rsid w:val="00763045"/>
    <w:rsid w:val="00763242"/>
    <w:rsid w:val="0076343D"/>
    <w:rsid w:val="0076357E"/>
    <w:rsid w:val="00763AE4"/>
    <w:rsid w:val="00763B4E"/>
    <w:rsid w:val="00764706"/>
    <w:rsid w:val="007649EF"/>
    <w:rsid w:val="007652F0"/>
    <w:rsid w:val="00765419"/>
    <w:rsid w:val="007654B8"/>
    <w:rsid w:val="007658FC"/>
    <w:rsid w:val="00765CF9"/>
    <w:rsid w:val="00765DC2"/>
    <w:rsid w:val="00766321"/>
    <w:rsid w:val="0076662D"/>
    <w:rsid w:val="007666B4"/>
    <w:rsid w:val="00766903"/>
    <w:rsid w:val="00766AA7"/>
    <w:rsid w:val="00766E73"/>
    <w:rsid w:val="00767045"/>
    <w:rsid w:val="007670FB"/>
    <w:rsid w:val="00767106"/>
    <w:rsid w:val="00767377"/>
    <w:rsid w:val="00767930"/>
    <w:rsid w:val="00767A99"/>
    <w:rsid w:val="00767B51"/>
    <w:rsid w:val="00767D24"/>
    <w:rsid w:val="0077007D"/>
    <w:rsid w:val="007703FF"/>
    <w:rsid w:val="00770602"/>
    <w:rsid w:val="007709AB"/>
    <w:rsid w:val="00770D9D"/>
    <w:rsid w:val="00770ED8"/>
    <w:rsid w:val="00771030"/>
    <w:rsid w:val="007710A8"/>
    <w:rsid w:val="007717B0"/>
    <w:rsid w:val="00771987"/>
    <w:rsid w:val="0077199B"/>
    <w:rsid w:val="00771F84"/>
    <w:rsid w:val="00772477"/>
    <w:rsid w:val="00772A70"/>
    <w:rsid w:val="00773157"/>
    <w:rsid w:val="00773421"/>
    <w:rsid w:val="0077361A"/>
    <w:rsid w:val="007737C2"/>
    <w:rsid w:val="00774012"/>
    <w:rsid w:val="0077449B"/>
    <w:rsid w:val="007745D6"/>
    <w:rsid w:val="00774AEC"/>
    <w:rsid w:val="00775501"/>
    <w:rsid w:val="00775569"/>
    <w:rsid w:val="0077559B"/>
    <w:rsid w:val="007756C9"/>
    <w:rsid w:val="00775A65"/>
    <w:rsid w:val="00775B5C"/>
    <w:rsid w:val="00775D32"/>
    <w:rsid w:val="00775F29"/>
    <w:rsid w:val="00776356"/>
    <w:rsid w:val="00776378"/>
    <w:rsid w:val="0077638E"/>
    <w:rsid w:val="00776592"/>
    <w:rsid w:val="007765C4"/>
    <w:rsid w:val="007767B9"/>
    <w:rsid w:val="00776B89"/>
    <w:rsid w:val="00776C73"/>
    <w:rsid w:val="0077702D"/>
    <w:rsid w:val="007770FA"/>
    <w:rsid w:val="00777547"/>
    <w:rsid w:val="007777D2"/>
    <w:rsid w:val="0077780F"/>
    <w:rsid w:val="00777AFC"/>
    <w:rsid w:val="0078037B"/>
    <w:rsid w:val="00780B1B"/>
    <w:rsid w:val="00780B3E"/>
    <w:rsid w:val="007811DF"/>
    <w:rsid w:val="007814D9"/>
    <w:rsid w:val="0078156A"/>
    <w:rsid w:val="007815FD"/>
    <w:rsid w:val="0078195C"/>
    <w:rsid w:val="00781BFA"/>
    <w:rsid w:val="00781EA9"/>
    <w:rsid w:val="00781ECE"/>
    <w:rsid w:val="00781ED4"/>
    <w:rsid w:val="00782320"/>
    <w:rsid w:val="00782466"/>
    <w:rsid w:val="0078269B"/>
    <w:rsid w:val="00782994"/>
    <w:rsid w:val="00782BBD"/>
    <w:rsid w:val="00782D78"/>
    <w:rsid w:val="007830DF"/>
    <w:rsid w:val="0078315E"/>
    <w:rsid w:val="007831DB"/>
    <w:rsid w:val="00783571"/>
    <w:rsid w:val="00783BB8"/>
    <w:rsid w:val="00783C82"/>
    <w:rsid w:val="00784219"/>
    <w:rsid w:val="0078429E"/>
    <w:rsid w:val="00784708"/>
    <w:rsid w:val="007847C5"/>
    <w:rsid w:val="0078485E"/>
    <w:rsid w:val="00784A59"/>
    <w:rsid w:val="00784E90"/>
    <w:rsid w:val="0078509C"/>
    <w:rsid w:val="00785552"/>
    <w:rsid w:val="007856BD"/>
    <w:rsid w:val="007856FA"/>
    <w:rsid w:val="007858FF"/>
    <w:rsid w:val="00785A16"/>
    <w:rsid w:val="00785C3E"/>
    <w:rsid w:val="00785F93"/>
    <w:rsid w:val="0078638C"/>
    <w:rsid w:val="00786488"/>
    <w:rsid w:val="00786546"/>
    <w:rsid w:val="00786A51"/>
    <w:rsid w:val="00786BA7"/>
    <w:rsid w:val="007870D9"/>
    <w:rsid w:val="007874C3"/>
    <w:rsid w:val="00787A48"/>
    <w:rsid w:val="00787C90"/>
    <w:rsid w:val="00790208"/>
    <w:rsid w:val="00790A5A"/>
    <w:rsid w:val="00790BC7"/>
    <w:rsid w:val="00790F71"/>
    <w:rsid w:val="0079138C"/>
    <w:rsid w:val="0079151B"/>
    <w:rsid w:val="007915F8"/>
    <w:rsid w:val="00791671"/>
    <w:rsid w:val="00792094"/>
    <w:rsid w:val="0079236E"/>
    <w:rsid w:val="00792A3F"/>
    <w:rsid w:val="00792A4C"/>
    <w:rsid w:val="00792CDC"/>
    <w:rsid w:val="0079307A"/>
    <w:rsid w:val="00793915"/>
    <w:rsid w:val="00793BAB"/>
    <w:rsid w:val="0079433B"/>
    <w:rsid w:val="0079438F"/>
    <w:rsid w:val="007945A6"/>
    <w:rsid w:val="00794723"/>
    <w:rsid w:val="007947E7"/>
    <w:rsid w:val="007948EA"/>
    <w:rsid w:val="00794C27"/>
    <w:rsid w:val="00794C3F"/>
    <w:rsid w:val="00794FE5"/>
    <w:rsid w:val="007952F7"/>
    <w:rsid w:val="00795770"/>
    <w:rsid w:val="00796A01"/>
    <w:rsid w:val="00796ADC"/>
    <w:rsid w:val="00797050"/>
    <w:rsid w:val="007970F6"/>
    <w:rsid w:val="0079738C"/>
    <w:rsid w:val="007975E5"/>
    <w:rsid w:val="00797BD2"/>
    <w:rsid w:val="00797C12"/>
    <w:rsid w:val="007A001C"/>
    <w:rsid w:val="007A01E2"/>
    <w:rsid w:val="007A05D2"/>
    <w:rsid w:val="007A0922"/>
    <w:rsid w:val="007A0C8E"/>
    <w:rsid w:val="007A0D43"/>
    <w:rsid w:val="007A0F20"/>
    <w:rsid w:val="007A140C"/>
    <w:rsid w:val="007A1528"/>
    <w:rsid w:val="007A1850"/>
    <w:rsid w:val="007A1CC7"/>
    <w:rsid w:val="007A1D87"/>
    <w:rsid w:val="007A2035"/>
    <w:rsid w:val="007A2456"/>
    <w:rsid w:val="007A253A"/>
    <w:rsid w:val="007A2877"/>
    <w:rsid w:val="007A2985"/>
    <w:rsid w:val="007A2B1B"/>
    <w:rsid w:val="007A4168"/>
    <w:rsid w:val="007A42AD"/>
    <w:rsid w:val="007A465B"/>
    <w:rsid w:val="007A46D5"/>
    <w:rsid w:val="007A486F"/>
    <w:rsid w:val="007A4B2D"/>
    <w:rsid w:val="007A4E41"/>
    <w:rsid w:val="007A502F"/>
    <w:rsid w:val="007A535A"/>
    <w:rsid w:val="007A5940"/>
    <w:rsid w:val="007A596E"/>
    <w:rsid w:val="007A5B13"/>
    <w:rsid w:val="007A5E6A"/>
    <w:rsid w:val="007A5FE0"/>
    <w:rsid w:val="007A607B"/>
    <w:rsid w:val="007A647F"/>
    <w:rsid w:val="007A66FE"/>
    <w:rsid w:val="007A6815"/>
    <w:rsid w:val="007A68E7"/>
    <w:rsid w:val="007A6D47"/>
    <w:rsid w:val="007A74BF"/>
    <w:rsid w:val="007A7564"/>
    <w:rsid w:val="007A757F"/>
    <w:rsid w:val="007A7632"/>
    <w:rsid w:val="007A7F4B"/>
    <w:rsid w:val="007B0073"/>
    <w:rsid w:val="007B036B"/>
    <w:rsid w:val="007B04B8"/>
    <w:rsid w:val="007B0513"/>
    <w:rsid w:val="007B05C7"/>
    <w:rsid w:val="007B079D"/>
    <w:rsid w:val="007B0954"/>
    <w:rsid w:val="007B0D59"/>
    <w:rsid w:val="007B0E43"/>
    <w:rsid w:val="007B1B88"/>
    <w:rsid w:val="007B1B91"/>
    <w:rsid w:val="007B1BF0"/>
    <w:rsid w:val="007B1D64"/>
    <w:rsid w:val="007B1F18"/>
    <w:rsid w:val="007B204A"/>
    <w:rsid w:val="007B205E"/>
    <w:rsid w:val="007B2069"/>
    <w:rsid w:val="007B2860"/>
    <w:rsid w:val="007B2AD5"/>
    <w:rsid w:val="007B2D5F"/>
    <w:rsid w:val="007B3099"/>
    <w:rsid w:val="007B3121"/>
    <w:rsid w:val="007B3405"/>
    <w:rsid w:val="007B3E96"/>
    <w:rsid w:val="007B4125"/>
    <w:rsid w:val="007B4A20"/>
    <w:rsid w:val="007B4F31"/>
    <w:rsid w:val="007B53AD"/>
    <w:rsid w:val="007B5AB6"/>
    <w:rsid w:val="007B62C2"/>
    <w:rsid w:val="007B640B"/>
    <w:rsid w:val="007B674B"/>
    <w:rsid w:val="007B6765"/>
    <w:rsid w:val="007B6893"/>
    <w:rsid w:val="007B699D"/>
    <w:rsid w:val="007B6AE3"/>
    <w:rsid w:val="007B6C37"/>
    <w:rsid w:val="007B6CC6"/>
    <w:rsid w:val="007B6DB3"/>
    <w:rsid w:val="007B6E82"/>
    <w:rsid w:val="007B70B3"/>
    <w:rsid w:val="007B71DB"/>
    <w:rsid w:val="007B79A3"/>
    <w:rsid w:val="007B7B6E"/>
    <w:rsid w:val="007B7CAB"/>
    <w:rsid w:val="007B7E50"/>
    <w:rsid w:val="007C01E1"/>
    <w:rsid w:val="007C03FA"/>
    <w:rsid w:val="007C06A2"/>
    <w:rsid w:val="007C0855"/>
    <w:rsid w:val="007C08BB"/>
    <w:rsid w:val="007C0DB8"/>
    <w:rsid w:val="007C12C9"/>
    <w:rsid w:val="007C134E"/>
    <w:rsid w:val="007C15A3"/>
    <w:rsid w:val="007C1BA5"/>
    <w:rsid w:val="007C1CAD"/>
    <w:rsid w:val="007C1D3E"/>
    <w:rsid w:val="007C1F2A"/>
    <w:rsid w:val="007C2316"/>
    <w:rsid w:val="007C236B"/>
    <w:rsid w:val="007C2EAE"/>
    <w:rsid w:val="007C2FBA"/>
    <w:rsid w:val="007C30BA"/>
    <w:rsid w:val="007C31C9"/>
    <w:rsid w:val="007C3250"/>
    <w:rsid w:val="007C335C"/>
    <w:rsid w:val="007C3437"/>
    <w:rsid w:val="007C3755"/>
    <w:rsid w:val="007C3834"/>
    <w:rsid w:val="007C3A74"/>
    <w:rsid w:val="007C3AB1"/>
    <w:rsid w:val="007C3B68"/>
    <w:rsid w:val="007C41DA"/>
    <w:rsid w:val="007C4874"/>
    <w:rsid w:val="007C4B3A"/>
    <w:rsid w:val="007C4CA2"/>
    <w:rsid w:val="007C5034"/>
    <w:rsid w:val="007C52FA"/>
    <w:rsid w:val="007C535E"/>
    <w:rsid w:val="007C55BA"/>
    <w:rsid w:val="007C567D"/>
    <w:rsid w:val="007C5735"/>
    <w:rsid w:val="007C5898"/>
    <w:rsid w:val="007C58F5"/>
    <w:rsid w:val="007C5990"/>
    <w:rsid w:val="007C5B09"/>
    <w:rsid w:val="007C5CEF"/>
    <w:rsid w:val="007C5E52"/>
    <w:rsid w:val="007C615A"/>
    <w:rsid w:val="007C61CE"/>
    <w:rsid w:val="007C636A"/>
    <w:rsid w:val="007C6393"/>
    <w:rsid w:val="007C6601"/>
    <w:rsid w:val="007C6813"/>
    <w:rsid w:val="007C687E"/>
    <w:rsid w:val="007C6E93"/>
    <w:rsid w:val="007C7029"/>
    <w:rsid w:val="007C71EC"/>
    <w:rsid w:val="007C7491"/>
    <w:rsid w:val="007C7648"/>
    <w:rsid w:val="007C779E"/>
    <w:rsid w:val="007C7946"/>
    <w:rsid w:val="007C7C51"/>
    <w:rsid w:val="007C7E56"/>
    <w:rsid w:val="007D0236"/>
    <w:rsid w:val="007D0B30"/>
    <w:rsid w:val="007D0F36"/>
    <w:rsid w:val="007D12D7"/>
    <w:rsid w:val="007D1310"/>
    <w:rsid w:val="007D1377"/>
    <w:rsid w:val="007D174E"/>
    <w:rsid w:val="007D195C"/>
    <w:rsid w:val="007D1BE4"/>
    <w:rsid w:val="007D1D0D"/>
    <w:rsid w:val="007D237F"/>
    <w:rsid w:val="007D26C7"/>
    <w:rsid w:val="007D27CF"/>
    <w:rsid w:val="007D2E63"/>
    <w:rsid w:val="007D302F"/>
    <w:rsid w:val="007D3746"/>
    <w:rsid w:val="007D3C6B"/>
    <w:rsid w:val="007D3E2A"/>
    <w:rsid w:val="007D4109"/>
    <w:rsid w:val="007D429E"/>
    <w:rsid w:val="007D45DD"/>
    <w:rsid w:val="007D466C"/>
    <w:rsid w:val="007D47F3"/>
    <w:rsid w:val="007D4BF0"/>
    <w:rsid w:val="007D4CE1"/>
    <w:rsid w:val="007D52A1"/>
    <w:rsid w:val="007D52B9"/>
    <w:rsid w:val="007D5422"/>
    <w:rsid w:val="007D54EA"/>
    <w:rsid w:val="007D558A"/>
    <w:rsid w:val="007D5903"/>
    <w:rsid w:val="007D5956"/>
    <w:rsid w:val="007D5ACD"/>
    <w:rsid w:val="007D6120"/>
    <w:rsid w:val="007D68AB"/>
    <w:rsid w:val="007D6CB3"/>
    <w:rsid w:val="007D710C"/>
    <w:rsid w:val="007D73C7"/>
    <w:rsid w:val="007D76BA"/>
    <w:rsid w:val="007D7988"/>
    <w:rsid w:val="007D7DD3"/>
    <w:rsid w:val="007E002B"/>
    <w:rsid w:val="007E009A"/>
    <w:rsid w:val="007E0272"/>
    <w:rsid w:val="007E0722"/>
    <w:rsid w:val="007E0903"/>
    <w:rsid w:val="007E0CD3"/>
    <w:rsid w:val="007E19E7"/>
    <w:rsid w:val="007E1B48"/>
    <w:rsid w:val="007E1DEA"/>
    <w:rsid w:val="007E1EBF"/>
    <w:rsid w:val="007E2C2B"/>
    <w:rsid w:val="007E2DD0"/>
    <w:rsid w:val="007E2E10"/>
    <w:rsid w:val="007E30C0"/>
    <w:rsid w:val="007E3188"/>
    <w:rsid w:val="007E31E2"/>
    <w:rsid w:val="007E3895"/>
    <w:rsid w:val="007E3916"/>
    <w:rsid w:val="007E3C23"/>
    <w:rsid w:val="007E3DD0"/>
    <w:rsid w:val="007E42B9"/>
    <w:rsid w:val="007E449A"/>
    <w:rsid w:val="007E4616"/>
    <w:rsid w:val="007E4698"/>
    <w:rsid w:val="007E4E8E"/>
    <w:rsid w:val="007E4F12"/>
    <w:rsid w:val="007E56EC"/>
    <w:rsid w:val="007E5A25"/>
    <w:rsid w:val="007E5CD2"/>
    <w:rsid w:val="007E5E5D"/>
    <w:rsid w:val="007E5EC4"/>
    <w:rsid w:val="007E5F24"/>
    <w:rsid w:val="007E5FA6"/>
    <w:rsid w:val="007E6600"/>
    <w:rsid w:val="007E66B9"/>
    <w:rsid w:val="007E6DB9"/>
    <w:rsid w:val="007E6F1F"/>
    <w:rsid w:val="007E6FDE"/>
    <w:rsid w:val="007E7167"/>
    <w:rsid w:val="007E750E"/>
    <w:rsid w:val="007E7AFF"/>
    <w:rsid w:val="007E7E4C"/>
    <w:rsid w:val="007E7EAC"/>
    <w:rsid w:val="007F03B0"/>
    <w:rsid w:val="007F04B9"/>
    <w:rsid w:val="007F05F3"/>
    <w:rsid w:val="007F0860"/>
    <w:rsid w:val="007F0B44"/>
    <w:rsid w:val="007F0B5C"/>
    <w:rsid w:val="007F0C1F"/>
    <w:rsid w:val="007F0CD6"/>
    <w:rsid w:val="007F0F37"/>
    <w:rsid w:val="007F110B"/>
    <w:rsid w:val="007F13BA"/>
    <w:rsid w:val="007F1410"/>
    <w:rsid w:val="007F1D9E"/>
    <w:rsid w:val="007F1E17"/>
    <w:rsid w:val="007F211F"/>
    <w:rsid w:val="007F242C"/>
    <w:rsid w:val="007F2B34"/>
    <w:rsid w:val="007F2B9D"/>
    <w:rsid w:val="007F2CAF"/>
    <w:rsid w:val="007F2DE3"/>
    <w:rsid w:val="007F304C"/>
    <w:rsid w:val="007F338A"/>
    <w:rsid w:val="007F3430"/>
    <w:rsid w:val="007F3E73"/>
    <w:rsid w:val="007F3ED0"/>
    <w:rsid w:val="007F3EDF"/>
    <w:rsid w:val="007F3EEB"/>
    <w:rsid w:val="007F4166"/>
    <w:rsid w:val="007F45FB"/>
    <w:rsid w:val="007F47D7"/>
    <w:rsid w:val="007F4998"/>
    <w:rsid w:val="007F4EFD"/>
    <w:rsid w:val="007F52FD"/>
    <w:rsid w:val="007F597F"/>
    <w:rsid w:val="007F5AD6"/>
    <w:rsid w:val="007F5F37"/>
    <w:rsid w:val="007F60C6"/>
    <w:rsid w:val="007F61CD"/>
    <w:rsid w:val="007F6630"/>
    <w:rsid w:val="007F69AE"/>
    <w:rsid w:val="007F6D35"/>
    <w:rsid w:val="007F7033"/>
    <w:rsid w:val="007F71CE"/>
    <w:rsid w:val="007F766F"/>
    <w:rsid w:val="007F77F7"/>
    <w:rsid w:val="00800567"/>
    <w:rsid w:val="0080072E"/>
    <w:rsid w:val="00800F9E"/>
    <w:rsid w:val="0080131C"/>
    <w:rsid w:val="00801551"/>
    <w:rsid w:val="008016C3"/>
    <w:rsid w:val="008016D8"/>
    <w:rsid w:val="00801F7B"/>
    <w:rsid w:val="0080201C"/>
    <w:rsid w:val="008023C6"/>
    <w:rsid w:val="00802604"/>
    <w:rsid w:val="00802A06"/>
    <w:rsid w:val="00802A1D"/>
    <w:rsid w:val="00802A9D"/>
    <w:rsid w:val="00802E18"/>
    <w:rsid w:val="00802E48"/>
    <w:rsid w:val="00803274"/>
    <w:rsid w:val="00803542"/>
    <w:rsid w:val="00803570"/>
    <w:rsid w:val="00803640"/>
    <w:rsid w:val="008037F0"/>
    <w:rsid w:val="0080439A"/>
    <w:rsid w:val="0080483B"/>
    <w:rsid w:val="00804AB5"/>
    <w:rsid w:val="00804C25"/>
    <w:rsid w:val="00804D5B"/>
    <w:rsid w:val="0080555B"/>
    <w:rsid w:val="008057A6"/>
    <w:rsid w:val="00805AFC"/>
    <w:rsid w:val="00805B45"/>
    <w:rsid w:val="00805EB7"/>
    <w:rsid w:val="00805EDF"/>
    <w:rsid w:val="0080644A"/>
    <w:rsid w:val="008064DB"/>
    <w:rsid w:val="00806A01"/>
    <w:rsid w:val="00806A7E"/>
    <w:rsid w:val="00806B70"/>
    <w:rsid w:val="00806B9A"/>
    <w:rsid w:val="00806E12"/>
    <w:rsid w:val="0080729A"/>
    <w:rsid w:val="0080747A"/>
    <w:rsid w:val="008075A4"/>
    <w:rsid w:val="00807678"/>
    <w:rsid w:val="008077D0"/>
    <w:rsid w:val="00807BC6"/>
    <w:rsid w:val="00807C4D"/>
    <w:rsid w:val="008101E0"/>
    <w:rsid w:val="008104A9"/>
    <w:rsid w:val="00810969"/>
    <w:rsid w:val="00811B16"/>
    <w:rsid w:val="00811C2D"/>
    <w:rsid w:val="00811C8A"/>
    <w:rsid w:val="00812116"/>
    <w:rsid w:val="00812AFF"/>
    <w:rsid w:val="00812DE8"/>
    <w:rsid w:val="008130C6"/>
    <w:rsid w:val="008131CB"/>
    <w:rsid w:val="0081322F"/>
    <w:rsid w:val="008132D8"/>
    <w:rsid w:val="008134EF"/>
    <w:rsid w:val="00813667"/>
    <w:rsid w:val="00814175"/>
    <w:rsid w:val="00814652"/>
    <w:rsid w:val="0081484E"/>
    <w:rsid w:val="00814AA3"/>
    <w:rsid w:val="00814F29"/>
    <w:rsid w:val="00815526"/>
    <w:rsid w:val="008156D9"/>
    <w:rsid w:val="00815EC6"/>
    <w:rsid w:val="00815FA6"/>
    <w:rsid w:val="008161EC"/>
    <w:rsid w:val="00816C1C"/>
    <w:rsid w:val="00816C43"/>
    <w:rsid w:val="00816CD4"/>
    <w:rsid w:val="00816D5A"/>
    <w:rsid w:val="0081743B"/>
    <w:rsid w:val="008174AC"/>
    <w:rsid w:val="008174E3"/>
    <w:rsid w:val="00817B44"/>
    <w:rsid w:val="00817CC4"/>
    <w:rsid w:val="008202F2"/>
    <w:rsid w:val="00820630"/>
    <w:rsid w:val="008206E5"/>
    <w:rsid w:val="0082091F"/>
    <w:rsid w:val="00820967"/>
    <w:rsid w:val="0082098D"/>
    <w:rsid w:val="00820B34"/>
    <w:rsid w:val="00820B3E"/>
    <w:rsid w:val="00820D13"/>
    <w:rsid w:val="00820D98"/>
    <w:rsid w:val="00820F04"/>
    <w:rsid w:val="00821204"/>
    <w:rsid w:val="00821520"/>
    <w:rsid w:val="00821742"/>
    <w:rsid w:val="00821971"/>
    <w:rsid w:val="00821C30"/>
    <w:rsid w:val="00821DD2"/>
    <w:rsid w:val="00822015"/>
    <w:rsid w:val="008221E9"/>
    <w:rsid w:val="00822240"/>
    <w:rsid w:val="0082233D"/>
    <w:rsid w:val="0082242B"/>
    <w:rsid w:val="0082262C"/>
    <w:rsid w:val="00822AF6"/>
    <w:rsid w:val="00823035"/>
    <w:rsid w:val="00823255"/>
    <w:rsid w:val="0082395A"/>
    <w:rsid w:val="00824266"/>
    <w:rsid w:val="008242A6"/>
    <w:rsid w:val="008246F8"/>
    <w:rsid w:val="00824B21"/>
    <w:rsid w:val="00824CDB"/>
    <w:rsid w:val="00824D2D"/>
    <w:rsid w:val="00825C02"/>
    <w:rsid w:val="00825C42"/>
    <w:rsid w:val="00825C46"/>
    <w:rsid w:val="00825F5D"/>
    <w:rsid w:val="00825F88"/>
    <w:rsid w:val="008261A7"/>
    <w:rsid w:val="0082635E"/>
    <w:rsid w:val="0082650C"/>
    <w:rsid w:val="0082652D"/>
    <w:rsid w:val="00826751"/>
    <w:rsid w:val="008267A0"/>
    <w:rsid w:val="00826A95"/>
    <w:rsid w:val="00826EC0"/>
    <w:rsid w:val="00826F5A"/>
    <w:rsid w:val="00827229"/>
    <w:rsid w:val="0082743B"/>
    <w:rsid w:val="008274E1"/>
    <w:rsid w:val="008275DE"/>
    <w:rsid w:val="00827743"/>
    <w:rsid w:val="00827A94"/>
    <w:rsid w:val="00827AE7"/>
    <w:rsid w:val="00827BCE"/>
    <w:rsid w:val="00827DC9"/>
    <w:rsid w:val="0083032C"/>
    <w:rsid w:val="00830BCC"/>
    <w:rsid w:val="00830F5F"/>
    <w:rsid w:val="00831238"/>
    <w:rsid w:val="00831545"/>
    <w:rsid w:val="008316F4"/>
    <w:rsid w:val="00831942"/>
    <w:rsid w:val="00831D70"/>
    <w:rsid w:val="00832096"/>
    <w:rsid w:val="0083273D"/>
    <w:rsid w:val="00832B59"/>
    <w:rsid w:val="00832D6D"/>
    <w:rsid w:val="00832D6E"/>
    <w:rsid w:val="00832E52"/>
    <w:rsid w:val="0083343B"/>
    <w:rsid w:val="008336FD"/>
    <w:rsid w:val="008337AB"/>
    <w:rsid w:val="00833AAB"/>
    <w:rsid w:val="00833D45"/>
    <w:rsid w:val="00834AA0"/>
    <w:rsid w:val="00834BF2"/>
    <w:rsid w:val="00835451"/>
    <w:rsid w:val="00835751"/>
    <w:rsid w:val="008358D9"/>
    <w:rsid w:val="008359A9"/>
    <w:rsid w:val="00835EB6"/>
    <w:rsid w:val="00835F99"/>
    <w:rsid w:val="0083606B"/>
    <w:rsid w:val="00836229"/>
    <w:rsid w:val="0083630B"/>
    <w:rsid w:val="008365F9"/>
    <w:rsid w:val="008366ED"/>
    <w:rsid w:val="00836C27"/>
    <w:rsid w:val="00836EF9"/>
    <w:rsid w:val="008371CE"/>
    <w:rsid w:val="0083734E"/>
    <w:rsid w:val="00837430"/>
    <w:rsid w:val="00837B15"/>
    <w:rsid w:val="00837C3F"/>
    <w:rsid w:val="008401D4"/>
    <w:rsid w:val="00840713"/>
    <w:rsid w:val="00840895"/>
    <w:rsid w:val="00840BF2"/>
    <w:rsid w:val="00840F44"/>
    <w:rsid w:val="008417A3"/>
    <w:rsid w:val="0084185B"/>
    <w:rsid w:val="00841A97"/>
    <w:rsid w:val="00841B50"/>
    <w:rsid w:val="00841E14"/>
    <w:rsid w:val="00841FDC"/>
    <w:rsid w:val="00842A0A"/>
    <w:rsid w:val="00842A4C"/>
    <w:rsid w:val="00842C54"/>
    <w:rsid w:val="00842ED0"/>
    <w:rsid w:val="00842FB8"/>
    <w:rsid w:val="00842FF4"/>
    <w:rsid w:val="0084336E"/>
    <w:rsid w:val="008435CC"/>
    <w:rsid w:val="0084362E"/>
    <w:rsid w:val="0084375D"/>
    <w:rsid w:val="00843AC6"/>
    <w:rsid w:val="00843AFC"/>
    <w:rsid w:val="00843B2B"/>
    <w:rsid w:val="00843ED5"/>
    <w:rsid w:val="00844CD2"/>
    <w:rsid w:val="00844E59"/>
    <w:rsid w:val="00844F16"/>
    <w:rsid w:val="00844F7B"/>
    <w:rsid w:val="00844FA4"/>
    <w:rsid w:val="00844FB8"/>
    <w:rsid w:val="00845213"/>
    <w:rsid w:val="00845335"/>
    <w:rsid w:val="00845368"/>
    <w:rsid w:val="008453DF"/>
    <w:rsid w:val="0084552F"/>
    <w:rsid w:val="00845CD0"/>
    <w:rsid w:val="008463F1"/>
    <w:rsid w:val="00846639"/>
    <w:rsid w:val="00846C44"/>
    <w:rsid w:val="00846C8D"/>
    <w:rsid w:val="00846DF2"/>
    <w:rsid w:val="00847089"/>
    <w:rsid w:val="00847650"/>
    <w:rsid w:val="008478D4"/>
    <w:rsid w:val="00847F1A"/>
    <w:rsid w:val="008509AA"/>
    <w:rsid w:val="00850B7A"/>
    <w:rsid w:val="00850BB7"/>
    <w:rsid w:val="00850CFC"/>
    <w:rsid w:val="00850E9E"/>
    <w:rsid w:val="008510C3"/>
    <w:rsid w:val="0085184C"/>
    <w:rsid w:val="00851862"/>
    <w:rsid w:val="00851DF2"/>
    <w:rsid w:val="00851FD1"/>
    <w:rsid w:val="00852319"/>
    <w:rsid w:val="00852566"/>
    <w:rsid w:val="008527EB"/>
    <w:rsid w:val="0085284E"/>
    <w:rsid w:val="0085290F"/>
    <w:rsid w:val="00852A60"/>
    <w:rsid w:val="0085310D"/>
    <w:rsid w:val="008533E2"/>
    <w:rsid w:val="008533FE"/>
    <w:rsid w:val="00853AE1"/>
    <w:rsid w:val="00853B87"/>
    <w:rsid w:val="00853BEB"/>
    <w:rsid w:val="00853CD7"/>
    <w:rsid w:val="00853E9E"/>
    <w:rsid w:val="008542C0"/>
    <w:rsid w:val="00854461"/>
    <w:rsid w:val="008545F2"/>
    <w:rsid w:val="0085480D"/>
    <w:rsid w:val="00854994"/>
    <w:rsid w:val="008549C1"/>
    <w:rsid w:val="00855478"/>
    <w:rsid w:val="008554B8"/>
    <w:rsid w:val="00855929"/>
    <w:rsid w:val="00855943"/>
    <w:rsid w:val="00855D9C"/>
    <w:rsid w:val="00855E60"/>
    <w:rsid w:val="00855FB2"/>
    <w:rsid w:val="008561B2"/>
    <w:rsid w:val="008564E6"/>
    <w:rsid w:val="00856552"/>
    <w:rsid w:val="00856A1C"/>
    <w:rsid w:val="00856B76"/>
    <w:rsid w:val="00856F7D"/>
    <w:rsid w:val="008572E6"/>
    <w:rsid w:val="00857806"/>
    <w:rsid w:val="0085780B"/>
    <w:rsid w:val="00857C75"/>
    <w:rsid w:val="00857E5E"/>
    <w:rsid w:val="00857E76"/>
    <w:rsid w:val="00860119"/>
    <w:rsid w:val="0086015E"/>
    <w:rsid w:val="008601FC"/>
    <w:rsid w:val="00860240"/>
    <w:rsid w:val="008603A8"/>
    <w:rsid w:val="008607A2"/>
    <w:rsid w:val="008608F1"/>
    <w:rsid w:val="00860ABC"/>
    <w:rsid w:val="00860C5A"/>
    <w:rsid w:val="00860C80"/>
    <w:rsid w:val="00860C88"/>
    <w:rsid w:val="00860CC6"/>
    <w:rsid w:val="00860F8E"/>
    <w:rsid w:val="00860FDC"/>
    <w:rsid w:val="00861095"/>
    <w:rsid w:val="0086141A"/>
    <w:rsid w:val="00861772"/>
    <w:rsid w:val="00861803"/>
    <w:rsid w:val="008619A7"/>
    <w:rsid w:val="0086203A"/>
    <w:rsid w:val="00862134"/>
    <w:rsid w:val="0086262B"/>
    <w:rsid w:val="00862793"/>
    <w:rsid w:val="00862A72"/>
    <w:rsid w:val="00862C69"/>
    <w:rsid w:val="00862E91"/>
    <w:rsid w:val="00863266"/>
    <w:rsid w:val="008635C5"/>
    <w:rsid w:val="0086362E"/>
    <w:rsid w:val="008639BF"/>
    <w:rsid w:val="00863A25"/>
    <w:rsid w:val="00863E7D"/>
    <w:rsid w:val="00863EE9"/>
    <w:rsid w:val="00863F52"/>
    <w:rsid w:val="00864064"/>
    <w:rsid w:val="00864215"/>
    <w:rsid w:val="00864564"/>
    <w:rsid w:val="00864D5E"/>
    <w:rsid w:val="00864E77"/>
    <w:rsid w:val="00864F47"/>
    <w:rsid w:val="00865290"/>
    <w:rsid w:val="00865699"/>
    <w:rsid w:val="00865AA6"/>
    <w:rsid w:val="00865BA9"/>
    <w:rsid w:val="008662BD"/>
    <w:rsid w:val="008665E3"/>
    <w:rsid w:val="00866727"/>
    <w:rsid w:val="00866C24"/>
    <w:rsid w:val="00866D47"/>
    <w:rsid w:val="00866DFC"/>
    <w:rsid w:val="008678D0"/>
    <w:rsid w:val="00867A8B"/>
    <w:rsid w:val="00867F5F"/>
    <w:rsid w:val="00867FBE"/>
    <w:rsid w:val="008706AA"/>
    <w:rsid w:val="00870CE8"/>
    <w:rsid w:val="00870D34"/>
    <w:rsid w:val="00870E1D"/>
    <w:rsid w:val="00870E75"/>
    <w:rsid w:val="00870E7E"/>
    <w:rsid w:val="00870EE1"/>
    <w:rsid w:val="00871012"/>
    <w:rsid w:val="00871207"/>
    <w:rsid w:val="008714F2"/>
    <w:rsid w:val="008715A9"/>
    <w:rsid w:val="0087181F"/>
    <w:rsid w:val="00871A01"/>
    <w:rsid w:val="00871E6B"/>
    <w:rsid w:val="00871E8F"/>
    <w:rsid w:val="00872294"/>
    <w:rsid w:val="008724DA"/>
    <w:rsid w:val="008725EE"/>
    <w:rsid w:val="00872AF7"/>
    <w:rsid w:val="00872D4A"/>
    <w:rsid w:val="00873067"/>
    <w:rsid w:val="008730FB"/>
    <w:rsid w:val="00873319"/>
    <w:rsid w:val="00873888"/>
    <w:rsid w:val="00873E2E"/>
    <w:rsid w:val="00873E6C"/>
    <w:rsid w:val="00873EA4"/>
    <w:rsid w:val="0087445C"/>
    <w:rsid w:val="008744FB"/>
    <w:rsid w:val="0087540F"/>
    <w:rsid w:val="008755DE"/>
    <w:rsid w:val="008757E3"/>
    <w:rsid w:val="00875837"/>
    <w:rsid w:val="00875AAE"/>
    <w:rsid w:val="00875D5D"/>
    <w:rsid w:val="00875FCC"/>
    <w:rsid w:val="0087660C"/>
    <w:rsid w:val="008769E4"/>
    <w:rsid w:val="00876B32"/>
    <w:rsid w:val="00876B80"/>
    <w:rsid w:val="00876C74"/>
    <w:rsid w:val="00876C82"/>
    <w:rsid w:val="00877340"/>
    <w:rsid w:val="00877C8A"/>
    <w:rsid w:val="0088014B"/>
    <w:rsid w:val="0088026D"/>
    <w:rsid w:val="008802E7"/>
    <w:rsid w:val="0088073D"/>
    <w:rsid w:val="0088150A"/>
    <w:rsid w:val="00881785"/>
    <w:rsid w:val="00881C88"/>
    <w:rsid w:val="00881D2F"/>
    <w:rsid w:val="008825D2"/>
    <w:rsid w:val="00882BC0"/>
    <w:rsid w:val="00882C5C"/>
    <w:rsid w:val="00882E45"/>
    <w:rsid w:val="008833A6"/>
    <w:rsid w:val="008835CC"/>
    <w:rsid w:val="008835FA"/>
    <w:rsid w:val="00883679"/>
    <w:rsid w:val="00883A4B"/>
    <w:rsid w:val="00883AB9"/>
    <w:rsid w:val="00883B62"/>
    <w:rsid w:val="0088419E"/>
    <w:rsid w:val="00884333"/>
    <w:rsid w:val="0088457A"/>
    <w:rsid w:val="008853C3"/>
    <w:rsid w:val="008853CD"/>
    <w:rsid w:val="008854CB"/>
    <w:rsid w:val="0088552B"/>
    <w:rsid w:val="0088560E"/>
    <w:rsid w:val="00885907"/>
    <w:rsid w:val="00885A93"/>
    <w:rsid w:val="00885A9A"/>
    <w:rsid w:val="00885C94"/>
    <w:rsid w:val="00885CFE"/>
    <w:rsid w:val="0088616E"/>
    <w:rsid w:val="00886371"/>
    <w:rsid w:val="00886833"/>
    <w:rsid w:val="00886E65"/>
    <w:rsid w:val="00887186"/>
    <w:rsid w:val="00887EAA"/>
    <w:rsid w:val="00887FE0"/>
    <w:rsid w:val="00890150"/>
    <w:rsid w:val="008903DC"/>
    <w:rsid w:val="00890608"/>
    <w:rsid w:val="0089097F"/>
    <w:rsid w:val="00890C9B"/>
    <w:rsid w:val="00890F26"/>
    <w:rsid w:val="00891395"/>
    <w:rsid w:val="0089163B"/>
    <w:rsid w:val="00891E29"/>
    <w:rsid w:val="00892848"/>
    <w:rsid w:val="00892FA9"/>
    <w:rsid w:val="00893270"/>
    <w:rsid w:val="00893431"/>
    <w:rsid w:val="00893669"/>
    <w:rsid w:val="008936C3"/>
    <w:rsid w:val="008939D1"/>
    <w:rsid w:val="00893B66"/>
    <w:rsid w:val="00893C56"/>
    <w:rsid w:val="00893DA4"/>
    <w:rsid w:val="0089448A"/>
    <w:rsid w:val="00894519"/>
    <w:rsid w:val="0089455A"/>
    <w:rsid w:val="008949E5"/>
    <w:rsid w:val="00894BBC"/>
    <w:rsid w:val="008959A3"/>
    <w:rsid w:val="00895D95"/>
    <w:rsid w:val="00895F4B"/>
    <w:rsid w:val="00895F77"/>
    <w:rsid w:val="0089613C"/>
    <w:rsid w:val="0089616A"/>
    <w:rsid w:val="008966A0"/>
    <w:rsid w:val="00896930"/>
    <w:rsid w:val="00896F1D"/>
    <w:rsid w:val="00896FF2"/>
    <w:rsid w:val="0089754F"/>
    <w:rsid w:val="008976B6"/>
    <w:rsid w:val="00897819"/>
    <w:rsid w:val="00897893"/>
    <w:rsid w:val="00897D3D"/>
    <w:rsid w:val="00897F4E"/>
    <w:rsid w:val="008A0706"/>
    <w:rsid w:val="008A0C8B"/>
    <w:rsid w:val="008A0EF7"/>
    <w:rsid w:val="008A1244"/>
    <w:rsid w:val="008A196A"/>
    <w:rsid w:val="008A1D1F"/>
    <w:rsid w:val="008A2007"/>
    <w:rsid w:val="008A23B2"/>
    <w:rsid w:val="008A2427"/>
    <w:rsid w:val="008A24A9"/>
    <w:rsid w:val="008A2546"/>
    <w:rsid w:val="008A2D48"/>
    <w:rsid w:val="008A2E21"/>
    <w:rsid w:val="008A32DF"/>
    <w:rsid w:val="008A38E0"/>
    <w:rsid w:val="008A38F4"/>
    <w:rsid w:val="008A39C4"/>
    <w:rsid w:val="008A3A0B"/>
    <w:rsid w:val="008A3CA7"/>
    <w:rsid w:val="008A3CD8"/>
    <w:rsid w:val="008A3CF9"/>
    <w:rsid w:val="008A3D51"/>
    <w:rsid w:val="008A431F"/>
    <w:rsid w:val="008A4B98"/>
    <w:rsid w:val="008A4C65"/>
    <w:rsid w:val="008A4E12"/>
    <w:rsid w:val="008A50AE"/>
    <w:rsid w:val="008A513D"/>
    <w:rsid w:val="008A58F8"/>
    <w:rsid w:val="008A5AEC"/>
    <w:rsid w:val="008A5EFB"/>
    <w:rsid w:val="008A65A7"/>
    <w:rsid w:val="008A6C88"/>
    <w:rsid w:val="008A7586"/>
    <w:rsid w:val="008A7846"/>
    <w:rsid w:val="008A7D69"/>
    <w:rsid w:val="008A7E08"/>
    <w:rsid w:val="008B000D"/>
    <w:rsid w:val="008B014F"/>
    <w:rsid w:val="008B0218"/>
    <w:rsid w:val="008B0720"/>
    <w:rsid w:val="008B08C8"/>
    <w:rsid w:val="008B0E10"/>
    <w:rsid w:val="008B11B2"/>
    <w:rsid w:val="008B11C3"/>
    <w:rsid w:val="008B1610"/>
    <w:rsid w:val="008B174B"/>
    <w:rsid w:val="008B1C67"/>
    <w:rsid w:val="008B2241"/>
    <w:rsid w:val="008B22E3"/>
    <w:rsid w:val="008B22F0"/>
    <w:rsid w:val="008B24E4"/>
    <w:rsid w:val="008B26E4"/>
    <w:rsid w:val="008B2B8C"/>
    <w:rsid w:val="008B2BD7"/>
    <w:rsid w:val="008B2D66"/>
    <w:rsid w:val="008B3085"/>
    <w:rsid w:val="008B327E"/>
    <w:rsid w:val="008B3297"/>
    <w:rsid w:val="008B33BD"/>
    <w:rsid w:val="008B3694"/>
    <w:rsid w:val="008B3D15"/>
    <w:rsid w:val="008B40A8"/>
    <w:rsid w:val="008B40F5"/>
    <w:rsid w:val="008B42E6"/>
    <w:rsid w:val="008B4325"/>
    <w:rsid w:val="008B4E56"/>
    <w:rsid w:val="008B5068"/>
    <w:rsid w:val="008B5215"/>
    <w:rsid w:val="008B52A6"/>
    <w:rsid w:val="008B5581"/>
    <w:rsid w:val="008B56E0"/>
    <w:rsid w:val="008B5774"/>
    <w:rsid w:val="008B60E3"/>
    <w:rsid w:val="008B64D3"/>
    <w:rsid w:val="008B68BA"/>
    <w:rsid w:val="008B6956"/>
    <w:rsid w:val="008B6A03"/>
    <w:rsid w:val="008B6C6F"/>
    <w:rsid w:val="008B74E2"/>
    <w:rsid w:val="008B78DA"/>
    <w:rsid w:val="008B7AEE"/>
    <w:rsid w:val="008B7E2B"/>
    <w:rsid w:val="008B7FA5"/>
    <w:rsid w:val="008C02D4"/>
    <w:rsid w:val="008C0382"/>
    <w:rsid w:val="008C03CE"/>
    <w:rsid w:val="008C053E"/>
    <w:rsid w:val="008C0C7B"/>
    <w:rsid w:val="008C0DC6"/>
    <w:rsid w:val="008C13E0"/>
    <w:rsid w:val="008C1512"/>
    <w:rsid w:val="008C151E"/>
    <w:rsid w:val="008C1560"/>
    <w:rsid w:val="008C17AE"/>
    <w:rsid w:val="008C1AD9"/>
    <w:rsid w:val="008C1E36"/>
    <w:rsid w:val="008C1F82"/>
    <w:rsid w:val="008C21E6"/>
    <w:rsid w:val="008C2993"/>
    <w:rsid w:val="008C30EE"/>
    <w:rsid w:val="008C3467"/>
    <w:rsid w:val="008C372B"/>
    <w:rsid w:val="008C385B"/>
    <w:rsid w:val="008C3BD2"/>
    <w:rsid w:val="008C3D5D"/>
    <w:rsid w:val="008C3DD7"/>
    <w:rsid w:val="008C3E77"/>
    <w:rsid w:val="008C4134"/>
    <w:rsid w:val="008C4336"/>
    <w:rsid w:val="008C46A6"/>
    <w:rsid w:val="008C4A95"/>
    <w:rsid w:val="008C4BA3"/>
    <w:rsid w:val="008C4BC2"/>
    <w:rsid w:val="008C5695"/>
    <w:rsid w:val="008C5881"/>
    <w:rsid w:val="008C58C4"/>
    <w:rsid w:val="008C5C29"/>
    <w:rsid w:val="008C5CED"/>
    <w:rsid w:val="008C5DBB"/>
    <w:rsid w:val="008C5F38"/>
    <w:rsid w:val="008C6349"/>
    <w:rsid w:val="008C6387"/>
    <w:rsid w:val="008C65CA"/>
    <w:rsid w:val="008C6B9C"/>
    <w:rsid w:val="008C73B0"/>
    <w:rsid w:val="008C79E1"/>
    <w:rsid w:val="008C7AAF"/>
    <w:rsid w:val="008C7B2C"/>
    <w:rsid w:val="008C7CAA"/>
    <w:rsid w:val="008C7D20"/>
    <w:rsid w:val="008C7E41"/>
    <w:rsid w:val="008C7F32"/>
    <w:rsid w:val="008C7FC2"/>
    <w:rsid w:val="008D0909"/>
    <w:rsid w:val="008D0DDE"/>
    <w:rsid w:val="008D114A"/>
    <w:rsid w:val="008D1512"/>
    <w:rsid w:val="008D1542"/>
    <w:rsid w:val="008D157E"/>
    <w:rsid w:val="008D19EB"/>
    <w:rsid w:val="008D1A45"/>
    <w:rsid w:val="008D1C4F"/>
    <w:rsid w:val="008D1F78"/>
    <w:rsid w:val="008D209F"/>
    <w:rsid w:val="008D20BC"/>
    <w:rsid w:val="008D264E"/>
    <w:rsid w:val="008D2B07"/>
    <w:rsid w:val="008D2EC2"/>
    <w:rsid w:val="008D3238"/>
    <w:rsid w:val="008D36D1"/>
    <w:rsid w:val="008D36F9"/>
    <w:rsid w:val="008D3822"/>
    <w:rsid w:val="008D3934"/>
    <w:rsid w:val="008D3AA4"/>
    <w:rsid w:val="008D3C95"/>
    <w:rsid w:val="008D3D32"/>
    <w:rsid w:val="008D4072"/>
    <w:rsid w:val="008D4945"/>
    <w:rsid w:val="008D4989"/>
    <w:rsid w:val="008D4C6B"/>
    <w:rsid w:val="008D4C84"/>
    <w:rsid w:val="008D4E29"/>
    <w:rsid w:val="008D5042"/>
    <w:rsid w:val="008D55B5"/>
    <w:rsid w:val="008D5999"/>
    <w:rsid w:val="008D5A25"/>
    <w:rsid w:val="008D5A38"/>
    <w:rsid w:val="008D5BB5"/>
    <w:rsid w:val="008D5E8C"/>
    <w:rsid w:val="008D5EA8"/>
    <w:rsid w:val="008D6001"/>
    <w:rsid w:val="008D63D8"/>
    <w:rsid w:val="008D654D"/>
    <w:rsid w:val="008D65E8"/>
    <w:rsid w:val="008D7215"/>
    <w:rsid w:val="008D739A"/>
    <w:rsid w:val="008D7646"/>
    <w:rsid w:val="008D7688"/>
    <w:rsid w:val="008D7806"/>
    <w:rsid w:val="008D7A1D"/>
    <w:rsid w:val="008E0285"/>
    <w:rsid w:val="008E05CC"/>
    <w:rsid w:val="008E08A9"/>
    <w:rsid w:val="008E0CC1"/>
    <w:rsid w:val="008E1073"/>
    <w:rsid w:val="008E1526"/>
    <w:rsid w:val="008E17D1"/>
    <w:rsid w:val="008E19C7"/>
    <w:rsid w:val="008E225E"/>
    <w:rsid w:val="008E2280"/>
    <w:rsid w:val="008E2465"/>
    <w:rsid w:val="008E2C89"/>
    <w:rsid w:val="008E2CF1"/>
    <w:rsid w:val="008E2ECF"/>
    <w:rsid w:val="008E2FED"/>
    <w:rsid w:val="008E338E"/>
    <w:rsid w:val="008E3651"/>
    <w:rsid w:val="008E372A"/>
    <w:rsid w:val="008E3AC6"/>
    <w:rsid w:val="008E3C50"/>
    <w:rsid w:val="008E3F74"/>
    <w:rsid w:val="008E42FE"/>
    <w:rsid w:val="008E477B"/>
    <w:rsid w:val="008E4812"/>
    <w:rsid w:val="008E4C03"/>
    <w:rsid w:val="008E4CEA"/>
    <w:rsid w:val="008E4EF2"/>
    <w:rsid w:val="008E52B4"/>
    <w:rsid w:val="008E52D9"/>
    <w:rsid w:val="008E5475"/>
    <w:rsid w:val="008E54FF"/>
    <w:rsid w:val="008E5667"/>
    <w:rsid w:val="008E585D"/>
    <w:rsid w:val="008E59CD"/>
    <w:rsid w:val="008E5B7B"/>
    <w:rsid w:val="008E63B8"/>
    <w:rsid w:val="008E65A5"/>
    <w:rsid w:val="008E6CFE"/>
    <w:rsid w:val="008E6D0A"/>
    <w:rsid w:val="008E7053"/>
    <w:rsid w:val="008E706A"/>
    <w:rsid w:val="008E70D7"/>
    <w:rsid w:val="008E7792"/>
    <w:rsid w:val="008F07DB"/>
    <w:rsid w:val="008F08BF"/>
    <w:rsid w:val="008F0D72"/>
    <w:rsid w:val="008F0F4A"/>
    <w:rsid w:val="008F0FAD"/>
    <w:rsid w:val="008F0FC9"/>
    <w:rsid w:val="008F13DA"/>
    <w:rsid w:val="008F1C7A"/>
    <w:rsid w:val="008F21B6"/>
    <w:rsid w:val="008F277E"/>
    <w:rsid w:val="008F279C"/>
    <w:rsid w:val="008F2802"/>
    <w:rsid w:val="008F2869"/>
    <w:rsid w:val="008F29DE"/>
    <w:rsid w:val="008F2C4B"/>
    <w:rsid w:val="008F2CC1"/>
    <w:rsid w:val="008F2F67"/>
    <w:rsid w:val="008F30A9"/>
    <w:rsid w:val="008F3446"/>
    <w:rsid w:val="008F3576"/>
    <w:rsid w:val="008F3880"/>
    <w:rsid w:val="008F3EFC"/>
    <w:rsid w:val="008F44D1"/>
    <w:rsid w:val="008F4737"/>
    <w:rsid w:val="008F4E7C"/>
    <w:rsid w:val="008F4EC3"/>
    <w:rsid w:val="008F52A7"/>
    <w:rsid w:val="008F52FA"/>
    <w:rsid w:val="008F5352"/>
    <w:rsid w:val="008F574A"/>
    <w:rsid w:val="008F57EE"/>
    <w:rsid w:val="008F58AB"/>
    <w:rsid w:val="008F59C0"/>
    <w:rsid w:val="008F59F2"/>
    <w:rsid w:val="008F5B66"/>
    <w:rsid w:val="008F5DAE"/>
    <w:rsid w:val="008F600E"/>
    <w:rsid w:val="008F6486"/>
    <w:rsid w:val="008F661E"/>
    <w:rsid w:val="008F68B8"/>
    <w:rsid w:val="008F68D7"/>
    <w:rsid w:val="008F69D6"/>
    <w:rsid w:val="008F6DD0"/>
    <w:rsid w:val="008F6DD9"/>
    <w:rsid w:val="008F7134"/>
    <w:rsid w:val="008F72C3"/>
    <w:rsid w:val="008F73EA"/>
    <w:rsid w:val="008F75B1"/>
    <w:rsid w:val="008F7896"/>
    <w:rsid w:val="008F7907"/>
    <w:rsid w:val="009001B8"/>
    <w:rsid w:val="00900332"/>
    <w:rsid w:val="009006B2"/>
    <w:rsid w:val="00900948"/>
    <w:rsid w:val="00900BED"/>
    <w:rsid w:val="00900EC6"/>
    <w:rsid w:val="009010C7"/>
    <w:rsid w:val="009010D3"/>
    <w:rsid w:val="009014C0"/>
    <w:rsid w:val="009014FA"/>
    <w:rsid w:val="0090157D"/>
    <w:rsid w:val="0090193B"/>
    <w:rsid w:val="00902041"/>
    <w:rsid w:val="0090207A"/>
    <w:rsid w:val="0090213E"/>
    <w:rsid w:val="009024EF"/>
    <w:rsid w:val="009026FF"/>
    <w:rsid w:val="00902AC9"/>
    <w:rsid w:val="00902B24"/>
    <w:rsid w:val="0090339F"/>
    <w:rsid w:val="00903423"/>
    <w:rsid w:val="00903766"/>
    <w:rsid w:val="00903A96"/>
    <w:rsid w:val="00903D1A"/>
    <w:rsid w:val="00903D66"/>
    <w:rsid w:val="00904098"/>
    <w:rsid w:val="00904433"/>
    <w:rsid w:val="00904718"/>
    <w:rsid w:val="00904B5D"/>
    <w:rsid w:val="00904BDD"/>
    <w:rsid w:val="00904D2D"/>
    <w:rsid w:val="0090515E"/>
    <w:rsid w:val="00905308"/>
    <w:rsid w:val="0090573A"/>
    <w:rsid w:val="00905BEE"/>
    <w:rsid w:val="009064D3"/>
    <w:rsid w:val="00906797"/>
    <w:rsid w:val="00906A76"/>
    <w:rsid w:val="00906DB2"/>
    <w:rsid w:val="00906F61"/>
    <w:rsid w:val="00906F98"/>
    <w:rsid w:val="00906FBD"/>
    <w:rsid w:val="0090731A"/>
    <w:rsid w:val="0090796E"/>
    <w:rsid w:val="00907C8C"/>
    <w:rsid w:val="00907D69"/>
    <w:rsid w:val="009101A8"/>
    <w:rsid w:val="009106A4"/>
    <w:rsid w:val="00910853"/>
    <w:rsid w:val="009108CA"/>
    <w:rsid w:val="0091098E"/>
    <w:rsid w:val="00910B2A"/>
    <w:rsid w:val="00910BE7"/>
    <w:rsid w:val="00910CED"/>
    <w:rsid w:val="00911091"/>
    <w:rsid w:val="00911729"/>
    <w:rsid w:val="00911917"/>
    <w:rsid w:val="00911A6F"/>
    <w:rsid w:val="00911C31"/>
    <w:rsid w:val="00911CAB"/>
    <w:rsid w:val="00912055"/>
    <w:rsid w:val="009120FD"/>
    <w:rsid w:val="0091255A"/>
    <w:rsid w:val="00912572"/>
    <w:rsid w:val="0091263B"/>
    <w:rsid w:val="009128E6"/>
    <w:rsid w:val="00912C1D"/>
    <w:rsid w:val="00913044"/>
    <w:rsid w:val="00913188"/>
    <w:rsid w:val="0091363D"/>
    <w:rsid w:val="0091380E"/>
    <w:rsid w:val="00913866"/>
    <w:rsid w:val="0091390D"/>
    <w:rsid w:val="00913AB7"/>
    <w:rsid w:val="00913D74"/>
    <w:rsid w:val="00913ED3"/>
    <w:rsid w:val="00913F77"/>
    <w:rsid w:val="00914077"/>
    <w:rsid w:val="0091460B"/>
    <w:rsid w:val="0091477C"/>
    <w:rsid w:val="009147CB"/>
    <w:rsid w:val="009149AF"/>
    <w:rsid w:val="00915126"/>
    <w:rsid w:val="009157E7"/>
    <w:rsid w:val="009158B5"/>
    <w:rsid w:val="00915F64"/>
    <w:rsid w:val="009161DB"/>
    <w:rsid w:val="0091656C"/>
    <w:rsid w:val="009165A4"/>
    <w:rsid w:val="00916D27"/>
    <w:rsid w:val="009172A6"/>
    <w:rsid w:val="00917531"/>
    <w:rsid w:val="00917690"/>
    <w:rsid w:val="009178E9"/>
    <w:rsid w:val="00917BAA"/>
    <w:rsid w:val="00917DFF"/>
    <w:rsid w:val="00920107"/>
    <w:rsid w:val="00920167"/>
    <w:rsid w:val="009208A6"/>
    <w:rsid w:val="0092090D"/>
    <w:rsid w:val="00920C5C"/>
    <w:rsid w:val="00920F7B"/>
    <w:rsid w:val="0092136F"/>
    <w:rsid w:val="009216A7"/>
    <w:rsid w:val="00921C57"/>
    <w:rsid w:val="00921C6D"/>
    <w:rsid w:val="00921FF9"/>
    <w:rsid w:val="00922344"/>
    <w:rsid w:val="00922685"/>
    <w:rsid w:val="009227B3"/>
    <w:rsid w:val="00922F71"/>
    <w:rsid w:val="00923029"/>
    <w:rsid w:val="00923074"/>
    <w:rsid w:val="009234F0"/>
    <w:rsid w:val="00923906"/>
    <w:rsid w:val="00923D35"/>
    <w:rsid w:val="009240FE"/>
    <w:rsid w:val="00924728"/>
    <w:rsid w:val="00924C47"/>
    <w:rsid w:val="00924D21"/>
    <w:rsid w:val="009252B6"/>
    <w:rsid w:val="00925B5A"/>
    <w:rsid w:val="00926099"/>
    <w:rsid w:val="0092618D"/>
    <w:rsid w:val="00926284"/>
    <w:rsid w:val="0092654B"/>
    <w:rsid w:val="00926692"/>
    <w:rsid w:val="009267C4"/>
    <w:rsid w:val="00926D39"/>
    <w:rsid w:val="00926DA1"/>
    <w:rsid w:val="009271F4"/>
    <w:rsid w:val="009273C7"/>
    <w:rsid w:val="00927599"/>
    <w:rsid w:val="009275D9"/>
    <w:rsid w:val="009277D2"/>
    <w:rsid w:val="009279AF"/>
    <w:rsid w:val="00927C38"/>
    <w:rsid w:val="00927DA2"/>
    <w:rsid w:val="00927F30"/>
    <w:rsid w:val="00930056"/>
    <w:rsid w:val="009300BC"/>
    <w:rsid w:val="0093039D"/>
    <w:rsid w:val="00930409"/>
    <w:rsid w:val="00930A66"/>
    <w:rsid w:val="00930CBE"/>
    <w:rsid w:val="00930D62"/>
    <w:rsid w:val="00930D88"/>
    <w:rsid w:val="00930EA3"/>
    <w:rsid w:val="00930EF5"/>
    <w:rsid w:val="00930F8C"/>
    <w:rsid w:val="00930FA2"/>
    <w:rsid w:val="0093124F"/>
    <w:rsid w:val="00931406"/>
    <w:rsid w:val="0093141A"/>
    <w:rsid w:val="009318D6"/>
    <w:rsid w:val="009322AA"/>
    <w:rsid w:val="009324F7"/>
    <w:rsid w:val="0093258B"/>
    <w:rsid w:val="00932972"/>
    <w:rsid w:val="00932F1D"/>
    <w:rsid w:val="0093301D"/>
    <w:rsid w:val="009332ED"/>
    <w:rsid w:val="009334FC"/>
    <w:rsid w:val="00933E91"/>
    <w:rsid w:val="00934779"/>
    <w:rsid w:val="00934ED6"/>
    <w:rsid w:val="00935052"/>
    <w:rsid w:val="0093526C"/>
    <w:rsid w:val="009353C6"/>
    <w:rsid w:val="00935406"/>
    <w:rsid w:val="009354D7"/>
    <w:rsid w:val="0093552E"/>
    <w:rsid w:val="0093598A"/>
    <w:rsid w:val="00935B63"/>
    <w:rsid w:val="00935BD6"/>
    <w:rsid w:val="00935F0E"/>
    <w:rsid w:val="00935F1F"/>
    <w:rsid w:val="0093617C"/>
    <w:rsid w:val="00936241"/>
    <w:rsid w:val="0093647E"/>
    <w:rsid w:val="0093681B"/>
    <w:rsid w:val="0093692B"/>
    <w:rsid w:val="00936A23"/>
    <w:rsid w:val="00936B82"/>
    <w:rsid w:val="00936E54"/>
    <w:rsid w:val="009370B9"/>
    <w:rsid w:val="009371EE"/>
    <w:rsid w:val="009373FA"/>
    <w:rsid w:val="009376AB"/>
    <w:rsid w:val="009377AF"/>
    <w:rsid w:val="009377C8"/>
    <w:rsid w:val="00937B91"/>
    <w:rsid w:val="00937D1E"/>
    <w:rsid w:val="00937DB4"/>
    <w:rsid w:val="00937E1F"/>
    <w:rsid w:val="00940040"/>
    <w:rsid w:val="009404C6"/>
    <w:rsid w:val="00940570"/>
    <w:rsid w:val="00940947"/>
    <w:rsid w:val="00940C19"/>
    <w:rsid w:val="00940C2B"/>
    <w:rsid w:val="00940EAC"/>
    <w:rsid w:val="00940FDE"/>
    <w:rsid w:val="009412D2"/>
    <w:rsid w:val="0094137E"/>
    <w:rsid w:val="0094143C"/>
    <w:rsid w:val="0094159E"/>
    <w:rsid w:val="0094176C"/>
    <w:rsid w:val="00941A4B"/>
    <w:rsid w:val="00941B73"/>
    <w:rsid w:val="00941F50"/>
    <w:rsid w:val="009422C0"/>
    <w:rsid w:val="009423A7"/>
    <w:rsid w:val="00942C6E"/>
    <w:rsid w:val="00942E16"/>
    <w:rsid w:val="0094312E"/>
    <w:rsid w:val="0094343A"/>
    <w:rsid w:val="009437F4"/>
    <w:rsid w:val="0094382B"/>
    <w:rsid w:val="00943999"/>
    <w:rsid w:val="00943EF6"/>
    <w:rsid w:val="00943F3B"/>
    <w:rsid w:val="009441FB"/>
    <w:rsid w:val="00944360"/>
    <w:rsid w:val="00944550"/>
    <w:rsid w:val="00944BDA"/>
    <w:rsid w:val="00945142"/>
    <w:rsid w:val="00945467"/>
    <w:rsid w:val="00945874"/>
    <w:rsid w:val="009458A5"/>
    <w:rsid w:val="00945907"/>
    <w:rsid w:val="00945910"/>
    <w:rsid w:val="00945D26"/>
    <w:rsid w:val="00945DF0"/>
    <w:rsid w:val="009460FE"/>
    <w:rsid w:val="0094617D"/>
    <w:rsid w:val="00946385"/>
    <w:rsid w:val="0094638C"/>
    <w:rsid w:val="00946733"/>
    <w:rsid w:val="00946DFB"/>
    <w:rsid w:val="00946EFD"/>
    <w:rsid w:val="00947313"/>
    <w:rsid w:val="0094750F"/>
    <w:rsid w:val="0094753E"/>
    <w:rsid w:val="009475A1"/>
    <w:rsid w:val="00947614"/>
    <w:rsid w:val="009478CD"/>
    <w:rsid w:val="00947A63"/>
    <w:rsid w:val="00947B3E"/>
    <w:rsid w:val="00950191"/>
    <w:rsid w:val="00950246"/>
    <w:rsid w:val="00950279"/>
    <w:rsid w:val="00950669"/>
    <w:rsid w:val="009509A7"/>
    <w:rsid w:val="00950CEA"/>
    <w:rsid w:val="00951483"/>
    <w:rsid w:val="00951A3C"/>
    <w:rsid w:val="00951DB6"/>
    <w:rsid w:val="00951FBC"/>
    <w:rsid w:val="00952142"/>
    <w:rsid w:val="0095223A"/>
    <w:rsid w:val="009525B5"/>
    <w:rsid w:val="0095267B"/>
    <w:rsid w:val="009526DD"/>
    <w:rsid w:val="009528AE"/>
    <w:rsid w:val="00952927"/>
    <w:rsid w:val="00952B46"/>
    <w:rsid w:val="00952FC2"/>
    <w:rsid w:val="0095320A"/>
    <w:rsid w:val="00953225"/>
    <w:rsid w:val="0095325E"/>
    <w:rsid w:val="009533DC"/>
    <w:rsid w:val="00953426"/>
    <w:rsid w:val="0095358C"/>
    <w:rsid w:val="009536BC"/>
    <w:rsid w:val="00953779"/>
    <w:rsid w:val="00953C5B"/>
    <w:rsid w:val="0095447E"/>
    <w:rsid w:val="0095451D"/>
    <w:rsid w:val="00954A5D"/>
    <w:rsid w:val="00954B2C"/>
    <w:rsid w:val="00954E25"/>
    <w:rsid w:val="00955957"/>
    <w:rsid w:val="00955C7A"/>
    <w:rsid w:val="00956126"/>
    <w:rsid w:val="009564CF"/>
    <w:rsid w:val="009564FB"/>
    <w:rsid w:val="0095679A"/>
    <w:rsid w:val="00956B66"/>
    <w:rsid w:val="00956BA7"/>
    <w:rsid w:val="00956E74"/>
    <w:rsid w:val="00956EDE"/>
    <w:rsid w:val="0095710C"/>
    <w:rsid w:val="009576F7"/>
    <w:rsid w:val="00957754"/>
    <w:rsid w:val="00957DAD"/>
    <w:rsid w:val="00957EE0"/>
    <w:rsid w:val="00960643"/>
    <w:rsid w:val="00960686"/>
    <w:rsid w:val="009607F0"/>
    <w:rsid w:val="00960D51"/>
    <w:rsid w:val="00960D7D"/>
    <w:rsid w:val="00960F9E"/>
    <w:rsid w:val="00961200"/>
    <w:rsid w:val="00961AA9"/>
    <w:rsid w:val="00961AB6"/>
    <w:rsid w:val="00961E06"/>
    <w:rsid w:val="00961FDA"/>
    <w:rsid w:val="009623C8"/>
    <w:rsid w:val="009625B3"/>
    <w:rsid w:val="00962D79"/>
    <w:rsid w:val="00962DC6"/>
    <w:rsid w:val="00962EF5"/>
    <w:rsid w:val="00962FC9"/>
    <w:rsid w:val="009636E5"/>
    <w:rsid w:val="00963BE1"/>
    <w:rsid w:val="00964033"/>
    <w:rsid w:val="00964069"/>
    <w:rsid w:val="009646B6"/>
    <w:rsid w:val="00964F27"/>
    <w:rsid w:val="00964F34"/>
    <w:rsid w:val="009651A5"/>
    <w:rsid w:val="00965399"/>
    <w:rsid w:val="00965691"/>
    <w:rsid w:val="00965797"/>
    <w:rsid w:val="009665C3"/>
    <w:rsid w:val="0096688A"/>
    <w:rsid w:val="009668F0"/>
    <w:rsid w:val="00966CAC"/>
    <w:rsid w:val="00967444"/>
    <w:rsid w:val="0096752E"/>
    <w:rsid w:val="00967589"/>
    <w:rsid w:val="00967722"/>
    <w:rsid w:val="00967CCB"/>
    <w:rsid w:val="00967D1B"/>
    <w:rsid w:val="0097018C"/>
    <w:rsid w:val="009704F2"/>
    <w:rsid w:val="0097072B"/>
    <w:rsid w:val="009711DB"/>
    <w:rsid w:val="00971380"/>
    <w:rsid w:val="00971946"/>
    <w:rsid w:val="009719BD"/>
    <w:rsid w:val="00971B1C"/>
    <w:rsid w:val="00971BE8"/>
    <w:rsid w:val="009723BE"/>
    <w:rsid w:val="009723EC"/>
    <w:rsid w:val="00972580"/>
    <w:rsid w:val="00972E75"/>
    <w:rsid w:val="00972E8C"/>
    <w:rsid w:val="00972F24"/>
    <w:rsid w:val="009730C9"/>
    <w:rsid w:val="0097352A"/>
    <w:rsid w:val="00973531"/>
    <w:rsid w:val="00973535"/>
    <w:rsid w:val="00973567"/>
    <w:rsid w:val="00973789"/>
    <w:rsid w:val="00973B50"/>
    <w:rsid w:val="00973C0E"/>
    <w:rsid w:val="00973F03"/>
    <w:rsid w:val="00974E5C"/>
    <w:rsid w:val="00974F0B"/>
    <w:rsid w:val="00975194"/>
    <w:rsid w:val="00975302"/>
    <w:rsid w:val="0097578C"/>
    <w:rsid w:val="0097585E"/>
    <w:rsid w:val="00975B52"/>
    <w:rsid w:val="00976084"/>
    <w:rsid w:val="009760D6"/>
    <w:rsid w:val="00976813"/>
    <w:rsid w:val="00976BFF"/>
    <w:rsid w:val="00976F65"/>
    <w:rsid w:val="0097719B"/>
    <w:rsid w:val="0097719C"/>
    <w:rsid w:val="00977294"/>
    <w:rsid w:val="009776CF"/>
    <w:rsid w:val="00977A27"/>
    <w:rsid w:val="00977A95"/>
    <w:rsid w:val="00977D9D"/>
    <w:rsid w:val="00977E78"/>
    <w:rsid w:val="00977EA3"/>
    <w:rsid w:val="00977EFA"/>
    <w:rsid w:val="00977F26"/>
    <w:rsid w:val="0098000C"/>
    <w:rsid w:val="00980166"/>
    <w:rsid w:val="0098074A"/>
    <w:rsid w:val="00980778"/>
    <w:rsid w:val="009809BD"/>
    <w:rsid w:val="00980AA6"/>
    <w:rsid w:val="00980D5F"/>
    <w:rsid w:val="009816DC"/>
    <w:rsid w:val="00981A19"/>
    <w:rsid w:val="00981B8B"/>
    <w:rsid w:val="00981D89"/>
    <w:rsid w:val="0098236F"/>
    <w:rsid w:val="009827A6"/>
    <w:rsid w:val="0098290A"/>
    <w:rsid w:val="00982C2C"/>
    <w:rsid w:val="0098303D"/>
    <w:rsid w:val="00983444"/>
    <w:rsid w:val="009838C3"/>
    <w:rsid w:val="00983A67"/>
    <w:rsid w:val="00984246"/>
    <w:rsid w:val="00984493"/>
    <w:rsid w:val="00984934"/>
    <w:rsid w:val="00984956"/>
    <w:rsid w:val="00984982"/>
    <w:rsid w:val="00984CC3"/>
    <w:rsid w:val="009851C0"/>
    <w:rsid w:val="00985475"/>
    <w:rsid w:val="0098582F"/>
    <w:rsid w:val="009859F4"/>
    <w:rsid w:val="00985D4A"/>
    <w:rsid w:val="00986326"/>
    <w:rsid w:val="009863D8"/>
    <w:rsid w:val="009866B3"/>
    <w:rsid w:val="009868BB"/>
    <w:rsid w:val="00986BEA"/>
    <w:rsid w:val="00986D86"/>
    <w:rsid w:val="00987623"/>
    <w:rsid w:val="00987909"/>
    <w:rsid w:val="00987A8B"/>
    <w:rsid w:val="00987DA0"/>
    <w:rsid w:val="0099008E"/>
    <w:rsid w:val="009903D1"/>
    <w:rsid w:val="009907A1"/>
    <w:rsid w:val="00990A81"/>
    <w:rsid w:val="00990CE1"/>
    <w:rsid w:val="00990F74"/>
    <w:rsid w:val="00991182"/>
    <w:rsid w:val="009913D9"/>
    <w:rsid w:val="009919B4"/>
    <w:rsid w:val="009919F0"/>
    <w:rsid w:val="00991F2C"/>
    <w:rsid w:val="00992166"/>
    <w:rsid w:val="00992372"/>
    <w:rsid w:val="009925FD"/>
    <w:rsid w:val="009927D3"/>
    <w:rsid w:val="00992868"/>
    <w:rsid w:val="00992885"/>
    <w:rsid w:val="00992A8E"/>
    <w:rsid w:val="00992BB2"/>
    <w:rsid w:val="00992FF0"/>
    <w:rsid w:val="00993380"/>
    <w:rsid w:val="00993392"/>
    <w:rsid w:val="009933E0"/>
    <w:rsid w:val="00993525"/>
    <w:rsid w:val="00993587"/>
    <w:rsid w:val="00993B98"/>
    <w:rsid w:val="00993E26"/>
    <w:rsid w:val="00993FBB"/>
    <w:rsid w:val="0099429A"/>
    <w:rsid w:val="00994394"/>
    <w:rsid w:val="0099455D"/>
    <w:rsid w:val="0099456A"/>
    <w:rsid w:val="0099456F"/>
    <w:rsid w:val="0099469E"/>
    <w:rsid w:val="009946F4"/>
    <w:rsid w:val="00994801"/>
    <w:rsid w:val="009948ED"/>
    <w:rsid w:val="00994DAC"/>
    <w:rsid w:val="00994F8C"/>
    <w:rsid w:val="00994FBF"/>
    <w:rsid w:val="00995074"/>
    <w:rsid w:val="00995084"/>
    <w:rsid w:val="009951A9"/>
    <w:rsid w:val="00995277"/>
    <w:rsid w:val="009953D8"/>
    <w:rsid w:val="009956E5"/>
    <w:rsid w:val="0099574D"/>
    <w:rsid w:val="00995783"/>
    <w:rsid w:val="009957B6"/>
    <w:rsid w:val="009959D7"/>
    <w:rsid w:val="00995AC9"/>
    <w:rsid w:val="00995C6A"/>
    <w:rsid w:val="00996408"/>
    <w:rsid w:val="0099661A"/>
    <w:rsid w:val="00996AE2"/>
    <w:rsid w:val="00997466"/>
    <w:rsid w:val="00997E3B"/>
    <w:rsid w:val="009A068A"/>
    <w:rsid w:val="009A0704"/>
    <w:rsid w:val="009A0AA1"/>
    <w:rsid w:val="009A0E33"/>
    <w:rsid w:val="009A0EFB"/>
    <w:rsid w:val="009A1313"/>
    <w:rsid w:val="009A1552"/>
    <w:rsid w:val="009A177E"/>
    <w:rsid w:val="009A1F7B"/>
    <w:rsid w:val="009A236F"/>
    <w:rsid w:val="009A24B5"/>
    <w:rsid w:val="009A2A14"/>
    <w:rsid w:val="009A2E57"/>
    <w:rsid w:val="009A3117"/>
    <w:rsid w:val="009A317C"/>
    <w:rsid w:val="009A3528"/>
    <w:rsid w:val="009A367A"/>
    <w:rsid w:val="009A3BB1"/>
    <w:rsid w:val="009A3CA2"/>
    <w:rsid w:val="009A3CAD"/>
    <w:rsid w:val="009A3E1F"/>
    <w:rsid w:val="009A40CD"/>
    <w:rsid w:val="009A41A0"/>
    <w:rsid w:val="009A42AE"/>
    <w:rsid w:val="009A42DC"/>
    <w:rsid w:val="009A4B26"/>
    <w:rsid w:val="009A4E30"/>
    <w:rsid w:val="009A4F95"/>
    <w:rsid w:val="009A4FFA"/>
    <w:rsid w:val="009A50CF"/>
    <w:rsid w:val="009A52BC"/>
    <w:rsid w:val="009A5489"/>
    <w:rsid w:val="009A593A"/>
    <w:rsid w:val="009A5A77"/>
    <w:rsid w:val="009A5BD1"/>
    <w:rsid w:val="009A5E1A"/>
    <w:rsid w:val="009A5FF0"/>
    <w:rsid w:val="009A6384"/>
    <w:rsid w:val="009A6647"/>
    <w:rsid w:val="009A6821"/>
    <w:rsid w:val="009A6EC3"/>
    <w:rsid w:val="009A77F1"/>
    <w:rsid w:val="009A78D5"/>
    <w:rsid w:val="009A7F64"/>
    <w:rsid w:val="009B00C4"/>
    <w:rsid w:val="009B05DA"/>
    <w:rsid w:val="009B0EB2"/>
    <w:rsid w:val="009B1180"/>
    <w:rsid w:val="009B1459"/>
    <w:rsid w:val="009B165E"/>
    <w:rsid w:val="009B1718"/>
    <w:rsid w:val="009B17FE"/>
    <w:rsid w:val="009B185B"/>
    <w:rsid w:val="009B1BEB"/>
    <w:rsid w:val="009B207B"/>
    <w:rsid w:val="009B2543"/>
    <w:rsid w:val="009B2A57"/>
    <w:rsid w:val="009B2BB9"/>
    <w:rsid w:val="009B2E8D"/>
    <w:rsid w:val="009B2F45"/>
    <w:rsid w:val="009B3164"/>
    <w:rsid w:val="009B3176"/>
    <w:rsid w:val="009B3246"/>
    <w:rsid w:val="009B3649"/>
    <w:rsid w:val="009B36A0"/>
    <w:rsid w:val="009B387F"/>
    <w:rsid w:val="009B38FD"/>
    <w:rsid w:val="009B3A8A"/>
    <w:rsid w:val="009B3B7F"/>
    <w:rsid w:val="009B3C97"/>
    <w:rsid w:val="009B3CC9"/>
    <w:rsid w:val="009B3DA4"/>
    <w:rsid w:val="009B3EB1"/>
    <w:rsid w:val="009B4129"/>
    <w:rsid w:val="009B4223"/>
    <w:rsid w:val="009B55D1"/>
    <w:rsid w:val="009B5D98"/>
    <w:rsid w:val="009B64DF"/>
    <w:rsid w:val="009B6621"/>
    <w:rsid w:val="009B69C6"/>
    <w:rsid w:val="009B6F2A"/>
    <w:rsid w:val="009B7084"/>
    <w:rsid w:val="009B7417"/>
    <w:rsid w:val="009B76EE"/>
    <w:rsid w:val="009B7828"/>
    <w:rsid w:val="009C0190"/>
    <w:rsid w:val="009C048F"/>
    <w:rsid w:val="009C053B"/>
    <w:rsid w:val="009C068F"/>
    <w:rsid w:val="009C0CFA"/>
    <w:rsid w:val="009C0F5A"/>
    <w:rsid w:val="009C1064"/>
    <w:rsid w:val="009C11D4"/>
    <w:rsid w:val="009C1247"/>
    <w:rsid w:val="009C1A83"/>
    <w:rsid w:val="009C1B0A"/>
    <w:rsid w:val="009C1C0C"/>
    <w:rsid w:val="009C1F80"/>
    <w:rsid w:val="009C1FDC"/>
    <w:rsid w:val="009C2011"/>
    <w:rsid w:val="009C225C"/>
    <w:rsid w:val="009C2947"/>
    <w:rsid w:val="009C295D"/>
    <w:rsid w:val="009C2F9D"/>
    <w:rsid w:val="009C3494"/>
    <w:rsid w:val="009C349A"/>
    <w:rsid w:val="009C374A"/>
    <w:rsid w:val="009C3751"/>
    <w:rsid w:val="009C3979"/>
    <w:rsid w:val="009C3A14"/>
    <w:rsid w:val="009C3C40"/>
    <w:rsid w:val="009C3F87"/>
    <w:rsid w:val="009C43AB"/>
    <w:rsid w:val="009C43D8"/>
    <w:rsid w:val="009C458E"/>
    <w:rsid w:val="009C474A"/>
    <w:rsid w:val="009C49E3"/>
    <w:rsid w:val="009C4BFE"/>
    <w:rsid w:val="009C4C67"/>
    <w:rsid w:val="009C4E36"/>
    <w:rsid w:val="009C5461"/>
    <w:rsid w:val="009C5751"/>
    <w:rsid w:val="009C5810"/>
    <w:rsid w:val="009C59D3"/>
    <w:rsid w:val="009C5B3A"/>
    <w:rsid w:val="009C5D91"/>
    <w:rsid w:val="009C5E9F"/>
    <w:rsid w:val="009C60E4"/>
    <w:rsid w:val="009C625F"/>
    <w:rsid w:val="009C62C6"/>
    <w:rsid w:val="009C62E7"/>
    <w:rsid w:val="009C641D"/>
    <w:rsid w:val="009C6554"/>
    <w:rsid w:val="009C6A1A"/>
    <w:rsid w:val="009C6BBE"/>
    <w:rsid w:val="009C70E0"/>
    <w:rsid w:val="009C7169"/>
    <w:rsid w:val="009C74C7"/>
    <w:rsid w:val="009C77C6"/>
    <w:rsid w:val="009C79A9"/>
    <w:rsid w:val="009C7A19"/>
    <w:rsid w:val="009C7B38"/>
    <w:rsid w:val="009C7FC2"/>
    <w:rsid w:val="009D0040"/>
    <w:rsid w:val="009D05D2"/>
    <w:rsid w:val="009D0CB6"/>
    <w:rsid w:val="009D0CBD"/>
    <w:rsid w:val="009D0E1D"/>
    <w:rsid w:val="009D100D"/>
    <w:rsid w:val="009D10CF"/>
    <w:rsid w:val="009D133B"/>
    <w:rsid w:val="009D1490"/>
    <w:rsid w:val="009D175B"/>
    <w:rsid w:val="009D18E6"/>
    <w:rsid w:val="009D1B70"/>
    <w:rsid w:val="009D1BD9"/>
    <w:rsid w:val="009D1C68"/>
    <w:rsid w:val="009D20F1"/>
    <w:rsid w:val="009D2188"/>
    <w:rsid w:val="009D23BB"/>
    <w:rsid w:val="009D267F"/>
    <w:rsid w:val="009D311D"/>
    <w:rsid w:val="009D37B1"/>
    <w:rsid w:val="009D3942"/>
    <w:rsid w:val="009D3AE1"/>
    <w:rsid w:val="009D3DD1"/>
    <w:rsid w:val="009D45CC"/>
    <w:rsid w:val="009D5430"/>
    <w:rsid w:val="009D598B"/>
    <w:rsid w:val="009D5B71"/>
    <w:rsid w:val="009D5F47"/>
    <w:rsid w:val="009D61C6"/>
    <w:rsid w:val="009D62C9"/>
    <w:rsid w:val="009D62F1"/>
    <w:rsid w:val="009D7026"/>
    <w:rsid w:val="009D7985"/>
    <w:rsid w:val="009D7AC7"/>
    <w:rsid w:val="009D7B9D"/>
    <w:rsid w:val="009D7D3B"/>
    <w:rsid w:val="009E03DF"/>
    <w:rsid w:val="009E0402"/>
    <w:rsid w:val="009E0438"/>
    <w:rsid w:val="009E0F48"/>
    <w:rsid w:val="009E1003"/>
    <w:rsid w:val="009E1697"/>
    <w:rsid w:val="009E1916"/>
    <w:rsid w:val="009E1FEE"/>
    <w:rsid w:val="009E246B"/>
    <w:rsid w:val="009E2F5B"/>
    <w:rsid w:val="009E322B"/>
    <w:rsid w:val="009E32F0"/>
    <w:rsid w:val="009E384A"/>
    <w:rsid w:val="009E3917"/>
    <w:rsid w:val="009E3D98"/>
    <w:rsid w:val="009E3E64"/>
    <w:rsid w:val="009E3F02"/>
    <w:rsid w:val="009E3F2D"/>
    <w:rsid w:val="009E41DE"/>
    <w:rsid w:val="009E43BA"/>
    <w:rsid w:val="009E45BB"/>
    <w:rsid w:val="009E4B43"/>
    <w:rsid w:val="009E4FC6"/>
    <w:rsid w:val="009E5007"/>
    <w:rsid w:val="009E507C"/>
    <w:rsid w:val="009E56B4"/>
    <w:rsid w:val="009E57B2"/>
    <w:rsid w:val="009E58BD"/>
    <w:rsid w:val="009E5950"/>
    <w:rsid w:val="009E5A72"/>
    <w:rsid w:val="009E5AD9"/>
    <w:rsid w:val="009E5DE6"/>
    <w:rsid w:val="009E5EB5"/>
    <w:rsid w:val="009E60E8"/>
    <w:rsid w:val="009E6276"/>
    <w:rsid w:val="009E6493"/>
    <w:rsid w:val="009E64F7"/>
    <w:rsid w:val="009E69A6"/>
    <w:rsid w:val="009E6A1E"/>
    <w:rsid w:val="009E6C98"/>
    <w:rsid w:val="009E6D4B"/>
    <w:rsid w:val="009E6D8F"/>
    <w:rsid w:val="009E6FE1"/>
    <w:rsid w:val="009E6FFA"/>
    <w:rsid w:val="009E7019"/>
    <w:rsid w:val="009E70DC"/>
    <w:rsid w:val="009E738E"/>
    <w:rsid w:val="009E7C43"/>
    <w:rsid w:val="009E7F57"/>
    <w:rsid w:val="009F0250"/>
    <w:rsid w:val="009F0B8F"/>
    <w:rsid w:val="009F0EAB"/>
    <w:rsid w:val="009F1340"/>
    <w:rsid w:val="009F19F2"/>
    <w:rsid w:val="009F1AB3"/>
    <w:rsid w:val="009F2149"/>
    <w:rsid w:val="009F224F"/>
    <w:rsid w:val="009F2274"/>
    <w:rsid w:val="009F24F0"/>
    <w:rsid w:val="009F253E"/>
    <w:rsid w:val="009F2764"/>
    <w:rsid w:val="009F27A3"/>
    <w:rsid w:val="009F27E1"/>
    <w:rsid w:val="009F29B8"/>
    <w:rsid w:val="009F2BAC"/>
    <w:rsid w:val="009F2D82"/>
    <w:rsid w:val="009F2ED9"/>
    <w:rsid w:val="009F2F16"/>
    <w:rsid w:val="009F303C"/>
    <w:rsid w:val="009F3136"/>
    <w:rsid w:val="009F3997"/>
    <w:rsid w:val="009F3A8D"/>
    <w:rsid w:val="009F3E11"/>
    <w:rsid w:val="009F3E45"/>
    <w:rsid w:val="009F44DB"/>
    <w:rsid w:val="009F4C57"/>
    <w:rsid w:val="009F4E1A"/>
    <w:rsid w:val="009F4E9A"/>
    <w:rsid w:val="009F4F1F"/>
    <w:rsid w:val="009F54A5"/>
    <w:rsid w:val="009F55BF"/>
    <w:rsid w:val="009F5AA2"/>
    <w:rsid w:val="009F5C8C"/>
    <w:rsid w:val="009F6001"/>
    <w:rsid w:val="009F6323"/>
    <w:rsid w:val="009F6442"/>
    <w:rsid w:val="009F6570"/>
    <w:rsid w:val="009F6EF0"/>
    <w:rsid w:val="009F79F2"/>
    <w:rsid w:val="009F7DA0"/>
    <w:rsid w:val="00A001BC"/>
    <w:rsid w:val="00A008CA"/>
    <w:rsid w:val="00A00FAE"/>
    <w:rsid w:val="00A01368"/>
    <w:rsid w:val="00A01376"/>
    <w:rsid w:val="00A01530"/>
    <w:rsid w:val="00A01864"/>
    <w:rsid w:val="00A018BC"/>
    <w:rsid w:val="00A01D41"/>
    <w:rsid w:val="00A01D8B"/>
    <w:rsid w:val="00A01E60"/>
    <w:rsid w:val="00A023CB"/>
    <w:rsid w:val="00A02602"/>
    <w:rsid w:val="00A027E9"/>
    <w:rsid w:val="00A028CE"/>
    <w:rsid w:val="00A02967"/>
    <w:rsid w:val="00A02A90"/>
    <w:rsid w:val="00A02B58"/>
    <w:rsid w:val="00A02EA2"/>
    <w:rsid w:val="00A030A5"/>
    <w:rsid w:val="00A03308"/>
    <w:rsid w:val="00A03517"/>
    <w:rsid w:val="00A0395F"/>
    <w:rsid w:val="00A04588"/>
    <w:rsid w:val="00A0459D"/>
    <w:rsid w:val="00A04963"/>
    <w:rsid w:val="00A04BAC"/>
    <w:rsid w:val="00A04C70"/>
    <w:rsid w:val="00A04C7B"/>
    <w:rsid w:val="00A04D8F"/>
    <w:rsid w:val="00A05266"/>
    <w:rsid w:val="00A0541C"/>
    <w:rsid w:val="00A05533"/>
    <w:rsid w:val="00A0575C"/>
    <w:rsid w:val="00A05954"/>
    <w:rsid w:val="00A059BA"/>
    <w:rsid w:val="00A05B81"/>
    <w:rsid w:val="00A05E48"/>
    <w:rsid w:val="00A06562"/>
    <w:rsid w:val="00A067CA"/>
    <w:rsid w:val="00A06DB9"/>
    <w:rsid w:val="00A06FA0"/>
    <w:rsid w:val="00A07019"/>
    <w:rsid w:val="00A07373"/>
    <w:rsid w:val="00A074A5"/>
    <w:rsid w:val="00A076CE"/>
    <w:rsid w:val="00A07878"/>
    <w:rsid w:val="00A07A31"/>
    <w:rsid w:val="00A07C1A"/>
    <w:rsid w:val="00A07E08"/>
    <w:rsid w:val="00A1025D"/>
    <w:rsid w:val="00A10901"/>
    <w:rsid w:val="00A10B26"/>
    <w:rsid w:val="00A10DEB"/>
    <w:rsid w:val="00A11C57"/>
    <w:rsid w:val="00A11D5F"/>
    <w:rsid w:val="00A11D75"/>
    <w:rsid w:val="00A11F26"/>
    <w:rsid w:val="00A1201F"/>
    <w:rsid w:val="00A12227"/>
    <w:rsid w:val="00A12297"/>
    <w:rsid w:val="00A1241B"/>
    <w:rsid w:val="00A12502"/>
    <w:rsid w:val="00A126E8"/>
    <w:rsid w:val="00A127FD"/>
    <w:rsid w:val="00A128C8"/>
    <w:rsid w:val="00A12954"/>
    <w:rsid w:val="00A12957"/>
    <w:rsid w:val="00A12A26"/>
    <w:rsid w:val="00A13232"/>
    <w:rsid w:val="00A13967"/>
    <w:rsid w:val="00A13A9C"/>
    <w:rsid w:val="00A13AFB"/>
    <w:rsid w:val="00A13D29"/>
    <w:rsid w:val="00A1485D"/>
    <w:rsid w:val="00A14FA1"/>
    <w:rsid w:val="00A1512E"/>
    <w:rsid w:val="00A1535B"/>
    <w:rsid w:val="00A15511"/>
    <w:rsid w:val="00A156BB"/>
    <w:rsid w:val="00A1585F"/>
    <w:rsid w:val="00A15B42"/>
    <w:rsid w:val="00A15C21"/>
    <w:rsid w:val="00A1637C"/>
    <w:rsid w:val="00A1684A"/>
    <w:rsid w:val="00A16A5A"/>
    <w:rsid w:val="00A16C8E"/>
    <w:rsid w:val="00A170B3"/>
    <w:rsid w:val="00A17CB3"/>
    <w:rsid w:val="00A20297"/>
    <w:rsid w:val="00A20555"/>
    <w:rsid w:val="00A211CE"/>
    <w:rsid w:val="00A214C1"/>
    <w:rsid w:val="00A21867"/>
    <w:rsid w:val="00A21AE7"/>
    <w:rsid w:val="00A21C7C"/>
    <w:rsid w:val="00A21CEA"/>
    <w:rsid w:val="00A21E61"/>
    <w:rsid w:val="00A21FD8"/>
    <w:rsid w:val="00A2222B"/>
    <w:rsid w:val="00A22303"/>
    <w:rsid w:val="00A22410"/>
    <w:rsid w:val="00A2276E"/>
    <w:rsid w:val="00A2287E"/>
    <w:rsid w:val="00A22A38"/>
    <w:rsid w:val="00A22DEB"/>
    <w:rsid w:val="00A23055"/>
    <w:rsid w:val="00A23301"/>
    <w:rsid w:val="00A234E7"/>
    <w:rsid w:val="00A23AAD"/>
    <w:rsid w:val="00A23B3D"/>
    <w:rsid w:val="00A23B4A"/>
    <w:rsid w:val="00A23D7E"/>
    <w:rsid w:val="00A23DA3"/>
    <w:rsid w:val="00A244A9"/>
    <w:rsid w:val="00A24546"/>
    <w:rsid w:val="00A24760"/>
    <w:rsid w:val="00A24C2A"/>
    <w:rsid w:val="00A24F97"/>
    <w:rsid w:val="00A24FA7"/>
    <w:rsid w:val="00A25631"/>
    <w:rsid w:val="00A25BE3"/>
    <w:rsid w:val="00A26075"/>
    <w:rsid w:val="00A261E0"/>
    <w:rsid w:val="00A262CE"/>
    <w:rsid w:val="00A26AAD"/>
    <w:rsid w:val="00A26BBF"/>
    <w:rsid w:val="00A26E56"/>
    <w:rsid w:val="00A271D7"/>
    <w:rsid w:val="00A2776E"/>
    <w:rsid w:val="00A27914"/>
    <w:rsid w:val="00A279BC"/>
    <w:rsid w:val="00A27BF8"/>
    <w:rsid w:val="00A27E15"/>
    <w:rsid w:val="00A3090D"/>
    <w:rsid w:val="00A30C81"/>
    <w:rsid w:val="00A30D6D"/>
    <w:rsid w:val="00A30D8D"/>
    <w:rsid w:val="00A30DAA"/>
    <w:rsid w:val="00A30F70"/>
    <w:rsid w:val="00A31587"/>
    <w:rsid w:val="00A318E1"/>
    <w:rsid w:val="00A31C27"/>
    <w:rsid w:val="00A31E6A"/>
    <w:rsid w:val="00A31F1D"/>
    <w:rsid w:val="00A320BB"/>
    <w:rsid w:val="00A32194"/>
    <w:rsid w:val="00A323D6"/>
    <w:rsid w:val="00A32A27"/>
    <w:rsid w:val="00A32C8A"/>
    <w:rsid w:val="00A32D8D"/>
    <w:rsid w:val="00A3353C"/>
    <w:rsid w:val="00A3383C"/>
    <w:rsid w:val="00A33AC2"/>
    <w:rsid w:val="00A33C92"/>
    <w:rsid w:val="00A33E39"/>
    <w:rsid w:val="00A33F3D"/>
    <w:rsid w:val="00A343A5"/>
    <w:rsid w:val="00A3442D"/>
    <w:rsid w:val="00A34472"/>
    <w:rsid w:val="00A3454A"/>
    <w:rsid w:val="00A34C3D"/>
    <w:rsid w:val="00A34D44"/>
    <w:rsid w:val="00A35027"/>
    <w:rsid w:val="00A35087"/>
    <w:rsid w:val="00A36134"/>
    <w:rsid w:val="00A36436"/>
    <w:rsid w:val="00A36DAE"/>
    <w:rsid w:val="00A37A65"/>
    <w:rsid w:val="00A37B71"/>
    <w:rsid w:val="00A37DFF"/>
    <w:rsid w:val="00A37F8A"/>
    <w:rsid w:val="00A400DF"/>
    <w:rsid w:val="00A402C1"/>
    <w:rsid w:val="00A4041C"/>
    <w:rsid w:val="00A40E2F"/>
    <w:rsid w:val="00A40FC6"/>
    <w:rsid w:val="00A414DE"/>
    <w:rsid w:val="00A41983"/>
    <w:rsid w:val="00A41D3B"/>
    <w:rsid w:val="00A41E85"/>
    <w:rsid w:val="00A41F82"/>
    <w:rsid w:val="00A4227F"/>
    <w:rsid w:val="00A426AE"/>
    <w:rsid w:val="00A426BB"/>
    <w:rsid w:val="00A42DE4"/>
    <w:rsid w:val="00A42EFB"/>
    <w:rsid w:val="00A432A8"/>
    <w:rsid w:val="00A43383"/>
    <w:rsid w:val="00A43AEC"/>
    <w:rsid w:val="00A443AA"/>
    <w:rsid w:val="00A4478E"/>
    <w:rsid w:val="00A447DC"/>
    <w:rsid w:val="00A44983"/>
    <w:rsid w:val="00A44D75"/>
    <w:rsid w:val="00A45439"/>
    <w:rsid w:val="00A4566B"/>
    <w:rsid w:val="00A45D2D"/>
    <w:rsid w:val="00A45DB4"/>
    <w:rsid w:val="00A45ECD"/>
    <w:rsid w:val="00A45F3E"/>
    <w:rsid w:val="00A4606A"/>
    <w:rsid w:val="00A4643D"/>
    <w:rsid w:val="00A46B08"/>
    <w:rsid w:val="00A46BF3"/>
    <w:rsid w:val="00A46D44"/>
    <w:rsid w:val="00A47210"/>
    <w:rsid w:val="00A476D4"/>
    <w:rsid w:val="00A479BB"/>
    <w:rsid w:val="00A479EB"/>
    <w:rsid w:val="00A5017C"/>
    <w:rsid w:val="00A5018E"/>
    <w:rsid w:val="00A501C2"/>
    <w:rsid w:val="00A501C3"/>
    <w:rsid w:val="00A501E8"/>
    <w:rsid w:val="00A504C5"/>
    <w:rsid w:val="00A50C02"/>
    <w:rsid w:val="00A50DDB"/>
    <w:rsid w:val="00A50E12"/>
    <w:rsid w:val="00A51525"/>
    <w:rsid w:val="00A5153F"/>
    <w:rsid w:val="00A51632"/>
    <w:rsid w:val="00A5166D"/>
    <w:rsid w:val="00A5171E"/>
    <w:rsid w:val="00A518F0"/>
    <w:rsid w:val="00A51BF8"/>
    <w:rsid w:val="00A51CF4"/>
    <w:rsid w:val="00A51DA7"/>
    <w:rsid w:val="00A52456"/>
    <w:rsid w:val="00A52899"/>
    <w:rsid w:val="00A529C1"/>
    <w:rsid w:val="00A52DE5"/>
    <w:rsid w:val="00A52E91"/>
    <w:rsid w:val="00A530BB"/>
    <w:rsid w:val="00A53114"/>
    <w:rsid w:val="00A5353D"/>
    <w:rsid w:val="00A53617"/>
    <w:rsid w:val="00A538C6"/>
    <w:rsid w:val="00A53A98"/>
    <w:rsid w:val="00A53AFC"/>
    <w:rsid w:val="00A53C50"/>
    <w:rsid w:val="00A53D67"/>
    <w:rsid w:val="00A54000"/>
    <w:rsid w:val="00A5400A"/>
    <w:rsid w:val="00A5416E"/>
    <w:rsid w:val="00A54196"/>
    <w:rsid w:val="00A54238"/>
    <w:rsid w:val="00A54707"/>
    <w:rsid w:val="00A5485B"/>
    <w:rsid w:val="00A548CD"/>
    <w:rsid w:val="00A5494D"/>
    <w:rsid w:val="00A5497F"/>
    <w:rsid w:val="00A54983"/>
    <w:rsid w:val="00A54984"/>
    <w:rsid w:val="00A54E4E"/>
    <w:rsid w:val="00A55210"/>
    <w:rsid w:val="00A55536"/>
    <w:rsid w:val="00A55893"/>
    <w:rsid w:val="00A55AB7"/>
    <w:rsid w:val="00A55CE7"/>
    <w:rsid w:val="00A55DCF"/>
    <w:rsid w:val="00A55E08"/>
    <w:rsid w:val="00A55E4F"/>
    <w:rsid w:val="00A55EEC"/>
    <w:rsid w:val="00A55F5F"/>
    <w:rsid w:val="00A563A3"/>
    <w:rsid w:val="00A56785"/>
    <w:rsid w:val="00A56937"/>
    <w:rsid w:val="00A56A4C"/>
    <w:rsid w:val="00A57183"/>
    <w:rsid w:val="00A57F8C"/>
    <w:rsid w:val="00A600AF"/>
    <w:rsid w:val="00A601A4"/>
    <w:rsid w:val="00A602F9"/>
    <w:rsid w:val="00A60488"/>
    <w:rsid w:val="00A60755"/>
    <w:rsid w:val="00A60953"/>
    <w:rsid w:val="00A60A9C"/>
    <w:rsid w:val="00A60C6D"/>
    <w:rsid w:val="00A60F7A"/>
    <w:rsid w:val="00A6107F"/>
    <w:rsid w:val="00A611BC"/>
    <w:rsid w:val="00A611BF"/>
    <w:rsid w:val="00A61464"/>
    <w:rsid w:val="00A61499"/>
    <w:rsid w:val="00A61762"/>
    <w:rsid w:val="00A617C1"/>
    <w:rsid w:val="00A61853"/>
    <w:rsid w:val="00A61935"/>
    <w:rsid w:val="00A61B28"/>
    <w:rsid w:val="00A61B38"/>
    <w:rsid w:val="00A61BD7"/>
    <w:rsid w:val="00A61CB8"/>
    <w:rsid w:val="00A61EFF"/>
    <w:rsid w:val="00A6201B"/>
    <w:rsid w:val="00A62219"/>
    <w:rsid w:val="00A62243"/>
    <w:rsid w:val="00A62308"/>
    <w:rsid w:val="00A62383"/>
    <w:rsid w:val="00A625A9"/>
    <w:rsid w:val="00A6273C"/>
    <w:rsid w:val="00A62DD5"/>
    <w:rsid w:val="00A62F3B"/>
    <w:rsid w:val="00A6328D"/>
    <w:rsid w:val="00A633CC"/>
    <w:rsid w:val="00A63779"/>
    <w:rsid w:val="00A63BED"/>
    <w:rsid w:val="00A63C16"/>
    <w:rsid w:val="00A63CFD"/>
    <w:rsid w:val="00A644A1"/>
    <w:rsid w:val="00A644EE"/>
    <w:rsid w:val="00A644F6"/>
    <w:rsid w:val="00A65027"/>
    <w:rsid w:val="00A651AA"/>
    <w:rsid w:val="00A65932"/>
    <w:rsid w:val="00A65A33"/>
    <w:rsid w:val="00A65F98"/>
    <w:rsid w:val="00A66453"/>
    <w:rsid w:val="00A665EE"/>
    <w:rsid w:val="00A66A37"/>
    <w:rsid w:val="00A66BD7"/>
    <w:rsid w:val="00A66C93"/>
    <w:rsid w:val="00A66FAA"/>
    <w:rsid w:val="00A67348"/>
    <w:rsid w:val="00A673A3"/>
    <w:rsid w:val="00A674E1"/>
    <w:rsid w:val="00A6771D"/>
    <w:rsid w:val="00A67AC6"/>
    <w:rsid w:val="00A67CBE"/>
    <w:rsid w:val="00A67F04"/>
    <w:rsid w:val="00A67F14"/>
    <w:rsid w:val="00A70417"/>
    <w:rsid w:val="00A70A19"/>
    <w:rsid w:val="00A711B5"/>
    <w:rsid w:val="00A71837"/>
    <w:rsid w:val="00A71A59"/>
    <w:rsid w:val="00A71B5C"/>
    <w:rsid w:val="00A71EC4"/>
    <w:rsid w:val="00A720A7"/>
    <w:rsid w:val="00A7217F"/>
    <w:rsid w:val="00A72445"/>
    <w:rsid w:val="00A7272D"/>
    <w:rsid w:val="00A728AD"/>
    <w:rsid w:val="00A728EF"/>
    <w:rsid w:val="00A72C51"/>
    <w:rsid w:val="00A72D2E"/>
    <w:rsid w:val="00A73062"/>
    <w:rsid w:val="00A733FB"/>
    <w:rsid w:val="00A73A73"/>
    <w:rsid w:val="00A73B73"/>
    <w:rsid w:val="00A73E7A"/>
    <w:rsid w:val="00A73F6C"/>
    <w:rsid w:val="00A74266"/>
    <w:rsid w:val="00A7432C"/>
    <w:rsid w:val="00A7451B"/>
    <w:rsid w:val="00A74556"/>
    <w:rsid w:val="00A747B3"/>
    <w:rsid w:val="00A74B98"/>
    <w:rsid w:val="00A74E9B"/>
    <w:rsid w:val="00A7515B"/>
    <w:rsid w:val="00A752F9"/>
    <w:rsid w:val="00A75470"/>
    <w:rsid w:val="00A7582E"/>
    <w:rsid w:val="00A75935"/>
    <w:rsid w:val="00A75E61"/>
    <w:rsid w:val="00A75FAE"/>
    <w:rsid w:val="00A76114"/>
    <w:rsid w:val="00A7619B"/>
    <w:rsid w:val="00A7637F"/>
    <w:rsid w:val="00A7645F"/>
    <w:rsid w:val="00A765EC"/>
    <w:rsid w:val="00A76A09"/>
    <w:rsid w:val="00A76B84"/>
    <w:rsid w:val="00A76C02"/>
    <w:rsid w:val="00A77414"/>
    <w:rsid w:val="00A77583"/>
    <w:rsid w:val="00A7771A"/>
    <w:rsid w:val="00A778C8"/>
    <w:rsid w:val="00A7799F"/>
    <w:rsid w:val="00A77BD8"/>
    <w:rsid w:val="00A77C37"/>
    <w:rsid w:val="00A77F53"/>
    <w:rsid w:val="00A77FAD"/>
    <w:rsid w:val="00A800D1"/>
    <w:rsid w:val="00A800E0"/>
    <w:rsid w:val="00A80400"/>
    <w:rsid w:val="00A80492"/>
    <w:rsid w:val="00A805EA"/>
    <w:rsid w:val="00A80643"/>
    <w:rsid w:val="00A80798"/>
    <w:rsid w:val="00A8091C"/>
    <w:rsid w:val="00A80A64"/>
    <w:rsid w:val="00A80A83"/>
    <w:rsid w:val="00A80EEF"/>
    <w:rsid w:val="00A81269"/>
    <w:rsid w:val="00A816F5"/>
    <w:rsid w:val="00A8182A"/>
    <w:rsid w:val="00A8198F"/>
    <w:rsid w:val="00A81BE5"/>
    <w:rsid w:val="00A81C52"/>
    <w:rsid w:val="00A81C84"/>
    <w:rsid w:val="00A82006"/>
    <w:rsid w:val="00A8229E"/>
    <w:rsid w:val="00A82307"/>
    <w:rsid w:val="00A82532"/>
    <w:rsid w:val="00A82694"/>
    <w:rsid w:val="00A828BF"/>
    <w:rsid w:val="00A82AF3"/>
    <w:rsid w:val="00A82B51"/>
    <w:rsid w:val="00A82FAA"/>
    <w:rsid w:val="00A831C4"/>
    <w:rsid w:val="00A83287"/>
    <w:rsid w:val="00A83336"/>
    <w:rsid w:val="00A837DC"/>
    <w:rsid w:val="00A83DD5"/>
    <w:rsid w:val="00A83E11"/>
    <w:rsid w:val="00A83E60"/>
    <w:rsid w:val="00A841E7"/>
    <w:rsid w:val="00A84313"/>
    <w:rsid w:val="00A84531"/>
    <w:rsid w:val="00A84601"/>
    <w:rsid w:val="00A8463F"/>
    <w:rsid w:val="00A84AF0"/>
    <w:rsid w:val="00A84B10"/>
    <w:rsid w:val="00A84B2D"/>
    <w:rsid w:val="00A84DF0"/>
    <w:rsid w:val="00A85706"/>
    <w:rsid w:val="00A85B96"/>
    <w:rsid w:val="00A85B9B"/>
    <w:rsid w:val="00A85D2E"/>
    <w:rsid w:val="00A85DC8"/>
    <w:rsid w:val="00A86033"/>
    <w:rsid w:val="00A862A0"/>
    <w:rsid w:val="00A86547"/>
    <w:rsid w:val="00A865E1"/>
    <w:rsid w:val="00A86622"/>
    <w:rsid w:val="00A86856"/>
    <w:rsid w:val="00A86965"/>
    <w:rsid w:val="00A86A07"/>
    <w:rsid w:val="00A86C08"/>
    <w:rsid w:val="00A86CE6"/>
    <w:rsid w:val="00A86D73"/>
    <w:rsid w:val="00A87035"/>
    <w:rsid w:val="00A875DF"/>
    <w:rsid w:val="00A87A8F"/>
    <w:rsid w:val="00A900E0"/>
    <w:rsid w:val="00A9040C"/>
    <w:rsid w:val="00A90BF7"/>
    <w:rsid w:val="00A90D75"/>
    <w:rsid w:val="00A90DF8"/>
    <w:rsid w:val="00A90EB9"/>
    <w:rsid w:val="00A90FC0"/>
    <w:rsid w:val="00A91146"/>
    <w:rsid w:val="00A9116F"/>
    <w:rsid w:val="00A918B0"/>
    <w:rsid w:val="00A91A53"/>
    <w:rsid w:val="00A91B8B"/>
    <w:rsid w:val="00A927AC"/>
    <w:rsid w:val="00A927DB"/>
    <w:rsid w:val="00A92A12"/>
    <w:rsid w:val="00A93003"/>
    <w:rsid w:val="00A931F0"/>
    <w:rsid w:val="00A933FF"/>
    <w:rsid w:val="00A93483"/>
    <w:rsid w:val="00A938C6"/>
    <w:rsid w:val="00A93A0B"/>
    <w:rsid w:val="00A93DA4"/>
    <w:rsid w:val="00A94111"/>
    <w:rsid w:val="00A94160"/>
    <w:rsid w:val="00A9441D"/>
    <w:rsid w:val="00A94570"/>
    <w:rsid w:val="00A9457F"/>
    <w:rsid w:val="00A946A2"/>
    <w:rsid w:val="00A94884"/>
    <w:rsid w:val="00A94993"/>
    <w:rsid w:val="00A94B4F"/>
    <w:rsid w:val="00A950D8"/>
    <w:rsid w:val="00A95259"/>
    <w:rsid w:val="00A952EA"/>
    <w:rsid w:val="00A95328"/>
    <w:rsid w:val="00A954E1"/>
    <w:rsid w:val="00A95722"/>
    <w:rsid w:val="00A95BF9"/>
    <w:rsid w:val="00A95E24"/>
    <w:rsid w:val="00A9609E"/>
    <w:rsid w:val="00A960CE"/>
    <w:rsid w:val="00A96122"/>
    <w:rsid w:val="00A96438"/>
    <w:rsid w:val="00A96545"/>
    <w:rsid w:val="00A96600"/>
    <w:rsid w:val="00A96757"/>
    <w:rsid w:val="00A967AA"/>
    <w:rsid w:val="00A969B6"/>
    <w:rsid w:val="00A96AD0"/>
    <w:rsid w:val="00A96B72"/>
    <w:rsid w:val="00A970FF"/>
    <w:rsid w:val="00A973E9"/>
    <w:rsid w:val="00A976AD"/>
    <w:rsid w:val="00AA02AD"/>
    <w:rsid w:val="00AA02EF"/>
    <w:rsid w:val="00AA039D"/>
    <w:rsid w:val="00AA05D2"/>
    <w:rsid w:val="00AA09AB"/>
    <w:rsid w:val="00AA0C7B"/>
    <w:rsid w:val="00AA0C9D"/>
    <w:rsid w:val="00AA120D"/>
    <w:rsid w:val="00AA12F0"/>
    <w:rsid w:val="00AA138C"/>
    <w:rsid w:val="00AA1394"/>
    <w:rsid w:val="00AA1A60"/>
    <w:rsid w:val="00AA1B28"/>
    <w:rsid w:val="00AA1BB4"/>
    <w:rsid w:val="00AA1FF5"/>
    <w:rsid w:val="00AA2F96"/>
    <w:rsid w:val="00AA3511"/>
    <w:rsid w:val="00AA35BC"/>
    <w:rsid w:val="00AA3A06"/>
    <w:rsid w:val="00AA3B65"/>
    <w:rsid w:val="00AA3C12"/>
    <w:rsid w:val="00AA3D26"/>
    <w:rsid w:val="00AA44AF"/>
    <w:rsid w:val="00AA451E"/>
    <w:rsid w:val="00AA46B3"/>
    <w:rsid w:val="00AA4DB5"/>
    <w:rsid w:val="00AA4E78"/>
    <w:rsid w:val="00AA5041"/>
    <w:rsid w:val="00AA5457"/>
    <w:rsid w:val="00AA5932"/>
    <w:rsid w:val="00AA59E5"/>
    <w:rsid w:val="00AA5A21"/>
    <w:rsid w:val="00AA5E97"/>
    <w:rsid w:val="00AA5F23"/>
    <w:rsid w:val="00AA652A"/>
    <w:rsid w:val="00AA6D16"/>
    <w:rsid w:val="00AA6D19"/>
    <w:rsid w:val="00AA6D31"/>
    <w:rsid w:val="00AA6DB4"/>
    <w:rsid w:val="00AA6EC9"/>
    <w:rsid w:val="00AA6F39"/>
    <w:rsid w:val="00AA723E"/>
    <w:rsid w:val="00AA7590"/>
    <w:rsid w:val="00AA75AE"/>
    <w:rsid w:val="00AA77BB"/>
    <w:rsid w:val="00AA7C6E"/>
    <w:rsid w:val="00AA7D67"/>
    <w:rsid w:val="00AA7E93"/>
    <w:rsid w:val="00AB0524"/>
    <w:rsid w:val="00AB06C2"/>
    <w:rsid w:val="00AB0B64"/>
    <w:rsid w:val="00AB0CA7"/>
    <w:rsid w:val="00AB1209"/>
    <w:rsid w:val="00AB19B1"/>
    <w:rsid w:val="00AB1E51"/>
    <w:rsid w:val="00AB1ECE"/>
    <w:rsid w:val="00AB204F"/>
    <w:rsid w:val="00AB2523"/>
    <w:rsid w:val="00AB2703"/>
    <w:rsid w:val="00AB2B06"/>
    <w:rsid w:val="00AB2B9A"/>
    <w:rsid w:val="00AB3294"/>
    <w:rsid w:val="00AB3515"/>
    <w:rsid w:val="00AB3B7B"/>
    <w:rsid w:val="00AB3F96"/>
    <w:rsid w:val="00AB3FCA"/>
    <w:rsid w:val="00AB4374"/>
    <w:rsid w:val="00AB4DD8"/>
    <w:rsid w:val="00AB4E03"/>
    <w:rsid w:val="00AB5E7A"/>
    <w:rsid w:val="00AB5E8E"/>
    <w:rsid w:val="00AB5FAE"/>
    <w:rsid w:val="00AB5FDF"/>
    <w:rsid w:val="00AB6176"/>
    <w:rsid w:val="00AB6A12"/>
    <w:rsid w:val="00AB6CE8"/>
    <w:rsid w:val="00AB7340"/>
    <w:rsid w:val="00AB7773"/>
    <w:rsid w:val="00AB7A30"/>
    <w:rsid w:val="00AB7B9F"/>
    <w:rsid w:val="00AB7BD4"/>
    <w:rsid w:val="00AB7D69"/>
    <w:rsid w:val="00AB7E02"/>
    <w:rsid w:val="00AC008E"/>
    <w:rsid w:val="00AC0101"/>
    <w:rsid w:val="00AC11D7"/>
    <w:rsid w:val="00AC198F"/>
    <w:rsid w:val="00AC1B09"/>
    <w:rsid w:val="00AC1EA8"/>
    <w:rsid w:val="00AC1F83"/>
    <w:rsid w:val="00AC2492"/>
    <w:rsid w:val="00AC2634"/>
    <w:rsid w:val="00AC272A"/>
    <w:rsid w:val="00AC29DB"/>
    <w:rsid w:val="00AC2AF2"/>
    <w:rsid w:val="00AC2B21"/>
    <w:rsid w:val="00AC2E9D"/>
    <w:rsid w:val="00AC2EBA"/>
    <w:rsid w:val="00AC35C2"/>
    <w:rsid w:val="00AC3899"/>
    <w:rsid w:val="00AC439F"/>
    <w:rsid w:val="00AC43D0"/>
    <w:rsid w:val="00AC454E"/>
    <w:rsid w:val="00AC47B6"/>
    <w:rsid w:val="00AC4EE1"/>
    <w:rsid w:val="00AC5195"/>
    <w:rsid w:val="00AC54FB"/>
    <w:rsid w:val="00AC5AAF"/>
    <w:rsid w:val="00AC5D55"/>
    <w:rsid w:val="00AC5D68"/>
    <w:rsid w:val="00AC5F98"/>
    <w:rsid w:val="00AC6154"/>
    <w:rsid w:val="00AC619A"/>
    <w:rsid w:val="00AC6375"/>
    <w:rsid w:val="00AC7110"/>
    <w:rsid w:val="00AC7310"/>
    <w:rsid w:val="00AC7332"/>
    <w:rsid w:val="00AC7405"/>
    <w:rsid w:val="00AC741B"/>
    <w:rsid w:val="00AC751B"/>
    <w:rsid w:val="00AC7BE3"/>
    <w:rsid w:val="00AC7E75"/>
    <w:rsid w:val="00AC7E76"/>
    <w:rsid w:val="00AD0242"/>
    <w:rsid w:val="00AD02BE"/>
    <w:rsid w:val="00AD039A"/>
    <w:rsid w:val="00AD0676"/>
    <w:rsid w:val="00AD0955"/>
    <w:rsid w:val="00AD0A34"/>
    <w:rsid w:val="00AD1268"/>
    <w:rsid w:val="00AD189E"/>
    <w:rsid w:val="00AD1922"/>
    <w:rsid w:val="00AD1B56"/>
    <w:rsid w:val="00AD1C50"/>
    <w:rsid w:val="00AD1EFC"/>
    <w:rsid w:val="00AD2046"/>
    <w:rsid w:val="00AD2191"/>
    <w:rsid w:val="00AD24E3"/>
    <w:rsid w:val="00AD25E3"/>
    <w:rsid w:val="00AD2718"/>
    <w:rsid w:val="00AD2B83"/>
    <w:rsid w:val="00AD30BB"/>
    <w:rsid w:val="00AD35E8"/>
    <w:rsid w:val="00AD3878"/>
    <w:rsid w:val="00AD3D49"/>
    <w:rsid w:val="00AD3E93"/>
    <w:rsid w:val="00AD47D3"/>
    <w:rsid w:val="00AD4843"/>
    <w:rsid w:val="00AD4865"/>
    <w:rsid w:val="00AD4872"/>
    <w:rsid w:val="00AD48E0"/>
    <w:rsid w:val="00AD4BA2"/>
    <w:rsid w:val="00AD4E14"/>
    <w:rsid w:val="00AD5804"/>
    <w:rsid w:val="00AD5A0C"/>
    <w:rsid w:val="00AD5D8B"/>
    <w:rsid w:val="00AD5DFE"/>
    <w:rsid w:val="00AD6101"/>
    <w:rsid w:val="00AD610F"/>
    <w:rsid w:val="00AD62C4"/>
    <w:rsid w:val="00AD63BB"/>
    <w:rsid w:val="00AD6C0D"/>
    <w:rsid w:val="00AD6F35"/>
    <w:rsid w:val="00AD73A7"/>
    <w:rsid w:val="00AD7A78"/>
    <w:rsid w:val="00AD7A7B"/>
    <w:rsid w:val="00AD7B28"/>
    <w:rsid w:val="00AD7CBD"/>
    <w:rsid w:val="00AE0077"/>
    <w:rsid w:val="00AE0081"/>
    <w:rsid w:val="00AE00CA"/>
    <w:rsid w:val="00AE0456"/>
    <w:rsid w:val="00AE04E0"/>
    <w:rsid w:val="00AE0513"/>
    <w:rsid w:val="00AE0750"/>
    <w:rsid w:val="00AE0A44"/>
    <w:rsid w:val="00AE0ABF"/>
    <w:rsid w:val="00AE0B0A"/>
    <w:rsid w:val="00AE0F3A"/>
    <w:rsid w:val="00AE11B8"/>
    <w:rsid w:val="00AE1322"/>
    <w:rsid w:val="00AE18EB"/>
    <w:rsid w:val="00AE1BBE"/>
    <w:rsid w:val="00AE1F0F"/>
    <w:rsid w:val="00AE2196"/>
    <w:rsid w:val="00AE2255"/>
    <w:rsid w:val="00AE239E"/>
    <w:rsid w:val="00AE28CA"/>
    <w:rsid w:val="00AE31D1"/>
    <w:rsid w:val="00AE330C"/>
    <w:rsid w:val="00AE34A9"/>
    <w:rsid w:val="00AE36D9"/>
    <w:rsid w:val="00AE3A9B"/>
    <w:rsid w:val="00AE4151"/>
    <w:rsid w:val="00AE42C1"/>
    <w:rsid w:val="00AE437B"/>
    <w:rsid w:val="00AE45A9"/>
    <w:rsid w:val="00AE48D8"/>
    <w:rsid w:val="00AE53E7"/>
    <w:rsid w:val="00AE5A15"/>
    <w:rsid w:val="00AE5B7F"/>
    <w:rsid w:val="00AE5BA2"/>
    <w:rsid w:val="00AE5D33"/>
    <w:rsid w:val="00AE6448"/>
    <w:rsid w:val="00AE65F8"/>
    <w:rsid w:val="00AE6B45"/>
    <w:rsid w:val="00AE6EC0"/>
    <w:rsid w:val="00AE7202"/>
    <w:rsid w:val="00AE7295"/>
    <w:rsid w:val="00AE730D"/>
    <w:rsid w:val="00AE7374"/>
    <w:rsid w:val="00AE7399"/>
    <w:rsid w:val="00AE768F"/>
    <w:rsid w:val="00AE7AFA"/>
    <w:rsid w:val="00AE7D70"/>
    <w:rsid w:val="00AE7ED3"/>
    <w:rsid w:val="00AF0060"/>
    <w:rsid w:val="00AF0076"/>
    <w:rsid w:val="00AF0336"/>
    <w:rsid w:val="00AF0535"/>
    <w:rsid w:val="00AF0670"/>
    <w:rsid w:val="00AF067F"/>
    <w:rsid w:val="00AF0700"/>
    <w:rsid w:val="00AF097F"/>
    <w:rsid w:val="00AF0B0D"/>
    <w:rsid w:val="00AF0BA6"/>
    <w:rsid w:val="00AF0FFD"/>
    <w:rsid w:val="00AF109D"/>
    <w:rsid w:val="00AF1388"/>
    <w:rsid w:val="00AF1395"/>
    <w:rsid w:val="00AF14F6"/>
    <w:rsid w:val="00AF1600"/>
    <w:rsid w:val="00AF1722"/>
    <w:rsid w:val="00AF178A"/>
    <w:rsid w:val="00AF1BEF"/>
    <w:rsid w:val="00AF1CBE"/>
    <w:rsid w:val="00AF1D8B"/>
    <w:rsid w:val="00AF1E40"/>
    <w:rsid w:val="00AF2000"/>
    <w:rsid w:val="00AF220D"/>
    <w:rsid w:val="00AF2369"/>
    <w:rsid w:val="00AF24FE"/>
    <w:rsid w:val="00AF25A9"/>
    <w:rsid w:val="00AF2728"/>
    <w:rsid w:val="00AF2C10"/>
    <w:rsid w:val="00AF3111"/>
    <w:rsid w:val="00AF3380"/>
    <w:rsid w:val="00AF37C8"/>
    <w:rsid w:val="00AF3ECC"/>
    <w:rsid w:val="00AF3FFD"/>
    <w:rsid w:val="00AF4716"/>
    <w:rsid w:val="00AF4950"/>
    <w:rsid w:val="00AF4B99"/>
    <w:rsid w:val="00AF4C75"/>
    <w:rsid w:val="00AF4CC9"/>
    <w:rsid w:val="00AF4E58"/>
    <w:rsid w:val="00AF5439"/>
    <w:rsid w:val="00AF558D"/>
    <w:rsid w:val="00AF5752"/>
    <w:rsid w:val="00AF6071"/>
    <w:rsid w:val="00AF653B"/>
    <w:rsid w:val="00AF6801"/>
    <w:rsid w:val="00AF699C"/>
    <w:rsid w:val="00AF71A4"/>
    <w:rsid w:val="00AF71A5"/>
    <w:rsid w:val="00AF71A7"/>
    <w:rsid w:val="00AF748E"/>
    <w:rsid w:val="00AF7B18"/>
    <w:rsid w:val="00B000EF"/>
    <w:rsid w:val="00B00118"/>
    <w:rsid w:val="00B00330"/>
    <w:rsid w:val="00B00BB1"/>
    <w:rsid w:val="00B00C8F"/>
    <w:rsid w:val="00B00D44"/>
    <w:rsid w:val="00B01071"/>
    <w:rsid w:val="00B01075"/>
    <w:rsid w:val="00B01330"/>
    <w:rsid w:val="00B01369"/>
    <w:rsid w:val="00B015B5"/>
    <w:rsid w:val="00B01BD1"/>
    <w:rsid w:val="00B01CE5"/>
    <w:rsid w:val="00B01D69"/>
    <w:rsid w:val="00B0244A"/>
    <w:rsid w:val="00B024FF"/>
    <w:rsid w:val="00B025BE"/>
    <w:rsid w:val="00B025E4"/>
    <w:rsid w:val="00B027BD"/>
    <w:rsid w:val="00B02878"/>
    <w:rsid w:val="00B0299C"/>
    <w:rsid w:val="00B031BA"/>
    <w:rsid w:val="00B03233"/>
    <w:rsid w:val="00B03598"/>
    <w:rsid w:val="00B03AF5"/>
    <w:rsid w:val="00B03C72"/>
    <w:rsid w:val="00B03CF2"/>
    <w:rsid w:val="00B03DC9"/>
    <w:rsid w:val="00B043AD"/>
    <w:rsid w:val="00B0445A"/>
    <w:rsid w:val="00B04AE8"/>
    <w:rsid w:val="00B0549E"/>
    <w:rsid w:val="00B05514"/>
    <w:rsid w:val="00B0593C"/>
    <w:rsid w:val="00B05BE3"/>
    <w:rsid w:val="00B05D18"/>
    <w:rsid w:val="00B0639A"/>
    <w:rsid w:val="00B064C8"/>
    <w:rsid w:val="00B06B4B"/>
    <w:rsid w:val="00B06CD5"/>
    <w:rsid w:val="00B070FA"/>
    <w:rsid w:val="00B07380"/>
    <w:rsid w:val="00B07474"/>
    <w:rsid w:val="00B1013C"/>
    <w:rsid w:val="00B106D0"/>
    <w:rsid w:val="00B106F7"/>
    <w:rsid w:val="00B10A28"/>
    <w:rsid w:val="00B10B3A"/>
    <w:rsid w:val="00B10DD8"/>
    <w:rsid w:val="00B11499"/>
    <w:rsid w:val="00B115B7"/>
    <w:rsid w:val="00B11676"/>
    <w:rsid w:val="00B11BD6"/>
    <w:rsid w:val="00B11D3E"/>
    <w:rsid w:val="00B11DF4"/>
    <w:rsid w:val="00B120EB"/>
    <w:rsid w:val="00B121BD"/>
    <w:rsid w:val="00B124E7"/>
    <w:rsid w:val="00B12B82"/>
    <w:rsid w:val="00B12CC6"/>
    <w:rsid w:val="00B132C3"/>
    <w:rsid w:val="00B134BC"/>
    <w:rsid w:val="00B137CF"/>
    <w:rsid w:val="00B13F01"/>
    <w:rsid w:val="00B14112"/>
    <w:rsid w:val="00B14857"/>
    <w:rsid w:val="00B14A43"/>
    <w:rsid w:val="00B14ADD"/>
    <w:rsid w:val="00B14BB6"/>
    <w:rsid w:val="00B14BD3"/>
    <w:rsid w:val="00B14CE0"/>
    <w:rsid w:val="00B14D65"/>
    <w:rsid w:val="00B15178"/>
    <w:rsid w:val="00B154BB"/>
    <w:rsid w:val="00B15E8D"/>
    <w:rsid w:val="00B15F18"/>
    <w:rsid w:val="00B16070"/>
    <w:rsid w:val="00B160E6"/>
    <w:rsid w:val="00B1636D"/>
    <w:rsid w:val="00B16884"/>
    <w:rsid w:val="00B16A53"/>
    <w:rsid w:val="00B16B63"/>
    <w:rsid w:val="00B16E89"/>
    <w:rsid w:val="00B16F54"/>
    <w:rsid w:val="00B172D8"/>
    <w:rsid w:val="00B1755E"/>
    <w:rsid w:val="00B17563"/>
    <w:rsid w:val="00B1796F"/>
    <w:rsid w:val="00B17A5A"/>
    <w:rsid w:val="00B17AD2"/>
    <w:rsid w:val="00B17DA7"/>
    <w:rsid w:val="00B17DBB"/>
    <w:rsid w:val="00B20241"/>
    <w:rsid w:val="00B20314"/>
    <w:rsid w:val="00B20C9A"/>
    <w:rsid w:val="00B20CBD"/>
    <w:rsid w:val="00B20E81"/>
    <w:rsid w:val="00B2104C"/>
    <w:rsid w:val="00B210D2"/>
    <w:rsid w:val="00B215AA"/>
    <w:rsid w:val="00B218EF"/>
    <w:rsid w:val="00B21A54"/>
    <w:rsid w:val="00B21AAB"/>
    <w:rsid w:val="00B21B11"/>
    <w:rsid w:val="00B21C43"/>
    <w:rsid w:val="00B21C47"/>
    <w:rsid w:val="00B21CF8"/>
    <w:rsid w:val="00B21E3F"/>
    <w:rsid w:val="00B21E5D"/>
    <w:rsid w:val="00B22346"/>
    <w:rsid w:val="00B2244A"/>
    <w:rsid w:val="00B2288E"/>
    <w:rsid w:val="00B22DD5"/>
    <w:rsid w:val="00B231EF"/>
    <w:rsid w:val="00B232E5"/>
    <w:rsid w:val="00B238C6"/>
    <w:rsid w:val="00B239DE"/>
    <w:rsid w:val="00B23A24"/>
    <w:rsid w:val="00B23A3F"/>
    <w:rsid w:val="00B23A98"/>
    <w:rsid w:val="00B23BBB"/>
    <w:rsid w:val="00B23C05"/>
    <w:rsid w:val="00B23E6F"/>
    <w:rsid w:val="00B240A4"/>
    <w:rsid w:val="00B24191"/>
    <w:rsid w:val="00B245D0"/>
    <w:rsid w:val="00B245ED"/>
    <w:rsid w:val="00B2462D"/>
    <w:rsid w:val="00B247DD"/>
    <w:rsid w:val="00B24877"/>
    <w:rsid w:val="00B24F6B"/>
    <w:rsid w:val="00B24FFD"/>
    <w:rsid w:val="00B251D4"/>
    <w:rsid w:val="00B252BC"/>
    <w:rsid w:val="00B253C2"/>
    <w:rsid w:val="00B25588"/>
    <w:rsid w:val="00B2589C"/>
    <w:rsid w:val="00B2591C"/>
    <w:rsid w:val="00B2605E"/>
    <w:rsid w:val="00B261F6"/>
    <w:rsid w:val="00B2650F"/>
    <w:rsid w:val="00B266A2"/>
    <w:rsid w:val="00B266BC"/>
    <w:rsid w:val="00B267CB"/>
    <w:rsid w:val="00B26ABE"/>
    <w:rsid w:val="00B2731F"/>
    <w:rsid w:val="00B27521"/>
    <w:rsid w:val="00B2783E"/>
    <w:rsid w:val="00B27A3F"/>
    <w:rsid w:val="00B27A42"/>
    <w:rsid w:val="00B27BEF"/>
    <w:rsid w:val="00B27D29"/>
    <w:rsid w:val="00B30DF6"/>
    <w:rsid w:val="00B30E5F"/>
    <w:rsid w:val="00B30E9E"/>
    <w:rsid w:val="00B310B9"/>
    <w:rsid w:val="00B310CC"/>
    <w:rsid w:val="00B3181D"/>
    <w:rsid w:val="00B31847"/>
    <w:rsid w:val="00B31CB6"/>
    <w:rsid w:val="00B31D19"/>
    <w:rsid w:val="00B31E85"/>
    <w:rsid w:val="00B31EBF"/>
    <w:rsid w:val="00B3248A"/>
    <w:rsid w:val="00B3271C"/>
    <w:rsid w:val="00B32865"/>
    <w:rsid w:val="00B329FC"/>
    <w:rsid w:val="00B32CDF"/>
    <w:rsid w:val="00B33177"/>
    <w:rsid w:val="00B334EE"/>
    <w:rsid w:val="00B33D34"/>
    <w:rsid w:val="00B33E36"/>
    <w:rsid w:val="00B3409F"/>
    <w:rsid w:val="00B3434D"/>
    <w:rsid w:val="00B3483A"/>
    <w:rsid w:val="00B34884"/>
    <w:rsid w:val="00B34D6C"/>
    <w:rsid w:val="00B34E2C"/>
    <w:rsid w:val="00B35171"/>
    <w:rsid w:val="00B3518A"/>
    <w:rsid w:val="00B35589"/>
    <w:rsid w:val="00B35780"/>
    <w:rsid w:val="00B3587E"/>
    <w:rsid w:val="00B35B27"/>
    <w:rsid w:val="00B35F11"/>
    <w:rsid w:val="00B35F28"/>
    <w:rsid w:val="00B36309"/>
    <w:rsid w:val="00B364EB"/>
    <w:rsid w:val="00B366D9"/>
    <w:rsid w:val="00B368CB"/>
    <w:rsid w:val="00B36935"/>
    <w:rsid w:val="00B36941"/>
    <w:rsid w:val="00B36E44"/>
    <w:rsid w:val="00B370FE"/>
    <w:rsid w:val="00B37180"/>
    <w:rsid w:val="00B3719C"/>
    <w:rsid w:val="00B372E5"/>
    <w:rsid w:val="00B3764F"/>
    <w:rsid w:val="00B37731"/>
    <w:rsid w:val="00B37786"/>
    <w:rsid w:val="00B40113"/>
    <w:rsid w:val="00B40201"/>
    <w:rsid w:val="00B40449"/>
    <w:rsid w:val="00B408F1"/>
    <w:rsid w:val="00B41102"/>
    <w:rsid w:val="00B412F8"/>
    <w:rsid w:val="00B4150E"/>
    <w:rsid w:val="00B416CD"/>
    <w:rsid w:val="00B417B4"/>
    <w:rsid w:val="00B418B9"/>
    <w:rsid w:val="00B41A28"/>
    <w:rsid w:val="00B41F8D"/>
    <w:rsid w:val="00B420D3"/>
    <w:rsid w:val="00B423ED"/>
    <w:rsid w:val="00B4267E"/>
    <w:rsid w:val="00B426D2"/>
    <w:rsid w:val="00B42753"/>
    <w:rsid w:val="00B427E8"/>
    <w:rsid w:val="00B428A3"/>
    <w:rsid w:val="00B428A5"/>
    <w:rsid w:val="00B42EF0"/>
    <w:rsid w:val="00B43079"/>
    <w:rsid w:val="00B43095"/>
    <w:rsid w:val="00B43276"/>
    <w:rsid w:val="00B433F9"/>
    <w:rsid w:val="00B43874"/>
    <w:rsid w:val="00B43929"/>
    <w:rsid w:val="00B44296"/>
    <w:rsid w:val="00B442B0"/>
    <w:rsid w:val="00B45367"/>
    <w:rsid w:val="00B45474"/>
    <w:rsid w:val="00B459B0"/>
    <w:rsid w:val="00B464D7"/>
    <w:rsid w:val="00B4695F"/>
    <w:rsid w:val="00B46DCA"/>
    <w:rsid w:val="00B46EF2"/>
    <w:rsid w:val="00B4703E"/>
    <w:rsid w:val="00B471E9"/>
    <w:rsid w:val="00B474B6"/>
    <w:rsid w:val="00B47552"/>
    <w:rsid w:val="00B478E2"/>
    <w:rsid w:val="00B47DC2"/>
    <w:rsid w:val="00B50C2A"/>
    <w:rsid w:val="00B50D51"/>
    <w:rsid w:val="00B51100"/>
    <w:rsid w:val="00B5119E"/>
    <w:rsid w:val="00B513D4"/>
    <w:rsid w:val="00B51562"/>
    <w:rsid w:val="00B51705"/>
    <w:rsid w:val="00B517C4"/>
    <w:rsid w:val="00B517F3"/>
    <w:rsid w:val="00B51AE0"/>
    <w:rsid w:val="00B51EE1"/>
    <w:rsid w:val="00B52267"/>
    <w:rsid w:val="00B5237F"/>
    <w:rsid w:val="00B523E2"/>
    <w:rsid w:val="00B52638"/>
    <w:rsid w:val="00B5273D"/>
    <w:rsid w:val="00B52802"/>
    <w:rsid w:val="00B52B5C"/>
    <w:rsid w:val="00B52B65"/>
    <w:rsid w:val="00B52E74"/>
    <w:rsid w:val="00B53163"/>
    <w:rsid w:val="00B531F5"/>
    <w:rsid w:val="00B53347"/>
    <w:rsid w:val="00B53710"/>
    <w:rsid w:val="00B538B8"/>
    <w:rsid w:val="00B54247"/>
    <w:rsid w:val="00B54446"/>
    <w:rsid w:val="00B54476"/>
    <w:rsid w:val="00B5473C"/>
    <w:rsid w:val="00B549C0"/>
    <w:rsid w:val="00B549EC"/>
    <w:rsid w:val="00B54A9C"/>
    <w:rsid w:val="00B54BF4"/>
    <w:rsid w:val="00B55019"/>
    <w:rsid w:val="00B55112"/>
    <w:rsid w:val="00B5511C"/>
    <w:rsid w:val="00B5531C"/>
    <w:rsid w:val="00B55C87"/>
    <w:rsid w:val="00B55E2D"/>
    <w:rsid w:val="00B55F0D"/>
    <w:rsid w:val="00B56011"/>
    <w:rsid w:val="00B5609B"/>
    <w:rsid w:val="00B56249"/>
    <w:rsid w:val="00B565A0"/>
    <w:rsid w:val="00B56651"/>
    <w:rsid w:val="00B569A7"/>
    <w:rsid w:val="00B5735C"/>
    <w:rsid w:val="00B574DF"/>
    <w:rsid w:val="00B57710"/>
    <w:rsid w:val="00B578D0"/>
    <w:rsid w:val="00B57CC8"/>
    <w:rsid w:val="00B57E0A"/>
    <w:rsid w:val="00B6017D"/>
    <w:rsid w:val="00B605FE"/>
    <w:rsid w:val="00B60864"/>
    <w:rsid w:val="00B60F44"/>
    <w:rsid w:val="00B61509"/>
    <w:rsid w:val="00B6150D"/>
    <w:rsid w:val="00B6187F"/>
    <w:rsid w:val="00B6189C"/>
    <w:rsid w:val="00B618A5"/>
    <w:rsid w:val="00B619B5"/>
    <w:rsid w:val="00B61C7A"/>
    <w:rsid w:val="00B62034"/>
    <w:rsid w:val="00B62332"/>
    <w:rsid w:val="00B627E9"/>
    <w:rsid w:val="00B62AF2"/>
    <w:rsid w:val="00B62C39"/>
    <w:rsid w:val="00B62C3E"/>
    <w:rsid w:val="00B62C5B"/>
    <w:rsid w:val="00B62DF3"/>
    <w:rsid w:val="00B633BF"/>
    <w:rsid w:val="00B63483"/>
    <w:rsid w:val="00B635C8"/>
    <w:rsid w:val="00B63A3D"/>
    <w:rsid w:val="00B63EA9"/>
    <w:rsid w:val="00B63F68"/>
    <w:rsid w:val="00B64013"/>
    <w:rsid w:val="00B6462A"/>
    <w:rsid w:val="00B64736"/>
    <w:rsid w:val="00B648FB"/>
    <w:rsid w:val="00B64F96"/>
    <w:rsid w:val="00B6504F"/>
    <w:rsid w:val="00B650D6"/>
    <w:rsid w:val="00B6511E"/>
    <w:rsid w:val="00B6516A"/>
    <w:rsid w:val="00B65586"/>
    <w:rsid w:val="00B65643"/>
    <w:rsid w:val="00B65A9D"/>
    <w:rsid w:val="00B65C75"/>
    <w:rsid w:val="00B65D0D"/>
    <w:rsid w:val="00B661E4"/>
    <w:rsid w:val="00B66614"/>
    <w:rsid w:val="00B66690"/>
    <w:rsid w:val="00B669C8"/>
    <w:rsid w:val="00B66A40"/>
    <w:rsid w:val="00B66DD2"/>
    <w:rsid w:val="00B671A1"/>
    <w:rsid w:val="00B6735C"/>
    <w:rsid w:val="00B6749C"/>
    <w:rsid w:val="00B67556"/>
    <w:rsid w:val="00B679FB"/>
    <w:rsid w:val="00B67BEA"/>
    <w:rsid w:val="00B67E2E"/>
    <w:rsid w:val="00B67F5C"/>
    <w:rsid w:val="00B705C8"/>
    <w:rsid w:val="00B70790"/>
    <w:rsid w:val="00B707D6"/>
    <w:rsid w:val="00B70B15"/>
    <w:rsid w:val="00B71642"/>
    <w:rsid w:val="00B71BD3"/>
    <w:rsid w:val="00B72136"/>
    <w:rsid w:val="00B725DC"/>
    <w:rsid w:val="00B72601"/>
    <w:rsid w:val="00B72A48"/>
    <w:rsid w:val="00B72C8E"/>
    <w:rsid w:val="00B72D24"/>
    <w:rsid w:val="00B72EB2"/>
    <w:rsid w:val="00B72FBB"/>
    <w:rsid w:val="00B72FE2"/>
    <w:rsid w:val="00B73BE3"/>
    <w:rsid w:val="00B73E33"/>
    <w:rsid w:val="00B74034"/>
    <w:rsid w:val="00B747B1"/>
    <w:rsid w:val="00B74849"/>
    <w:rsid w:val="00B74B6A"/>
    <w:rsid w:val="00B74D24"/>
    <w:rsid w:val="00B74DF2"/>
    <w:rsid w:val="00B75100"/>
    <w:rsid w:val="00B75228"/>
    <w:rsid w:val="00B75AA5"/>
    <w:rsid w:val="00B75F86"/>
    <w:rsid w:val="00B763F4"/>
    <w:rsid w:val="00B769AB"/>
    <w:rsid w:val="00B76AE6"/>
    <w:rsid w:val="00B76B3B"/>
    <w:rsid w:val="00B76BBE"/>
    <w:rsid w:val="00B76EB1"/>
    <w:rsid w:val="00B77103"/>
    <w:rsid w:val="00B77237"/>
    <w:rsid w:val="00B77329"/>
    <w:rsid w:val="00B77376"/>
    <w:rsid w:val="00B775D5"/>
    <w:rsid w:val="00B777DD"/>
    <w:rsid w:val="00B7785F"/>
    <w:rsid w:val="00B77B70"/>
    <w:rsid w:val="00B77E0D"/>
    <w:rsid w:val="00B8016E"/>
    <w:rsid w:val="00B802AE"/>
    <w:rsid w:val="00B8041F"/>
    <w:rsid w:val="00B80924"/>
    <w:rsid w:val="00B80CA5"/>
    <w:rsid w:val="00B80DAB"/>
    <w:rsid w:val="00B80ED6"/>
    <w:rsid w:val="00B80F30"/>
    <w:rsid w:val="00B816D8"/>
    <w:rsid w:val="00B816F9"/>
    <w:rsid w:val="00B81BFA"/>
    <w:rsid w:val="00B81E02"/>
    <w:rsid w:val="00B822C3"/>
    <w:rsid w:val="00B825E0"/>
    <w:rsid w:val="00B82902"/>
    <w:rsid w:val="00B82A3B"/>
    <w:rsid w:val="00B82B7E"/>
    <w:rsid w:val="00B82E9D"/>
    <w:rsid w:val="00B82EA3"/>
    <w:rsid w:val="00B82F64"/>
    <w:rsid w:val="00B82FB4"/>
    <w:rsid w:val="00B83023"/>
    <w:rsid w:val="00B8302A"/>
    <w:rsid w:val="00B830A4"/>
    <w:rsid w:val="00B830F1"/>
    <w:rsid w:val="00B830FB"/>
    <w:rsid w:val="00B8327D"/>
    <w:rsid w:val="00B83AC5"/>
    <w:rsid w:val="00B83B2B"/>
    <w:rsid w:val="00B84301"/>
    <w:rsid w:val="00B8430C"/>
    <w:rsid w:val="00B849B2"/>
    <w:rsid w:val="00B84F85"/>
    <w:rsid w:val="00B85109"/>
    <w:rsid w:val="00B855E6"/>
    <w:rsid w:val="00B859F3"/>
    <w:rsid w:val="00B85C61"/>
    <w:rsid w:val="00B85E2F"/>
    <w:rsid w:val="00B85F38"/>
    <w:rsid w:val="00B86048"/>
    <w:rsid w:val="00B86387"/>
    <w:rsid w:val="00B86392"/>
    <w:rsid w:val="00B86A31"/>
    <w:rsid w:val="00B86BB7"/>
    <w:rsid w:val="00B86D64"/>
    <w:rsid w:val="00B86E29"/>
    <w:rsid w:val="00B86F5D"/>
    <w:rsid w:val="00B87483"/>
    <w:rsid w:val="00B8764C"/>
    <w:rsid w:val="00B87774"/>
    <w:rsid w:val="00B90129"/>
    <w:rsid w:val="00B90207"/>
    <w:rsid w:val="00B9051E"/>
    <w:rsid w:val="00B90B44"/>
    <w:rsid w:val="00B90C6D"/>
    <w:rsid w:val="00B90E7E"/>
    <w:rsid w:val="00B90F95"/>
    <w:rsid w:val="00B9133F"/>
    <w:rsid w:val="00B91748"/>
    <w:rsid w:val="00B917FC"/>
    <w:rsid w:val="00B91E6F"/>
    <w:rsid w:val="00B9213E"/>
    <w:rsid w:val="00B922E0"/>
    <w:rsid w:val="00B923C4"/>
    <w:rsid w:val="00B923CC"/>
    <w:rsid w:val="00B9299F"/>
    <w:rsid w:val="00B92AC1"/>
    <w:rsid w:val="00B9317C"/>
    <w:rsid w:val="00B93241"/>
    <w:rsid w:val="00B932B4"/>
    <w:rsid w:val="00B932C2"/>
    <w:rsid w:val="00B934E4"/>
    <w:rsid w:val="00B93810"/>
    <w:rsid w:val="00B93D8D"/>
    <w:rsid w:val="00B9419C"/>
    <w:rsid w:val="00B94842"/>
    <w:rsid w:val="00B94D2B"/>
    <w:rsid w:val="00B951BE"/>
    <w:rsid w:val="00B951F2"/>
    <w:rsid w:val="00B95655"/>
    <w:rsid w:val="00B95814"/>
    <w:rsid w:val="00B96254"/>
    <w:rsid w:val="00B96301"/>
    <w:rsid w:val="00B96391"/>
    <w:rsid w:val="00B96A71"/>
    <w:rsid w:val="00B96C57"/>
    <w:rsid w:val="00B96DC4"/>
    <w:rsid w:val="00B96DCB"/>
    <w:rsid w:val="00B9705C"/>
    <w:rsid w:val="00B97E6B"/>
    <w:rsid w:val="00B97F5A"/>
    <w:rsid w:val="00BA030B"/>
    <w:rsid w:val="00BA083B"/>
    <w:rsid w:val="00BA09B3"/>
    <w:rsid w:val="00BA0AF5"/>
    <w:rsid w:val="00BA1321"/>
    <w:rsid w:val="00BA1353"/>
    <w:rsid w:val="00BA16AF"/>
    <w:rsid w:val="00BA1B21"/>
    <w:rsid w:val="00BA1D0D"/>
    <w:rsid w:val="00BA1F3A"/>
    <w:rsid w:val="00BA2119"/>
    <w:rsid w:val="00BA2270"/>
    <w:rsid w:val="00BA2408"/>
    <w:rsid w:val="00BA2430"/>
    <w:rsid w:val="00BA2453"/>
    <w:rsid w:val="00BA2483"/>
    <w:rsid w:val="00BA25CF"/>
    <w:rsid w:val="00BA29D6"/>
    <w:rsid w:val="00BA2AA7"/>
    <w:rsid w:val="00BA2D1E"/>
    <w:rsid w:val="00BA2E24"/>
    <w:rsid w:val="00BA30F5"/>
    <w:rsid w:val="00BA3182"/>
    <w:rsid w:val="00BA322A"/>
    <w:rsid w:val="00BA351C"/>
    <w:rsid w:val="00BA39FD"/>
    <w:rsid w:val="00BA4337"/>
    <w:rsid w:val="00BA47A0"/>
    <w:rsid w:val="00BA4B19"/>
    <w:rsid w:val="00BA4F95"/>
    <w:rsid w:val="00BA5121"/>
    <w:rsid w:val="00BA5664"/>
    <w:rsid w:val="00BA5691"/>
    <w:rsid w:val="00BA5823"/>
    <w:rsid w:val="00BA5904"/>
    <w:rsid w:val="00BA59CB"/>
    <w:rsid w:val="00BA5D54"/>
    <w:rsid w:val="00BA6008"/>
    <w:rsid w:val="00BA62A4"/>
    <w:rsid w:val="00BA65C6"/>
    <w:rsid w:val="00BA6639"/>
    <w:rsid w:val="00BA67F1"/>
    <w:rsid w:val="00BA6A80"/>
    <w:rsid w:val="00BA6BFA"/>
    <w:rsid w:val="00BA6E57"/>
    <w:rsid w:val="00BA6ED1"/>
    <w:rsid w:val="00BA6F00"/>
    <w:rsid w:val="00BA728E"/>
    <w:rsid w:val="00BA732D"/>
    <w:rsid w:val="00BA73B3"/>
    <w:rsid w:val="00BA796F"/>
    <w:rsid w:val="00BA7AFF"/>
    <w:rsid w:val="00BA7CA3"/>
    <w:rsid w:val="00BB0462"/>
    <w:rsid w:val="00BB04EB"/>
    <w:rsid w:val="00BB07B8"/>
    <w:rsid w:val="00BB097A"/>
    <w:rsid w:val="00BB119E"/>
    <w:rsid w:val="00BB1616"/>
    <w:rsid w:val="00BB171F"/>
    <w:rsid w:val="00BB18A8"/>
    <w:rsid w:val="00BB1A48"/>
    <w:rsid w:val="00BB1C6D"/>
    <w:rsid w:val="00BB1E6C"/>
    <w:rsid w:val="00BB22CA"/>
    <w:rsid w:val="00BB242D"/>
    <w:rsid w:val="00BB2AFC"/>
    <w:rsid w:val="00BB2E3C"/>
    <w:rsid w:val="00BB3164"/>
    <w:rsid w:val="00BB33D8"/>
    <w:rsid w:val="00BB3412"/>
    <w:rsid w:val="00BB34D1"/>
    <w:rsid w:val="00BB37A2"/>
    <w:rsid w:val="00BB3B91"/>
    <w:rsid w:val="00BB3EE2"/>
    <w:rsid w:val="00BB4037"/>
    <w:rsid w:val="00BB41F6"/>
    <w:rsid w:val="00BB448F"/>
    <w:rsid w:val="00BB476F"/>
    <w:rsid w:val="00BB48A6"/>
    <w:rsid w:val="00BB5017"/>
    <w:rsid w:val="00BB505F"/>
    <w:rsid w:val="00BB51C6"/>
    <w:rsid w:val="00BB5414"/>
    <w:rsid w:val="00BB5720"/>
    <w:rsid w:val="00BB5F7C"/>
    <w:rsid w:val="00BB5F9F"/>
    <w:rsid w:val="00BB622E"/>
    <w:rsid w:val="00BB66F6"/>
    <w:rsid w:val="00BB6932"/>
    <w:rsid w:val="00BB6B9D"/>
    <w:rsid w:val="00BB70E2"/>
    <w:rsid w:val="00BB7338"/>
    <w:rsid w:val="00BB759D"/>
    <w:rsid w:val="00BB7845"/>
    <w:rsid w:val="00BB7FA4"/>
    <w:rsid w:val="00BC03E2"/>
    <w:rsid w:val="00BC0551"/>
    <w:rsid w:val="00BC07C2"/>
    <w:rsid w:val="00BC082F"/>
    <w:rsid w:val="00BC0C92"/>
    <w:rsid w:val="00BC14C0"/>
    <w:rsid w:val="00BC1AEF"/>
    <w:rsid w:val="00BC218B"/>
    <w:rsid w:val="00BC2677"/>
    <w:rsid w:val="00BC2859"/>
    <w:rsid w:val="00BC2885"/>
    <w:rsid w:val="00BC29AA"/>
    <w:rsid w:val="00BC2B57"/>
    <w:rsid w:val="00BC2CCB"/>
    <w:rsid w:val="00BC2D20"/>
    <w:rsid w:val="00BC313F"/>
    <w:rsid w:val="00BC337B"/>
    <w:rsid w:val="00BC37A8"/>
    <w:rsid w:val="00BC39C3"/>
    <w:rsid w:val="00BC3B85"/>
    <w:rsid w:val="00BC41A5"/>
    <w:rsid w:val="00BC41C3"/>
    <w:rsid w:val="00BC4209"/>
    <w:rsid w:val="00BC4310"/>
    <w:rsid w:val="00BC4588"/>
    <w:rsid w:val="00BC475B"/>
    <w:rsid w:val="00BC4CB0"/>
    <w:rsid w:val="00BC4EB4"/>
    <w:rsid w:val="00BC4F14"/>
    <w:rsid w:val="00BC512F"/>
    <w:rsid w:val="00BC51C5"/>
    <w:rsid w:val="00BC5309"/>
    <w:rsid w:val="00BC53E0"/>
    <w:rsid w:val="00BC57A8"/>
    <w:rsid w:val="00BC5AD4"/>
    <w:rsid w:val="00BC5BE9"/>
    <w:rsid w:val="00BC5CBB"/>
    <w:rsid w:val="00BC5DFC"/>
    <w:rsid w:val="00BC6270"/>
    <w:rsid w:val="00BC628A"/>
    <w:rsid w:val="00BC66C0"/>
    <w:rsid w:val="00BC6858"/>
    <w:rsid w:val="00BC696A"/>
    <w:rsid w:val="00BC7305"/>
    <w:rsid w:val="00BC76DF"/>
    <w:rsid w:val="00BC7F8E"/>
    <w:rsid w:val="00BD00A2"/>
    <w:rsid w:val="00BD04D7"/>
    <w:rsid w:val="00BD06B3"/>
    <w:rsid w:val="00BD06C5"/>
    <w:rsid w:val="00BD0771"/>
    <w:rsid w:val="00BD08DD"/>
    <w:rsid w:val="00BD0BF7"/>
    <w:rsid w:val="00BD1166"/>
    <w:rsid w:val="00BD128B"/>
    <w:rsid w:val="00BD15DC"/>
    <w:rsid w:val="00BD171E"/>
    <w:rsid w:val="00BD181B"/>
    <w:rsid w:val="00BD183D"/>
    <w:rsid w:val="00BD1F23"/>
    <w:rsid w:val="00BD218F"/>
    <w:rsid w:val="00BD26C6"/>
    <w:rsid w:val="00BD285B"/>
    <w:rsid w:val="00BD2B09"/>
    <w:rsid w:val="00BD2CA1"/>
    <w:rsid w:val="00BD2E1B"/>
    <w:rsid w:val="00BD3129"/>
    <w:rsid w:val="00BD3139"/>
    <w:rsid w:val="00BD3586"/>
    <w:rsid w:val="00BD35E7"/>
    <w:rsid w:val="00BD37D3"/>
    <w:rsid w:val="00BD3CFE"/>
    <w:rsid w:val="00BD4338"/>
    <w:rsid w:val="00BD444C"/>
    <w:rsid w:val="00BD4710"/>
    <w:rsid w:val="00BD472D"/>
    <w:rsid w:val="00BD48EB"/>
    <w:rsid w:val="00BD4D6A"/>
    <w:rsid w:val="00BD4E29"/>
    <w:rsid w:val="00BD4F12"/>
    <w:rsid w:val="00BD5151"/>
    <w:rsid w:val="00BD5237"/>
    <w:rsid w:val="00BD5336"/>
    <w:rsid w:val="00BD5403"/>
    <w:rsid w:val="00BD55C2"/>
    <w:rsid w:val="00BD5BB3"/>
    <w:rsid w:val="00BD5C05"/>
    <w:rsid w:val="00BD5CD1"/>
    <w:rsid w:val="00BD5CE5"/>
    <w:rsid w:val="00BD60FB"/>
    <w:rsid w:val="00BD6137"/>
    <w:rsid w:val="00BD63DB"/>
    <w:rsid w:val="00BD67E6"/>
    <w:rsid w:val="00BD6C83"/>
    <w:rsid w:val="00BD735A"/>
    <w:rsid w:val="00BD7365"/>
    <w:rsid w:val="00BD75CB"/>
    <w:rsid w:val="00BD7B2F"/>
    <w:rsid w:val="00BD7DD8"/>
    <w:rsid w:val="00BD7ECC"/>
    <w:rsid w:val="00BE038C"/>
    <w:rsid w:val="00BE042B"/>
    <w:rsid w:val="00BE07DE"/>
    <w:rsid w:val="00BE08D8"/>
    <w:rsid w:val="00BE0943"/>
    <w:rsid w:val="00BE095C"/>
    <w:rsid w:val="00BE0BD2"/>
    <w:rsid w:val="00BE0F6E"/>
    <w:rsid w:val="00BE11E2"/>
    <w:rsid w:val="00BE1248"/>
    <w:rsid w:val="00BE137B"/>
    <w:rsid w:val="00BE15CC"/>
    <w:rsid w:val="00BE16B7"/>
    <w:rsid w:val="00BE1722"/>
    <w:rsid w:val="00BE17D3"/>
    <w:rsid w:val="00BE17DF"/>
    <w:rsid w:val="00BE1A0F"/>
    <w:rsid w:val="00BE1DA5"/>
    <w:rsid w:val="00BE1EC6"/>
    <w:rsid w:val="00BE2128"/>
    <w:rsid w:val="00BE213F"/>
    <w:rsid w:val="00BE2197"/>
    <w:rsid w:val="00BE22B6"/>
    <w:rsid w:val="00BE23E5"/>
    <w:rsid w:val="00BE24AD"/>
    <w:rsid w:val="00BE269B"/>
    <w:rsid w:val="00BE2812"/>
    <w:rsid w:val="00BE29A8"/>
    <w:rsid w:val="00BE2A81"/>
    <w:rsid w:val="00BE2ECC"/>
    <w:rsid w:val="00BE2FAC"/>
    <w:rsid w:val="00BE3242"/>
    <w:rsid w:val="00BE3689"/>
    <w:rsid w:val="00BE3B65"/>
    <w:rsid w:val="00BE3EDA"/>
    <w:rsid w:val="00BE3FC7"/>
    <w:rsid w:val="00BE43A3"/>
    <w:rsid w:val="00BE4401"/>
    <w:rsid w:val="00BE44EB"/>
    <w:rsid w:val="00BE473A"/>
    <w:rsid w:val="00BE4B23"/>
    <w:rsid w:val="00BE4B77"/>
    <w:rsid w:val="00BE4C28"/>
    <w:rsid w:val="00BE4DEB"/>
    <w:rsid w:val="00BE4E58"/>
    <w:rsid w:val="00BE5217"/>
    <w:rsid w:val="00BE55BA"/>
    <w:rsid w:val="00BE5734"/>
    <w:rsid w:val="00BE587E"/>
    <w:rsid w:val="00BE589E"/>
    <w:rsid w:val="00BE5E75"/>
    <w:rsid w:val="00BE6550"/>
    <w:rsid w:val="00BE68F7"/>
    <w:rsid w:val="00BE69BA"/>
    <w:rsid w:val="00BE6A71"/>
    <w:rsid w:val="00BE6AC9"/>
    <w:rsid w:val="00BE6C88"/>
    <w:rsid w:val="00BE7175"/>
    <w:rsid w:val="00BE74BB"/>
    <w:rsid w:val="00BE7975"/>
    <w:rsid w:val="00BF0282"/>
    <w:rsid w:val="00BF0411"/>
    <w:rsid w:val="00BF042C"/>
    <w:rsid w:val="00BF046E"/>
    <w:rsid w:val="00BF06C9"/>
    <w:rsid w:val="00BF0A7A"/>
    <w:rsid w:val="00BF0B93"/>
    <w:rsid w:val="00BF0C1B"/>
    <w:rsid w:val="00BF1161"/>
    <w:rsid w:val="00BF12A1"/>
    <w:rsid w:val="00BF139E"/>
    <w:rsid w:val="00BF1444"/>
    <w:rsid w:val="00BF160A"/>
    <w:rsid w:val="00BF1616"/>
    <w:rsid w:val="00BF1EB5"/>
    <w:rsid w:val="00BF1F01"/>
    <w:rsid w:val="00BF2065"/>
    <w:rsid w:val="00BF20D7"/>
    <w:rsid w:val="00BF212F"/>
    <w:rsid w:val="00BF221B"/>
    <w:rsid w:val="00BF2428"/>
    <w:rsid w:val="00BF24F9"/>
    <w:rsid w:val="00BF2529"/>
    <w:rsid w:val="00BF2532"/>
    <w:rsid w:val="00BF275A"/>
    <w:rsid w:val="00BF2821"/>
    <w:rsid w:val="00BF28A8"/>
    <w:rsid w:val="00BF29D0"/>
    <w:rsid w:val="00BF2C1D"/>
    <w:rsid w:val="00BF2D4E"/>
    <w:rsid w:val="00BF2D4F"/>
    <w:rsid w:val="00BF2DDD"/>
    <w:rsid w:val="00BF2EFE"/>
    <w:rsid w:val="00BF38D1"/>
    <w:rsid w:val="00BF3A1D"/>
    <w:rsid w:val="00BF3C1D"/>
    <w:rsid w:val="00BF3DE0"/>
    <w:rsid w:val="00BF4073"/>
    <w:rsid w:val="00BF42BB"/>
    <w:rsid w:val="00BF446D"/>
    <w:rsid w:val="00BF4482"/>
    <w:rsid w:val="00BF4731"/>
    <w:rsid w:val="00BF4815"/>
    <w:rsid w:val="00BF4A7A"/>
    <w:rsid w:val="00BF4D0E"/>
    <w:rsid w:val="00BF4E5F"/>
    <w:rsid w:val="00BF4FBA"/>
    <w:rsid w:val="00BF589D"/>
    <w:rsid w:val="00BF58D1"/>
    <w:rsid w:val="00BF59E3"/>
    <w:rsid w:val="00BF5E05"/>
    <w:rsid w:val="00BF6DCD"/>
    <w:rsid w:val="00BF7367"/>
    <w:rsid w:val="00BF75A8"/>
    <w:rsid w:val="00BF75B0"/>
    <w:rsid w:val="00BF7602"/>
    <w:rsid w:val="00BF7973"/>
    <w:rsid w:val="00BF7BE2"/>
    <w:rsid w:val="00BF7E3E"/>
    <w:rsid w:val="00C002E3"/>
    <w:rsid w:val="00C004C5"/>
    <w:rsid w:val="00C00632"/>
    <w:rsid w:val="00C00658"/>
    <w:rsid w:val="00C00ED4"/>
    <w:rsid w:val="00C00FE3"/>
    <w:rsid w:val="00C00FE6"/>
    <w:rsid w:val="00C01001"/>
    <w:rsid w:val="00C01023"/>
    <w:rsid w:val="00C01037"/>
    <w:rsid w:val="00C011A6"/>
    <w:rsid w:val="00C0176F"/>
    <w:rsid w:val="00C01C57"/>
    <w:rsid w:val="00C01D7A"/>
    <w:rsid w:val="00C0220A"/>
    <w:rsid w:val="00C022EE"/>
    <w:rsid w:val="00C02557"/>
    <w:rsid w:val="00C026D7"/>
    <w:rsid w:val="00C029CC"/>
    <w:rsid w:val="00C02B2C"/>
    <w:rsid w:val="00C02BE4"/>
    <w:rsid w:val="00C03355"/>
    <w:rsid w:val="00C033AE"/>
    <w:rsid w:val="00C03585"/>
    <w:rsid w:val="00C03DF8"/>
    <w:rsid w:val="00C0464D"/>
    <w:rsid w:val="00C046CF"/>
    <w:rsid w:val="00C04DEE"/>
    <w:rsid w:val="00C05223"/>
    <w:rsid w:val="00C054C3"/>
    <w:rsid w:val="00C05553"/>
    <w:rsid w:val="00C057D9"/>
    <w:rsid w:val="00C057EE"/>
    <w:rsid w:val="00C05D38"/>
    <w:rsid w:val="00C05DE1"/>
    <w:rsid w:val="00C05E50"/>
    <w:rsid w:val="00C05EC0"/>
    <w:rsid w:val="00C06052"/>
    <w:rsid w:val="00C060B7"/>
    <w:rsid w:val="00C0628F"/>
    <w:rsid w:val="00C06375"/>
    <w:rsid w:val="00C069BE"/>
    <w:rsid w:val="00C06BC2"/>
    <w:rsid w:val="00C0707B"/>
    <w:rsid w:val="00C0723D"/>
    <w:rsid w:val="00C07A80"/>
    <w:rsid w:val="00C07D2E"/>
    <w:rsid w:val="00C102C4"/>
    <w:rsid w:val="00C104A4"/>
    <w:rsid w:val="00C111F8"/>
    <w:rsid w:val="00C11208"/>
    <w:rsid w:val="00C11506"/>
    <w:rsid w:val="00C11594"/>
    <w:rsid w:val="00C11664"/>
    <w:rsid w:val="00C11B34"/>
    <w:rsid w:val="00C11D66"/>
    <w:rsid w:val="00C11FA0"/>
    <w:rsid w:val="00C121AA"/>
    <w:rsid w:val="00C12267"/>
    <w:rsid w:val="00C12294"/>
    <w:rsid w:val="00C12439"/>
    <w:rsid w:val="00C12661"/>
    <w:rsid w:val="00C12831"/>
    <w:rsid w:val="00C12C6E"/>
    <w:rsid w:val="00C12E8A"/>
    <w:rsid w:val="00C13200"/>
    <w:rsid w:val="00C1327B"/>
    <w:rsid w:val="00C13324"/>
    <w:rsid w:val="00C1347B"/>
    <w:rsid w:val="00C13751"/>
    <w:rsid w:val="00C13BE8"/>
    <w:rsid w:val="00C13E78"/>
    <w:rsid w:val="00C1409A"/>
    <w:rsid w:val="00C140D5"/>
    <w:rsid w:val="00C142AC"/>
    <w:rsid w:val="00C14C00"/>
    <w:rsid w:val="00C14E3D"/>
    <w:rsid w:val="00C14EB8"/>
    <w:rsid w:val="00C156AC"/>
    <w:rsid w:val="00C1584C"/>
    <w:rsid w:val="00C15D42"/>
    <w:rsid w:val="00C15DD3"/>
    <w:rsid w:val="00C15E37"/>
    <w:rsid w:val="00C16389"/>
    <w:rsid w:val="00C164B1"/>
    <w:rsid w:val="00C1662E"/>
    <w:rsid w:val="00C166C9"/>
    <w:rsid w:val="00C16AF0"/>
    <w:rsid w:val="00C16D63"/>
    <w:rsid w:val="00C1712E"/>
    <w:rsid w:val="00C1745A"/>
    <w:rsid w:val="00C17771"/>
    <w:rsid w:val="00C179E5"/>
    <w:rsid w:val="00C179EF"/>
    <w:rsid w:val="00C17A66"/>
    <w:rsid w:val="00C17B12"/>
    <w:rsid w:val="00C206B0"/>
    <w:rsid w:val="00C20717"/>
    <w:rsid w:val="00C2087B"/>
    <w:rsid w:val="00C20A3A"/>
    <w:rsid w:val="00C20B2D"/>
    <w:rsid w:val="00C211F3"/>
    <w:rsid w:val="00C21A5E"/>
    <w:rsid w:val="00C21BCC"/>
    <w:rsid w:val="00C21CD7"/>
    <w:rsid w:val="00C21EB3"/>
    <w:rsid w:val="00C22D3E"/>
    <w:rsid w:val="00C22E70"/>
    <w:rsid w:val="00C2336E"/>
    <w:rsid w:val="00C233C9"/>
    <w:rsid w:val="00C23D21"/>
    <w:rsid w:val="00C23EF9"/>
    <w:rsid w:val="00C24126"/>
    <w:rsid w:val="00C242E8"/>
    <w:rsid w:val="00C24440"/>
    <w:rsid w:val="00C24ACF"/>
    <w:rsid w:val="00C24DC4"/>
    <w:rsid w:val="00C24E4B"/>
    <w:rsid w:val="00C25098"/>
    <w:rsid w:val="00C2522B"/>
    <w:rsid w:val="00C252A5"/>
    <w:rsid w:val="00C25643"/>
    <w:rsid w:val="00C25B27"/>
    <w:rsid w:val="00C25D36"/>
    <w:rsid w:val="00C2608D"/>
    <w:rsid w:val="00C26477"/>
    <w:rsid w:val="00C26C3C"/>
    <w:rsid w:val="00C26E62"/>
    <w:rsid w:val="00C2706F"/>
    <w:rsid w:val="00C2734C"/>
    <w:rsid w:val="00C2770D"/>
    <w:rsid w:val="00C27759"/>
    <w:rsid w:val="00C27C45"/>
    <w:rsid w:val="00C30486"/>
    <w:rsid w:val="00C30493"/>
    <w:rsid w:val="00C30523"/>
    <w:rsid w:val="00C305AB"/>
    <w:rsid w:val="00C309EA"/>
    <w:rsid w:val="00C30D28"/>
    <w:rsid w:val="00C30F1F"/>
    <w:rsid w:val="00C30F23"/>
    <w:rsid w:val="00C311CC"/>
    <w:rsid w:val="00C323FD"/>
    <w:rsid w:val="00C326E4"/>
    <w:rsid w:val="00C32701"/>
    <w:rsid w:val="00C32764"/>
    <w:rsid w:val="00C32C8E"/>
    <w:rsid w:val="00C32F05"/>
    <w:rsid w:val="00C32FE4"/>
    <w:rsid w:val="00C332F9"/>
    <w:rsid w:val="00C3363D"/>
    <w:rsid w:val="00C33790"/>
    <w:rsid w:val="00C33A86"/>
    <w:rsid w:val="00C33AF0"/>
    <w:rsid w:val="00C33BAB"/>
    <w:rsid w:val="00C33CB2"/>
    <w:rsid w:val="00C342B7"/>
    <w:rsid w:val="00C3433F"/>
    <w:rsid w:val="00C3447A"/>
    <w:rsid w:val="00C3547D"/>
    <w:rsid w:val="00C35882"/>
    <w:rsid w:val="00C35C41"/>
    <w:rsid w:val="00C35C7B"/>
    <w:rsid w:val="00C35CC3"/>
    <w:rsid w:val="00C35E80"/>
    <w:rsid w:val="00C36169"/>
    <w:rsid w:val="00C364CF"/>
    <w:rsid w:val="00C36688"/>
    <w:rsid w:val="00C36FB1"/>
    <w:rsid w:val="00C370B8"/>
    <w:rsid w:val="00C37238"/>
    <w:rsid w:val="00C373C8"/>
    <w:rsid w:val="00C3742E"/>
    <w:rsid w:val="00C3744D"/>
    <w:rsid w:val="00C3755D"/>
    <w:rsid w:val="00C37BB2"/>
    <w:rsid w:val="00C37D07"/>
    <w:rsid w:val="00C401BF"/>
    <w:rsid w:val="00C405A8"/>
    <w:rsid w:val="00C406B9"/>
    <w:rsid w:val="00C409E8"/>
    <w:rsid w:val="00C40AA2"/>
    <w:rsid w:val="00C41011"/>
    <w:rsid w:val="00C410DB"/>
    <w:rsid w:val="00C41527"/>
    <w:rsid w:val="00C41751"/>
    <w:rsid w:val="00C41934"/>
    <w:rsid w:val="00C42000"/>
    <w:rsid w:val="00C420EC"/>
    <w:rsid w:val="00C422AF"/>
    <w:rsid w:val="00C4289A"/>
    <w:rsid w:val="00C42B8F"/>
    <w:rsid w:val="00C42E6E"/>
    <w:rsid w:val="00C42F97"/>
    <w:rsid w:val="00C43183"/>
    <w:rsid w:val="00C43478"/>
    <w:rsid w:val="00C43A29"/>
    <w:rsid w:val="00C43AEC"/>
    <w:rsid w:val="00C43BD5"/>
    <w:rsid w:val="00C43BEC"/>
    <w:rsid w:val="00C44009"/>
    <w:rsid w:val="00C440BD"/>
    <w:rsid w:val="00C44518"/>
    <w:rsid w:val="00C44639"/>
    <w:rsid w:val="00C44886"/>
    <w:rsid w:val="00C44960"/>
    <w:rsid w:val="00C44B1B"/>
    <w:rsid w:val="00C44DF1"/>
    <w:rsid w:val="00C44EAA"/>
    <w:rsid w:val="00C44F58"/>
    <w:rsid w:val="00C4531F"/>
    <w:rsid w:val="00C45340"/>
    <w:rsid w:val="00C4539E"/>
    <w:rsid w:val="00C454E2"/>
    <w:rsid w:val="00C456D0"/>
    <w:rsid w:val="00C45910"/>
    <w:rsid w:val="00C45B04"/>
    <w:rsid w:val="00C45B0B"/>
    <w:rsid w:val="00C45B60"/>
    <w:rsid w:val="00C45B96"/>
    <w:rsid w:val="00C45C19"/>
    <w:rsid w:val="00C45FD0"/>
    <w:rsid w:val="00C45FF5"/>
    <w:rsid w:val="00C4624B"/>
    <w:rsid w:val="00C46467"/>
    <w:rsid w:val="00C465E6"/>
    <w:rsid w:val="00C468A9"/>
    <w:rsid w:val="00C468CC"/>
    <w:rsid w:val="00C46DE1"/>
    <w:rsid w:val="00C47082"/>
    <w:rsid w:val="00C4733E"/>
    <w:rsid w:val="00C473D4"/>
    <w:rsid w:val="00C47AE2"/>
    <w:rsid w:val="00C47D0C"/>
    <w:rsid w:val="00C5007A"/>
    <w:rsid w:val="00C50091"/>
    <w:rsid w:val="00C50209"/>
    <w:rsid w:val="00C502CE"/>
    <w:rsid w:val="00C5035E"/>
    <w:rsid w:val="00C50575"/>
    <w:rsid w:val="00C50E29"/>
    <w:rsid w:val="00C51066"/>
    <w:rsid w:val="00C51339"/>
    <w:rsid w:val="00C51366"/>
    <w:rsid w:val="00C517D0"/>
    <w:rsid w:val="00C5186F"/>
    <w:rsid w:val="00C518E0"/>
    <w:rsid w:val="00C518E4"/>
    <w:rsid w:val="00C519F4"/>
    <w:rsid w:val="00C51B7F"/>
    <w:rsid w:val="00C51C11"/>
    <w:rsid w:val="00C51C66"/>
    <w:rsid w:val="00C52BA6"/>
    <w:rsid w:val="00C52C5E"/>
    <w:rsid w:val="00C5303D"/>
    <w:rsid w:val="00C530B0"/>
    <w:rsid w:val="00C53839"/>
    <w:rsid w:val="00C5393B"/>
    <w:rsid w:val="00C53998"/>
    <w:rsid w:val="00C53A0F"/>
    <w:rsid w:val="00C53A7C"/>
    <w:rsid w:val="00C540BF"/>
    <w:rsid w:val="00C54291"/>
    <w:rsid w:val="00C54355"/>
    <w:rsid w:val="00C546F1"/>
    <w:rsid w:val="00C547BC"/>
    <w:rsid w:val="00C549CD"/>
    <w:rsid w:val="00C549E5"/>
    <w:rsid w:val="00C54E75"/>
    <w:rsid w:val="00C55302"/>
    <w:rsid w:val="00C553DC"/>
    <w:rsid w:val="00C556C2"/>
    <w:rsid w:val="00C55B73"/>
    <w:rsid w:val="00C55C83"/>
    <w:rsid w:val="00C55D59"/>
    <w:rsid w:val="00C56117"/>
    <w:rsid w:val="00C5624A"/>
    <w:rsid w:val="00C56384"/>
    <w:rsid w:val="00C56597"/>
    <w:rsid w:val="00C56826"/>
    <w:rsid w:val="00C56BA4"/>
    <w:rsid w:val="00C56E82"/>
    <w:rsid w:val="00C5743C"/>
    <w:rsid w:val="00C57539"/>
    <w:rsid w:val="00C57A20"/>
    <w:rsid w:val="00C57D1F"/>
    <w:rsid w:val="00C57FAC"/>
    <w:rsid w:val="00C60166"/>
    <w:rsid w:val="00C60477"/>
    <w:rsid w:val="00C60577"/>
    <w:rsid w:val="00C60587"/>
    <w:rsid w:val="00C606EC"/>
    <w:rsid w:val="00C60C8E"/>
    <w:rsid w:val="00C610F6"/>
    <w:rsid w:val="00C613C2"/>
    <w:rsid w:val="00C615D0"/>
    <w:rsid w:val="00C61627"/>
    <w:rsid w:val="00C6164C"/>
    <w:rsid w:val="00C61AD1"/>
    <w:rsid w:val="00C61C73"/>
    <w:rsid w:val="00C61DC2"/>
    <w:rsid w:val="00C61E0E"/>
    <w:rsid w:val="00C61E34"/>
    <w:rsid w:val="00C62039"/>
    <w:rsid w:val="00C627C0"/>
    <w:rsid w:val="00C62C93"/>
    <w:rsid w:val="00C62F2C"/>
    <w:rsid w:val="00C62F9F"/>
    <w:rsid w:val="00C630BC"/>
    <w:rsid w:val="00C6320D"/>
    <w:rsid w:val="00C6375D"/>
    <w:rsid w:val="00C6377C"/>
    <w:rsid w:val="00C63A29"/>
    <w:rsid w:val="00C63A44"/>
    <w:rsid w:val="00C641D5"/>
    <w:rsid w:val="00C64B55"/>
    <w:rsid w:val="00C64C37"/>
    <w:rsid w:val="00C64CE3"/>
    <w:rsid w:val="00C64DEC"/>
    <w:rsid w:val="00C64EE2"/>
    <w:rsid w:val="00C651BD"/>
    <w:rsid w:val="00C65245"/>
    <w:rsid w:val="00C6561F"/>
    <w:rsid w:val="00C65620"/>
    <w:rsid w:val="00C656C8"/>
    <w:rsid w:val="00C65F21"/>
    <w:rsid w:val="00C660C4"/>
    <w:rsid w:val="00C66662"/>
    <w:rsid w:val="00C66E1A"/>
    <w:rsid w:val="00C66EFE"/>
    <w:rsid w:val="00C67199"/>
    <w:rsid w:val="00C67743"/>
    <w:rsid w:val="00C67849"/>
    <w:rsid w:val="00C67A50"/>
    <w:rsid w:val="00C67D2A"/>
    <w:rsid w:val="00C67DE7"/>
    <w:rsid w:val="00C70251"/>
    <w:rsid w:val="00C7031B"/>
    <w:rsid w:val="00C70440"/>
    <w:rsid w:val="00C70586"/>
    <w:rsid w:val="00C7065C"/>
    <w:rsid w:val="00C70BAD"/>
    <w:rsid w:val="00C70DE7"/>
    <w:rsid w:val="00C70E0E"/>
    <w:rsid w:val="00C71011"/>
    <w:rsid w:val="00C71073"/>
    <w:rsid w:val="00C71080"/>
    <w:rsid w:val="00C711C7"/>
    <w:rsid w:val="00C71413"/>
    <w:rsid w:val="00C71427"/>
    <w:rsid w:val="00C71904"/>
    <w:rsid w:val="00C71E89"/>
    <w:rsid w:val="00C720F7"/>
    <w:rsid w:val="00C7279E"/>
    <w:rsid w:val="00C72833"/>
    <w:rsid w:val="00C72E0B"/>
    <w:rsid w:val="00C72E5A"/>
    <w:rsid w:val="00C735AB"/>
    <w:rsid w:val="00C73A01"/>
    <w:rsid w:val="00C73B05"/>
    <w:rsid w:val="00C73BC3"/>
    <w:rsid w:val="00C73D57"/>
    <w:rsid w:val="00C73F0C"/>
    <w:rsid w:val="00C74431"/>
    <w:rsid w:val="00C746DD"/>
    <w:rsid w:val="00C74DFA"/>
    <w:rsid w:val="00C75064"/>
    <w:rsid w:val="00C75279"/>
    <w:rsid w:val="00C75630"/>
    <w:rsid w:val="00C758D6"/>
    <w:rsid w:val="00C75DF0"/>
    <w:rsid w:val="00C75E90"/>
    <w:rsid w:val="00C7648F"/>
    <w:rsid w:val="00C76BFF"/>
    <w:rsid w:val="00C772EE"/>
    <w:rsid w:val="00C77315"/>
    <w:rsid w:val="00C774FA"/>
    <w:rsid w:val="00C77DC6"/>
    <w:rsid w:val="00C80474"/>
    <w:rsid w:val="00C805F9"/>
    <w:rsid w:val="00C80B95"/>
    <w:rsid w:val="00C80BC5"/>
    <w:rsid w:val="00C80DCF"/>
    <w:rsid w:val="00C80E4C"/>
    <w:rsid w:val="00C811B1"/>
    <w:rsid w:val="00C81213"/>
    <w:rsid w:val="00C8150E"/>
    <w:rsid w:val="00C817CB"/>
    <w:rsid w:val="00C81849"/>
    <w:rsid w:val="00C81A6A"/>
    <w:rsid w:val="00C81CA1"/>
    <w:rsid w:val="00C81D4B"/>
    <w:rsid w:val="00C81DAB"/>
    <w:rsid w:val="00C81DE0"/>
    <w:rsid w:val="00C8202D"/>
    <w:rsid w:val="00C821B4"/>
    <w:rsid w:val="00C8230A"/>
    <w:rsid w:val="00C82573"/>
    <w:rsid w:val="00C82595"/>
    <w:rsid w:val="00C82687"/>
    <w:rsid w:val="00C82A55"/>
    <w:rsid w:val="00C82D8B"/>
    <w:rsid w:val="00C82DA5"/>
    <w:rsid w:val="00C8341A"/>
    <w:rsid w:val="00C834D8"/>
    <w:rsid w:val="00C83A56"/>
    <w:rsid w:val="00C83CBB"/>
    <w:rsid w:val="00C83EC2"/>
    <w:rsid w:val="00C844F6"/>
    <w:rsid w:val="00C85271"/>
    <w:rsid w:val="00C8540E"/>
    <w:rsid w:val="00C85BDB"/>
    <w:rsid w:val="00C85C86"/>
    <w:rsid w:val="00C86080"/>
    <w:rsid w:val="00C86126"/>
    <w:rsid w:val="00C866AC"/>
    <w:rsid w:val="00C8673D"/>
    <w:rsid w:val="00C86A81"/>
    <w:rsid w:val="00C86FEE"/>
    <w:rsid w:val="00C87090"/>
    <w:rsid w:val="00C87155"/>
    <w:rsid w:val="00C8718B"/>
    <w:rsid w:val="00C871E2"/>
    <w:rsid w:val="00C87256"/>
    <w:rsid w:val="00C8745F"/>
    <w:rsid w:val="00C879F0"/>
    <w:rsid w:val="00C87B0A"/>
    <w:rsid w:val="00C87CA9"/>
    <w:rsid w:val="00C87F19"/>
    <w:rsid w:val="00C87F35"/>
    <w:rsid w:val="00C901BE"/>
    <w:rsid w:val="00C903F1"/>
    <w:rsid w:val="00C907DE"/>
    <w:rsid w:val="00C90B7E"/>
    <w:rsid w:val="00C90FDF"/>
    <w:rsid w:val="00C915E1"/>
    <w:rsid w:val="00C91ACB"/>
    <w:rsid w:val="00C91B38"/>
    <w:rsid w:val="00C91C96"/>
    <w:rsid w:val="00C91EBC"/>
    <w:rsid w:val="00C923CC"/>
    <w:rsid w:val="00C927B2"/>
    <w:rsid w:val="00C92C8E"/>
    <w:rsid w:val="00C93177"/>
    <w:rsid w:val="00C932A7"/>
    <w:rsid w:val="00C93414"/>
    <w:rsid w:val="00C9341E"/>
    <w:rsid w:val="00C934F9"/>
    <w:rsid w:val="00C93572"/>
    <w:rsid w:val="00C935D5"/>
    <w:rsid w:val="00C93AC6"/>
    <w:rsid w:val="00C940C1"/>
    <w:rsid w:val="00C94671"/>
    <w:rsid w:val="00C94AEB"/>
    <w:rsid w:val="00C94CAD"/>
    <w:rsid w:val="00C94DA0"/>
    <w:rsid w:val="00C95283"/>
    <w:rsid w:val="00C954A3"/>
    <w:rsid w:val="00C95732"/>
    <w:rsid w:val="00C95C54"/>
    <w:rsid w:val="00C95CEA"/>
    <w:rsid w:val="00C95EFB"/>
    <w:rsid w:val="00C963EF"/>
    <w:rsid w:val="00C967A9"/>
    <w:rsid w:val="00C96B68"/>
    <w:rsid w:val="00C97054"/>
    <w:rsid w:val="00C970E2"/>
    <w:rsid w:val="00C97703"/>
    <w:rsid w:val="00C977AD"/>
    <w:rsid w:val="00C97B7E"/>
    <w:rsid w:val="00C97DA5"/>
    <w:rsid w:val="00C97FDF"/>
    <w:rsid w:val="00CA04C3"/>
    <w:rsid w:val="00CA075D"/>
    <w:rsid w:val="00CA09BF"/>
    <w:rsid w:val="00CA0A4A"/>
    <w:rsid w:val="00CA0B69"/>
    <w:rsid w:val="00CA0C94"/>
    <w:rsid w:val="00CA0D7F"/>
    <w:rsid w:val="00CA0E5A"/>
    <w:rsid w:val="00CA0F02"/>
    <w:rsid w:val="00CA0FB1"/>
    <w:rsid w:val="00CA1061"/>
    <w:rsid w:val="00CA10E1"/>
    <w:rsid w:val="00CA151C"/>
    <w:rsid w:val="00CA16A3"/>
    <w:rsid w:val="00CA16B7"/>
    <w:rsid w:val="00CA1C58"/>
    <w:rsid w:val="00CA22DE"/>
    <w:rsid w:val="00CA25E3"/>
    <w:rsid w:val="00CA2656"/>
    <w:rsid w:val="00CA28FE"/>
    <w:rsid w:val="00CA3C94"/>
    <w:rsid w:val="00CA3CDB"/>
    <w:rsid w:val="00CA4352"/>
    <w:rsid w:val="00CA4EB6"/>
    <w:rsid w:val="00CA5260"/>
    <w:rsid w:val="00CA5282"/>
    <w:rsid w:val="00CA5329"/>
    <w:rsid w:val="00CA540E"/>
    <w:rsid w:val="00CA543F"/>
    <w:rsid w:val="00CA5579"/>
    <w:rsid w:val="00CA5608"/>
    <w:rsid w:val="00CA5C01"/>
    <w:rsid w:val="00CA606D"/>
    <w:rsid w:val="00CA6398"/>
    <w:rsid w:val="00CA6432"/>
    <w:rsid w:val="00CA69E7"/>
    <w:rsid w:val="00CA6EB9"/>
    <w:rsid w:val="00CA727D"/>
    <w:rsid w:val="00CA733B"/>
    <w:rsid w:val="00CA73A5"/>
    <w:rsid w:val="00CA7427"/>
    <w:rsid w:val="00CA74C6"/>
    <w:rsid w:val="00CB07A0"/>
    <w:rsid w:val="00CB0894"/>
    <w:rsid w:val="00CB09CC"/>
    <w:rsid w:val="00CB0FE7"/>
    <w:rsid w:val="00CB1125"/>
    <w:rsid w:val="00CB1674"/>
    <w:rsid w:val="00CB16A9"/>
    <w:rsid w:val="00CB16B4"/>
    <w:rsid w:val="00CB1B64"/>
    <w:rsid w:val="00CB1C74"/>
    <w:rsid w:val="00CB24C8"/>
    <w:rsid w:val="00CB272A"/>
    <w:rsid w:val="00CB29EF"/>
    <w:rsid w:val="00CB2C78"/>
    <w:rsid w:val="00CB2CCC"/>
    <w:rsid w:val="00CB2DD6"/>
    <w:rsid w:val="00CB33FD"/>
    <w:rsid w:val="00CB3431"/>
    <w:rsid w:val="00CB3441"/>
    <w:rsid w:val="00CB3AE0"/>
    <w:rsid w:val="00CB3D7C"/>
    <w:rsid w:val="00CB3FF4"/>
    <w:rsid w:val="00CB425E"/>
    <w:rsid w:val="00CB478A"/>
    <w:rsid w:val="00CB4A7C"/>
    <w:rsid w:val="00CB508A"/>
    <w:rsid w:val="00CB53AD"/>
    <w:rsid w:val="00CB5416"/>
    <w:rsid w:val="00CB548D"/>
    <w:rsid w:val="00CB56AC"/>
    <w:rsid w:val="00CB583D"/>
    <w:rsid w:val="00CB5B0B"/>
    <w:rsid w:val="00CB5C60"/>
    <w:rsid w:val="00CB5DF3"/>
    <w:rsid w:val="00CB5E3E"/>
    <w:rsid w:val="00CB5E4F"/>
    <w:rsid w:val="00CB628F"/>
    <w:rsid w:val="00CB64A8"/>
    <w:rsid w:val="00CB6888"/>
    <w:rsid w:val="00CB6E90"/>
    <w:rsid w:val="00CB71C8"/>
    <w:rsid w:val="00CB74A7"/>
    <w:rsid w:val="00CB776B"/>
    <w:rsid w:val="00CB784F"/>
    <w:rsid w:val="00CB78C9"/>
    <w:rsid w:val="00CB78EC"/>
    <w:rsid w:val="00CB79B1"/>
    <w:rsid w:val="00CB7BBF"/>
    <w:rsid w:val="00CC010C"/>
    <w:rsid w:val="00CC0229"/>
    <w:rsid w:val="00CC02DA"/>
    <w:rsid w:val="00CC0395"/>
    <w:rsid w:val="00CC1005"/>
    <w:rsid w:val="00CC1073"/>
    <w:rsid w:val="00CC112F"/>
    <w:rsid w:val="00CC1BA1"/>
    <w:rsid w:val="00CC1D85"/>
    <w:rsid w:val="00CC1EC7"/>
    <w:rsid w:val="00CC1ED4"/>
    <w:rsid w:val="00CC1F9C"/>
    <w:rsid w:val="00CC2008"/>
    <w:rsid w:val="00CC20F2"/>
    <w:rsid w:val="00CC230D"/>
    <w:rsid w:val="00CC251D"/>
    <w:rsid w:val="00CC2CF5"/>
    <w:rsid w:val="00CC2DF6"/>
    <w:rsid w:val="00CC3273"/>
    <w:rsid w:val="00CC34EE"/>
    <w:rsid w:val="00CC363C"/>
    <w:rsid w:val="00CC3774"/>
    <w:rsid w:val="00CC3952"/>
    <w:rsid w:val="00CC3B2A"/>
    <w:rsid w:val="00CC3C12"/>
    <w:rsid w:val="00CC3C93"/>
    <w:rsid w:val="00CC416F"/>
    <w:rsid w:val="00CC43CF"/>
    <w:rsid w:val="00CC44A2"/>
    <w:rsid w:val="00CC4CBF"/>
    <w:rsid w:val="00CC4CD3"/>
    <w:rsid w:val="00CC4FAE"/>
    <w:rsid w:val="00CC51C3"/>
    <w:rsid w:val="00CC5273"/>
    <w:rsid w:val="00CC535A"/>
    <w:rsid w:val="00CC5837"/>
    <w:rsid w:val="00CC589F"/>
    <w:rsid w:val="00CC5D28"/>
    <w:rsid w:val="00CC5F09"/>
    <w:rsid w:val="00CC62AF"/>
    <w:rsid w:val="00CC639A"/>
    <w:rsid w:val="00CC65E2"/>
    <w:rsid w:val="00CC6935"/>
    <w:rsid w:val="00CC6A46"/>
    <w:rsid w:val="00CC6E04"/>
    <w:rsid w:val="00CC6FFE"/>
    <w:rsid w:val="00CC7032"/>
    <w:rsid w:val="00CC714F"/>
    <w:rsid w:val="00CC71CF"/>
    <w:rsid w:val="00CC75A9"/>
    <w:rsid w:val="00CC7612"/>
    <w:rsid w:val="00CC77A0"/>
    <w:rsid w:val="00CC77E3"/>
    <w:rsid w:val="00CC7B01"/>
    <w:rsid w:val="00CC7B3F"/>
    <w:rsid w:val="00CD02AB"/>
    <w:rsid w:val="00CD0B64"/>
    <w:rsid w:val="00CD0EB2"/>
    <w:rsid w:val="00CD0F4F"/>
    <w:rsid w:val="00CD10FD"/>
    <w:rsid w:val="00CD1425"/>
    <w:rsid w:val="00CD17E9"/>
    <w:rsid w:val="00CD1813"/>
    <w:rsid w:val="00CD1D67"/>
    <w:rsid w:val="00CD21C5"/>
    <w:rsid w:val="00CD2630"/>
    <w:rsid w:val="00CD26A8"/>
    <w:rsid w:val="00CD2C60"/>
    <w:rsid w:val="00CD3003"/>
    <w:rsid w:val="00CD306F"/>
    <w:rsid w:val="00CD34A5"/>
    <w:rsid w:val="00CD3591"/>
    <w:rsid w:val="00CD35B9"/>
    <w:rsid w:val="00CD3668"/>
    <w:rsid w:val="00CD3CDA"/>
    <w:rsid w:val="00CD4249"/>
    <w:rsid w:val="00CD430D"/>
    <w:rsid w:val="00CD4627"/>
    <w:rsid w:val="00CD4898"/>
    <w:rsid w:val="00CD4BA6"/>
    <w:rsid w:val="00CD4FD0"/>
    <w:rsid w:val="00CD52E1"/>
    <w:rsid w:val="00CD5AF4"/>
    <w:rsid w:val="00CD5BD2"/>
    <w:rsid w:val="00CD5C3D"/>
    <w:rsid w:val="00CD64D4"/>
    <w:rsid w:val="00CD6783"/>
    <w:rsid w:val="00CD6B16"/>
    <w:rsid w:val="00CD6CF0"/>
    <w:rsid w:val="00CD75D6"/>
    <w:rsid w:val="00CD7E3F"/>
    <w:rsid w:val="00CE02A6"/>
    <w:rsid w:val="00CE0358"/>
    <w:rsid w:val="00CE045E"/>
    <w:rsid w:val="00CE07CA"/>
    <w:rsid w:val="00CE0D23"/>
    <w:rsid w:val="00CE1445"/>
    <w:rsid w:val="00CE16BF"/>
    <w:rsid w:val="00CE1A8C"/>
    <w:rsid w:val="00CE1C1A"/>
    <w:rsid w:val="00CE1EA3"/>
    <w:rsid w:val="00CE1EE3"/>
    <w:rsid w:val="00CE1F87"/>
    <w:rsid w:val="00CE21A5"/>
    <w:rsid w:val="00CE24EF"/>
    <w:rsid w:val="00CE2EA4"/>
    <w:rsid w:val="00CE32B1"/>
    <w:rsid w:val="00CE361B"/>
    <w:rsid w:val="00CE3A73"/>
    <w:rsid w:val="00CE3C7C"/>
    <w:rsid w:val="00CE41A8"/>
    <w:rsid w:val="00CE44A2"/>
    <w:rsid w:val="00CE4708"/>
    <w:rsid w:val="00CE4952"/>
    <w:rsid w:val="00CE52E7"/>
    <w:rsid w:val="00CE55ED"/>
    <w:rsid w:val="00CE57AF"/>
    <w:rsid w:val="00CE57BC"/>
    <w:rsid w:val="00CE5A27"/>
    <w:rsid w:val="00CE5BBD"/>
    <w:rsid w:val="00CE602B"/>
    <w:rsid w:val="00CE6547"/>
    <w:rsid w:val="00CE6707"/>
    <w:rsid w:val="00CE68C6"/>
    <w:rsid w:val="00CE6ACF"/>
    <w:rsid w:val="00CE6AF7"/>
    <w:rsid w:val="00CE6BDC"/>
    <w:rsid w:val="00CE6C36"/>
    <w:rsid w:val="00CE6E82"/>
    <w:rsid w:val="00CE73FF"/>
    <w:rsid w:val="00CE7832"/>
    <w:rsid w:val="00CE7E1C"/>
    <w:rsid w:val="00CF00BC"/>
    <w:rsid w:val="00CF015C"/>
    <w:rsid w:val="00CF0499"/>
    <w:rsid w:val="00CF0969"/>
    <w:rsid w:val="00CF0B91"/>
    <w:rsid w:val="00CF10B7"/>
    <w:rsid w:val="00CF11F4"/>
    <w:rsid w:val="00CF131B"/>
    <w:rsid w:val="00CF1724"/>
    <w:rsid w:val="00CF1F35"/>
    <w:rsid w:val="00CF22A2"/>
    <w:rsid w:val="00CF2334"/>
    <w:rsid w:val="00CF23CF"/>
    <w:rsid w:val="00CF26C0"/>
    <w:rsid w:val="00CF2BB9"/>
    <w:rsid w:val="00CF2C05"/>
    <w:rsid w:val="00CF2D5A"/>
    <w:rsid w:val="00CF2E94"/>
    <w:rsid w:val="00CF2EED"/>
    <w:rsid w:val="00CF2EF8"/>
    <w:rsid w:val="00CF2F7D"/>
    <w:rsid w:val="00CF30B2"/>
    <w:rsid w:val="00CF31B0"/>
    <w:rsid w:val="00CF37B7"/>
    <w:rsid w:val="00CF3DDB"/>
    <w:rsid w:val="00CF403B"/>
    <w:rsid w:val="00CF41C6"/>
    <w:rsid w:val="00CF42A2"/>
    <w:rsid w:val="00CF4470"/>
    <w:rsid w:val="00CF4A57"/>
    <w:rsid w:val="00CF4A83"/>
    <w:rsid w:val="00CF4A85"/>
    <w:rsid w:val="00CF4D4B"/>
    <w:rsid w:val="00CF4E8D"/>
    <w:rsid w:val="00CF5C6E"/>
    <w:rsid w:val="00CF5F8A"/>
    <w:rsid w:val="00CF5FDE"/>
    <w:rsid w:val="00CF65B3"/>
    <w:rsid w:val="00CF66F8"/>
    <w:rsid w:val="00CF701D"/>
    <w:rsid w:val="00CF720B"/>
    <w:rsid w:val="00CF74D8"/>
    <w:rsid w:val="00CF759E"/>
    <w:rsid w:val="00CF7824"/>
    <w:rsid w:val="00CF7B6D"/>
    <w:rsid w:val="00CF7C08"/>
    <w:rsid w:val="00CF7CD3"/>
    <w:rsid w:val="00CF7E5C"/>
    <w:rsid w:val="00CF7F65"/>
    <w:rsid w:val="00D001C5"/>
    <w:rsid w:val="00D00363"/>
    <w:rsid w:val="00D005C1"/>
    <w:rsid w:val="00D006C7"/>
    <w:rsid w:val="00D00994"/>
    <w:rsid w:val="00D00ABF"/>
    <w:rsid w:val="00D00C27"/>
    <w:rsid w:val="00D010F4"/>
    <w:rsid w:val="00D011D6"/>
    <w:rsid w:val="00D01213"/>
    <w:rsid w:val="00D01340"/>
    <w:rsid w:val="00D018A1"/>
    <w:rsid w:val="00D0192D"/>
    <w:rsid w:val="00D01BC9"/>
    <w:rsid w:val="00D01C7E"/>
    <w:rsid w:val="00D01C88"/>
    <w:rsid w:val="00D01D80"/>
    <w:rsid w:val="00D01F17"/>
    <w:rsid w:val="00D0255C"/>
    <w:rsid w:val="00D02ED0"/>
    <w:rsid w:val="00D030CF"/>
    <w:rsid w:val="00D03537"/>
    <w:rsid w:val="00D03595"/>
    <w:rsid w:val="00D03838"/>
    <w:rsid w:val="00D03C33"/>
    <w:rsid w:val="00D03DF1"/>
    <w:rsid w:val="00D03EA8"/>
    <w:rsid w:val="00D04255"/>
    <w:rsid w:val="00D0455B"/>
    <w:rsid w:val="00D047A4"/>
    <w:rsid w:val="00D04A43"/>
    <w:rsid w:val="00D04BF2"/>
    <w:rsid w:val="00D04D4E"/>
    <w:rsid w:val="00D04D96"/>
    <w:rsid w:val="00D04ED3"/>
    <w:rsid w:val="00D04EE4"/>
    <w:rsid w:val="00D0509C"/>
    <w:rsid w:val="00D05FCC"/>
    <w:rsid w:val="00D068B3"/>
    <w:rsid w:val="00D06C99"/>
    <w:rsid w:val="00D06D49"/>
    <w:rsid w:val="00D06EC5"/>
    <w:rsid w:val="00D0702B"/>
    <w:rsid w:val="00D07245"/>
    <w:rsid w:val="00D072BA"/>
    <w:rsid w:val="00D07358"/>
    <w:rsid w:val="00D073A5"/>
    <w:rsid w:val="00D07534"/>
    <w:rsid w:val="00D07BA9"/>
    <w:rsid w:val="00D07CE3"/>
    <w:rsid w:val="00D1000A"/>
    <w:rsid w:val="00D100BD"/>
    <w:rsid w:val="00D1089C"/>
    <w:rsid w:val="00D108FA"/>
    <w:rsid w:val="00D10CB3"/>
    <w:rsid w:val="00D110A4"/>
    <w:rsid w:val="00D11122"/>
    <w:rsid w:val="00D11224"/>
    <w:rsid w:val="00D11486"/>
    <w:rsid w:val="00D11492"/>
    <w:rsid w:val="00D116EA"/>
    <w:rsid w:val="00D11CD3"/>
    <w:rsid w:val="00D11ED4"/>
    <w:rsid w:val="00D11F8E"/>
    <w:rsid w:val="00D120F9"/>
    <w:rsid w:val="00D12132"/>
    <w:rsid w:val="00D123B2"/>
    <w:rsid w:val="00D12569"/>
    <w:rsid w:val="00D127A7"/>
    <w:rsid w:val="00D1281A"/>
    <w:rsid w:val="00D131D2"/>
    <w:rsid w:val="00D139BA"/>
    <w:rsid w:val="00D13EC2"/>
    <w:rsid w:val="00D13FB1"/>
    <w:rsid w:val="00D141C7"/>
    <w:rsid w:val="00D142CB"/>
    <w:rsid w:val="00D144F3"/>
    <w:rsid w:val="00D1462B"/>
    <w:rsid w:val="00D146FA"/>
    <w:rsid w:val="00D14731"/>
    <w:rsid w:val="00D149FC"/>
    <w:rsid w:val="00D14BA9"/>
    <w:rsid w:val="00D14D34"/>
    <w:rsid w:val="00D14D77"/>
    <w:rsid w:val="00D14FA3"/>
    <w:rsid w:val="00D14FF7"/>
    <w:rsid w:val="00D14FFD"/>
    <w:rsid w:val="00D15012"/>
    <w:rsid w:val="00D1505E"/>
    <w:rsid w:val="00D15622"/>
    <w:rsid w:val="00D156E6"/>
    <w:rsid w:val="00D15A12"/>
    <w:rsid w:val="00D15F76"/>
    <w:rsid w:val="00D1612B"/>
    <w:rsid w:val="00D16950"/>
    <w:rsid w:val="00D1699D"/>
    <w:rsid w:val="00D16E42"/>
    <w:rsid w:val="00D16F46"/>
    <w:rsid w:val="00D172A5"/>
    <w:rsid w:val="00D1738F"/>
    <w:rsid w:val="00D175E3"/>
    <w:rsid w:val="00D17812"/>
    <w:rsid w:val="00D17A70"/>
    <w:rsid w:val="00D17A8B"/>
    <w:rsid w:val="00D17C28"/>
    <w:rsid w:val="00D17C5F"/>
    <w:rsid w:val="00D17CB3"/>
    <w:rsid w:val="00D17E56"/>
    <w:rsid w:val="00D17FBC"/>
    <w:rsid w:val="00D202C0"/>
    <w:rsid w:val="00D202CC"/>
    <w:rsid w:val="00D203E7"/>
    <w:rsid w:val="00D20803"/>
    <w:rsid w:val="00D20BC7"/>
    <w:rsid w:val="00D20CAD"/>
    <w:rsid w:val="00D20D06"/>
    <w:rsid w:val="00D20EF8"/>
    <w:rsid w:val="00D210C4"/>
    <w:rsid w:val="00D21191"/>
    <w:rsid w:val="00D21330"/>
    <w:rsid w:val="00D21C24"/>
    <w:rsid w:val="00D2202A"/>
    <w:rsid w:val="00D22086"/>
    <w:rsid w:val="00D2213B"/>
    <w:rsid w:val="00D2213C"/>
    <w:rsid w:val="00D2233B"/>
    <w:rsid w:val="00D22902"/>
    <w:rsid w:val="00D22BD6"/>
    <w:rsid w:val="00D230BB"/>
    <w:rsid w:val="00D23398"/>
    <w:rsid w:val="00D23604"/>
    <w:rsid w:val="00D23656"/>
    <w:rsid w:val="00D2387E"/>
    <w:rsid w:val="00D23FD7"/>
    <w:rsid w:val="00D24034"/>
    <w:rsid w:val="00D243F3"/>
    <w:rsid w:val="00D24444"/>
    <w:rsid w:val="00D246BE"/>
    <w:rsid w:val="00D248FA"/>
    <w:rsid w:val="00D24DD2"/>
    <w:rsid w:val="00D24F52"/>
    <w:rsid w:val="00D24FFE"/>
    <w:rsid w:val="00D25194"/>
    <w:rsid w:val="00D253F2"/>
    <w:rsid w:val="00D25A5B"/>
    <w:rsid w:val="00D25CFB"/>
    <w:rsid w:val="00D25E61"/>
    <w:rsid w:val="00D25F81"/>
    <w:rsid w:val="00D26242"/>
    <w:rsid w:val="00D2638B"/>
    <w:rsid w:val="00D26755"/>
    <w:rsid w:val="00D268F9"/>
    <w:rsid w:val="00D26947"/>
    <w:rsid w:val="00D26C25"/>
    <w:rsid w:val="00D26D3A"/>
    <w:rsid w:val="00D26D44"/>
    <w:rsid w:val="00D26EB1"/>
    <w:rsid w:val="00D26F48"/>
    <w:rsid w:val="00D27457"/>
    <w:rsid w:val="00D27976"/>
    <w:rsid w:val="00D279DA"/>
    <w:rsid w:val="00D27CBE"/>
    <w:rsid w:val="00D27DFF"/>
    <w:rsid w:val="00D30251"/>
    <w:rsid w:val="00D3027A"/>
    <w:rsid w:val="00D302C4"/>
    <w:rsid w:val="00D3040C"/>
    <w:rsid w:val="00D304AD"/>
    <w:rsid w:val="00D30893"/>
    <w:rsid w:val="00D30CAC"/>
    <w:rsid w:val="00D30CC0"/>
    <w:rsid w:val="00D314B1"/>
    <w:rsid w:val="00D3171E"/>
    <w:rsid w:val="00D31A5F"/>
    <w:rsid w:val="00D31CDA"/>
    <w:rsid w:val="00D31EC5"/>
    <w:rsid w:val="00D3237F"/>
    <w:rsid w:val="00D3239C"/>
    <w:rsid w:val="00D32410"/>
    <w:rsid w:val="00D32413"/>
    <w:rsid w:val="00D32FF3"/>
    <w:rsid w:val="00D33053"/>
    <w:rsid w:val="00D33175"/>
    <w:rsid w:val="00D336C4"/>
    <w:rsid w:val="00D33794"/>
    <w:rsid w:val="00D33BF0"/>
    <w:rsid w:val="00D33C40"/>
    <w:rsid w:val="00D33E55"/>
    <w:rsid w:val="00D34190"/>
    <w:rsid w:val="00D341A8"/>
    <w:rsid w:val="00D34265"/>
    <w:rsid w:val="00D34BEF"/>
    <w:rsid w:val="00D34C35"/>
    <w:rsid w:val="00D34E31"/>
    <w:rsid w:val="00D3513E"/>
    <w:rsid w:val="00D35342"/>
    <w:rsid w:val="00D3567C"/>
    <w:rsid w:val="00D35B5A"/>
    <w:rsid w:val="00D35BA6"/>
    <w:rsid w:val="00D35C8A"/>
    <w:rsid w:val="00D35D16"/>
    <w:rsid w:val="00D35EFD"/>
    <w:rsid w:val="00D360C7"/>
    <w:rsid w:val="00D3619A"/>
    <w:rsid w:val="00D36CE9"/>
    <w:rsid w:val="00D36D72"/>
    <w:rsid w:val="00D36EDF"/>
    <w:rsid w:val="00D374E3"/>
    <w:rsid w:val="00D37780"/>
    <w:rsid w:val="00D37808"/>
    <w:rsid w:val="00D37BAD"/>
    <w:rsid w:val="00D37C9F"/>
    <w:rsid w:val="00D37CEC"/>
    <w:rsid w:val="00D37D70"/>
    <w:rsid w:val="00D37D84"/>
    <w:rsid w:val="00D37F3F"/>
    <w:rsid w:val="00D40D2E"/>
    <w:rsid w:val="00D40E40"/>
    <w:rsid w:val="00D40F28"/>
    <w:rsid w:val="00D40F69"/>
    <w:rsid w:val="00D4101C"/>
    <w:rsid w:val="00D41459"/>
    <w:rsid w:val="00D416A5"/>
    <w:rsid w:val="00D419B8"/>
    <w:rsid w:val="00D41E4D"/>
    <w:rsid w:val="00D41F93"/>
    <w:rsid w:val="00D41FA0"/>
    <w:rsid w:val="00D41FE0"/>
    <w:rsid w:val="00D422C1"/>
    <w:rsid w:val="00D42423"/>
    <w:rsid w:val="00D426D5"/>
    <w:rsid w:val="00D4292E"/>
    <w:rsid w:val="00D42950"/>
    <w:rsid w:val="00D42957"/>
    <w:rsid w:val="00D42A33"/>
    <w:rsid w:val="00D4344D"/>
    <w:rsid w:val="00D435FB"/>
    <w:rsid w:val="00D43850"/>
    <w:rsid w:val="00D44078"/>
    <w:rsid w:val="00D44120"/>
    <w:rsid w:val="00D44609"/>
    <w:rsid w:val="00D449E5"/>
    <w:rsid w:val="00D44A76"/>
    <w:rsid w:val="00D44AEE"/>
    <w:rsid w:val="00D44BF0"/>
    <w:rsid w:val="00D44C0C"/>
    <w:rsid w:val="00D44D66"/>
    <w:rsid w:val="00D455C1"/>
    <w:rsid w:val="00D45774"/>
    <w:rsid w:val="00D4583C"/>
    <w:rsid w:val="00D45A74"/>
    <w:rsid w:val="00D45C3F"/>
    <w:rsid w:val="00D46376"/>
    <w:rsid w:val="00D463A7"/>
    <w:rsid w:val="00D46838"/>
    <w:rsid w:val="00D46F6D"/>
    <w:rsid w:val="00D473BF"/>
    <w:rsid w:val="00D4745B"/>
    <w:rsid w:val="00D47669"/>
    <w:rsid w:val="00D47974"/>
    <w:rsid w:val="00D47A5C"/>
    <w:rsid w:val="00D47A6B"/>
    <w:rsid w:val="00D500B6"/>
    <w:rsid w:val="00D50176"/>
    <w:rsid w:val="00D5032E"/>
    <w:rsid w:val="00D50419"/>
    <w:rsid w:val="00D504A8"/>
    <w:rsid w:val="00D50724"/>
    <w:rsid w:val="00D50760"/>
    <w:rsid w:val="00D50BAE"/>
    <w:rsid w:val="00D50DEA"/>
    <w:rsid w:val="00D50E4E"/>
    <w:rsid w:val="00D50F81"/>
    <w:rsid w:val="00D5114F"/>
    <w:rsid w:val="00D5141E"/>
    <w:rsid w:val="00D515AC"/>
    <w:rsid w:val="00D51704"/>
    <w:rsid w:val="00D51DE1"/>
    <w:rsid w:val="00D526A6"/>
    <w:rsid w:val="00D52780"/>
    <w:rsid w:val="00D527E7"/>
    <w:rsid w:val="00D528BE"/>
    <w:rsid w:val="00D52914"/>
    <w:rsid w:val="00D52B1E"/>
    <w:rsid w:val="00D5301F"/>
    <w:rsid w:val="00D53061"/>
    <w:rsid w:val="00D53065"/>
    <w:rsid w:val="00D5319E"/>
    <w:rsid w:val="00D5372E"/>
    <w:rsid w:val="00D538FC"/>
    <w:rsid w:val="00D53A10"/>
    <w:rsid w:val="00D53B0B"/>
    <w:rsid w:val="00D53B12"/>
    <w:rsid w:val="00D53F5F"/>
    <w:rsid w:val="00D54001"/>
    <w:rsid w:val="00D541C2"/>
    <w:rsid w:val="00D544DA"/>
    <w:rsid w:val="00D548A2"/>
    <w:rsid w:val="00D54B37"/>
    <w:rsid w:val="00D553C9"/>
    <w:rsid w:val="00D5547E"/>
    <w:rsid w:val="00D55BC9"/>
    <w:rsid w:val="00D55C23"/>
    <w:rsid w:val="00D55E4E"/>
    <w:rsid w:val="00D5645E"/>
    <w:rsid w:val="00D564E1"/>
    <w:rsid w:val="00D565C2"/>
    <w:rsid w:val="00D56DF6"/>
    <w:rsid w:val="00D571D3"/>
    <w:rsid w:val="00D57509"/>
    <w:rsid w:val="00D576B7"/>
    <w:rsid w:val="00D578EF"/>
    <w:rsid w:val="00D57DE6"/>
    <w:rsid w:val="00D57DF3"/>
    <w:rsid w:val="00D6000F"/>
    <w:rsid w:val="00D6089F"/>
    <w:rsid w:val="00D608A1"/>
    <w:rsid w:val="00D60AF4"/>
    <w:rsid w:val="00D60BBF"/>
    <w:rsid w:val="00D611DF"/>
    <w:rsid w:val="00D61C49"/>
    <w:rsid w:val="00D61DEE"/>
    <w:rsid w:val="00D61E7F"/>
    <w:rsid w:val="00D6202A"/>
    <w:rsid w:val="00D6247F"/>
    <w:rsid w:val="00D62583"/>
    <w:rsid w:val="00D625A4"/>
    <w:rsid w:val="00D629A2"/>
    <w:rsid w:val="00D62D23"/>
    <w:rsid w:val="00D6304A"/>
    <w:rsid w:val="00D63063"/>
    <w:rsid w:val="00D63162"/>
    <w:rsid w:val="00D634CD"/>
    <w:rsid w:val="00D636EB"/>
    <w:rsid w:val="00D6453C"/>
    <w:rsid w:val="00D649A1"/>
    <w:rsid w:val="00D64E8C"/>
    <w:rsid w:val="00D64EA1"/>
    <w:rsid w:val="00D64FB6"/>
    <w:rsid w:val="00D65326"/>
    <w:rsid w:val="00D65366"/>
    <w:rsid w:val="00D65413"/>
    <w:rsid w:val="00D654E8"/>
    <w:rsid w:val="00D65928"/>
    <w:rsid w:val="00D65BC0"/>
    <w:rsid w:val="00D65D3B"/>
    <w:rsid w:val="00D65E91"/>
    <w:rsid w:val="00D66027"/>
    <w:rsid w:val="00D66139"/>
    <w:rsid w:val="00D66447"/>
    <w:rsid w:val="00D6659C"/>
    <w:rsid w:val="00D6670B"/>
    <w:rsid w:val="00D66A84"/>
    <w:rsid w:val="00D673C7"/>
    <w:rsid w:val="00D675DB"/>
    <w:rsid w:val="00D67618"/>
    <w:rsid w:val="00D6793B"/>
    <w:rsid w:val="00D67C54"/>
    <w:rsid w:val="00D67E3A"/>
    <w:rsid w:val="00D701CD"/>
    <w:rsid w:val="00D701EE"/>
    <w:rsid w:val="00D702F9"/>
    <w:rsid w:val="00D703C5"/>
    <w:rsid w:val="00D70473"/>
    <w:rsid w:val="00D70D0F"/>
    <w:rsid w:val="00D70D43"/>
    <w:rsid w:val="00D7126D"/>
    <w:rsid w:val="00D716B3"/>
    <w:rsid w:val="00D71EA2"/>
    <w:rsid w:val="00D724F8"/>
    <w:rsid w:val="00D72573"/>
    <w:rsid w:val="00D72720"/>
    <w:rsid w:val="00D7297D"/>
    <w:rsid w:val="00D72CBF"/>
    <w:rsid w:val="00D72CCA"/>
    <w:rsid w:val="00D72E5F"/>
    <w:rsid w:val="00D72EBC"/>
    <w:rsid w:val="00D7312A"/>
    <w:rsid w:val="00D734CB"/>
    <w:rsid w:val="00D73587"/>
    <w:rsid w:val="00D73D82"/>
    <w:rsid w:val="00D740A3"/>
    <w:rsid w:val="00D74132"/>
    <w:rsid w:val="00D742C8"/>
    <w:rsid w:val="00D743D7"/>
    <w:rsid w:val="00D7455D"/>
    <w:rsid w:val="00D74659"/>
    <w:rsid w:val="00D7496A"/>
    <w:rsid w:val="00D74F0A"/>
    <w:rsid w:val="00D75033"/>
    <w:rsid w:val="00D75527"/>
    <w:rsid w:val="00D758EF"/>
    <w:rsid w:val="00D75AD2"/>
    <w:rsid w:val="00D75ECB"/>
    <w:rsid w:val="00D760F6"/>
    <w:rsid w:val="00D76515"/>
    <w:rsid w:val="00D77711"/>
    <w:rsid w:val="00D77B60"/>
    <w:rsid w:val="00D77D9A"/>
    <w:rsid w:val="00D80037"/>
    <w:rsid w:val="00D808B3"/>
    <w:rsid w:val="00D80F06"/>
    <w:rsid w:val="00D81036"/>
    <w:rsid w:val="00D81446"/>
    <w:rsid w:val="00D815D1"/>
    <w:rsid w:val="00D81A98"/>
    <w:rsid w:val="00D81AB2"/>
    <w:rsid w:val="00D81DC1"/>
    <w:rsid w:val="00D81DF3"/>
    <w:rsid w:val="00D81F45"/>
    <w:rsid w:val="00D8209B"/>
    <w:rsid w:val="00D8219D"/>
    <w:rsid w:val="00D82335"/>
    <w:rsid w:val="00D825EF"/>
    <w:rsid w:val="00D83168"/>
    <w:rsid w:val="00D83893"/>
    <w:rsid w:val="00D84102"/>
    <w:rsid w:val="00D84488"/>
    <w:rsid w:val="00D844CE"/>
    <w:rsid w:val="00D84539"/>
    <w:rsid w:val="00D84787"/>
    <w:rsid w:val="00D84E4C"/>
    <w:rsid w:val="00D84ECB"/>
    <w:rsid w:val="00D84F0C"/>
    <w:rsid w:val="00D85143"/>
    <w:rsid w:val="00D85454"/>
    <w:rsid w:val="00D854BD"/>
    <w:rsid w:val="00D855DB"/>
    <w:rsid w:val="00D857D9"/>
    <w:rsid w:val="00D85817"/>
    <w:rsid w:val="00D8583B"/>
    <w:rsid w:val="00D85977"/>
    <w:rsid w:val="00D85B51"/>
    <w:rsid w:val="00D85DF1"/>
    <w:rsid w:val="00D85ED7"/>
    <w:rsid w:val="00D860F5"/>
    <w:rsid w:val="00D86259"/>
    <w:rsid w:val="00D865A5"/>
    <w:rsid w:val="00D86A62"/>
    <w:rsid w:val="00D86A8A"/>
    <w:rsid w:val="00D86B23"/>
    <w:rsid w:val="00D86E38"/>
    <w:rsid w:val="00D873B2"/>
    <w:rsid w:val="00D8752A"/>
    <w:rsid w:val="00D875E9"/>
    <w:rsid w:val="00D876E5"/>
    <w:rsid w:val="00D877DB"/>
    <w:rsid w:val="00D87889"/>
    <w:rsid w:val="00D879D2"/>
    <w:rsid w:val="00D87A09"/>
    <w:rsid w:val="00D87A0D"/>
    <w:rsid w:val="00D87A55"/>
    <w:rsid w:val="00D87EAE"/>
    <w:rsid w:val="00D87F47"/>
    <w:rsid w:val="00D903EE"/>
    <w:rsid w:val="00D90768"/>
    <w:rsid w:val="00D90E3D"/>
    <w:rsid w:val="00D90F44"/>
    <w:rsid w:val="00D910A1"/>
    <w:rsid w:val="00D91219"/>
    <w:rsid w:val="00D91566"/>
    <w:rsid w:val="00D91775"/>
    <w:rsid w:val="00D9199F"/>
    <w:rsid w:val="00D91A57"/>
    <w:rsid w:val="00D91B00"/>
    <w:rsid w:val="00D91C64"/>
    <w:rsid w:val="00D92647"/>
    <w:rsid w:val="00D92776"/>
    <w:rsid w:val="00D92BE3"/>
    <w:rsid w:val="00D92F8F"/>
    <w:rsid w:val="00D930A5"/>
    <w:rsid w:val="00D932B2"/>
    <w:rsid w:val="00D93524"/>
    <w:rsid w:val="00D9368F"/>
    <w:rsid w:val="00D937A6"/>
    <w:rsid w:val="00D93F6C"/>
    <w:rsid w:val="00D941AA"/>
    <w:rsid w:val="00D944C7"/>
    <w:rsid w:val="00D9483A"/>
    <w:rsid w:val="00D95162"/>
    <w:rsid w:val="00D95181"/>
    <w:rsid w:val="00D95229"/>
    <w:rsid w:val="00D9578A"/>
    <w:rsid w:val="00D9585F"/>
    <w:rsid w:val="00D95F0D"/>
    <w:rsid w:val="00D9679B"/>
    <w:rsid w:val="00D96866"/>
    <w:rsid w:val="00D968EC"/>
    <w:rsid w:val="00D96A04"/>
    <w:rsid w:val="00D96A9A"/>
    <w:rsid w:val="00D96D71"/>
    <w:rsid w:val="00D979BD"/>
    <w:rsid w:val="00D97C74"/>
    <w:rsid w:val="00DA020A"/>
    <w:rsid w:val="00DA02B3"/>
    <w:rsid w:val="00DA03FD"/>
    <w:rsid w:val="00DA079A"/>
    <w:rsid w:val="00DA0A07"/>
    <w:rsid w:val="00DA0F07"/>
    <w:rsid w:val="00DA1187"/>
    <w:rsid w:val="00DA1279"/>
    <w:rsid w:val="00DA14EC"/>
    <w:rsid w:val="00DA1506"/>
    <w:rsid w:val="00DA1778"/>
    <w:rsid w:val="00DA1BBA"/>
    <w:rsid w:val="00DA1E92"/>
    <w:rsid w:val="00DA20D3"/>
    <w:rsid w:val="00DA21A5"/>
    <w:rsid w:val="00DA241E"/>
    <w:rsid w:val="00DA2526"/>
    <w:rsid w:val="00DA2589"/>
    <w:rsid w:val="00DA2E57"/>
    <w:rsid w:val="00DA2FE1"/>
    <w:rsid w:val="00DA33F6"/>
    <w:rsid w:val="00DA3633"/>
    <w:rsid w:val="00DA3C62"/>
    <w:rsid w:val="00DA410A"/>
    <w:rsid w:val="00DA4948"/>
    <w:rsid w:val="00DA4B14"/>
    <w:rsid w:val="00DA51CE"/>
    <w:rsid w:val="00DA53E6"/>
    <w:rsid w:val="00DA5DC9"/>
    <w:rsid w:val="00DA5E41"/>
    <w:rsid w:val="00DA5F10"/>
    <w:rsid w:val="00DA6543"/>
    <w:rsid w:val="00DA68C9"/>
    <w:rsid w:val="00DA6974"/>
    <w:rsid w:val="00DA6AD9"/>
    <w:rsid w:val="00DA6D9F"/>
    <w:rsid w:val="00DA6E8F"/>
    <w:rsid w:val="00DA6ECF"/>
    <w:rsid w:val="00DA6F64"/>
    <w:rsid w:val="00DA7129"/>
    <w:rsid w:val="00DA720D"/>
    <w:rsid w:val="00DA725D"/>
    <w:rsid w:val="00DA7294"/>
    <w:rsid w:val="00DA75E1"/>
    <w:rsid w:val="00DA76AA"/>
    <w:rsid w:val="00DA783C"/>
    <w:rsid w:val="00DA78DB"/>
    <w:rsid w:val="00DA78FD"/>
    <w:rsid w:val="00DA7E60"/>
    <w:rsid w:val="00DB014E"/>
    <w:rsid w:val="00DB028A"/>
    <w:rsid w:val="00DB0296"/>
    <w:rsid w:val="00DB03E3"/>
    <w:rsid w:val="00DB0427"/>
    <w:rsid w:val="00DB05CE"/>
    <w:rsid w:val="00DB06D7"/>
    <w:rsid w:val="00DB07DD"/>
    <w:rsid w:val="00DB0839"/>
    <w:rsid w:val="00DB0853"/>
    <w:rsid w:val="00DB0F81"/>
    <w:rsid w:val="00DB1055"/>
    <w:rsid w:val="00DB10BC"/>
    <w:rsid w:val="00DB1467"/>
    <w:rsid w:val="00DB148A"/>
    <w:rsid w:val="00DB156E"/>
    <w:rsid w:val="00DB176C"/>
    <w:rsid w:val="00DB195F"/>
    <w:rsid w:val="00DB1F77"/>
    <w:rsid w:val="00DB208F"/>
    <w:rsid w:val="00DB22B9"/>
    <w:rsid w:val="00DB266E"/>
    <w:rsid w:val="00DB281B"/>
    <w:rsid w:val="00DB2895"/>
    <w:rsid w:val="00DB318B"/>
    <w:rsid w:val="00DB34D6"/>
    <w:rsid w:val="00DB34D8"/>
    <w:rsid w:val="00DB3503"/>
    <w:rsid w:val="00DB360A"/>
    <w:rsid w:val="00DB361F"/>
    <w:rsid w:val="00DB385B"/>
    <w:rsid w:val="00DB38AB"/>
    <w:rsid w:val="00DB38AC"/>
    <w:rsid w:val="00DB3E3B"/>
    <w:rsid w:val="00DB41D7"/>
    <w:rsid w:val="00DB47AC"/>
    <w:rsid w:val="00DB4C5C"/>
    <w:rsid w:val="00DB5587"/>
    <w:rsid w:val="00DB55BD"/>
    <w:rsid w:val="00DB578B"/>
    <w:rsid w:val="00DB5867"/>
    <w:rsid w:val="00DB5A3F"/>
    <w:rsid w:val="00DB5ADB"/>
    <w:rsid w:val="00DB5B48"/>
    <w:rsid w:val="00DB5BCA"/>
    <w:rsid w:val="00DB5C61"/>
    <w:rsid w:val="00DB5CF6"/>
    <w:rsid w:val="00DB612E"/>
    <w:rsid w:val="00DB613A"/>
    <w:rsid w:val="00DB62DA"/>
    <w:rsid w:val="00DB6431"/>
    <w:rsid w:val="00DB6744"/>
    <w:rsid w:val="00DB69FF"/>
    <w:rsid w:val="00DB6AE5"/>
    <w:rsid w:val="00DB6FB6"/>
    <w:rsid w:val="00DB712D"/>
    <w:rsid w:val="00DB7343"/>
    <w:rsid w:val="00DB73A6"/>
    <w:rsid w:val="00DB73AD"/>
    <w:rsid w:val="00DB7480"/>
    <w:rsid w:val="00DB75FC"/>
    <w:rsid w:val="00DB78F4"/>
    <w:rsid w:val="00DB7928"/>
    <w:rsid w:val="00DB7C08"/>
    <w:rsid w:val="00DB7D11"/>
    <w:rsid w:val="00DB7DB3"/>
    <w:rsid w:val="00DB7DF3"/>
    <w:rsid w:val="00DC0696"/>
    <w:rsid w:val="00DC07DC"/>
    <w:rsid w:val="00DC0853"/>
    <w:rsid w:val="00DC0AC5"/>
    <w:rsid w:val="00DC0D1F"/>
    <w:rsid w:val="00DC0D89"/>
    <w:rsid w:val="00DC1332"/>
    <w:rsid w:val="00DC1350"/>
    <w:rsid w:val="00DC1539"/>
    <w:rsid w:val="00DC1864"/>
    <w:rsid w:val="00DC1DE2"/>
    <w:rsid w:val="00DC1FF4"/>
    <w:rsid w:val="00DC204C"/>
    <w:rsid w:val="00DC2228"/>
    <w:rsid w:val="00DC27CC"/>
    <w:rsid w:val="00DC27CF"/>
    <w:rsid w:val="00DC294A"/>
    <w:rsid w:val="00DC2997"/>
    <w:rsid w:val="00DC2C16"/>
    <w:rsid w:val="00DC2C24"/>
    <w:rsid w:val="00DC2CBE"/>
    <w:rsid w:val="00DC2D82"/>
    <w:rsid w:val="00DC2D8A"/>
    <w:rsid w:val="00DC2DB0"/>
    <w:rsid w:val="00DC2E9F"/>
    <w:rsid w:val="00DC320E"/>
    <w:rsid w:val="00DC348A"/>
    <w:rsid w:val="00DC378F"/>
    <w:rsid w:val="00DC39F3"/>
    <w:rsid w:val="00DC3A26"/>
    <w:rsid w:val="00DC3FA3"/>
    <w:rsid w:val="00DC430D"/>
    <w:rsid w:val="00DC465B"/>
    <w:rsid w:val="00DC48D6"/>
    <w:rsid w:val="00DC49BF"/>
    <w:rsid w:val="00DC4A2F"/>
    <w:rsid w:val="00DC4BD1"/>
    <w:rsid w:val="00DC4CD6"/>
    <w:rsid w:val="00DC51C7"/>
    <w:rsid w:val="00DC5397"/>
    <w:rsid w:val="00DC54C0"/>
    <w:rsid w:val="00DC5574"/>
    <w:rsid w:val="00DC55CA"/>
    <w:rsid w:val="00DC5B8E"/>
    <w:rsid w:val="00DC5DCD"/>
    <w:rsid w:val="00DC5EAC"/>
    <w:rsid w:val="00DC5F07"/>
    <w:rsid w:val="00DC6077"/>
    <w:rsid w:val="00DC672A"/>
    <w:rsid w:val="00DC6AE2"/>
    <w:rsid w:val="00DC6D2D"/>
    <w:rsid w:val="00DC784B"/>
    <w:rsid w:val="00DC79DB"/>
    <w:rsid w:val="00DC7AB0"/>
    <w:rsid w:val="00DC7CBC"/>
    <w:rsid w:val="00DC7D7C"/>
    <w:rsid w:val="00DC7E2E"/>
    <w:rsid w:val="00DD0183"/>
    <w:rsid w:val="00DD0459"/>
    <w:rsid w:val="00DD0623"/>
    <w:rsid w:val="00DD0783"/>
    <w:rsid w:val="00DD0CA6"/>
    <w:rsid w:val="00DD1011"/>
    <w:rsid w:val="00DD11F7"/>
    <w:rsid w:val="00DD12D4"/>
    <w:rsid w:val="00DD1808"/>
    <w:rsid w:val="00DD1979"/>
    <w:rsid w:val="00DD1B6E"/>
    <w:rsid w:val="00DD1D23"/>
    <w:rsid w:val="00DD237A"/>
    <w:rsid w:val="00DD251E"/>
    <w:rsid w:val="00DD267B"/>
    <w:rsid w:val="00DD2945"/>
    <w:rsid w:val="00DD2B2C"/>
    <w:rsid w:val="00DD2D75"/>
    <w:rsid w:val="00DD2E64"/>
    <w:rsid w:val="00DD33FB"/>
    <w:rsid w:val="00DD3635"/>
    <w:rsid w:val="00DD36C2"/>
    <w:rsid w:val="00DD39C7"/>
    <w:rsid w:val="00DD413F"/>
    <w:rsid w:val="00DD44A9"/>
    <w:rsid w:val="00DD47A2"/>
    <w:rsid w:val="00DD47E5"/>
    <w:rsid w:val="00DD4892"/>
    <w:rsid w:val="00DD4967"/>
    <w:rsid w:val="00DD4A9D"/>
    <w:rsid w:val="00DD4D9E"/>
    <w:rsid w:val="00DD5717"/>
    <w:rsid w:val="00DD58CA"/>
    <w:rsid w:val="00DD5A2C"/>
    <w:rsid w:val="00DD5B8C"/>
    <w:rsid w:val="00DD5BD0"/>
    <w:rsid w:val="00DD65A4"/>
    <w:rsid w:val="00DD6A18"/>
    <w:rsid w:val="00DD6A25"/>
    <w:rsid w:val="00DD74F6"/>
    <w:rsid w:val="00DD78A9"/>
    <w:rsid w:val="00DD7F82"/>
    <w:rsid w:val="00DD7FF2"/>
    <w:rsid w:val="00DE0466"/>
    <w:rsid w:val="00DE049B"/>
    <w:rsid w:val="00DE0A7C"/>
    <w:rsid w:val="00DE0D18"/>
    <w:rsid w:val="00DE0D3F"/>
    <w:rsid w:val="00DE0D8A"/>
    <w:rsid w:val="00DE0FF8"/>
    <w:rsid w:val="00DE12B4"/>
    <w:rsid w:val="00DE1313"/>
    <w:rsid w:val="00DE1356"/>
    <w:rsid w:val="00DE1414"/>
    <w:rsid w:val="00DE1869"/>
    <w:rsid w:val="00DE1B73"/>
    <w:rsid w:val="00DE1BC4"/>
    <w:rsid w:val="00DE1EDD"/>
    <w:rsid w:val="00DE1F82"/>
    <w:rsid w:val="00DE1F8F"/>
    <w:rsid w:val="00DE25CC"/>
    <w:rsid w:val="00DE28DB"/>
    <w:rsid w:val="00DE2AF7"/>
    <w:rsid w:val="00DE2C88"/>
    <w:rsid w:val="00DE2C93"/>
    <w:rsid w:val="00DE2E8E"/>
    <w:rsid w:val="00DE2EDA"/>
    <w:rsid w:val="00DE34A2"/>
    <w:rsid w:val="00DE356B"/>
    <w:rsid w:val="00DE3728"/>
    <w:rsid w:val="00DE380B"/>
    <w:rsid w:val="00DE38EC"/>
    <w:rsid w:val="00DE39B8"/>
    <w:rsid w:val="00DE3A2E"/>
    <w:rsid w:val="00DE3DB0"/>
    <w:rsid w:val="00DE4024"/>
    <w:rsid w:val="00DE4048"/>
    <w:rsid w:val="00DE40F9"/>
    <w:rsid w:val="00DE4462"/>
    <w:rsid w:val="00DE44D7"/>
    <w:rsid w:val="00DE4848"/>
    <w:rsid w:val="00DE498F"/>
    <w:rsid w:val="00DE4C3D"/>
    <w:rsid w:val="00DE5A90"/>
    <w:rsid w:val="00DE5C7D"/>
    <w:rsid w:val="00DE5DD6"/>
    <w:rsid w:val="00DE60C1"/>
    <w:rsid w:val="00DE686B"/>
    <w:rsid w:val="00DE69EB"/>
    <w:rsid w:val="00DE6D03"/>
    <w:rsid w:val="00DE6D24"/>
    <w:rsid w:val="00DE6DB0"/>
    <w:rsid w:val="00DE6E83"/>
    <w:rsid w:val="00DE734B"/>
    <w:rsid w:val="00DE75DC"/>
    <w:rsid w:val="00DE7742"/>
    <w:rsid w:val="00DE7767"/>
    <w:rsid w:val="00DE777D"/>
    <w:rsid w:val="00DE7D97"/>
    <w:rsid w:val="00DF0315"/>
    <w:rsid w:val="00DF0537"/>
    <w:rsid w:val="00DF0819"/>
    <w:rsid w:val="00DF082D"/>
    <w:rsid w:val="00DF08E7"/>
    <w:rsid w:val="00DF0927"/>
    <w:rsid w:val="00DF0BBF"/>
    <w:rsid w:val="00DF0C17"/>
    <w:rsid w:val="00DF0EF2"/>
    <w:rsid w:val="00DF0F43"/>
    <w:rsid w:val="00DF1822"/>
    <w:rsid w:val="00DF187C"/>
    <w:rsid w:val="00DF1D3F"/>
    <w:rsid w:val="00DF1E9F"/>
    <w:rsid w:val="00DF1FA2"/>
    <w:rsid w:val="00DF2372"/>
    <w:rsid w:val="00DF268E"/>
    <w:rsid w:val="00DF2956"/>
    <w:rsid w:val="00DF2B0E"/>
    <w:rsid w:val="00DF3927"/>
    <w:rsid w:val="00DF39DE"/>
    <w:rsid w:val="00DF4005"/>
    <w:rsid w:val="00DF46AE"/>
    <w:rsid w:val="00DF4836"/>
    <w:rsid w:val="00DF48B9"/>
    <w:rsid w:val="00DF499A"/>
    <w:rsid w:val="00DF5416"/>
    <w:rsid w:val="00DF5E2D"/>
    <w:rsid w:val="00DF5E33"/>
    <w:rsid w:val="00DF5F66"/>
    <w:rsid w:val="00DF5F9C"/>
    <w:rsid w:val="00DF6148"/>
    <w:rsid w:val="00DF6264"/>
    <w:rsid w:val="00DF6681"/>
    <w:rsid w:val="00DF6724"/>
    <w:rsid w:val="00DF678D"/>
    <w:rsid w:val="00DF7932"/>
    <w:rsid w:val="00DF7BE1"/>
    <w:rsid w:val="00DF7C47"/>
    <w:rsid w:val="00DF7EDD"/>
    <w:rsid w:val="00E000D2"/>
    <w:rsid w:val="00E00259"/>
    <w:rsid w:val="00E00448"/>
    <w:rsid w:val="00E0084A"/>
    <w:rsid w:val="00E00BCF"/>
    <w:rsid w:val="00E0138E"/>
    <w:rsid w:val="00E014B6"/>
    <w:rsid w:val="00E01757"/>
    <w:rsid w:val="00E01852"/>
    <w:rsid w:val="00E019FD"/>
    <w:rsid w:val="00E01B41"/>
    <w:rsid w:val="00E01CF2"/>
    <w:rsid w:val="00E02252"/>
    <w:rsid w:val="00E022ED"/>
    <w:rsid w:val="00E025A4"/>
    <w:rsid w:val="00E0280E"/>
    <w:rsid w:val="00E02B14"/>
    <w:rsid w:val="00E0311D"/>
    <w:rsid w:val="00E031FF"/>
    <w:rsid w:val="00E034A5"/>
    <w:rsid w:val="00E035BF"/>
    <w:rsid w:val="00E03956"/>
    <w:rsid w:val="00E03DF1"/>
    <w:rsid w:val="00E0495F"/>
    <w:rsid w:val="00E0498B"/>
    <w:rsid w:val="00E0502D"/>
    <w:rsid w:val="00E057E4"/>
    <w:rsid w:val="00E057FC"/>
    <w:rsid w:val="00E05BBA"/>
    <w:rsid w:val="00E062D3"/>
    <w:rsid w:val="00E062EC"/>
    <w:rsid w:val="00E06354"/>
    <w:rsid w:val="00E0663A"/>
    <w:rsid w:val="00E06B98"/>
    <w:rsid w:val="00E06F27"/>
    <w:rsid w:val="00E070F8"/>
    <w:rsid w:val="00E0761E"/>
    <w:rsid w:val="00E07A6E"/>
    <w:rsid w:val="00E07C2D"/>
    <w:rsid w:val="00E07C39"/>
    <w:rsid w:val="00E10859"/>
    <w:rsid w:val="00E10AB6"/>
    <w:rsid w:val="00E10CF8"/>
    <w:rsid w:val="00E10D5F"/>
    <w:rsid w:val="00E10D8A"/>
    <w:rsid w:val="00E10DCF"/>
    <w:rsid w:val="00E11053"/>
    <w:rsid w:val="00E1122A"/>
    <w:rsid w:val="00E1155F"/>
    <w:rsid w:val="00E115D7"/>
    <w:rsid w:val="00E11D4D"/>
    <w:rsid w:val="00E11DCC"/>
    <w:rsid w:val="00E11F3E"/>
    <w:rsid w:val="00E1240B"/>
    <w:rsid w:val="00E126A3"/>
    <w:rsid w:val="00E12785"/>
    <w:rsid w:val="00E127C5"/>
    <w:rsid w:val="00E129BE"/>
    <w:rsid w:val="00E130A0"/>
    <w:rsid w:val="00E13577"/>
    <w:rsid w:val="00E14007"/>
    <w:rsid w:val="00E1414B"/>
    <w:rsid w:val="00E1436E"/>
    <w:rsid w:val="00E14412"/>
    <w:rsid w:val="00E1467A"/>
    <w:rsid w:val="00E1477C"/>
    <w:rsid w:val="00E14A57"/>
    <w:rsid w:val="00E14FCC"/>
    <w:rsid w:val="00E154DF"/>
    <w:rsid w:val="00E15630"/>
    <w:rsid w:val="00E15710"/>
    <w:rsid w:val="00E1583E"/>
    <w:rsid w:val="00E15C5F"/>
    <w:rsid w:val="00E160D3"/>
    <w:rsid w:val="00E16102"/>
    <w:rsid w:val="00E1616A"/>
    <w:rsid w:val="00E1682B"/>
    <w:rsid w:val="00E16A3A"/>
    <w:rsid w:val="00E16AF7"/>
    <w:rsid w:val="00E16D98"/>
    <w:rsid w:val="00E16EEA"/>
    <w:rsid w:val="00E1709A"/>
    <w:rsid w:val="00E1712E"/>
    <w:rsid w:val="00E17336"/>
    <w:rsid w:val="00E178F3"/>
    <w:rsid w:val="00E17B09"/>
    <w:rsid w:val="00E17F48"/>
    <w:rsid w:val="00E17FF8"/>
    <w:rsid w:val="00E20027"/>
    <w:rsid w:val="00E20126"/>
    <w:rsid w:val="00E20168"/>
    <w:rsid w:val="00E20383"/>
    <w:rsid w:val="00E203D0"/>
    <w:rsid w:val="00E207AB"/>
    <w:rsid w:val="00E209C3"/>
    <w:rsid w:val="00E20C27"/>
    <w:rsid w:val="00E20D33"/>
    <w:rsid w:val="00E20FC4"/>
    <w:rsid w:val="00E2142F"/>
    <w:rsid w:val="00E2150B"/>
    <w:rsid w:val="00E21865"/>
    <w:rsid w:val="00E218CA"/>
    <w:rsid w:val="00E219A9"/>
    <w:rsid w:val="00E219BA"/>
    <w:rsid w:val="00E21BD5"/>
    <w:rsid w:val="00E21CDB"/>
    <w:rsid w:val="00E21F33"/>
    <w:rsid w:val="00E22013"/>
    <w:rsid w:val="00E22338"/>
    <w:rsid w:val="00E22545"/>
    <w:rsid w:val="00E227D4"/>
    <w:rsid w:val="00E22BFB"/>
    <w:rsid w:val="00E2329C"/>
    <w:rsid w:val="00E236FF"/>
    <w:rsid w:val="00E23889"/>
    <w:rsid w:val="00E23EDA"/>
    <w:rsid w:val="00E24137"/>
    <w:rsid w:val="00E243FF"/>
    <w:rsid w:val="00E2441D"/>
    <w:rsid w:val="00E245D6"/>
    <w:rsid w:val="00E24C55"/>
    <w:rsid w:val="00E24F45"/>
    <w:rsid w:val="00E2509E"/>
    <w:rsid w:val="00E2525D"/>
    <w:rsid w:val="00E252D2"/>
    <w:rsid w:val="00E25301"/>
    <w:rsid w:val="00E26045"/>
    <w:rsid w:val="00E26257"/>
    <w:rsid w:val="00E26408"/>
    <w:rsid w:val="00E2658E"/>
    <w:rsid w:val="00E265F7"/>
    <w:rsid w:val="00E266F8"/>
    <w:rsid w:val="00E2693D"/>
    <w:rsid w:val="00E269BD"/>
    <w:rsid w:val="00E2757D"/>
    <w:rsid w:val="00E2798C"/>
    <w:rsid w:val="00E27AB0"/>
    <w:rsid w:val="00E30100"/>
    <w:rsid w:val="00E30F43"/>
    <w:rsid w:val="00E30F73"/>
    <w:rsid w:val="00E31326"/>
    <w:rsid w:val="00E31374"/>
    <w:rsid w:val="00E31454"/>
    <w:rsid w:val="00E314AB"/>
    <w:rsid w:val="00E31536"/>
    <w:rsid w:val="00E31B47"/>
    <w:rsid w:val="00E31D33"/>
    <w:rsid w:val="00E31DF7"/>
    <w:rsid w:val="00E31FEA"/>
    <w:rsid w:val="00E329A9"/>
    <w:rsid w:val="00E32CA3"/>
    <w:rsid w:val="00E32D32"/>
    <w:rsid w:val="00E32F01"/>
    <w:rsid w:val="00E32F2B"/>
    <w:rsid w:val="00E32FBF"/>
    <w:rsid w:val="00E33BB2"/>
    <w:rsid w:val="00E33ECB"/>
    <w:rsid w:val="00E34101"/>
    <w:rsid w:val="00E3424F"/>
    <w:rsid w:val="00E342F7"/>
    <w:rsid w:val="00E34935"/>
    <w:rsid w:val="00E34E5E"/>
    <w:rsid w:val="00E34FB9"/>
    <w:rsid w:val="00E34FEB"/>
    <w:rsid w:val="00E35308"/>
    <w:rsid w:val="00E355B5"/>
    <w:rsid w:val="00E356E7"/>
    <w:rsid w:val="00E359A9"/>
    <w:rsid w:val="00E35ADB"/>
    <w:rsid w:val="00E35C03"/>
    <w:rsid w:val="00E35F30"/>
    <w:rsid w:val="00E361F1"/>
    <w:rsid w:val="00E36AC4"/>
    <w:rsid w:val="00E37203"/>
    <w:rsid w:val="00E37AD8"/>
    <w:rsid w:val="00E37DD6"/>
    <w:rsid w:val="00E37E4D"/>
    <w:rsid w:val="00E401BD"/>
    <w:rsid w:val="00E4055C"/>
    <w:rsid w:val="00E40611"/>
    <w:rsid w:val="00E40877"/>
    <w:rsid w:val="00E40AF7"/>
    <w:rsid w:val="00E412D0"/>
    <w:rsid w:val="00E416E9"/>
    <w:rsid w:val="00E4181D"/>
    <w:rsid w:val="00E4182B"/>
    <w:rsid w:val="00E41953"/>
    <w:rsid w:val="00E41BEC"/>
    <w:rsid w:val="00E41CA8"/>
    <w:rsid w:val="00E41E2D"/>
    <w:rsid w:val="00E4255D"/>
    <w:rsid w:val="00E4255F"/>
    <w:rsid w:val="00E427B3"/>
    <w:rsid w:val="00E429C0"/>
    <w:rsid w:val="00E42DE1"/>
    <w:rsid w:val="00E42FA8"/>
    <w:rsid w:val="00E431C0"/>
    <w:rsid w:val="00E43639"/>
    <w:rsid w:val="00E43661"/>
    <w:rsid w:val="00E43679"/>
    <w:rsid w:val="00E43951"/>
    <w:rsid w:val="00E43976"/>
    <w:rsid w:val="00E43C51"/>
    <w:rsid w:val="00E43DAA"/>
    <w:rsid w:val="00E4411A"/>
    <w:rsid w:val="00E4428F"/>
    <w:rsid w:val="00E44423"/>
    <w:rsid w:val="00E44785"/>
    <w:rsid w:val="00E44D03"/>
    <w:rsid w:val="00E44FB7"/>
    <w:rsid w:val="00E45013"/>
    <w:rsid w:val="00E45144"/>
    <w:rsid w:val="00E452AA"/>
    <w:rsid w:val="00E45B8A"/>
    <w:rsid w:val="00E45C40"/>
    <w:rsid w:val="00E45DCF"/>
    <w:rsid w:val="00E45F04"/>
    <w:rsid w:val="00E45F2E"/>
    <w:rsid w:val="00E45FF7"/>
    <w:rsid w:val="00E46207"/>
    <w:rsid w:val="00E462A7"/>
    <w:rsid w:val="00E464E6"/>
    <w:rsid w:val="00E46783"/>
    <w:rsid w:val="00E467F2"/>
    <w:rsid w:val="00E46980"/>
    <w:rsid w:val="00E47023"/>
    <w:rsid w:val="00E47237"/>
    <w:rsid w:val="00E47440"/>
    <w:rsid w:val="00E475C8"/>
    <w:rsid w:val="00E4762F"/>
    <w:rsid w:val="00E47669"/>
    <w:rsid w:val="00E47B8C"/>
    <w:rsid w:val="00E47BA5"/>
    <w:rsid w:val="00E502FD"/>
    <w:rsid w:val="00E50468"/>
    <w:rsid w:val="00E5050F"/>
    <w:rsid w:val="00E50519"/>
    <w:rsid w:val="00E505CB"/>
    <w:rsid w:val="00E5094F"/>
    <w:rsid w:val="00E50A75"/>
    <w:rsid w:val="00E50AB4"/>
    <w:rsid w:val="00E50C49"/>
    <w:rsid w:val="00E5106A"/>
    <w:rsid w:val="00E51387"/>
    <w:rsid w:val="00E51743"/>
    <w:rsid w:val="00E5175E"/>
    <w:rsid w:val="00E51797"/>
    <w:rsid w:val="00E519A9"/>
    <w:rsid w:val="00E51A0C"/>
    <w:rsid w:val="00E51B57"/>
    <w:rsid w:val="00E52024"/>
    <w:rsid w:val="00E520D1"/>
    <w:rsid w:val="00E5214A"/>
    <w:rsid w:val="00E527C8"/>
    <w:rsid w:val="00E52ACC"/>
    <w:rsid w:val="00E52CCE"/>
    <w:rsid w:val="00E52F93"/>
    <w:rsid w:val="00E5346D"/>
    <w:rsid w:val="00E5363A"/>
    <w:rsid w:val="00E5373E"/>
    <w:rsid w:val="00E53A2C"/>
    <w:rsid w:val="00E53C35"/>
    <w:rsid w:val="00E53D56"/>
    <w:rsid w:val="00E54257"/>
    <w:rsid w:val="00E542BF"/>
    <w:rsid w:val="00E54440"/>
    <w:rsid w:val="00E5454F"/>
    <w:rsid w:val="00E547A6"/>
    <w:rsid w:val="00E548DE"/>
    <w:rsid w:val="00E54AAA"/>
    <w:rsid w:val="00E54D7F"/>
    <w:rsid w:val="00E54E75"/>
    <w:rsid w:val="00E55156"/>
    <w:rsid w:val="00E55273"/>
    <w:rsid w:val="00E5533A"/>
    <w:rsid w:val="00E553F1"/>
    <w:rsid w:val="00E554BF"/>
    <w:rsid w:val="00E56099"/>
    <w:rsid w:val="00E5637C"/>
    <w:rsid w:val="00E56459"/>
    <w:rsid w:val="00E566E2"/>
    <w:rsid w:val="00E56747"/>
    <w:rsid w:val="00E56F44"/>
    <w:rsid w:val="00E5712A"/>
    <w:rsid w:val="00E57440"/>
    <w:rsid w:val="00E57599"/>
    <w:rsid w:val="00E578C8"/>
    <w:rsid w:val="00E57C67"/>
    <w:rsid w:val="00E6029B"/>
    <w:rsid w:val="00E6030F"/>
    <w:rsid w:val="00E603E0"/>
    <w:rsid w:val="00E604F5"/>
    <w:rsid w:val="00E605AF"/>
    <w:rsid w:val="00E608C6"/>
    <w:rsid w:val="00E609B1"/>
    <w:rsid w:val="00E60F3C"/>
    <w:rsid w:val="00E611A3"/>
    <w:rsid w:val="00E6121B"/>
    <w:rsid w:val="00E614C1"/>
    <w:rsid w:val="00E61650"/>
    <w:rsid w:val="00E616AC"/>
    <w:rsid w:val="00E61A86"/>
    <w:rsid w:val="00E62177"/>
    <w:rsid w:val="00E6249C"/>
    <w:rsid w:val="00E6296F"/>
    <w:rsid w:val="00E62BA5"/>
    <w:rsid w:val="00E62DAD"/>
    <w:rsid w:val="00E62EDF"/>
    <w:rsid w:val="00E63542"/>
    <w:rsid w:val="00E635F8"/>
    <w:rsid w:val="00E63646"/>
    <w:rsid w:val="00E63792"/>
    <w:rsid w:val="00E63CB2"/>
    <w:rsid w:val="00E63CE1"/>
    <w:rsid w:val="00E63DD5"/>
    <w:rsid w:val="00E64A6B"/>
    <w:rsid w:val="00E64B56"/>
    <w:rsid w:val="00E64E84"/>
    <w:rsid w:val="00E650DB"/>
    <w:rsid w:val="00E650E1"/>
    <w:rsid w:val="00E6515E"/>
    <w:rsid w:val="00E6520F"/>
    <w:rsid w:val="00E653F8"/>
    <w:rsid w:val="00E65442"/>
    <w:rsid w:val="00E65A92"/>
    <w:rsid w:val="00E65C7E"/>
    <w:rsid w:val="00E66088"/>
    <w:rsid w:val="00E66183"/>
    <w:rsid w:val="00E662CA"/>
    <w:rsid w:val="00E66428"/>
    <w:rsid w:val="00E67BB2"/>
    <w:rsid w:val="00E67D9A"/>
    <w:rsid w:val="00E67E9B"/>
    <w:rsid w:val="00E7017C"/>
    <w:rsid w:val="00E70680"/>
    <w:rsid w:val="00E70720"/>
    <w:rsid w:val="00E70F57"/>
    <w:rsid w:val="00E710A9"/>
    <w:rsid w:val="00E71126"/>
    <w:rsid w:val="00E712BF"/>
    <w:rsid w:val="00E71568"/>
    <w:rsid w:val="00E7179C"/>
    <w:rsid w:val="00E71933"/>
    <w:rsid w:val="00E71A88"/>
    <w:rsid w:val="00E71B9B"/>
    <w:rsid w:val="00E71BC2"/>
    <w:rsid w:val="00E71BDC"/>
    <w:rsid w:val="00E71CAC"/>
    <w:rsid w:val="00E71F5F"/>
    <w:rsid w:val="00E72126"/>
    <w:rsid w:val="00E725AC"/>
    <w:rsid w:val="00E72628"/>
    <w:rsid w:val="00E727E7"/>
    <w:rsid w:val="00E729EF"/>
    <w:rsid w:val="00E72FD9"/>
    <w:rsid w:val="00E73437"/>
    <w:rsid w:val="00E73462"/>
    <w:rsid w:val="00E735EB"/>
    <w:rsid w:val="00E7372D"/>
    <w:rsid w:val="00E73873"/>
    <w:rsid w:val="00E7392A"/>
    <w:rsid w:val="00E73B89"/>
    <w:rsid w:val="00E74085"/>
    <w:rsid w:val="00E74208"/>
    <w:rsid w:val="00E748E2"/>
    <w:rsid w:val="00E74A70"/>
    <w:rsid w:val="00E74F2C"/>
    <w:rsid w:val="00E75428"/>
    <w:rsid w:val="00E7558A"/>
    <w:rsid w:val="00E7558D"/>
    <w:rsid w:val="00E755CC"/>
    <w:rsid w:val="00E75CB3"/>
    <w:rsid w:val="00E75D92"/>
    <w:rsid w:val="00E75ED5"/>
    <w:rsid w:val="00E76475"/>
    <w:rsid w:val="00E7657A"/>
    <w:rsid w:val="00E767C6"/>
    <w:rsid w:val="00E768A7"/>
    <w:rsid w:val="00E76C4E"/>
    <w:rsid w:val="00E76FAC"/>
    <w:rsid w:val="00E76FB7"/>
    <w:rsid w:val="00E772C7"/>
    <w:rsid w:val="00E77302"/>
    <w:rsid w:val="00E773E4"/>
    <w:rsid w:val="00E7790E"/>
    <w:rsid w:val="00E77A02"/>
    <w:rsid w:val="00E77B1C"/>
    <w:rsid w:val="00E77CCC"/>
    <w:rsid w:val="00E80158"/>
    <w:rsid w:val="00E80726"/>
    <w:rsid w:val="00E807DE"/>
    <w:rsid w:val="00E813ED"/>
    <w:rsid w:val="00E8188E"/>
    <w:rsid w:val="00E81BB7"/>
    <w:rsid w:val="00E81FE1"/>
    <w:rsid w:val="00E82243"/>
    <w:rsid w:val="00E8298C"/>
    <w:rsid w:val="00E82A23"/>
    <w:rsid w:val="00E830F3"/>
    <w:rsid w:val="00E8347E"/>
    <w:rsid w:val="00E8352D"/>
    <w:rsid w:val="00E83537"/>
    <w:rsid w:val="00E83597"/>
    <w:rsid w:val="00E84420"/>
    <w:rsid w:val="00E846A1"/>
    <w:rsid w:val="00E8473D"/>
    <w:rsid w:val="00E84BD8"/>
    <w:rsid w:val="00E84C5D"/>
    <w:rsid w:val="00E84DAA"/>
    <w:rsid w:val="00E84E27"/>
    <w:rsid w:val="00E85BB2"/>
    <w:rsid w:val="00E85E19"/>
    <w:rsid w:val="00E85F44"/>
    <w:rsid w:val="00E864F2"/>
    <w:rsid w:val="00E86566"/>
    <w:rsid w:val="00E86CBD"/>
    <w:rsid w:val="00E86D64"/>
    <w:rsid w:val="00E86E96"/>
    <w:rsid w:val="00E86EA3"/>
    <w:rsid w:val="00E87394"/>
    <w:rsid w:val="00E874F5"/>
    <w:rsid w:val="00E8785C"/>
    <w:rsid w:val="00E87D24"/>
    <w:rsid w:val="00E90677"/>
    <w:rsid w:val="00E9068E"/>
    <w:rsid w:val="00E908CE"/>
    <w:rsid w:val="00E90B45"/>
    <w:rsid w:val="00E91072"/>
    <w:rsid w:val="00E911CD"/>
    <w:rsid w:val="00E91207"/>
    <w:rsid w:val="00E9146C"/>
    <w:rsid w:val="00E91880"/>
    <w:rsid w:val="00E91A46"/>
    <w:rsid w:val="00E91A78"/>
    <w:rsid w:val="00E91B0B"/>
    <w:rsid w:val="00E91B77"/>
    <w:rsid w:val="00E9200E"/>
    <w:rsid w:val="00E9208F"/>
    <w:rsid w:val="00E9239A"/>
    <w:rsid w:val="00E929E7"/>
    <w:rsid w:val="00E92A10"/>
    <w:rsid w:val="00E92B28"/>
    <w:rsid w:val="00E92B44"/>
    <w:rsid w:val="00E92C16"/>
    <w:rsid w:val="00E92F6B"/>
    <w:rsid w:val="00E932D6"/>
    <w:rsid w:val="00E93647"/>
    <w:rsid w:val="00E939E8"/>
    <w:rsid w:val="00E93D15"/>
    <w:rsid w:val="00E93F1F"/>
    <w:rsid w:val="00E942F4"/>
    <w:rsid w:val="00E94694"/>
    <w:rsid w:val="00E94A81"/>
    <w:rsid w:val="00E94C1F"/>
    <w:rsid w:val="00E94FC3"/>
    <w:rsid w:val="00E95129"/>
    <w:rsid w:val="00E952BB"/>
    <w:rsid w:val="00E955CB"/>
    <w:rsid w:val="00E9572F"/>
    <w:rsid w:val="00E959E8"/>
    <w:rsid w:val="00E95AE3"/>
    <w:rsid w:val="00E95D1E"/>
    <w:rsid w:val="00E95E91"/>
    <w:rsid w:val="00E96337"/>
    <w:rsid w:val="00E96910"/>
    <w:rsid w:val="00E96CEA"/>
    <w:rsid w:val="00E96EC8"/>
    <w:rsid w:val="00E97175"/>
    <w:rsid w:val="00E97329"/>
    <w:rsid w:val="00EA044A"/>
    <w:rsid w:val="00EA0606"/>
    <w:rsid w:val="00EA0864"/>
    <w:rsid w:val="00EA08D8"/>
    <w:rsid w:val="00EA0999"/>
    <w:rsid w:val="00EA0FD9"/>
    <w:rsid w:val="00EA111C"/>
    <w:rsid w:val="00EA1570"/>
    <w:rsid w:val="00EA16E3"/>
    <w:rsid w:val="00EA1734"/>
    <w:rsid w:val="00EA1993"/>
    <w:rsid w:val="00EA1E60"/>
    <w:rsid w:val="00EA1EEA"/>
    <w:rsid w:val="00EA23AF"/>
    <w:rsid w:val="00EA2614"/>
    <w:rsid w:val="00EA266C"/>
    <w:rsid w:val="00EA2876"/>
    <w:rsid w:val="00EA2A06"/>
    <w:rsid w:val="00EA2C0F"/>
    <w:rsid w:val="00EA2D1B"/>
    <w:rsid w:val="00EA2D4C"/>
    <w:rsid w:val="00EA2FF7"/>
    <w:rsid w:val="00EA3088"/>
    <w:rsid w:val="00EA3B9E"/>
    <w:rsid w:val="00EA420B"/>
    <w:rsid w:val="00EA449A"/>
    <w:rsid w:val="00EA44B9"/>
    <w:rsid w:val="00EA46F6"/>
    <w:rsid w:val="00EA4DDB"/>
    <w:rsid w:val="00EA52DD"/>
    <w:rsid w:val="00EA556B"/>
    <w:rsid w:val="00EA577B"/>
    <w:rsid w:val="00EA5821"/>
    <w:rsid w:val="00EA585F"/>
    <w:rsid w:val="00EA590E"/>
    <w:rsid w:val="00EA592A"/>
    <w:rsid w:val="00EA5961"/>
    <w:rsid w:val="00EA598D"/>
    <w:rsid w:val="00EA5A4A"/>
    <w:rsid w:val="00EA5BA3"/>
    <w:rsid w:val="00EA5CBB"/>
    <w:rsid w:val="00EA5E4B"/>
    <w:rsid w:val="00EA5F1D"/>
    <w:rsid w:val="00EA6177"/>
    <w:rsid w:val="00EA6BE2"/>
    <w:rsid w:val="00EA6C8B"/>
    <w:rsid w:val="00EA7AB5"/>
    <w:rsid w:val="00EA7FF3"/>
    <w:rsid w:val="00EB01FF"/>
    <w:rsid w:val="00EB0694"/>
    <w:rsid w:val="00EB08A6"/>
    <w:rsid w:val="00EB0EB1"/>
    <w:rsid w:val="00EB113D"/>
    <w:rsid w:val="00EB19AD"/>
    <w:rsid w:val="00EB19E7"/>
    <w:rsid w:val="00EB2092"/>
    <w:rsid w:val="00EB239D"/>
    <w:rsid w:val="00EB24D0"/>
    <w:rsid w:val="00EB2642"/>
    <w:rsid w:val="00EB281E"/>
    <w:rsid w:val="00EB28C3"/>
    <w:rsid w:val="00EB28FD"/>
    <w:rsid w:val="00EB2A10"/>
    <w:rsid w:val="00EB2A3B"/>
    <w:rsid w:val="00EB2B06"/>
    <w:rsid w:val="00EB31D6"/>
    <w:rsid w:val="00EB3391"/>
    <w:rsid w:val="00EB396A"/>
    <w:rsid w:val="00EB3D77"/>
    <w:rsid w:val="00EB40F3"/>
    <w:rsid w:val="00EB4674"/>
    <w:rsid w:val="00EB4B76"/>
    <w:rsid w:val="00EB54D8"/>
    <w:rsid w:val="00EB570C"/>
    <w:rsid w:val="00EB575A"/>
    <w:rsid w:val="00EB58B9"/>
    <w:rsid w:val="00EB5C89"/>
    <w:rsid w:val="00EB5CA4"/>
    <w:rsid w:val="00EB5DC2"/>
    <w:rsid w:val="00EB5F29"/>
    <w:rsid w:val="00EB62B2"/>
    <w:rsid w:val="00EB6B89"/>
    <w:rsid w:val="00EB6F06"/>
    <w:rsid w:val="00EB6F26"/>
    <w:rsid w:val="00EB7254"/>
    <w:rsid w:val="00EC0107"/>
    <w:rsid w:val="00EC058D"/>
    <w:rsid w:val="00EC061D"/>
    <w:rsid w:val="00EC070F"/>
    <w:rsid w:val="00EC085B"/>
    <w:rsid w:val="00EC0EE5"/>
    <w:rsid w:val="00EC0F64"/>
    <w:rsid w:val="00EC13FF"/>
    <w:rsid w:val="00EC1437"/>
    <w:rsid w:val="00EC1446"/>
    <w:rsid w:val="00EC177E"/>
    <w:rsid w:val="00EC1CEA"/>
    <w:rsid w:val="00EC1DED"/>
    <w:rsid w:val="00EC1E91"/>
    <w:rsid w:val="00EC203A"/>
    <w:rsid w:val="00EC25E1"/>
    <w:rsid w:val="00EC2A78"/>
    <w:rsid w:val="00EC2A86"/>
    <w:rsid w:val="00EC2EE9"/>
    <w:rsid w:val="00EC2F8E"/>
    <w:rsid w:val="00EC317E"/>
    <w:rsid w:val="00EC31A7"/>
    <w:rsid w:val="00EC31B2"/>
    <w:rsid w:val="00EC3B02"/>
    <w:rsid w:val="00EC3DF0"/>
    <w:rsid w:val="00EC3F74"/>
    <w:rsid w:val="00EC41DE"/>
    <w:rsid w:val="00EC435B"/>
    <w:rsid w:val="00EC4595"/>
    <w:rsid w:val="00EC46B8"/>
    <w:rsid w:val="00EC4805"/>
    <w:rsid w:val="00EC4A1A"/>
    <w:rsid w:val="00EC4B98"/>
    <w:rsid w:val="00EC4BC0"/>
    <w:rsid w:val="00EC4ED2"/>
    <w:rsid w:val="00EC4EEC"/>
    <w:rsid w:val="00EC5093"/>
    <w:rsid w:val="00EC5306"/>
    <w:rsid w:val="00EC5633"/>
    <w:rsid w:val="00EC56E9"/>
    <w:rsid w:val="00EC5A04"/>
    <w:rsid w:val="00EC5D81"/>
    <w:rsid w:val="00EC5E95"/>
    <w:rsid w:val="00EC60C8"/>
    <w:rsid w:val="00EC6CBF"/>
    <w:rsid w:val="00EC6E28"/>
    <w:rsid w:val="00EC7236"/>
    <w:rsid w:val="00EC75D9"/>
    <w:rsid w:val="00EC75F6"/>
    <w:rsid w:val="00EC75F7"/>
    <w:rsid w:val="00EC774F"/>
    <w:rsid w:val="00EC77FA"/>
    <w:rsid w:val="00EC784C"/>
    <w:rsid w:val="00EC7987"/>
    <w:rsid w:val="00EC7AD0"/>
    <w:rsid w:val="00EC7E04"/>
    <w:rsid w:val="00EC7E1A"/>
    <w:rsid w:val="00EC7E50"/>
    <w:rsid w:val="00ED0145"/>
    <w:rsid w:val="00ED0386"/>
    <w:rsid w:val="00ED0590"/>
    <w:rsid w:val="00ED0683"/>
    <w:rsid w:val="00ED0B35"/>
    <w:rsid w:val="00ED113E"/>
    <w:rsid w:val="00ED1348"/>
    <w:rsid w:val="00ED1451"/>
    <w:rsid w:val="00ED14E4"/>
    <w:rsid w:val="00ED183C"/>
    <w:rsid w:val="00ED2227"/>
    <w:rsid w:val="00ED2AF9"/>
    <w:rsid w:val="00ED2C53"/>
    <w:rsid w:val="00ED2D6B"/>
    <w:rsid w:val="00ED30D2"/>
    <w:rsid w:val="00ED34A5"/>
    <w:rsid w:val="00ED3576"/>
    <w:rsid w:val="00ED3798"/>
    <w:rsid w:val="00ED37BC"/>
    <w:rsid w:val="00ED3BF9"/>
    <w:rsid w:val="00ED3DEB"/>
    <w:rsid w:val="00ED4353"/>
    <w:rsid w:val="00ED44F7"/>
    <w:rsid w:val="00ED4C1D"/>
    <w:rsid w:val="00ED4C26"/>
    <w:rsid w:val="00ED4E30"/>
    <w:rsid w:val="00ED585C"/>
    <w:rsid w:val="00ED5D23"/>
    <w:rsid w:val="00ED5D71"/>
    <w:rsid w:val="00ED5E7E"/>
    <w:rsid w:val="00ED5F25"/>
    <w:rsid w:val="00ED6079"/>
    <w:rsid w:val="00ED631D"/>
    <w:rsid w:val="00ED63A8"/>
    <w:rsid w:val="00ED6AB3"/>
    <w:rsid w:val="00ED6B52"/>
    <w:rsid w:val="00ED73C7"/>
    <w:rsid w:val="00ED74AC"/>
    <w:rsid w:val="00EE0089"/>
    <w:rsid w:val="00EE03F1"/>
    <w:rsid w:val="00EE04EB"/>
    <w:rsid w:val="00EE0696"/>
    <w:rsid w:val="00EE070C"/>
    <w:rsid w:val="00EE0720"/>
    <w:rsid w:val="00EE0785"/>
    <w:rsid w:val="00EE0C73"/>
    <w:rsid w:val="00EE0DA6"/>
    <w:rsid w:val="00EE0E86"/>
    <w:rsid w:val="00EE1054"/>
    <w:rsid w:val="00EE1936"/>
    <w:rsid w:val="00EE1966"/>
    <w:rsid w:val="00EE1FF9"/>
    <w:rsid w:val="00EE2051"/>
    <w:rsid w:val="00EE212B"/>
    <w:rsid w:val="00EE226F"/>
    <w:rsid w:val="00EE2894"/>
    <w:rsid w:val="00EE2B88"/>
    <w:rsid w:val="00EE2C21"/>
    <w:rsid w:val="00EE2C24"/>
    <w:rsid w:val="00EE2E68"/>
    <w:rsid w:val="00EE304A"/>
    <w:rsid w:val="00EE371A"/>
    <w:rsid w:val="00EE4037"/>
    <w:rsid w:val="00EE4041"/>
    <w:rsid w:val="00EE4303"/>
    <w:rsid w:val="00EE461C"/>
    <w:rsid w:val="00EE475E"/>
    <w:rsid w:val="00EE48D5"/>
    <w:rsid w:val="00EE496A"/>
    <w:rsid w:val="00EE497D"/>
    <w:rsid w:val="00EE4B96"/>
    <w:rsid w:val="00EE5294"/>
    <w:rsid w:val="00EE5353"/>
    <w:rsid w:val="00EE58DA"/>
    <w:rsid w:val="00EE5A10"/>
    <w:rsid w:val="00EE5CFE"/>
    <w:rsid w:val="00EE60A3"/>
    <w:rsid w:val="00EE6162"/>
    <w:rsid w:val="00EE6188"/>
    <w:rsid w:val="00EE66DA"/>
    <w:rsid w:val="00EE68B0"/>
    <w:rsid w:val="00EE68C4"/>
    <w:rsid w:val="00EE6A32"/>
    <w:rsid w:val="00EE7215"/>
    <w:rsid w:val="00EE74F8"/>
    <w:rsid w:val="00EE75C1"/>
    <w:rsid w:val="00EE7B11"/>
    <w:rsid w:val="00EF0091"/>
    <w:rsid w:val="00EF03F7"/>
    <w:rsid w:val="00EF05F8"/>
    <w:rsid w:val="00EF0888"/>
    <w:rsid w:val="00EF0CB6"/>
    <w:rsid w:val="00EF0CB9"/>
    <w:rsid w:val="00EF13FE"/>
    <w:rsid w:val="00EF16B7"/>
    <w:rsid w:val="00EF1A59"/>
    <w:rsid w:val="00EF1EF0"/>
    <w:rsid w:val="00EF2093"/>
    <w:rsid w:val="00EF212D"/>
    <w:rsid w:val="00EF2647"/>
    <w:rsid w:val="00EF2838"/>
    <w:rsid w:val="00EF2DBD"/>
    <w:rsid w:val="00EF2FF3"/>
    <w:rsid w:val="00EF326D"/>
    <w:rsid w:val="00EF336A"/>
    <w:rsid w:val="00EF34EB"/>
    <w:rsid w:val="00EF3BE6"/>
    <w:rsid w:val="00EF3C58"/>
    <w:rsid w:val="00EF3E14"/>
    <w:rsid w:val="00EF46EB"/>
    <w:rsid w:val="00EF4891"/>
    <w:rsid w:val="00EF4CBC"/>
    <w:rsid w:val="00EF4EBF"/>
    <w:rsid w:val="00EF50D8"/>
    <w:rsid w:val="00EF53A4"/>
    <w:rsid w:val="00EF57FC"/>
    <w:rsid w:val="00EF58BC"/>
    <w:rsid w:val="00EF5A57"/>
    <w:rsid w:val="00EF6181"/>
    <w:rsid w:val="00EF6953"/>
    <w:rsid w:val="00EF7208"/>
    <w:rsid w:val="00EF721A"/>
    <w:rsid w:val="00EF76BB"/>
    <w:rsid w:val="00EF7719"/>
    <w:rsid w:val="00EF7A60"/>
    <w:rsid w:val="00EF7CE2"/>
    <w:rsid w:val="00EF7DBC"/>
    <w:rsid w:val="00F0006D"/>
    <w:rsid w:val="00F001EF"/>
    <w:rsid w:val="00F0079B"/>
    <w:rsid w:val="00F00DAD"/>
    <w:rsid w:val="00F00DF1"/>
    <w:rsid w:val="00F010E1"/>
    <w:rsid w:val="00F0161E"/>
    <w:rsid w:val="00F016FA"/>
    <w:rsid w:val="00F0182F"/>
    <w:rsid w:val="00F01BB9"/>
    <w:rsid w:val="00F0204A"/>
    <w:rsid w:val="00F025A5"/>
    <w:rsid w:val="00F02B42"/>
    <w:rsid w:val="00F02B5B"/>
    <w:rsid w:val="00F03109"/>
    <w:rsid w:val="00F033A1"/>
    <w:rsid w:val="00F034B7"/>
    <w:rsid w:val="00F0363D"/>
    <w:rsid w:val="00F03832"/>
    <w:rsid w:val="00F03A25"/>
    <w:rsid w:val="00F040ED"/>
    <w:rsid w:val="00F042EB"/>
    <w:rsid w:val="00F044AF"/>
    <w:rsid w:val="00F04BDD"/>
    <w:rsid w:val="00F0523D"/>
    <w:rsid w:val="00F052AD"/>
    <w:rsid w:val="00F05CC8"/>
    <w:rsid w:val="00F05D4F"/>
    <w:rsid w:val="00F05E6C"/>
    <w:rsid w:val="00F05F75"/>
    <w:rsid w:val="00F065EF"/>
    <w:rsid w:val="00F06837"/>
    <w:rsid w:val="00F06872"/>
    <w:rsid w:val="00F0719C"/>
    <w:rsid w:val="00F073D5"/>
    <w:rsid w:val="00F07922"/>
    <w:rsid w:val="00F07FE0"/>
    <w:rsid w:val="00F10179"/>
    <w:rsid w:val="00F10195"/>
    <w:rsid w:val="00F1037F"/>
    <w:rsid w:val="00F104BB"/>
    <w:rsid w:val="00F10579"/>
    <w:rsid w:val="00F106D2"/>
    <w:rsid w:val="00F10C66"/>
    <w:rsid w:val="00F10CE4"/>
    <w:rsid w:val="00F10EE8"/>
    <w:rsid w:val="00F10FA7"/>
    <w:rsid w:val="00F1104C"/>
    <w:rsid w:val="00F1123B"/>
    <w:rsid w:val="00F11561"/>
    <w:rsid w:val="00F11622"/>
    <w:rsid w:val="00F116C9"/>
    <w:rsid w:val="00F11B77"/>
    <w:rsid w:val="00F11B9C"/>
    <w:rsid w:val="00F1221F"/>
    <w:rsid w:val="00F12285"/>
    <w:rsid w:val="00F124B5"/>
    <w:rsid w:val="00F12541"/>
    <w:rsid w:val="00F12660"/>
    <w:rsid w:val="00F12795"/>
    <w:rsid w:val="00F12A4A"/>
    <w:rsid w:val="00F12F0E"/>
    <w:rsid w:val="00F13292"/>
    <w:rsid w:val="00F13333"/>
    <w:rsid w:val="00F1333B"/>
    <w:rsid w:val="00F133C2"/>
    <w:rsid w:val="00F135E7"/>
    <w:rsid w:val="00F13812"/>
    <w:rsid w:val="00F13C51"/>
    <w:rsid w:val="00F13CBE"/>
    <w:rsid w:val="00F13D57"/>
    <w:rsid w:val="00F1409F"/>
    <w:rsid w:val="00F149A1"/>
    <w:rsid w:val="00F14B15"/>
    <w:rsid w:val="00F1540D"/>
    <w:rsid w:val="00F15655"/>
    <w:rsid w:val="00F15892"/>
    <w:rsid w:val="00F15D28"/>
    <w:rsid w:val="00F1615A"/>
    <w:rsid w:val="00F1662F"/>
    <w:rsid w:val="00F16772"/>
    <w:rsid w:val="00F16824"/>
    <w:rsid w:val="00F168B1"/>
    <w:rsid w:val="00F16A2D"/>
    <w:rsid w:val="00F16EEF"/>
    <w:rsid w:val="00F16F78"/>
    <w:rsid w:val="00F20280"/>
    <w:rsid w:val="00F206E9"/>
    <w:rsid w:val="00F209F1"/>
    <w:rsid w:val="00F20B1B"/>
    <w:rsid w:val="00F211BF"/>
    <w:rsid w:val="00F21262"/>
    <w:rsid w:val="00F2126E"/>
    <w:rsid w:val="00F21754"/>
    <w:rsid w:val="00F21B54"/>
    <w:rsid w:val="00F21D9A"/>
    <w:rsid w:val="00F21F0E"/>
    <w:rsid w:val="00F22021"/>
    <w:rsid w:val="00F2270A"/>
    <w:rsid w:val="00F229FC"/>
    <w:rsid w:val="00F22D85"/>
    <w:rsid w:val="00F22F44"/>
    <w:rsid w:val="00F23063"/>
    <w:rsid w:val="00F2365D"/>
    <w:rsid w:val="00F2396A"/>
    <w:rsid w:val="00F23AE1"/>
    <w:rsid w:val="00F24892"/>
    <w:rsid w:val="00F24AB0"/>
    <w:rsid w:val="00F2505B"/>
    <w:rsid w:val="00F25454"/>
    <w:rsid w:val="00F2597F"/>
    <w:rsid w:val="00F25C26"/>
    <w:rsid w:val="00F25DC9"/>
    <w:rsid w:val="00F25DFA"/>
    <w:rsid w:val="00F26B0B"/>
    <w:rsid w:val="00F26CD1"/>
    <w:rsid w:val="00F26EF1"/>
    <w:rsid w:val="00F270A4"/>
    <w:rsid w:val="00F272EE"/>
    <w:rsid w:val="00F272F2"/>
    <w:rsid w:val="00F275A1"/>
    <w:rsid w:val="00F27713"/>
    <w:rsid w:val="00F277E0"/>
    <w:rsid w:val="00F27848"/>
    <w:rsid w:val="00F27921"/>
    <w:rsid w:val="00F27AE3"/>
    <w:rsid w:val="00F27B8F"/>
    <w:rsid w:val="00F27BA6"/>
    <w:rsid w:val="00F30037"/>
    <w:rsid w:val="00F303F5"/>
    <w:rsid w:val="00F3049B"/>
    <w:rsid w:val="00F304E5"/>
    <w:rsid w:val="00F3079C"/>
    <w:rsid w:val="00F309E5"/>
    <w:rsid w:val="00F30B4E"/>
    <w:rsid w:val="00F30BE4"/>
    <w:rsid w:val="00F31503"/>
    <w:rsid w:val="00F316DF"/>
    <w:rsid w:val="00F31C45"/>
    <w:rsid w:val="00F31C58"/>
    <w:rsid w:val="00F31EEA"/>
    <w:rsid w:val="00F31F3F"/>
    <w:rsid w:val="00F31F89"/>
    <w:rsid w:val="00F3282A"/>
    <w:rsid w:val="00F32863"/>
    <w:rsid w:val="00F32F66"/>
    <w:rsid w:val="00F32FD9"/>
    <w:rsid w:val="00F338C1"/>
    <w:rsid w:val="00F33939"/>
    <w:rsid w:val="00F33956"/>
    <w:rsid w:val="00F33D8B"/>
    <w:rsid w:val="00F34986"/>
    <w:rsid w:val="00F34C06"/>
    <w:rsid w:val="00F34CA6"/>
    <w:rsid w:val="00F34FF0"/>
    <w:rsid w:val="00F35135"/>
    <w:rsid w:val="00F351A7"/>
    <w:rsid w:val="00F35749"/>
    <w:rsid w:val="00F3585C"/>
    <w:rsid w:val="00F35B43"/>
    <w:rsid w:val="00F35D02"/>
    <w:rsid w:val="00F35E1E"/>
    <w:rsid w:val="00F35E35"/>
    <w:rsid w:val="00F3612A"/>
    <w:rsid w:val="00F36295"/>
    <w:rsid w:val="00F36473"/>
    <w:rsid w:val="00F36793"/>
    <w:rsid w:val="00F36D64"/>
    <w:rsid w:val="00F36EC8"/>
    <w:rsid w:val="00F36FD2"/>
    <w:rsid w:val="00F37273"/>
    <w:rsid w:val="00F375F5"/>
    <w:rsid w:val="00F377D4"/>
    <w:rsid w:val="00F3783A"/>
    <w:rsid w:val="00F3784A"/>
    <w:rsid w:val="00F3798D"/>
    <w:rsid w:val="00F37C1E"/>
    <w:rsid w:val="00F37CDE"/>
    <w:rsid w:val="00F37CEF"/>
    <w:rsid w:val="00F37EAA"/>
    <w:rsid w:val="00F40163"/>
    <w:rsid w:val="00F401CE"/>
    <w:rsid w:val="00F404F3"/>
    <w:rsid w:val="00F40B47"/>
    <w:rsid w:val="00F4153E"/>
    <w:rsid w:val="00F41DBC"/>
    <w:rsid w:val="00F424EC"/>
    <w:rsid w:val="00F42600"/>
    <w:rsid w:val="00F429C2"/>
    <w:rsid w:val="00F42AEF"/>
    <w:rsid w:val="00F42B27"/>
    <w:rsid w:val="00F42CF1"/>
    <w:rsid w:val="00F42E93"/>
    <w:rsid w:val="00F4325F"/>
    <w:rsid w:val="00F43320"/>
    <w:rsid w:val="00F4336F"/>
    <w:rsid w:val="00F4377D"/>
    <w:rsid w:val="00F4388F"/>
    <w:rsid w:val="00F43EB1"/>
    <w:rsid w:val="00F43F63"/>
    <w:rsid w:val="00F4476D"/>
    <w:rsid w:val="00F447AC"/>
    <w:rsid w:val="00F4490B"/>
    <w:rsid w:val="00F44B98"/>
    <w:rsid w:val="00F44DF7"/>
    <w:rsid w:val="00F44E05"/>
    <w:rsid w:val="00F45062"/>
    <w:rsid w:val="00F4524D"/>
    <w:rsid w:val="00F45737"/>
    <w:rsid w:val="00F45864"/>
    <w:rsid w:val="00F45AD6"/>
    <w:rsid w:val="00F45CC7"/>
    <w:rsid w:val="00F45DD9"/>
    <w:rsid w:val="00F4649C"/>
    <w:rsid w:val="00F4669A"/>
    <w:rsid w:val="00F4683C"/>
    <w:rsid w:val="00F469CE"/>
    <w:rsid w:val="00F46F12"/>
    <w:rsid w:val="00F4717C"/>
    <w:rsid w:val="00F47484"/>
    <w:rsid w:val="00F4750E"/>
    <w:rsid w:val="00F47664"/>
    <w:rsid w:val="00F5027C"/>
    <w:rsid w:val="00F5039D"/>
    <w:rsid w:val="00F504CC"/>
    <w:rsid w:val="00F50A39"/>
    <w:rsid w:val="00F50B11"/>
    <w:rsid w:val="00F50B4E"/>
    <w:rsid w:val="00F50E4F"/>
    <w:rsid w:val="00F514CD"/>
    <w:rsid w:val="00F51A49"/>
    <w:rsid w:val="00F51B1A"/>
    <w:rsid w:val="00F51BBE"/>
    <w:rsid w:val="00F51C71"/>
    <w:rsid w:val="00F51F29"/>
    <w:rsid w:val="00F524F8"/>
    <w:rsid w:val="00F525C4"/>
    <w:rsid w:val="00F5268E"/>
    <w:rsid w:val="00F527A6"/>
    <w:rsid w:val="00F5296B"/>
    <w:rsid w:val="00F529C7"/>
    <w:rsid w:val="00F52A6D"/>
    <w:rsid w:val="00F52AC2"/>
    <w:rsid w:val="00F532FC"/>
    <w:rsid w:val="00F53562"/>
    <w:rsid w:val="00F53890"/>
    <w:rsid w:val="00F53AA1"/>
    <w:rsid w:val="00F53AFE"/>
    <w:rsid w:val="00F53D17"/>
    <w:rsid w:val="00F54042"/>
    <w:rsid w:val="00F540EE"/>
    <w:rsid w:val="00F542D5"/>
    <w:rsid w:val="00F54463"/>
    <w:rsid w:val="00F545A2"/>
    <w:rsid w:val="00F545A4"/>
    <w:rsid w:val="00F54A59"/>
    <w:rsid w:val="00F54A9D"/>
    <w:rsid w:val="00F54BF9"/>
    <w:rsid w:val="00F54E1B"/>
    <w:rsid w:val="00F54FC1"/>
    <w:rsid w:val="00F55128"/>
    <w:rsid w:val="00F55302"/>
    <w:rsid w:val="00F55B2B"/>
    <w:rsid w:val="00F55CDA"/>
    <w:rsid w:val="00F55E9A"/>
    <w:rsid w:val="00F5615D"/>
    <w:rsid w:val="00F562ED"/>
    <w:rsid w:val="00F56A03"/>
    <w:rsid w:val="00F56A8D"/>
    <w:rsid w:val="00F56BE5"/>
    <w:rsid w:val="00F56DAC"/>
    <w:rsid w:val="00F56DB3"/>
    <w:rsid w:val="00F570B8"/>
    <w:rsid w:val="00F5715C"/>
    <w:rsid w:val="00F57628"/>
    <w:rsid w:val="00F576E1"/>
    <w:rsid w:val="00F577D8"/>
    <w:rsid w:val="00F57802"/>
    <w:rsid w:val="00F578B3"/>
    <w:rsid w:val="00F57B6D"/>
    <w:rsid w:val="00F57F22"/>
    <w:rsid w:val="00F60302"/>
    <w:rsid w:val="00F60B78"/>
    <w:rsid w:val="00F60CC4"/>
    <w:rsid w:val="00F60E09"/>
    <w:rsid w:val="00F60F5B"/>
    <w:rsid w:val="00F60F6B"/>
    <w:rsid w:val="00F61277"/>
    <w:rsid w:val="00F6165B"/>
    <w:rsid w:val="00F618E4"/>
    <w:rsid w:val="00F61B3D"/>
    <w:rsid w:val="00F61B62"/>
    <w:rsid w:val="00F61CD3"/>
    <w:rsid w:val="00F61D42"/>
    <w:rsid w:val="00F61E65"/>
    <w:rsid w:val="00F61F8A"/>
    <w:rsid w:val="00F621FB"/>
    <w:rsid w:val="00F62449"/>
    <w:rsid w:val="00F624D6"/>
    <w:rsid w:val="00F626DD"/>
    <w:rsid w:val="00F6274F"/>
    <w:rsid w:val="00F62925"/>
    <w:rsid w:val="00F62A61"/>
    <w:rsid w:val="00F62D02"/>
    <w:rsid w:val="00F62D17"/>
    <w:rsid w:val="00F62D65"/>
    <w:rsid w:val="00F62E9A"/>
    <w:rsid w:val="00F62FBB"/>
    <w:rsid w:val="00F63100"/>
    <w:rsid w:val="00F63237"/>
    <w:rsid w:val="00F63250"/>
    <w:rsid w:val="00F632EA"/>
    <w:rsid w:val="00F634A5"/>
    <w:rsid w:val="00F634F6"/>
    <w:rsid w:val="00F63A9B"/>
    <w:rsid w:val="00F63DD2"/>
    <w:rsid w:val="00F64109"/>
    <w:rsid w:val="00F64219"/>
    <w:rsid w:val="00F6474D"/>
    <w:rsid w:val="00F647FC"/>
    <w:rsid w:val="00F64C1D"/>
    <w:rsid w:val="00F64E14"/>
    <w:rsid w:val="00F64E25"/>
    <w:rsid w:val="00F65387"/>
    <w:rsid w:val="00F65423"/>
    <w:rsid w:val="00F65695"/>
    <w:rsid w:val="00F65A82"/>
    <w:rsid w:val="00F65F0B"/>
    <w:rsid w:val="00F661F4"/>
    <w:rsid w:val="00F6659E"/>
    <w:rsid w:val="00F6663E"/>
    <w:rsid w:val="00F66713"/>
    <w:rsid w:val="00F6671A"/>
    <w:rsid w:val="00F670BE"/>
    <w:rsid w:val="00F673B9"/>
    <w:rsid w:val="00F674A8"/>
    <w:rsid w:val="00F67565"/>
    <w:rsid w:val="00F67837"/>
    <w:rsid w:val="00F679B9"/>
    <w:rsid w:val="00F67D6F"/>
    <w:rsid w:val="00F67DE3"/>
    <w:rsid w:val="00F67EB2"/>
    <w:rsid w:val="00F70908"/>
    <w:rsid w:val="00F70BFD"/>
    <w:rsid w:val="00F70F8B"/>
    <w:rsid w:val="00F711DD"/>
    <w:rsid w:val="00F7135E"/>
    <w:rsid w:val="00F714FF"/>
    <w:rsid w:val="00F7168B"/>
    <w:rsid w:val="00F7182D"/>
    <w:rsid w:val="00F71980"/>
    <w:rsid w:val="00F719BD"/>
    <w:rsid w:val="00F71A18"/>
    <w:rsid w:val="00F71BB2"/>
    <w:rsid w:val="00F71CBC"/>
    <w:rsid w:val="00F71F7A"/>
    <w:rsid w:val="00F7212D"/>
    <w:rsid w:val="00F721AE"/>
    <w:rsid w:val="00F725DD"/>
    <w:rsid w:val="00F72871"/>
    <w:rsid w:val="00F72A3D"/>
    <w:rsid w:val="00F72BA7"/>
    <w:rsid w:val="00F72CC7"/>
    <w:rsid w:val="00F73206"/>
    <w:rsid w:val="00F7322D"/>
    <w:rsid w:val="00F7353C"/>
    <w:rsid w:val="00F74222"/>
    <w:rsid w:val="00F7436D"/>
    <w:rsid w:val="00F74AF0"/>
    <w:rsid w:val="00F74F02"/>
    <w:rsid w:val="00F75178"/>
    <w:rsid w:val="00F751A2"/>
    <w:rsid w:val="00F75405"/>
    <w:rsid w:val="00F75A20"/>
    <w:rsid w:val="00F7611E"/>
    <w:rsid w:val="00F7664B"/>
    <w:rsid w:val="00F76918"/>
    <w:rsid w:val="00F76A74"/>
    <w:rsid w:val="00F76D0F"/>
    <w:rsid w:val="00F76DC9"/>
    <w:rsid w:val="00F76EB6"/>
    <w:rsid w:val="00F76F1B"/>
    <w:rsid w:val="00F7774C"/>
    <w:rsid w:val="00F80748"/>
    <w:rsid w:val="00F80A83"/>
    <w:rsid w:val="00F80B11"/>
    <w:rsid w:val="00F80BAF"/>
    <w:rsid w:val="00F811CE"/>
    <w:rsid w:val="00F813C6"/>
    <w:rsid w:val="00F8140E"/>
    <w:rsid w:val="00F818EF"/>
    <w:rsid w:val="00F81E7E"/>
    <w:rsid w:val="00F82010"/>
    <w:rsid w:val="00F821E0"/>
    <w:rsid w:val="00F827FC"/>
    <w:rsid w:val="00F82B0F"/>
    <w:rsid w:val="00F82B8E"/>
    <w:rsid w:val="00F82BEB"/>
    <w:rsid w:val="00F82E64"/>
    <w:rsid w:val="00F82F14"/>
    <w:rsid w:val="00F83062"/>
    <w:rsid w:val="00F83581"/>
    <w:rsid w:val="00F839C7"/>
    <w:rsid w:val="00F83CE9"/>
    <w:rsid w:val="00F83E89"/>
    <w:rsid w:val="00F83F1C"/>
    <w:rsid w:val="00F8465C"/>
    <w:rsid w:val="00F84AA9"/>
    <w:rsid w:val="00F85364"/>
    <w:rsid w:val="00F85590"/>
    <w:rsid w:val="00F85865"/>
    <w:rsid w:val="00F861D6"/>
    <w:rsid w:val="00F86842"/>
    <w:rsid w:val="00F87118"/>
    <w:rsid w:val="00F87242"/>
    <w:rsid w:val="00F87604"/>
    <w:rsid w:val="00F900CD"/>
    <w:rsid w:val="00F90223"/>
    <w:rsid w:val="00F9025F"/>
    <w:rsid w:val="00F90290"/>
    <w:rsid w:val="00F9034E"/>
    <w:rsid w:val="00F904A1"/>
    <w:rsid w:val="00F90518"/>
    <w:rsid w:val="00F90B48"/>
    <w:rsid w:val="00F90E0A"/>
    <w:rsid w:val="00F90F45"/>
    <w:rsid w:val="00F91140"/>
    <w:rsid w:val="00F91304"/>
    <w:rsid w:val="00F913D5"/>
    <w:rsid w:val="00F91544"/>
    <w:rsid w:val="00F91758"/>
    <w:rsid w:val="00F91C5E"/>
    <w:rsid w:val="00F91E1A"/>
    <w:rsid w:val="00F924A7"/>
    <w:rsid w:val="00F9289C"/>
    <w:rsid w:val="00F92D48"/>
    <w:rsid w:val="00F92F30"/>
    <w:rsid w:val="00F93174"/>
    <w:rsid w:val="00F932CB"/>
    <w:rsid w:val="00F9368D"/>
    <w:rsid w:val="00F938D1"/>
    <w:rsid w:val="00F938DC"/>
    <w:rsid w:val="00F93BBB"/>
    <w:rsid w:val="00F93C09"/>
    <w:rsid w:val="00F94B7F"/>
    <w:rsid w:val="00F94DE3"/>
    <w:rsid w:val="00F94FBB"/>
    <w:rsid w:val="00F9579D"/>
    <w:rsid w:val="00F95A13"/>
    <w:rsid w:val="00F95C17"/>
    <w:rsid w:val="00F95C47"/>
    <w:rsid w:val="00F95ED9"/>
    <w:rsid w:val="00F96040"/>
    <w:rsid w:val="00F961AA"/>
    <w:rsid w:val="00F961C1"/>
    <w:rsid w:val="00F963F3"/>
    <w:rsid w:val="00F966E3"/>
    <w:rsid w:val="00F966F7"/>
    <w:rsid w:val="00F96B17"/>
    <w:rsid w:val="00F96D90"/>
    <w:rsid w:val="00F971B8"/>
    <w:rsid w:val="00F97580"/>
    <w:rsid w:val="00F979ED"/>
    <w:rsid w:val="00F97A1F"/>
    <w:rsid w:val="00F97C3A"/>
    <w:rsid w:val="00F97F23"/>
    <w:rsid w:val="00FA0165"/>
    <w:rsid w:val="00FA02A0"/>
    <w:rsid w:val="00FA0456"/>
    <w:rsid w:val="00FA08AB"/>
    <w:rsid w:val="00FA0B16"/>
    <w:rsid w:val="00FA0FC4"/>
    <w:rsid w:val="00FA11E8"/>
    <w:rsid w:val="00FA15CC"/>
    <w:rsid w:val="00FA1A2E"/>
    <w:rsid w:val="00FA1AC4"/>
    <w:rsid w:val="00FA1DEA"/>
    <w:rsid w:val="00FA2249"/>
    <w:rsid w:val="00FA23A2"/>
    <w:rsid w:val="00FA24B8"/>
    <w:rsid w:val="00FA24C2"/>
    <w:rsid w:val="00FA24E0"/>
    <w:rsid w:val="00FA29D4"/>
    <w:rsid w:val="00FA2D5A"/>
    <w:rsid w:val="00FA2F79"/>
    <w:rsid w:val="00FA3000"/>
    <w:rsid w:val="00FA3406"/>
    <w:rsid w:val="00FA3912"/>
    <w:rsid w:val="00FA3DFB"/>
    <w:rsid w:val="00FA429A"/>
    <w:rsid w:val="00FA436E"/>
    <w:rsid w:val="00FA4447"/>
    <w:rsid w:val="00FA4469"/>
    <w:rsid w:val="00FA4A82"/>
    <w:rsid w:val="00FA4E46"/>
    <w:rsid w:val="00FA4EB0"/>
    <w:rsid w:val="00FA5148"/>
    <w:rsid w:val="00FA55E2"/>
    <w:rsid w:val="00FA5A84"/>
    <w:rsid w:val="00FA5B19"/>
    <w:rsid w:val="00FA5C44"/>
    <w:rsid w:val="00FA5F82"/>
    <w:rsid w:val="00FA602F"/>
    <w:rsid w:val="00FA6A25"/>
    <w:rsid w:val="00FA6A32"/>
    <w:rsid w:val="00FA719A"/>
    <w:rsid w:val="00FA7328"/>
    <w:rsid w:val="00FA7B54"/>
    <w:rsid w:val="00FB04B4"/>
    <w:rsid w:val="00FB066F"/>
    <w:rsid w:val="00FB067C"/>
    <w:rsid w:val="00FB081F"/>
    <w:rsid w:val="00FB09C4"/>
    <w:rsid w:val="00FB0A22"/>
    <w:rsid w:val="00FB0F78"/>
    <w:rsid w:val="00FB1113"/>
    <w:rsid w:val="00FB1271"/>
    <w:rsid w:val="00FB12EE"/>
    <w:rsid w:val="00FB1430"/>
    <w:rsid w:val="00FB1A5B"/>
    <w:rsid w:val="00FB1C8F"/>
    <w:rsid w:val="00FB1EAA"/>
    <w:rsid w:val="00FB22EE"/>
    <w:rsid w:val="00FB23DD"/>
    <w:rsid w:val="00FB2606"/>
    <w:rsid w:val="00FB281B"/>
    <w:rsid w:val="00FB2C61"/>
    <w:rsid w:val="00FB2D70"/>
    <w:rsid w:val="00FB34D4"/>
    <w:rsid w:val="00FB38F6"/>
    <w:rsid w:val="00FB3A53"/>
    <w:rsid w:val="00FB3B7A"/>
    <w:rsid w:val="00FB3C8A"/>
    <w:rsid w:val="00FB3F05"/>
    <w:rsid w:val="00FB48D0"/>
    <w:rsid w:val="00FB4B3E"/>
    <w:rsid w:val="00FB50EC"/>
    <w:rsid w:val="00FB51BD"/>
    <w:rsid w:val="00FB5339"/>
    <w:rsid w:val="00FB53EC"/>
    <w:rsid w:val="00FB5590"/>
    <w:rsid w:val="00FB5D0D"/>
    <w:rsid w:val="00FB75C9"/>
    <w:rsid w:val="00FB7666"/>
    <w:rsid w:val="00FB7A97"/>
    <w:rsid w:val="00FB7B99"/>
    <w:rsid w:val="00FB7DDD"/>
    <w:rsid w:val="00FB7E97"/>
    <w:rsid w:val="00FB7F91"/>
    <w:rsid w:val="00FC005B"/>
    <w:rsid w:val="00FC016F"/>
    <w:rsid w:val="00FC0342"/>
    <w:rsid w:val="00FC04BD"/>
    <w:rsid w:val="00FC0907"/>
    <w:rsid w:val="00FC0AF3"/>
    <w:rsid w:val="00FC0B14"/>
    <w:rsid w:val="00FC0BD0"/>
    <w:rsid w:val="00FC0D03"/>
    <w:rsid w:val="00FC0D5E"/>
    <w:rsid w:val="00FC0DDF"/>
    <w:rsid w:val="00FC141D"/>
    <w:rsid w:val="00FC146C"/>
    <w:rsid w:val="00FC18AA"/>
    <w:rsid w:val="00FC1A3D"/>
    <w:rsid w:val="00FC1C3D"/>
    <w:rsid w:val="00FC221C"/>
    <w:rsid w:val="00FC232E"/>
    <w:rsid w:val="00FC2453"/>
    <w:rsid w:val="00FC26F7"/>
    <w:rsid w:val="00FC290F"/>
    <w:rsid w:val="00FC2BE9"/>
    <w:rsid w:val="00FC2EDD"/>
    <w:rsid w:val="00FC2EF8"/>
    <w:rsid w:val="00FC2FFE"/>
    <w:rsid w:val="00FC3072"/>
    <w:rsid w:val="00FC3638"/>
    <w:rsid w:val="00FC3759"/>
    <w:rsid w:val="00FC3B4B"/>
    <w:rsid w:val="00FC3E9F"/>
    <w:rsid w:val="00FC4016"/>
    <w:rsid w:val="00FC4385"/>
    <w:rsid w:val="00FC4387"/>
    <w:rsid w:val="00FC44D3"/>
    <w:rsid w:val="00FC44E2"/>
    <w:rsid w:val="00FC48C9"/>
    <w:rsid w:val="00FC4E90"/>
    <w:rsid w:val="00FC50E3"/>
    <w:rsid w:val="00FC543F"/>
    <w:rsid w:val="00FC5C7A"/>
    <w:rsid w:val="00FC5CA4"/>
    <w:rsid w:val="00FC5CB7"/>
    <w:rsid w:val="00FC5D82"/>
    <w:rsid w:val="00FC5E9B"/>
    <w:rsid w:val="00FC5FCF"/>
    <w:rsid w:val="00FC62AF"/>
    <w:rsid w:val="00FC6651"/>
    <w:rsid w:val="00FC6871"/>
    <w:rsid w:val="00FC6973"/>
    <w:rsid w:val="00FC6C56"/>
    <w:rsid w:val="00FC6E9A"/>
    <w:rsid w:val="00FC77D2"/>
    <w:rsid w:val="00FD00C3"/>
    <w:rsid w:val="00FD06A8"/>
    <w:rsid w:val="00FD0B76"/>
    <w:rsid w:val="00FD0CBC"/>
    <w:rsid w:val="00FD0F46"/>
    <w:rsid w:val="00FD0F87"/>
    <w:rsid w:val="00FD103E"/>
    <w:rsid w:val="00FD1302"/>
    <w:rsid w:val="00FD132E"/>
    <w:rsid w:val="00FD16C4"/>
    <w:rsid w:val="00FD174A"/>
    <w:rsid w:val="00FD190C"/>
    <w:rsid w:val="00FD1B7B"/>
    <w:rsid w:val="00FD2074"/>
    <w:rsid w:val="00FD2217"/>
    <w:rsid w:val="00FD2390"/>
    <w:rsid w:val="00FD24B8"/>
    <w:rsid w:val="00FD27E3"/>
    <w:rsid w:val="00FD2860"/>
    <w:rsid w:val="00FD29E5"/>
    <w:rsid w:val="00FD2ACC"/>
    <w:rsid w:val="00FD2DBA"/>
    <w:rsid w:val="00FD2EFA"/>
    <w:rsid w:val="00FD2F84"/>
    <w:rsid w:val="00FD35B6"/>
    <w:rsid w:val="00FD366E"/>
    <w:rsid w:val="00FD3B4E"/>
    <w:rsid w:val="00FD3E4C"/>
    <w:rsid w:val="00FD3FCF"/>
    <w:rsid w:val="00FD403F"/>
    <w:rsid w:val="00FD46E0"/>
    <w:rsid w:val="00FD4715"/>
    <w:rsid w:val="00FD4933"/>
    <w:rsid w:val="00FD49A7"/>
    <w:rsid w:val="00FD4D5A"/>
    <w:rsid w:val="00FD52CD"/>
    <w:rsid w:val="00FD5C1C"/>
    <w:rsid w:val="00FD5E8B"/>
    <w:rsid w:val="00FD6A37"/>
    <w:rsid w:val="00FD6DB1"/>
    <w:rsid w:val="00FD6EED"/>
    <w:rsid w:val="00FD6FC4"/>
    <w:rsid w:val="00FD71E5"/>
    <w:rsid w:val="00FD7678"/>
    <w:rsid w:val="00FD76CD"/>
    <w:rsid w:val="00FD7892"/>
    <w:rsid w:val="00FD78F0"/>
    <w:rsid w:val="00FE000D"/>
    <w:rsid w:val="00FE0417"/>
    <w:rsid w:val="00FE0518"/>
    <w:rsid w:val="00FE0AD3"/>
    <w:rsid w:val="00FE0BD4"/>
    <w:rsid w:val="00FE0CAE"/>
    <w:rsid w:val="00FE0CE5"/>
    <w:rsid w:val="00FE0D04"/>
    <w:rsid w:val="00FE0D6A"/>
    <w:rsid w:val="00FE1ADB"/>
    <w:rsid w:val="00FE23B0"/>
    <w:rsid w:val="00FE3003"/>
    <w:rsid w:val="00FE300D"/>
    <w:rsid w:val="00FE30C0"/>
    <w:rsid w:val="00FE38D7"/>
    <w:rsid w:val="00FE3C01"/>
    <w:rsid w:val="00FE3CDD"/>
    <w:rsid w:val="00FE3DA7"/>
    <w:rsid w:val="00FE4A40"/>
    <w:rsid w:val="00FE4FA7"/>
    <w:rsid w:val="00FE502C"/>
    <w:rsid w:val="00FE50D3"/>
    <w:rsid w:val="00FE51A5"/>
    <w:rsid w:val="00FE51F6"/>
    <w:rsid w:val="00FE53EF"/>
    <w:rsid w:val="00FE5618"/>
    <w:rsid w:val="00FE5A94"/>
    <w:rsid w:val="00FE5C50"/>
    <w:rsid w:val="00FE5D89"/>
    <w:rsid w:val="00FE5E80"/>
    <w:rsid w:val="00FE62A6"/>
    <w:rsid w:val="00FE66E7"/>
    <w:rsid w:val="00FE67E0"/>
    <w:rsid w:val="00FE6933"/>
    <w:rsid w:val="00FE696C"/>
    <w:rsid w:val="00FE6B59"/>
    <w:rsid w:val="00FE6DD8"/>
    <w:rsid w:val="00FE6FFB"/>
    <w:rsid w:val="00FE70F6"/>
    <w:rsid w:val="00FE7A1D"/>
    <w:rsid w:val="00FF00F4"/>
    <w:rsid w:val="00FF05D9"/>
    <w:rsid w:val="00FF060D"/>
    <w:rsid w:val="00FF06A1"/>
    <w:rsid w:val="00FF0F9F"/>
    <w:rsid w:val="00FF11BE"/>
    <w:rsid w:val="00FF15A3"/>
    <w:rsid w:val="00FF186C"/>
    <w:rsid w:val="00FF187D"/>
    <w:rsid w:val="00FF223F"/>
    <w:rsid w:val="00FF2258"/>
    <w:rsid w:val="00FF246C"/>
    <w:rsid w:val="00FF2526"/>
    <w:rsid w:val="00FF26E0"/>
    <w:rsid w:val="00FF27E1"/>
    <w:rsid w:val="00FF29E6"/>
    <w:rsid w:val="00FF2D43"/>
    <w:rsid w:val="00FF2DE1"/>
    <w:rsid w:val="00FF2FFF"/>
    <w:rsid w:val="00FF31E8"/>
    <w:rsid w:val="00FF3306"/>
    <w:rsid w:val="00FF3381"/>
    <w:rsid w:val="00FF35A9"/>
    <w:rsid w:val="00FF35CF"/>
    <w:rsid w:val="00FF38DD"/>
    <w:rsid w:val="00FF38FB"/>
    <w:rsid w:val="00FF3E6C"/>
    <w:rsid w:val="00FF4111"/>
    <w:rsid w:val="00FF4494"/>
    <w:rsid w:val="00FF4CA3"/>
    <w:rsid w:val="00FF4EED"/>
    <w:rsid w:val="00FF55B2"/>
    <w:rsid w:val="00FF5605"/>
    <w:rsid w:val="00FF59EF"/>
    <w:rsid w:val="00FF5CBE"/>
    <w:rsid w:val="00FF5E05"/>
    <w:rsid w:val="00FF5F15"/>
    <w:rsid w:val="00FF5F61"/>
    <w:rsid w:val="00FF635F"/>
    <w:rsid w:val="00FF669A"/>
    <w:rsid w:val="00FF6885"/>
    <w:rsid w:val="00FF6EAF"/>
    <w:rsid w:val="00FF7360"/>
    <w:rsid w:val="00FF7785"/>
    <w:rsid w:val="00FF7E6D"/>
    <w:rsid w:val="00FF7FC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2"/>
    </o:shapelayout>
  </w:shapeDefaults>
  <w:decimalSymbol w:val="."/>
  <w:listSeparator w:val=","/>
  <w14:docId w14:val="3B7A9D35"/>
  <w15:chartTrackingRefBased/>
  <w15:docId w15:val="{10366745-7E10-4BEC-8CF3-47A394706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iPriority="0"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qFormat="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5" w:unhideWhenUsed="1"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565C2"/>
    <w:pPr>
      <w:keepNext/>
      <w:spacing w:after="0" w:line="240" w:lineRule="auto"/>
      <w:jc w:val="center"/>
      <w:outlineLvl w:val="0"/>
    </w:pPr>
    <w:rPr>
      <w:rFonts w:ascii="Arial" w:eastAsia="Times New Roman" w:hAnsi="Arial" w:cs="Times New Roman"/>
      <w:b/>
      <w:kern w:val="28"/>
      <w:sz w:val="20"/>
      <w:szCs w:val="20"/>
      <w14:ligatures w14:val="none"/>
    </w:rPr>
  </w:style>
  <w:style w:type="paragraph" w:styleId="Heading2">
    <w:name w:val="heading 2"/>
    <w:basedOn w:val="Normal"/>
    <w:next w:val="Normal"/>
    <w:link w:val="Heading2Char"/>
    <w:qFormat/>
    <w:rsid w:val="00D565C2"/>
    <w:pPr>
      <w:keepNext/>
      <w:numPr>
        <w:ilvl w:val="1"/>
        <w:numId w:val="1"/>
      </w:numPr>
      <w:spacing w:before="240" w:after="60" w:line="240" w:lineRule="auto"/>
      <w:outlineLvl w:val="1"/>
    </w:pPr>
    <w:rPr>
      <w:rFonts w:ascii="Arial" w:eastAsia="Times New Roman" w:hAnsi="Arial" w:cs="Times New Roman"/>
      <w:b/>
      <w:i/>
      <w:kern w:val="0"/>
      <w:sz w:val="24"/>
      <w:szCs w:val="20"/>
      <w14:ligatures w14:val="none"/>
    </w:rPr>
  </w:style>
  <w:style w:type="paragraph" w:styleId="Heading3">
    <w:name w:val="heading 3"/>
    <w:basedOn w:val="Normal"/>
    <w:next w:val="Normal"/>
    <w:link w:val="Heading3Char"/>
    <w:uiPriority w:val="9"/>
    <w:qFormat/>
    <w:rsid w:val="00D565C2"/>
    <w:pPr>
      <w:keepNext/>
      <w:numPr>
        <w:ilvl w:val="2"/>
        <w:numId w:val="1"/>
      </w:numPr>
      <w:spacing w:before="240" w:after="60" w:line="240" w:lineRule="auto"/>
      <w:outlineLvl w:val="2"/>
    </w:pPr>
    <w:rPr>
      <w:rFonts w:ascii="Arial" w:eastAsia="Times New Roman" w:hAnsi="Arial" w:cs="Times New Roman"/>
      <w:kern w:val="0"/>
      <w:sz w:val="24"/>
      <w:szCs w:val="20"/>
      <w14:ligatures w14:val="none"/>
    </w:rPr>
  </w:style>
  <w:style w:type="paragraph" w:styleId="Heading4">
    <w:name w:val="heading 4"/>
    <w:basedOn w:val="Normal"/>
    <w:next w:val="Normal"/>
    <w:link w:val="Heading4Char"/>
    <w:qFormat/>
    <w:rsid w:val="00D565C2"/>
    <w:pPr>
      <w:keepNext/>
      <w:numPr>
        <w:ilvl w:val="3"/>
        <w:numId w:val="1"/>
      </w:numPr>
      <w:spacing w:before="240" w:after="60" w:line="240" w:lineRule="auto"/>
      <w:outlineLvl w:val="3"/>
    </w:pPr>
    <w:rPr>
      <w:rFonts w:ascii="Arial" w:eastAsia="Times New Roman" w:hAnsi="Arial" w:cs="Times New Roman"/>
      <w:b/>
      <w:kern w:val="0"/>
      <w:sz w:val="24"/>
      <w:szCs w:val="20"/>
      <w14:ligatures w14:val="none"/>
    </w:rPr>
  </w:style>
  <w:style w:type="paragraph" w:styleId="Heading5">
    <w:name w:val="heading 5"/>
    <w:basedOn w:val="Normal"/>
    <w:next w:val="Normal"/>
    <w:link w:val="Heading5Char"/>
    <w:autoRedefine/>
    <w:qFormat/>
    <w:rsid w:val="00D565C2"/>
    <w:pPr>
      <w:numPr>
        <w:ilvl w:val="4"/>
        <w:numId w:val="1"/>
      </w:numPr>
      <w:spacing w:before="240" w:after="60" w:line="240" w:lineRule="auto"/>
      <w:outlineLvl w:val="4"/>
    </w:pPr>
    <w:rPr>
      <w:rFonts w:ascii="Arial" w:eastAsia="Times New Roman" w:hAnsi="Arial" w:cs="Times New Roman"/>
      <w:b/>
      <w:kern w:val="0"/>
      <w:sz w:val="20"/>
      <w:szCs w:val="20"/>
      <w14:ligatures w14:val="none"/>
    </w:rPr>
  </w:style>
  <w:style w:type="paragraph" w:styleId="Heading6">
    <w:name w:val="heading 6"/>
    <w:basedOn w:val="Normal"/>
    <w:next w:val="Normal"/>
    <w:link w:val="Heading6Char"/>
    <w:qFormat/>
    <w:rsid w:val="00D565C2"/>
    <w:pPr>
      <w:numPr>
        <w:ilvl w:val="5"/>
        <w:numId w:val="1"/>
      </w:numPr>
      <w:spacing w:before="240" w:after="60" w:line="240" w:lineRule="auto"/>
      <w:outlineLvl w:val="5"/>
    </w:pPr>
    <w:rPr>
      <w:rFonts w:ascii="Times New Roman" w:eastAsia="Times New Roman" w:hAnsi="Times New Roman" w:cs="Times New Roman"/>
      <w:i/>
      <w:kern w:val="0"/>
      <w:szCs w:val="20"/>
      <w14:ligatures w14:val="none"/>
    </w:rPr>
  </w:style>
  <w:style w:type="paragraph" w:styleId="Heading7">
    <w:name w:val="heading 7"/>
    <w:basedOn w:val="Normal"/>
    <w:next w:val="Normal"/>
    <w:link w:val="Heading7Char"/>
    <w:uiPriority w:val="99"/>
    <w:qFormat/>
    <w:rsid w:val="00D565C2"/>
    <w:pPr>
      <w:numPr>
        <w:ilvl w:val="6"/>
        <w:numId w:val="1"/>
      </w:numPr>
      <w:spacing w:before="240" w:after="60" w:line="240" w:lineRule="auto"/>
      <w:outlineLvl w:val="6"/>
    </w:pPr>
    <w:rPr>
      <w:rFonts w:ascii="Arial" w:eastAsia="Times New Roman" w:hAnsi="Arial" w:cs="Times New Roman"/>
      <w:kern w:val="0"/>
      <w:sz w:val="20"/>
      <w:szCs w:val="20"/>
      <w14:ligatures w14:val="none"/>
    </w:rPr>
  </w:style>
  <w:style w:type="paragraph" w:styleId="Heading8">
    <w:name w:val="heading 8"/>
    <w:basedOn w:val="Normal"/>
    <w:next w:val="Normal"/>
    <w:link w:val="Heading8Char"/>
    <w:uiPriority w:val="99"/>
    <w:qFormat/>
    <w:rsid w:val="00D565C2"/>
    <w:pPr>
      <w:numPr>
        <w:ilvl w:val="7"/>
        <w:numId w:val="1"/>
      </w:numPr>
      <w:spacing w:before="240" w:after="60" w:line="240" w:lineRule="auto"/>
      <w:outlineLvl w:val="7"/>
    </w:pPr>
    <w:rPr>
      <w:rFonts w:ascii="Arial" w:eastAsia="Times New Roman" w:hAnsi="Arial" w:cs="Times New Roman"/>
      <w:i/>
      <w:kern w:val="0"/>
      <w:sz w:val="20"/>
      <w:szCs w:val="20"/>
      <w14:ligatures w14:val="none"/>
    </w:rPr>
  </w:style>
  <w:style w:type="paragraph" w:styleId="Heading9">
    <w:name w:val="heading 9"/>
    <w:basedOn w:val="Normal"/>
    <w:next w:val="Normal"/>
    <w:link w:val="Heading9Char"/>
    <w:uiPriority w:val="99"/>
    <w:qFormat/>
    <w:rsid w:val="00D565C2"/>
    <w:pPr>
      <w:numPr>
        <w:ilvl w:val="8"/>
        <w:numId w:val="1"/>
      </w:numPr>
      <w:spacing w:before="240" w:after="60" w:line="240" w:lineRule="auto"/>
      <w:outlineLvl w:val="8"/>
    </w:pPr>
    <w:rPr>
      <w:rFonts w:ascii="Arial" w:eastAsia="Times New Roman" w:hAnsi="Arial" w:cs="Times New Roman"/>
      <w:b/>
      <w:i/>
      <w:kern w:val="0"/>
      <w:sz w:val="18"/>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KCCP">
    <w:name w:val="KCCP"/>
    <w:basedOn w:val="TableNormal"/>
    <w:uiPriority w:val="99"/>
    <w:rsid w:val="00395A99"/>
    <w:pPr>
      <w:spacing w:after="0" w:line="240" w:lineRule="auto"/>
    </w:pPr>
    <w:rPr>
      <w:rFonts w:ascii="Arial" w:hAnsi="Arial"/>
    </w:rPr>
    <w:tblPr/>
  </w:style>
  <w:style w:type="character" w:customStyle="1" w:styleId="Heading1Char">
    <w:name w:val="Heading 1 Char"/>
    <w:basedOn w:val="DefaultParagraphFont"/>
    <w:link w:val="Heading1"/>
    <w:uiPriority w:val="9"/>
    <w:rsid w:val="00D565C2"/>
    <w:rPr>
      <w:rFonts w:ascii="Arial" w:eastAsia="Times New Roman" w:hAnsi="Arial" w:cs="Times New Roman"/>
      <w:b/>
      <w:kern w:val="28"/>
      <w:sz w:val="20"/>
      <w:szCs w:val="20"/>
      <w14:ligatures w14:val="none"/>
    </w:rPr>
  </w:style>
  <w:style w:type="character" w:customStyle="1" w:styleId="Heading2Char">
    <w:name w:val="Heading 2 Char"/>
    <w:basedOn w:val="DefaultParagraphFont"/>
    <w:link w:val="Heading2"/>
    <w:rsid w:val="00D565C2"/>
    <w:rPr>
      <w:rFonts w:ascii="Arial" w:eastAsia="Times New Roman" w:hAnsi="Arial" w:cs="Times New Roman"/>
      <w:b/>
      <w:i/>
      <w:kern w:val="0"/>
      <w:sz w:val="24"/>
      <w:szCs w:val="20"/>
      <w14:ligatures w14:val="none"/>
    </w:rPr>
  </w:style>
  <w:style w:type="character" w:customStyle="1" w:styleId="Heading3Char">
    <w:name w:val="Heading 3 Char"/>
    <w:basedOn w:val="DefaultParagraphFont"/>
    <w:link w:val="Heading3"/>
    <w:uiPriority w:val="9"/>
    <w:rsid w:val="00D565C2"/>
    <w:rPr>
      <w:rFonts w:ascii="Arial" w:eastAsia="Times New Roman" w:hAnsi="Arial" w:cs="Times New Roman"/>
      <w:kern w:val="0"/>
      <w:sz w:val="24"/>
      <w:szCs w:val="20"/>
      <w14:ligatures w14:val="none"/>
    </w:rPr>
  </w:style>
  <w:style w:type="character" w:customStyle="1" w:styleId="Heading4Char">
    <w:name w:val="Heading 4 Char"/>
    <w:basedOn w:val="DefaultParagraphFont"/>
    <w:link w:val="Heading4"/>
    <w:rsid w:val="00D565C2"/>
    <w:rPr>
      <w:rFonts w:ascii="Arial" w:eastAsia="Times New Roman" w:hAnsi="Arial" w:cs="Times New Roman"/>
      <w:b/>
      <w:kern w:val="0"/>
      <w:sz w:val="24"/>
      <w:szCs w:val="20"/>
      <w14:ligatures w14:val="none"/>
    </w:rPr>
  </w:style>
  <w:style w:type="character" w:customStyle="1" w:styleId="Heading5Char">
    <w:name w:val="Heading 5 Char"/>
    <w:basedOn w:val="DefaultParagraphFont"/>
    <w:link w:val="Heading5"/>
    <w:rsid w:val="00D565C2"/>
    <w:rPr>
      <w:rFonts w:ascii="Arial" w:eastAsia="Times New Roman" w:hAnsi="Arial" w:cs="Times New Roman"/>
      <w:b/>
      <w:kern w:val="0"/>
      <w:sz w:val="20"/>
      <w:szCs w:val="20"/>
      <w14:ligatures w14:val="none"/>
    </w:rPr>
  </w:style>
  <w:style w:type="character" w:customStyle="1" w:styleId="Heading6Char">
    <w:name w:val="Heading 6 Char"/>
    <w:basedOn w:val="DefaultParagraphFont"/>
    <w:link w:val="Heading6"/>
    <w:rsid w:val="00D565C2"/>
    <w:rPr>
      <w:rFonts w:ascii="Times New Roman" w:eastAsia="Times New Roman" w:hAnsi="Times New Roman" w:cs="Times New Roman"/>
      <w:i/>
      <w:kern w:val="0"/>
      <w:szCs w:val="20"/>
      <w14:ligatures w14:val="none"/>
    </w:rPr>
  </w:style>
  <w:style w:type="character" w:customStyle="1" w:styleId="Heading7Char">
    <w:name w:val="Heading 7 Char"/>
    <w:basedOn w:val="DefaultParagraphFont"/>
    <w:link w:val="Heading7"/>
    <w:uiPriority w:val="99"/>
    <w:rsid w:val="00D565C2"/>
    <w:rPr>
      <w:rFonts w:ascii="Arial" w:eastAsia="Times New Roman" w:hAnsi="Arial" w:cs="Times New Roman"/>
      <w:kern w:val="0"/>
      <w:sz w:val="20"/>
      <w:szCs w:val="20"/>
      <w14:ligatures w14:val="none"/>
    </w:rPr>
  </w:style>
  <w:style w:type="character" w:customStyle="1" w:styleId="Heading8Char">
    <w:name w:val="Heading 8 Char"/>
    <w:basedOn w:val="DefaultParagraphFont"/>
    <w:link w:val="Heading8"/>
    <w:uiPriority w:val="99"/>
    <w:rsid w:val="00D565C2"/>
    <w:rPr>
      <w:rFonts w:ascii="Arial" w:eastAsia="Times New Roman" w:hAnsi="Arial" w:cs="Times New Roman"/>
      <w:i/>
      <w:kern w:val="0"/>
      <w:sz w:val="20"/>
      <w:szCs w:val="20"/>
      <w14:ligatures w14:val="none"/>
    </w:rPr>
  </w:style>
  <w:style w:type="character" w:customStyle="1" w:styleId="Heading9Char">
    <w:name w:val="Heading 9 Char"/>
    <w:basedOn w:val="DefaultParagraphFont"/>
    <w:link w:val="Heading9"/>
    <w:uiPriority w:val="99"/>
    <w:rsid w:val="00D565C2"/>
    <w:rPr>
      <w:rFonts w:ascii="Arial" w:eastAsia="Times New Roman" w:hAnsi="Arial" w:cs="Times New Roman"/>
      <w:b/>
      <w:i/>
      <w:kern w:val="0"/>
      <w:sz w:val="18"/>
      <w:szCs w:val="20"/>
      <w14:ligatures w14:val="none"/>
    </w:rPr>
  </w:style>
  <w:style w:type="numbering" w:customStyle="1" w:styleId="NoList1">
    <w:name w:val="No List1"/>
    <w:next w:val="NoList"/>
    <w:uiPriority w:val="99"/>
    <w:semiHidden/>
    <w:unhideWhenUsed/>
    <w:rsid w:val="00D565C2"/>
  </w:style>
  <w:style w:type="paragraph" w:customStyle="1" w:styleId="Normal0">
    <w:name w:val="[Normal]"/>
    <w:rsid w:val="00D565C2"/>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pPr>
    <w:rPr>
      <w:rFonts w:ascii="Times New Roman" w:eastAsia="Arial" w:hAnsi="Times New Roman" w:cs="Times New Roman"/>
      <w:kern w:val="0"/>
      <w:sz w:val="24"/>
      <w:szCs w:val="24"/>
      <w14:ligatures w14:val="none"/>
    </w:rPr>
  </w:style>
  <w:style w:type="paragraph" w:styleId="Header">
    <w:name w:val="header"/>
    <w:basedOn w:val="Normal"/>
    <w:link w:val="HeaderChar"/>
    <w:qFormat/>
    <w:rsid w:val="00D565C2"/>
    <w:pPr>
      <w:tabs>
        <w:tab w:val="center" w:pos="4680"/>
        <w:tab w:val="right" w:pos="9360"/>
      </w:tabs>
      <w:spacing w:after="0" w:line="240" w:lineRule="auto"/>
    </w:pPr>
    <w:rPr>
      <w:rFonts w:ascii="Times New Roman" w:eastAsia="Calibri" w:hAnsi="Times New Roman" w:cs="Times New Roman"/>
      <w:kern w:val="0"/>
      <w:sz w:val="24"/>
      <w14:ligatures w14:val="none"/>
    </w:rPr>
  </w:style>
  <w:style w:type="character" w:customStyle="1" w:styleId="HeaderChar">
    <w:name w:val="Header Char"/>
    <w:basedOn w:val="DefaultParagraphFont"/>
    <w:link w:val="Header"/>
    <w:qFormat/>
    <w:rsid w:val="00D565C2"/>
    <w:rPr>
      <w:rFonts w:ascii="Times New Roman" w:eastAsia="Calibri" w:hAnsi="Times New Roman" w:cs="Times New Roman"/>
      <w:kern w:val="0"/>
      <w:sz w:val="24"/>
      <w14:ligatures w14:val="none"/>
    </w:rPr>
  </w:style>
  <w:style w:type="paragraph" w:styleId="Footer">
    <w:name w:val="footer"/>
    <w:basedOn w:val="Normal"/>
    <w:link w:val="FooterChar"/>
    <w:uiPriority w:val="99"/>
    <w:qFormat/>
    <w:rsid w:val="00D565C2"/>
    <w:pPr>
      <w:tabs>
        <w:tab w:val="center" w:pos="4680"/>
        <w:tab w:val="right" w:pos="9360"/>
      </w:tabs>
      <w:spacing w:after="0" w:line="240" w:lineRule="auto"/>
    </w:pPr>
    <w:rPr>
      <w:rFonts w:ascii="Times New Roman" w:eastAsia="Calibri" w:hAnsi="Times New Roman" w:cs="Times New Roman"/>
      <w:kern w:val="0"/>
      <w:sz w:val="24"/>
      <w14:ligatures w14:val="none"/>
    </w:rPr>
  </w:style>
  <w:style w:type="character" w:customStyle="1" w:styleId="FooterChar">
    <w:name w:val="Footer Char"/>
    <w:basedOn w:val="DefaultParagraphFont"/>
    <w:link w:val="Footer"/>
    <w:uiPriority w:val="99"/>
    <w:qFormat/>
    <w:rsid w:val="00D565C2"/>
    <w:rPr>
      <w:rFonts w:ascii="Times New Roman" w:eastAsia="Calibri" w:hAnsi="Times New Roman" w:cs="Times New Roman"/>
      <w:kern w:val="0"/>
      <w:sz w:val="24"/>
      <w14:ligatures w14:val="none"/>
    </w:rPr>
  </w:style>
  <w:style w:type="paragraph" w:styleId="DocumentMap">
    <w:name w:val="Document Map"/>
    <w:basedOn w:val="Normal"/>
    <w:link w:val="DocumentMapChar"/>
    <w:qFormat/>
    <w:rsid w:val="00D565C2"/>
    <w:pPr>
      <w:spacing w:after="0" w:line="240" w:lineRule="auto"/>
    </w:pPr>
    <w:rPr>
      <w:rFonts w:ascii="Tahoma" w:eastAsia="Tahoma" w:hAnsi="Tahoma" w:cs="Tahoma"/>
      <w:kern w:val="0"/>
      <w:sz w:val="16"/>
      <w:szCs w:val="16"/>
      <w14:ligatures w14:val="none"/>
    </w:rPr>
  </w:style>
  <w:style w:type="character" w:customStyle="1" w:styleId="DocumentMapChar">
    <w:name w:val="Document Map Char"/>
    <w:basedOn w:val="DefaultParagraphFont"/>
    <w:link w:val="DocumentMap"/>
    <w:qFormat/>
    <w:rsid w:val="00D565C2"/>
    <w:rPr>
      <w:rFonts w:ascii="Tahoma" w:eastAsia="Tahoma" w:hAnsi="Tahoma" w:cs="Tahoma"/>
      <w:kern w:val="0"/>
      <w:sz w:val="16"/>
      <w:szCs w:val="16"/>
      <w14:ligatures w14:val="none"/>
    </w:rPr>
  </w:style>
  <w:style w:type="paragraph" w:styleId="BalloonText">
    <w:name w:val="Balloon Text"/>
    <w:basedOn w:val="Normal"/>
    <w:link w:val="BalloonTextChar"/>
    <w:qFormat/>
    <w:rsid w:val="00D565C2"/>
    <w:pPr>
      <w:spacing w:after="0" w:line="240" w:lineRule="auto"/>
    </w:pPr>
    <w:rPr>
      <w:rFonts w:ascii="Tahoma" w:eastAsia="Tahoma" w:hAnsi="Tahoma" w:cs="Tahoma"/>
      <w:kern w:val="0"/>
      <w:sz w:val="16"/>
      <w:szCs w:val="16"/>
      <w14:ligatures w14:val="none"/>
    </w:rPr>
  </w:style>
  <w:style w:type="character" w:customStyle="1" w:styleId="BalloonTextChar">
    <w:name w:val="Balloon Text Char"/>
    <w:basedOn w:val="DefaultParagraphFont"/>
    <w:link w:val="BalloonText"/>
    <w:qFormat/>
    <w:rsid w:val="00D565C2"/>
    <w:rPr>
      <w:rFonts w:ascii="Tahoma" w:eastAsia="Tahoma" w:hAnsi="Tahoma" w:cs="Tahoma"/>
      <w:kern w:val="0"/>
      <w:sz w:val="16"/>
      <w:szCs w:val="16"/>
      <w14:ligatures w14:val="none"/>
    </w:rPr>
  </w:style>
  <w:style w:type="character" w:styleId="LineNumber">
    <w:name w:val="line number"/>
    <w:qFormat/>
    <w:rsid w:val="00D565C2"/>
    <w:rPr>
      <w:rtl w:val="0"/>
      <w:lang w:val="x-none" w:eastAsia="x-none" w:bidi="x-none"/>
    </w:rPr>
  </w:style>
  <w:style w:type="character" w:customStyle="1" w:styleId="NoSpacingChar">
    <w:name w:val="No Spacing Char"/>
    <w:qFormat/>
    <w:rsid w:val="00D565C2"/>
    <w:rPr>
      <w:rtl w:val="0"/>
      <w:lang w:val="x-none" w:eastAsia="x-none" w:bidi="x-none"/>
    </w:rPr>
  </w:style>
  <w:style w:type="paragraph" w:styleId="NoSpacing">
    <w:name w:val="No Spacing"/>
    <w:basedOn w:val="Normal0"/>
    <w:qFormat/>
    <w:rsid w:val="00D565C2"/>
    <w:pPr>
      <w:widowContro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pPr>
    <w:rPr>
      <w:rFonts w:ascii="Calibri" w:eastAsia="Calibri" w:hAnsi="Calibri" w:cs="Calibri"/>
      <w:sz w:val="22"/>
      <w:szCs w:val="22"/>
    </w:rPr>
  </w:style>
  <w:style w:type="paragraph" w:customStyle="1" w:styleId="KingSignatureblock">
    <w:name w:val="KingSignatureblock"/>
    <w:basedOn w:val="Normal0"/>
    <w:qFormat/>
    <w:rsid w:val="00D565C2"/>
    <w:pPr>
      <w:widowContro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pPr>
    <w:rPr>
      <w:rFonts w:eastAsia="Times New Roman"/>
      <w:sz w:val="20"/>
      <w:szCs w:val="20"/>
    </w:rPr>
  </w:style>
  <w:style w:type="table" w:styleId="TableGrid">
    <w:name w:val="Table Grid"/>
    <w:basedOn w:val="TableNormal"/>
    <w:rsid w:val="00D565C2"/>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rsid w:val="00D565C2"/>
  </w:style>
  <w:style w:type="paragraph" w:styleId="BodyText">
    <w:name w:val="Body Text"/>
    <w:basedOn w:val="Normal"/>
    <w:link w:val="BodyTextChar"/>
    <w:uiPriority w:val="99"/>
    <w:qFormat/>
    <w:rsid w:val="00D565C2"/>
    <w:pPr>
      <w:spacing w:after="0" w:line="240" w:lineRule="auto"/>
      <w:jc w:val="center"/>
    </w:pPr>
    <w:rPr>
      <w:rFonts w:ascii="Times New Roman" w:eastAsia="Times New Roman" w:hAnsi="Times New Roman" w:cs="Times New Roman"/>
      <w:b/>
      <w:spacing w:val="-3"/>
      <w:kern w:val="0"/>
      <w:sz w:val="24"/>
      <w:szCs w:val="20"/>
      <w14:ligatures w14:val="none"/>
    </w:rPr>
  </w:style>
  <w:style w:type="character" w:customStyle="1" w:styleId="BodyTextChar">
    <w:name w:val="Body Text Char"/>
    <w:basedOn w:val="DefaultParagraphFont"/>
    <w:link w:val="BodyText"/>
    <w:uiPriority w:val="99"/>
    <w:rsid w:val="00D565C2"/>
    <w:rPr>
      <w:rFonts w:ascii="Times New Roman" w:eastAsia="Times New Roman" w:hAnsi="Times New Roman" w:cs="Times New Roman"/>
      <w:b/>
      <w:spacing w:val="-3"/>
      <w:kern w:val="0"/>
      <w:sz w:val="24"/>
      <w:szCs w:val="20"/>
      <w14:ligatures w14:val="none"/>
    </w:rPr>
  </w:style>
  <w:style w:type="character" w:styleId="CommentReference">
    <w:name w:val="annotation reference"/>
    <w:uiPriority w:val="99"/>
    <w:unhideWhenUsed/>
    <w:rsid w:val="00D565C2"/>
    <w:rPr>
      <w:sz w:val="16"/>
      <w:szCs w:val="16"/>
    </w:rPr>
  </w:style>
  <w:style w:type="paragraph" w:styleId="CommentText">
    <w:name w:val="annotation text"/>
    <w:basedOn w:val="Normal"/>
    <w:link w:val="CommentTextChar"/>
    <w:uiPriority w:val="99"/>
    <w:unhideWhenUsed/>
    <w:qFormat/>
    <w:rsid w:val="00D565C2"/>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D565C2"/>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565C2"/>
    <w:rPr>
      <w:b/>
      <w:bCs/>
    </w:rPr>
  </w:style>
  <w:style w:type="character" w:customStyle="1" w:styleId="CommentSubjectChar">
    <w:name w:val="Comment Subject Char"/>
    <w:basedOn w:val="CommentTextChar"/>
    <w:link w:val="CommentSubject"/>
    <w:uiPriority w:val="99"/>
    <w:semiHidden/>
    <w:rsid w:val="00D565C2"/>
    <w:rPr>
      <w:rFonts w:ascii="Times New Roman" w:eastAsia="Times New Roman" w:hAnsi="Times New Roman" w:cs="Times New Roman"/>
      <w:b/>
      <w:bCs/>
      <w:kern w:val="0"/>
      <w:sz w:val="20"/>
      <w:szCs w:val="20"/>
      <w14:ligatures w14:val="none"/>
    </w:rPr>
  </w:style>
  <w:style w:type="paragraph" w:customStyle="1" w:styleId="tx">
    <w:name w:val="tx"/>
    <w:basedOn w:val="Normal"/>
    <w:next w:val="Normal"/>
    <w:rsid w:val="00D565C2"/>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after="0" w:line="240" w:lineRule="auto"/>
      <w:jc w:val="both"/>
    </w:pPr>
    <w:rPr>
      <w:rFonts w:ascii="Courier" w:eastAsia="Times New Roman" w:hAnsi="Courier" w:cs="Times New Roman"/>
      <w:kern w:val="0"/>
      <w:sz w:val="24"/>
      <w:szCs w:val="20"/>
      <w14:ligatures w14:val="none"/>
    </w:rPr>
  </w:style>
  <w:style w:type="character" w:customStyle="1" w:styleId="Mention1">
    <w:name w:val="Mention1"/>
    <w:uiPriority w:val="99"/>
    <w:unhideWhenUsed/>
    <w:rsid w:val="00D565C2"/>
    <w:rPr>
      <w:color w:val="2B579A"/>
      <w:shd w:val="clear" w:color="auto" w:fill="E1DFDD"/>
    </w:rPr>
  </w:style>
  <w:style w:type="paragraph" w:styleId="ListParagraph">
    <w:name w:val="List Paragraph"/>
    <w:basedOn w:val="Normal"/>
    <w:uiPriority w:val="34"/>
    <w:qFormat/>
    <w:rsid w:val="00D565C2"/>
    <w:pPr>
      <w:ind w:left="720"/>
      <w:contextualSpacing/>
    </w:pPr>
    <w:rPr>
      <w:rFonts w:ascii="Calibri" w:eastAsia="Calibri" w:hAnsi="Calibri" w:cs="Times New Roman"/>
      <w:kern w:val="0"/>
      <w14:ligatures w14:val="none"/>
    </w:rPr>
  </w:style>
  <w:style w:type="paragraph" w:customStyle="1" w:styleId="Normal1">
    <w:name w:val="Normal1"/>
    <w:basedOn w:val="Normal"/>
    <w:rsid w:val="00D565C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uiPriority w:val="99"/>
    <w:unhideWhenUsed/>
    <w:rsid w:val="00D565C2"/>
    <w:rPr>
      <w:color w:val="0000FF"/>
      <w:u w:val="single"/>
    </w:rPr>
  </w:style>
  <w:style w:type="paragraph" w:styleId="TOC1">
    <w:name w:val="toc 1"/>
    <w:aliases w:val="TOC--Angel"/>
    <w:basedOn w:val="Normal"/>
    <w:next w:val="Normal"/>
    <w:link w:val="TOC1Char"/>
    <w:autoRedefine/>
    <w:uiPriority w:val="39"/>
    <w:qFormat/>
    <w:rsid w:val="00D565C2"/>
    <w:pPr>
      <w:tabs>
        <w:tab w:val="left" w:pos="900"/>
        <w:tab w:val="right" w:leader="dot" w:pos="9350"/>
      </w:tabs>
      <w:spacing w:after="0" w:line="240" w:lineRule="auto"/>
      <w:ind w:left="900" w:hanging="900"/>
    </w:pPr>
    <w:rPr>
      <w:rFonts w:ascii="Arial" w:eastAsia="Times New Roman" w:hAnsi="Arial" w:cs="Times New Roman"/>
      <w:b/>
      <w:bCs/>
      <w:kern w:val="0"/>
      <w:sz w:val="20"/>
      <w:szCs w:val="20"/>
      <w14:ligatures w14:val="none"/>
    </w:rPr>
  </w:style>
  <w:style w:type="paragraph" w:styleId="TOC2">
    <w:name w:val="toc 2"/>
    <w:basedOn w:val="Normal"/>
    <w:next w:val="Normal"/>
    <w:uiPriority w:val="39"/>
    <w:semiHidden/>
    <w:qFormat/>
    <w:rsid w:val="00D565C2"/>
    <w:pPr>
      <w:spacing w:before="120" w:after="0" w:line="240" w:lineRule="auto"/>
      <w:ind w:left="200"/>
    </w:pPr>
    <w:rPr>
      <w:rFonts w:ascii="Calibri" w:eastAsia="Times New Roman" w:hAnsi="Calibri" w:cs="Times New Roman"/>
      <w:i/>
      <w:iCs/>
      <w:kern w:val="0"/>
      <w:sz w:val="20"/>
      <w:szCs w:val="20"/>
      <w14:ligatures w14:val="none"/>
    </w:rPr>
  </w:style>
  <w:style w:type="paragraph" w:styleId="TOC3">
    <w:name w:val="toc 3"/>
    <w:basedOn w:val="Normal"/>
    <w:next w:val="Normal"/>
    <w:uiPriority w:val="39"/>
    <w:semiHidden/>
    <w:qFormat/>
    <w:rsid w:val="00D565C2"/>
    <w:pPr>
      <w:spacing w:after="0" w:line="240" w:lineRule="auto"/>
      <w:ind w:left="400"/>
    </w:pPr>
    <w:rPr>
      <w:rFonts w:ascii="Calibri" w:eastAsia="Times New Roman" w:hAnsi="Calibri" w:cs="Times New Roman"/>
      <w:kern w:val="0"/>
      <w:sz w:val="20"/>
      <w:szCs w:val="20"/>
      <w14:ligatures w14:val="none"/>
    </w:rPr>
  </w:style>
  <w:style w:type="paragraph" w:styleId="TOC4">
    <w:name w:val="toc 4"/>
    <w:basedOn w:val="Normal"/>
    <w:next w:val="Normal"/>
    <w:uiPriority w:val="99"/>
    <w:semiHidden/>
    <w:rsid w:val="00D565C2"/>
    <w:pPr>
      <w:spacing w:after="0" w:line="240" w:lineRule="auto"/>
      <w:ind w:left="600"/>
    </w:pPr>
    <w:rPr>
      <w:rFonts w:ascii="Calibri" w:eastAsia="Times New Roman" w:hAnsi="Calibri" w:cs="Times New Roman"/>
      <w:kern w:val="0"/>
      <w:sz w:val="20"/>
      <w:szCs w:val="20"/>
      <w14:ligatures w14:val="none"/>
    </w:rPr>
  </w:style>
  <w:style w:type="paragraph" w:styleId="TOC5">
    <w:name w:val="toc 5"/>
    <w:basedOn w:val="Normal"/>
    <w:next w:val="Normal"/>
    <w:uiPriority w:val="99"/>
    <w:semiHidden/>
    <w:rsid w:val="00D565C2"/>
    <w:pPr>
      <w:spacing w:after="0" w:line="240" w:lineRule="auto"/>
      <w:ind w:left="800"/>
    </w:pPr>
    <w:rPr>
      <w:rFonts w:ascii="Calibri" w:eastAsia="Times New Roman" w:hAnsi="Calibri" w:cs="Times New Roman"/>
      <w:kern w:val="0"/>
      <w:sz w:val="20"/>
      <w:szCs w:val="20"/>
      <w14:ligatures w14:val="none"/>
    </w:rPr>
  </w:style>
  <w:style w:type="paragraph" w:styleId="TOC6">
    <w:name w:val="toc 6"/>
    <w:basedOn w:val="Normal"/>
    <w:next w:val="Normal"/>
    <w:uiPriority w:val="99"/>
    <w:semiHidden/>
    <w:rsid w:val="00D565C2"/>
    <w:pPr>
      <w:spacing w:after="0" w:line="240" w:lineRule="auto"/>
      <w:ind w:left="1000"/>
    </w:pPr>
    <w:rPr>
      <w:rFonts w:ascii="Calibri" w:eastAsia="Times New Roman" w:hAnsi="Calibri" w:cs="Times New Roman"/>
      <w:kern w:val="0"/>
      <w:sz w:val="20"/>
      <w:szCs w:val="20"/>
      <w14:ligatures w14:val="none"/>
    </w:rPr>
  </w:style>
  <w:style w:type="paragraph" w:styleId="TOC7">
    <w:name w:val="toc 7"/>
    <w:basedOn w:val="Normal"/>
    <w:next w:val="Normal"/>
    <w:uiPriority w:val="99"/>
    <w:semiHidden/>
    <w:rsid w:val="00D565C2"/>
    <w:pPr>
      <w:spacing w:after="0" w:line="240" w:lineRule="auto"/>
      <w:ind w:left="1200"/>
    </w:pPr>
    <w:rPr>
      <w:rFonts w:ascii="Calibri" w:eastAsia="Times New Roman" w:hAnsi="Calibri" w:cs="Times New Roman"/>
      <w:kern w:val="0"/>
      <w:sz w:val="20"/>
      <w:szCs w:val="20"/>
      <w14:ligatures w14:val="none"/>
    </w:rPr>
  </w:style>
  <w:style w:type="paragraph" w:styleId="TOC8">
    <w:name w:val="toc 8"/>
    <w:basedOn w:val="Normal"/>
    <w:next w:val="Normal"/>
    <w:semiHidden/>
    <w:rsid w:val="00D565C2"/>
    <w:pPr>
      <w:spacing w:after="0" w:line="240" w:lineRule="auto"/>
      <w:ind w:left="1400"/>
    </w:pPr>
    <w:rPr>
      <w:rFonts w:ascii="Calibri" w:eastAsia="Times New Roman" w:hAnsi="Calibri" w:cs="Times New Roman"/>
      <w:kern w:val="0"/>
      <w:sz w:val="20"/>
      <w:szCs w:val="20"/>
      <w14:ligatures w14:val="none"/>
    </w:rPr>
  </w:style>
  <w:style w:type="paragraph" w:styleId="TOC9">
    <w:name w:val="toc 9"/>
    <w:basedOn w:val="Normal"/>
    <w:next w:val="Normal"/>
    <w:uiPriority w:val="99"/>
    <w:semiHidden/>
    <w:rsid w:val="00D565C2"/>
    <w:pPr>
      <w:spacing w:after="0" w:line="240" w:lineRule="auto"/>
      <w:ind w:left="1600"/>
    </w:pPr>
    <w:rPr>
      <w:rFonts w:ascii="Calibri" w:eastAsia="Times New Roman" w:hAnsi="Calibri" w:cs="Times New Roman"/>
      <w:kern w:val="0"/>
      <w:sz w:val="20"/>
      <w:szCs w:val="20"/>
      <w14:ligatures w14:val="none"/>
    </w:rPr>
  </w:style>
  <w:style w:type="paragraph" w:styleId="Index1">
    <w:name w:val="index 1"/>
    <w:basedOn w:val="Normal"/>
    <w:next w:val="Normal"/>
    <w:uiPriority w:val="99"/>
    <w:semiHidden/>
    <w:rsid w:val="00D565C2"/>
    <w:pPr>
      <w:tabs>
        <w:tab w:val="left" w:leader="dot" w:pos="9000"/>
        <w:tab w:val="right" w:pos="9360"/>
      </w:tabs>
      <w:suppressAutoHyphens/>
      <w:spacing w:after="0" w:line="240" w:lineRule="auto"/>
      <w:ind w:left="1440" w:right="720" w:hanging="1440"/>
    </w:pPr>
    <w:rPr>
      <w:rFonts w:ascii="Courier New" w:eastAsia="Times New Roman" w:hAnsi="Courier New" w:cs="Times New Roman"/>
      <w:kern w:val="0"/>
      <w:sz w:val="20"/>
      <w:szCs w:val="20"/>
      <w14:ligatures w14:val="none"/>
    </w:rPr>
  </w:style>
  <w:style w:type="paragraph" w:styleId="Index2">
    <w:name w:val="index 2"/>
    <w:basedOn w:val="Normal"/>
    <w:next w:val="Normal"/>
    <w:uiPriority w:val="99"/>
    <w:semiHidden/>
    <w:rsid w:val="00D565C2"/>
    <w:pPr>
      <w:tabs>
        <w:tab w:val="left" w:leader="dot" w:pos="9000"/>
        <w:tab w:val="right" w:pos="9360"/>
      </w:tabs>
      <w:suppressAutoHyphens/>
      <w:spacing w:after="0" w:line="240" w:lineRule="auto"/>
      <w:ind w:left="1440" w:right="720" w:hanging="720"/>
    </w:pPr>
    <w:rPr>
      <w:rFonts w:ascii="Courier New" w:eastAsia="Times New Roman" w:hAnsi="Courier New" w:cs="Times New Roman"/>
      <w:kern w:val="0"/>
      <w:sz w:val="20"/>
      <w:szCs w:val="20"/>
      <w14:ligatures w14:val="none"/>
    </w:rPr>
  </w:style>
  <w:style w:type="paragraph" w:styleId="TOAHeading">
    <w:name w:val="toa heading"/>
    <w:basedOn w:val="Normal"/>
    <w:next w:val="Normal"/>
    <w:uiPriority w:val="99"/>
    <w:semiHidden/>
    <w:rsid w:val="00D565C2"/>
    <w:pPr>
      <w:tabs>
        <w:tab w:val="left" w:pos="9000"/>
        <w:tab w:val="right" w:pos="9360"/>
      </w:tabs>
      <w:suppressAutoHyphens/>
      <w:spacing w:after="0" w:line="240" w:lineRule="auto"/>
    </w:pPr>
    <w:rPr>
      <w:rFonts w:ascii="Courier New" w:eastAsia="Times New Roman" w:hAnsi="Courier New" w:cs="Times New Roman"/>
      <w:kern w:val="0"/>
      <w:sz w:val="20"/>
      <w:szCs w:val="20"/>
      <w14:ligatures w14:val="none"/>
    </w:rPr>
  </w:style>
  <w:style w:type="paragraph" w:styleId="Caption">
    <w:name w:val="caption"/>
    <w:basedOn w:val="Normal"/>
    <w:next w:val="Normal"/>
    <w:uiPriority w:val="99"/>
    <w:qFormat/>
    <w:rsid w:val="00D565C2"/>
    <w:pPr>
      <w:spacing w:after="0" w:line="240" w:lineRule="auto"/>
    </w:pPr>
    <w:rPr>
      <w:rFonts w:ascii="Courier New" w:eastAsia="Times New Roman" w:hAnsi="Courier New" w:cs="Times New Roman"/>
      <w:kern w:val="0"/>
      <w:sz w:val="24"/>
      <w:szCs w:val="20"/>
      <w14:ligatures w14:val="none"/>
    </w:rPr>
  </w:style>
  <w:style w:type="character" w:customStyle="1" w:styleId="EquationCaption">
    <w:name w:val="_Equation Caption"/>
    <w:rsid w:val="00D565C2"/>
  </w:style>
  <w:style w:type="paragraph" w:customStyle="1" w:styleId="footnote">
    <w:name w:val="footnote"/>
    <w:basedOn w:val="Normal"/>
    <w:uiPriority w:val="99"/>
    <w:rsid w:val="00D565C2"/>
    <w:pPr>
      <w:widowControl w:val="0"/>
      <w:spacing w:after="0" w:line="240" w:lineRule="auto"/>
    </w:pPr>
    <w:rPr>
      <w:rFonts w:ascii="Courier" w:eastAsia="Times New Roman" w:hAnsi="Courier" w:cs="Times New Roman"/>
      <w:kern w:val="0"/>
      <w:sz w:val="24"/>
      <w:szCs w:val="20"/>
      <w14:ligatures w14:val="none"/>
    </w:rPr>
  </w:style>
  <w:style w:type="paragraph" w:customStyle="1" w:styleId="RightPar">
    <w:name w:val="Right Par"/>
    <w:uiPriority w:val="99"/>
    <w:rsid w:val="00D565C2"/>
    <w:pPr>
      <w:tabs>
        <w:tab w:val="left" w:pos="-720"/>
        <w:tab w:val="left" w:pos="0"/>
        <w:tab w:val="decimal" w:pos="720"/>
      </w:tabs>
      <w:suppressAutoHyphens/>
      <w:spacing w:after="0" w:line="240" w:lineRule="auto"/>
      <w:ind w:left="720"/>
    </w:pPr>
    <w:rPr>
      <w:rFonts w:ascii="Courier New" w:eastAsia="Times New Roman" w:hAnsi="Courier New" w:cs="Times New Roman"/>
      <w:kern w:val="0"/>
      <w:sz w:val="24"/>
      <w:szCs w:val="20"/>
      <w14:ligatures w14:val="none"/>
    </w:rPr>
  </w:style>
  <w:style w:type="paragraph" w:styleId="BodyTextIndent">
    <w:name w:val="Body Text Indent"/>
    <w:basedOn w:val="Normal"/>
    <w:link w:val="BodyTextIndentChar"/>
    <w:uiPriority w:val="99"/>
    <w:rsid w:val="00D565C2"/>
    <w:pPr>
      <w:tabs>
        <w:tab w:val="left" w:pos="-1440"/>
        <w:tab w:val="left" w:pos="-720"/>
        <w:tab w:val="left" w:pos="475"/>
        <w:tab w:val="left" w:pos="605"/>
        <w:tab w:val="left" w:pos="900"/>
        <w:tab w:val="left" w:pos="1440"/>
        <w:tab w:val="left" w:pos="1555"/>
        <w:tab w:val="left" w:pos="1800"/>
        <w:tab w:val="left" w:pos="2045"/>
        <w:tab w:val="left" w:pos="2430"/>
        <w:tab w:val="left" w:pos="2520"/>
        <w:tab w:val="left" w:pos="2765"/>
        <w:tab w:val="left" w:pos="2995"/>
        <w:tab w:val="left" w:pos="3240"/>
        <w:tab w:val="left" w:pos="3485"/>
        <w:tab w:val="left" w:pos="3715"/>
        <w:tab w:val="left" w:pos="3960"/>
        <w:tab w:val="left" w:pos="4205"/>
        <w:tab w:val="left" w:pos="4435"/>
        <w:tab w:val="left" w:pos="5040"/>
      </w:tabs>
      <w:suppressAutoHyphens/>
      <w:spacing w:after="0" w:line="240" w:lineRule="auto"/>
      <w:ind w:left="90" w:hanging="990"/>
      <w:jc w:val="both"/>
    </w:pPr>
    <w:rPr>
      <w:rFonts w:ascii="Arial" w:eastAsia="Times New Roman" w:hAnsi="Arial" w:cs="Times New Roman"/>
      <w:spacing w:val="-2"/>
      <w:kern w:val="0"/>
      <w:sz w:val="20"/>
      <w:szCs w:val="20"/>
      <w14:ligatures w14:val="none"/>
    </w:rPr>
  </w:style>
  <w:style w:type="character" w:customStyle="1" w:styleId="BodyTextIndentChar">
    <w:name w:val="Body Text Indent Char"/>
    <w:basedOn w:val="DefaultParagraphFont"/>
    <w:link w:val="BodyTextIndent"/>
    <w:uiPriority w:val="99"/>
    <w:rsid w:val="00D565C2"/>
    <w:rPr>
      <w:rFonts w:ascii="Arial" w:eastAsia="Times New Roman" w:hAnsi="Arial" w:cs="Times New Roman"/>
      <w:spacing w:val="-2"/>
      <w:kern w:val="0"/>
      <w:sz w:val="20"/>
      <w:szCs w:val="20"/>
      <w14:ligatures w14:val="none"/>
    </w:rPr>
  </w:style>
  <w:style w:type="paragraph" w:styleId="BodyTextIndent2">
    <w:name w:val="Body Text Indent 2"/>
    <w:basedOn w:val="Normal"/>
    <w:link w:val="BodyTextIndent2Char"/>
    <w:rsid w:val="00D565C2"/>
    <w:pPr>
      <w:spacing w:after="0" w:line="240" w:lineRule="auto"/>
      <w:ind w:left="720"/>
      <w:jc w:val="both"/>
    </w:pPr>
    <w:rPr>
      <w:rFonts w:ascii="Courier New" w:eastAsia="Times New Roman" w:hAnsi="Courier New" w:cs="Times New Roman"/>
      <w:kern w:val="0"/>
      <w:sz w:val="20"/>
      <w:szCs w:val="20"/>
      <w14:ligatures w14:val="none"/>
    </w:rPr>
  </w:style>
  <w:style w:type="character" w:customStyle="1" w:styleId="BodyTextIndent2Char">
    <w:name w:val="Body Text Indent 2 Char"/>
    <w:basedOn w:val="DefaultParagraphFont"/>
    <w:link w:val="BodyTextIndent2"/>
    <w:rsid w:val="00D565C2"/>
    <w:rPr>
      <w:rFonts w:ascii="Courier New" w:eastAsia="Times New Roman" w:hAnsi="Courier New" w:cs="Times New Roman"/>
      <w:kern w:val="0"/>
      <w:sz w:val="20"/>
      <w:szCs w:val="20"/>
      <w14:ligatures w14:val="none"/>
    </w:rPr>
  </w:style>
  <w:style w:type="paragraph" w:styleId="BodyTextIndent3">
    <w:name w:val="Body Text Indent 3"/>
    <w:basedOn w:val="Normal"/>
    <w:link w:val="BodyTextIndent3Char"/>
    <w:uiPriority w:val="99"/>
    <w:rsid w:val="00D565C2"/>
    <w:pPr>
      <w:tabs>
        <w:tab w:val="left" w:pos="480"/>
        <w:tab w:val="left" w:pos="600"/>
        <w:tab w:val="left" w:pos="840"/>
        <w:tab w:val="left" w:pos="1080"/>
        <w:tab w:val="left" w:pos="1320"/>
        <w:tab w:val="left" w:pos="1560"/>
        <w:tab w:val="left" w:pos="1800"/>
        <w:tab w:val="left" w:pos="2040"/>
        <w:tab w:val="left" w:pos="2280"/>
        <w:tab w:val="left" w:pos="2520"/>
        <w:tab w:val="left" w:pos="2760"/>
        <w:tab w:val="left" w:pos="3000"/>
        <w:tab w:val="left" w:pos="3240"/>
        <w:tab w:val="left" w:pos="3480"/>
        <w:tab w:val="left" w:pos="4320"/>
        <w:tab w:val="left" w:pos="5040"/>
        <w:tab w:val="left" w:pos="5760"/>
        <w:tab w:val="left" w:pos="6480"/>
        <w:tab w:val="left" w:pos="7200"/>
        <w:tab w:val="left" w:pos="7920"/>
        <w:tab w:val="left" w:pos="8640"/>
        <w:tab w:val="left" w:pos="9360"/>
      </w:tabs>
      <w:spacing w:after="0" w:line="240" w:lineRule="auto"/>
      <w:ind w:left="480"/>
      <w:jc w:val="both"/>
    </w:pPr>
    <w:rPr>
      <w:rFonts w:ascii="Courier New" w:eastAsia="Times New Roman" w:hAnsi="Courier New" w:cs="Times New Roman"/>
      <w:kern w:val="0"/>
      <w:sz w:val="20"/>
      <w:szCs w:val="20"/>
      <w14:ligatures w14:val="none"/>
    </w:rPr>
  </w:style>
  <w:style w:type="character" w:customStyle="1" w:styleId="BodyTextIndent3Char">
    <w:name w:val="Body Text Indent 3 Char"/>
    <w:basedOn w:val="DefaultParagraphFont"/>
    <w:link w:val="BodyTextIndent3"/>
    <w:uiPriority w:val="99"/>
    <w:rsid w:val="00D565C2"/>
    <w:rPr>
      <w:rFonts w:ascii="Courier New" w:eastAsia="Times New Roman" w:hAnsi="Courier New" w:cs="Times New Roman"/>
      <w:kern w:val="0"/>
      <w:sz w:val="20"/>
      <w:szCs w:val="20"/>
      <w14:ligatures w14:val="none"/>
    </w:rPr>
  </w:style>
  <w:style w:type="paragraph" w:styleId="BodyText2">
    <w:name w:val="Body Text 2"/>
    <w:basedOn w:val="Normal"/>
    <w:link w:val="BodyText2Char"/>
    <w:uiPriority w:val="99"/>
    <w:rsid w:val="00D565C2"/>
    <w:pPr>
      <w:widowControl w:val="0"/>
      <w:spacing w:after="0" w:line="240" w:lineRule="auto"/>
      <w:ind w:right="-43"/>
    </w:pPr>
    <w:rPr>
      <w:rFonts w:ascii="Arial" w:eastAsia="Times New Roman" w:hAnsi="Arial" w:cs="Times New Roman"/>
      <w:snapToGrid w:val="0"/>
      <w:kern w:val="0"/>
      <w:sz w:val="20"/>
      <w:szCs w:val="20"/>
      <w14:ligatures w14:val="none"/>
    </w:rPr>
  </w:style>
  <w:style w:type="character" w:customStyle="1" w:styleId="BodyText2Char">
    <w:name w:val="Body Text 2 Char"/>
    <w:basedOn w:val="DefaultParagraphFont"/>
    <w:link w:val="BodyText2"/>
    <w:uiPriority w:val="99"/>
    <w:rsid w:val="00D565C2"/>
    <w:rPr>
      <w:rFonts w:ascii="Arial" w:eastAsia="Times New Roman" w:hAnsi="Arial" w:cs="Times New Roman"/>
      <w:snapToGrid w:val="0"/>
      <w:kern w:val="0"/>
      <w:sz w:val="20"/>
      <w:szCs w:val="20"/>
      <w14:ligatures w14:val="none"/>
    </w:rPr>
  </w:style>
  <w:style w:type="paragraph" w:customStyle="1" w:styleId="bodycode">
    <w:name w:val="body code"/>
    <w:basedOn w:val="Normal"/>
    <w:uiPriority w:val="99"/>
    <w:rsid w:val="00D565C2"/>
    <w:pPr>
      <w:tabs>
        <w:tab w:val="left" w:pos="-720"/>
        <w:tab w:val="left" w:pos="360"/>
      </w:tabs>
      <w:suppressAutoHyphens/>
      <w:spacing w:after="0" w:line="240" w:lineRule="auto"/>
    </w:pPr>
    <w:rPr>
      <w:rFonts w:ascii="Times New Roman" w:eastAsia="Times New Roman" w:hAnsi="Times New Roman" w:cs="Times New Roman"/>
      <w:kern w:val="0"/>
      <w:sz w:val="24"/>
      <w:szCs w:val="20"/>
      <w14:ligatures w14:val="none"/>
    </w:rPr>
  </w:style>
  <w:style w:type="paragraph" w:customStyle="1" w:styleId="codebody">
    <w:name w:val="code body"/>
    <w:basedOn w:val="Normal"/>
    <w:uiPriority w:val="99"/>
    <w:rsid w:val="00D565C2"/>
    <w:pPr>
      <w:tabs>
        <w:tab w:val="left" w:pos="-720"/>
      </w:tabs>
      <w:suppressAutoHyphens/>
      <w:spacing w:after="0" w:line="240" w:lineRule="auto"/>
    </w:pPr>
    <w:rPr>
      <w:rFonts w:ascii="Times New Roman" w:eastAsia="Times New Roman" w:hAnsi="Times New Roman" w:cs="Times New Roman"/>
      <w:kern w:val="0"/>
      <w:sz w:val="24"/>
      <w:szCs w:val="20"/>
      <w14:ligatures w14:val="none"/>
    </w:rPr>
  </w:style>
  <w:style w:type="paragraph" w:customStyle="1" w:styleId="Hanging">
    <w:name w:val="Hanging"/>
    <w:uiPriority w:val="99"/>
    <w:rsid w:val="00D565C2"/>
    <w:pPr>
      <w:widowControl w:val="0"/>
      <w:tabs>
        <w:tab w:val="left" w:pos="-720"/>
        <w:tab w:val="left" w:pos="0"/>
      </w:tabs>
      <w:suppressAutoHyphens/>
      <w:spacing w:after="0" w:line="240" w:lineRule="auto"/>
      <w:ind w:left="720" w:hanging="720"/>
    </w:pPr>
    <w:rPr>
      <w:rFonts w:ascii="Courier New" w:eastAsia="Times New Roman" w:hAnsi="Courier New" w:cs="Times New Roman"/>
      <w:kern w:val="0"/>
      <w:sz w:val="24"/>
      <w:szCs w:val="20"/>
      <w14:ligatures w14:val="none"/>
    </w:rPr>
  </w:style>
  <w:style w:type="paragraph" w:styleId="EndnoteText">
    <w:name w:val="endnote text"/>
    <w:basedOn w:val="Normal"/>
    <w:link w:val="EndnoteTextChar"/>
    <w:uiPriority w:val="99"/>
    <w:semiHidden/>
    <w:rsid w:val="00D565C2"/>
    <w:pPr>
      <w:widowControl w:val="0"/>
      <w:spacing w:after="0" w:line="240" w:lineRule="auto"/>
    </w:pPr>
    <w:rPr>
      <w:rFonts w:ascii="Courier" w:eastAsia="Times New Roman" w:hAnsi="Courier" w:cs="Times New Roman"/>
      <w:kern w:val="0"/>
      <w:sz w:val="24"/>
      <w:szCs w:val="20"/>
      <w14:ligatures w14:val="none"/>
    </w:rPr>
  </w:style>
  <w:style w:type="character" w:customStyle="1" w:styleId="EndnoteTextChar">
    <w:name w:val="Endnote Text Char"/>
    <w:basedOn w:val="DefaultParagraphFont"/>
    <w:link w:val="EndnoteText"/>
    <w:uiPriority w:val="99"/>
    <w:semiHidden/>
    <w:rsid w:val="00D565C2"/>
    <w:rPr>
      <w:rFonts w:ascii="Courier" w:eastAsia="Times New Roman" w:hAnsi="Courier" w:cs="Times New Roman"/>
      <w:kern w:val="0"/>
      <w:sz w:val="24"/>
      <w:szCs w:val="20"/>
      <w14:ligatures w14:val="none"/>
    </w:rPr>
  </w:style>
  <w:style w:type="paragraph" w:customStyle="1" w:styleId="Ordinance">
    <w:name w:val="Ordinance"/>
    <w:basedOn w:val="Normal"/>
    <w:uiPriority w:val="99"/>
    <w:rsid w:val="00D565C2"/>
    <w:pPr>
      <w:spacing w:after="0" w:line="480" w:lineRule="exact"/>
    </w:pPr>
    <w:rPr>
      <w:rFonts w:ascii="Times New Roman" w:eastAsia="Times New Roman" w:hAnsi="Times New Roman" w:cs="Times New Roman"/>
      <w:kern w:val="0"/>
      <w:szCs w:val="20"/>
      <w14:ligatures w14:val="none"/>
    </w:rPr>
  </w:style>
  <w:style w:type="paragraph" w:styleId="BodyText3">
    <w:name w:val="Body Text 3"/>
    <w:basedOn w:val="Normal"/>
    <w:link w:val="BodyText3Char"/>
    <w:uiPriority w:val="99"/>
    <w:rsid w:val="00D565C2"/>
    <w:pPr>
      <w:widowControl w:val="0"/>
      <w:spacing w:after="0" w:line="240" w:lineRule="auto"/>
      <w:ind w:right="-43"/>
      <w:jc w:val="both"/>
    </w:pPr>
    <w:rPr>
      <w:rFonts w:ascii="Arial" w:eastAsia="Times New Roman" w:hAnsi="Arial" w:cs="Times New Roman"/>
      <w:snapToGrid w:val="0"/>
      <w:kern w:val="0"/>
      <w:sz w:val="20"/>
      <w:szCs w:val="20"/>
      <w14:ligatures w14:val="none"/>
    </w:rPr>
  </w:style>
  <w:style w:type="character" w:customStyle="1" w:styleId="BodyText3Char">
    <w:name w:val="Body Text 3 Char"/>
    <w:basedOn w:val="DefaultParagraphFont"/>
    <w:link w:val="BodyText3"/>
    <w:uiPriority w:val="99"/>
    <w:rsid w:val="00D565C2"/>
    <w:rPr>
      <w:rFonts w:ascii="Arial" w:eastAsia="Times New Roman" w:hAnsi="Arial" w:cs="Times New Roman"/>
      <w:snapToGrid w:val="0"/>
      <w:kern w:val="0"/>
      <w:sz w:val="20"/>
      <w:szCs w:val="20"/>
      <w14:ligatures w14:val="none"/>
    </w:rPr>
  </w:style>
  <w:style w:type="paragraph" w:customStyle="1" w:styleId="Flush1CS1">
    <w:name w:val="Flush 1 &lt;CS 1&gt;"/>
    <w:basedOn w:val="Normal"/>
    <w:rsid w:val="00D565C2"/>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kern w:val="0"/>
      <w:sz w:val="24"/>
      <w:szCs w:val="20"/>
      <w14:ligatures w14:val="none"/>
    </w:rPr>
  </w:style>
  <w:style w:type="paragraph" w:styleId="EnvelopeReturn">
    <w:name w:val="envelope return"/>
    <w:basedOn w:val="Normal"/>
    <w:uiPriority w:val="99"/>
    <w:rsid w:val="00D565C2"/>
    <w:pPr>
      <w:spacing w:after="0" w:line="240" w:lineRule="auto"/>
    </w:pPr>
    <w:rPr>
      <w:rFonts w:ascii="Times New Roman" w:eastAsia="Times New Roman" w:hAnsi="Times New Roman" w:cs="Times New Roman"/>
      <w:kern w:val="0"/>
      <w:sz w:val="20"/>
      <w:szCs w:val="20"/>
      <w14:ligatures w14:val="none"/>
    </w:rPr>
  </w:style>
  <w:style w:type="paragraph" w:customStyle="1" w:styleId="appendixbody">
    <w:name w:val="appendix body"/>
    <w:basedOn w:val="Normal"/>
    <w:uiPriority w:val="99"/>
    <w:rsid w:val="00D565C2"/>
    <w:pPr>
      <w:widowControl w:val="0"/>
      <w:autoSpaceDE w:val="0"/>
      <w:autoSpaceDN w:val="0"/>
      <w:adjustRightInd w:val="0"/>
      <w:spacing w:after="72" w:line="235" w:lineRule="atLeast"/>
      <w:textAlignment w:val="center"/>
    </w:pPr>
    <w:rPr>
      <w:rFonts w:ascii="ACaslonPro-Regular" w:eastAsia="Times New Roman" w:hAnsi="ACaslonPro-Regular" w:cs="Times New Roman"/>
      <w:color w:val="000000"/>
      <w:kern w:val="0"/>
      <w:sz w:val="20"/>
      <w:szCs w:val="20"/>
      <w14:ligatures w14:val="none"/>
    </w:rPr>
  </w:style>
  <w:style w:type="paragraph" w:customStyle="1" w:styleId="Style1">
    <w:name w:val="Style1"/>
    <w:basedOn w:val="Heading1"/>
    <w:autoRedefine/>
    <w:uiPriority w:val="99"/>
    <w:qFormat/>
    <w:rsid w:val="00D565C2"/>
  </w:style>
  <w:style w:type="paragraph" w:customStyle="1" w:styleId="Style2">
    <w:name w:val="Style2"/>
    <w:basedOn w:val="Heading1"/>
    <w:autoRedefine/>
    <w:uiPriority w:val="99"/>
    <w:qFormat/>
    <w:rsid w:val="00D565C2"/>
    <w:rPr>
      <w:bCs/>
    </w:rPr>
  </w:style>
  <w:style w:type="paragraph" w:customStyle="1" w:styleId="StyleHeading110ptCenteredLeft0Firstline0">
    <w:name w:val="Style Heading 1 + 10 pt Centered Left:  0&quot; First line:  0&quot;"/>
    <w:basedOn w:val="Heading1"/>
    <w:uiPriority w:val="99"/>
    <w:rsid w:val="00D565C2"/>
    <w:rPr>
      <w:bCs/>
    </w:rPr>
  </w:style>
  <w:style w:type="paragraph" w:customStyle="1" w:styleId="StyleHeading110ptCentered">
    <w:name w:val="Style Heading 1 + 10 pt Centered"/>
    <w:basedOn w:val="Heading1"/>
    <w:autoRedefine/>
    <w:uiPriority w:val="99"/>
    <w:qFormat/>
    <w:rsid w:val="00D565C2"/>
    <w:rPr>
      <w:bCs/>
    </w:rPr>
  </w:style>
  <w:style w:type="paragraph" w:styleId="TOCHeading">
    <w:name w:val="TOC Heading"/>
    <w:basedOn w:val="Heading1"/>
    <w:next w:val="Normal"/>
    <w:uiPriority w:val="39"/>
    <w:unhideWhenUsed/>
    <w:qFormat/>
    <w:rsid w:val="00D565C2"/>
    <w:pPr>
      <w:keepLines/>
      <w:spacing w:before="480" w:line="276" w:lineRule="auto"/>
      <w:jc w:val="left"/>
      <w:outlineLvl w:val="9"/>
    </w:pPr>
    <w:rPr>
      <w:rFonts w:ascii="Cambria" w:hAnsi="Cambria"/>
      <w:bCs/>
      <w:color w:val="365F91"/>
      <w:kern w:val="0"/>
      <w:sz w:val="28"/>
      <w:szCs w:val="28"/>
    </w:rPr>
  </w:style>
  <w:style w:type="character" w:customStyle="1" w:styleId="TOC1Char">
    <w:name w:val="TOC 1 Char"/>
    <w:aliases w:val="TOC--Angel Char"/>
    <w:link w:val="TOC1"/>
    <w:uiPriority w:val="39"/>
    <w:rsid w:val="00D565C2"/>
    <w:rPr>
      <w:rFonts w:ascii="Arial" w:eastAsia="Times New Roman" w:hAnsi="Arial" w:cs="Times New Roman"/>
      <w:b/>
      <w:bCs/>
      <w:kern w:val="0"/>
      <w:sz w:val="20"/>
      <w:szCs w:val="20"/>
      <w14:ligatures w14:val="none"/>
    </w:rPr>
  </w:style>
  <w:style w:type="character" w:styleId="FollowedHyperlink">
    <w:name w:val="FollowedHyperlink"/>
    <w:uiPriority w:val="99"/>
    <w:semiHidden/>
    <w:unhideWhenUsed/>
    <w:rsid w:val="00D565C2"/>
    <w:rPr>
      <w:color w:val="800080"/>
      <w:u w:val="single"/>
    </w:rPr>
  </w:style>
  <w:style w:type="paragraph" w:customStyle="1" w:styleId="ArialBold10">
    <w:name w:val="Arial Bold 10"/>
    <w:basedOn w:val="Normal"/>
    <w:autoRedefine/>
    <w:uiPriority w:val="99"/>
    <w:qFormat/>
    <w:rsid w:val="00D565C2"/>
    <w:pPr>
      <w:spacing w:after="0" w:line="480" w:lineRule="auto"/>
    </w:pPr>
    <w:rPr>
      <w:rFonts w:ascii="Arial" w:eastAsia="Times New Roman" w:hAnsi="Arial" w:cs="Arial"/>
      <w:b/>
      <w:kern w:val="0"/>
      <w:sz w:val="20"/>
      <w:szCs w:val="20"/>
      <w14:ligatures w14:val="none"/>
    </w:rPr>
  </w:style>
  <w:style w:type="paragraph" w:customStyle="1" w:styleId="Section">
    <w:name w:val="Section:"/>
    <w:basedOn w:val="Normal"/>
    <w:autoRedefine/>
    <w:uiPriority w:val="99"/>
    <w:qFormat/>
    <w:rsid w:val="00D565C2"/>
    <w:pPr>
      <w:tabs>
        <w:tab w:val="left" w:pos="720"/>
        <w:tab w:val="left" w:pos="1980"/>
      </w:tabs>
      <w:spacing w:after="0" w:line="240" w:lineRule="auto"/>
      <w:ind w:left="1980" w:hanging="1980"/>
    </w:pPr>
    <w:rPr>
      <w:rFonts w:ascii="Arial" w:eastAsia="Times New Roman" w:hAnsi="Arial" w:cs="Arial"/>
      <w:b/>
      <w:kern w:val="0"/>
      <w:sz w:val="24"/>
      <w:szCs w:val="24"/>
      <w14:ligatures w14:val="none"/>
    </w:rPr>
  </w:style>
  <w:style w:type="paragraph" w:customStyle="1" w:styleId="Paragraph">
    <w:name w:val="Paragraph"/>
    <w:basedOn w:val="Normal"/>
    <w:autoRedefine/>
    <w:uiPriority w:val="99"/>
    <w:qFormat/>
    <w:rsid w:val="00D565C2"/>
    <w:pPr>
      <w:spacing w:after="0" w:line="240" w:lineRule="auto"/>
    </w:pPr>
    <w:rPr>
      <w:rFonts w:ascii="Arial" w:eastAsia="Arial" w:hAnsi="Arial" w:cs="Times New Roman"/>
      <w:b/>
      <w:kern w:val="0"/>
      <w:sz w:val="20"/>
      <w:szCs w:val="20"/>
      <w14:ligatures w14:val="none"/>
    </w:rPr>
  </w:style>
  <w:style w:type="paragraph" w:customStyle="1" w:styleId="open">
    <w:name w:val="open"/>
    <w:basedOn w:val="Normal"/>
    <w:uiPriority w:val="99"/>
    <w:rsid w:val="00D565C2"/>
    <w:pPr>
      <w:tabs>
        <w:tab w:val="left" w:pos="720"/>
        <w:tab w:val="left" w:pos="960"/>
        <w:tab w:val="left" w:pos="1200"/>
        <w:tab w:val="left" w:pos="1440"/>
        <w:tab w:val="left" w:pos="1680"/>
      </w:tabs>
      <w:spacing w:after="0" w:line="240" w:lineRule="auto"/>
    </w:pPr>
    <w:rPr>
      <w:rFonts w:ascii="Courier" w:eastAsia="Times New Roman" w:hAnsi="Courier" w:cs="Times New Roman"/>
      <w:kern w:val="0"/>
      <w:sz w:val="24"/>
      <w:szCs w:val="20"/>
      <w14:ligatures w14:val="none"/>
    </w:rPr>
  </w:style>
  <w:style w:type="character" w:customStyle="1" w:styleId="UnresolvedMention1">
    <w:name w:val="Unresolved Mention1"/>
    <w:uiPriority w:val="99"/>
    <w:unhideWhenUsed/>
    <w:rsid w:val="00D565C2"/>
    <w:rPr>
      <w:color w:val="605E5C"/>
      <w:shd w:val="clear" w:color="auto" w:fill="E1DFDD"/>
    </w:rPr>
  </w:style>
  <w:style w:type="paragraph" w:customStyle="1" w:styleId="p1">
    <w:name w:val="p1"/>
    <w:basedOn w:val="Normal"/>
    <w:uiPriority w:val="99"/>
    <w:rsid w:val="00D565C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p2">
    <w:name w:val="p2"/>
    <w:basedOn w:val="Normal"/>
    <w:uiPriority w:val="99"/>
    <w:rsid w:val="00D565C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Revision">
    <w:name w:val="Revision"/>
    <w:hidden/>
    <w:uiPriority w:val="99"/>
    <w:semiHidden/>
    <w:rsid w:val="00D565C2"/>
    <w:pPr>
      <w:spacing w:after="0" w:line="240" w:lineRule="auto"/>
    </w:pPr>
    <w:rPr>
      <w:rFonts w:ascii="Courier New" w:eastAsia="Times New Roman" w:hAnsi="Courier New" w:cs="Times New Roman"/>
      <w:kern w:val="0"/>
      <w:sz w:val="20"/>
      <w:szCs w:val="20"/>
      <w14:ligatures w14:val="none"/>
    </w:rPr>
  </w:style>
  <w:style w:type="paragraph" w:customStyle="1" w:styleId="tp">
    <w:name w:val="tp"/>
    <w:basedOn w:val="Normal"/>
    <w:uiPriority w:val="99"/>
    <w:rsid w:val="00D565C2"/>
    <w:pPr>
      <w:widowControl w:val="0"/>
      <w:tabs>
        <w:tab w:val="left" w:pos="444"/>
        <w:tab w:val="left" w:pos="858"/>
        <w:tab w:val="left" w:pos="1224"/>
        <w:tab w:val="left" w:pos="1290"/>
        <w:tab w:val="left" w:pos="1716"/>
      </w:tabs>
      <w:spacing w:after="0" w:line="240" w:lineRule="auto"/>
      <w:jc w:val="both"/>
    </w:pPr>
    <w:rPr>
      <w:rFonts w:ascii="Times Roman" w:eastAsia="Times New Roman" w:hAnsi="Times Roman" w:cs="Times New Roman"/>
      <w:kern w:val="0"/>
      <w:sz w:val="24"/>
      <w:szCs w:val="20"/>
      <w14:ligatures w14:val="none"/>
    </w:rPr>
  </w:style>
  <w:style w:type="paragraph" w:customStyle="1" w:styleId="a">
    <w:name w:val=":|"/>
    <w:uiPriority w:val="99"/>
    <w:rsid w:val="00D565C2"/>
    <w:pPr>
      <w:spacing w:after="0" w:line="240" w:lineRule="auto"/>
    </w:pPr>
    <w:rPr>
      <w:rFonts w:ascii="Times New Roman" w:eastAsia="Times New Roman" w:hAnsi="Times New Roman" w:cs="Times New Roman"/>
      <w:kern w:val="0"/>
      <w:sz w:val="20"/>
      <w:szCs w:val="20"/>
      <w14:ligatures w14:val="none"/>
    </w:rPr>
  </w:style>
  <w:style w:type="paragraph" w:customStyle="1" w:styleId="Default">
    <w:name w:val="Default"/>
    <w:rsid w:val="00D565C2"/>
    <w:pPr>
      <w:autoSpaceDE w:val="0"/>
      <w:autoSpaceDN w:val="0"/>
      <w:adjustRightInd w:val="0"/>
      <w:spacing w:after="0" w:line="240" w:lineRule="auto"/>
    </w:pPr>
    <w:rPr>
      <w:rFonts w:ascii="XIECF Z+ Times New Roman," w:eastAsia="Times New Roman" w:hAnsi="XIECF Z+ Times New Roman," w:cs="XIECF Z+ Times New Roman,"/>
      <w:color w:val="000000"/>
      <w:kern w:val="0"/>
      <w:sz w:val="24"/>
      <w:szCs w:val="24"/>
      <w14:ligatures w14:val="none"/>
    </w:rPr>
  </w:style>
  <w:style w:type="paragraph" w:customStyle="1" w:styleId="Address">
    <w:name w:val="Address"/>
    <w:basedOn w:val="BodyText"/>
    <w:uiPriority w:val="99"/>
    <w:rsid w:val="00D565C2"/>
    <w:pPr>
      <w:keepLines/>
      <w:ind w:right="4320"/>
      <w:jc w:val="left"/>
    </w:pPr>
    <w:rPr>
      <w:b w:val="0"/>
      <w:spacing w:val="0"/>
      <w:sz w:val="20"/>
      <w:lang w:val="x-none" w:eastAsia="x-none"/>
    </w:rPr>
  </w:style>
  <w:style w:type="paragraph" w:customStyle="1" w:styleId="AttentionLine">
    <w:name w:val="Attention Line"/>
    <w:basedOn w:val="BodyText"/>
    <w:uiPriority w:val="99"/>
    <w:rsid w:val="00D565C2"/>
    <w:pPr>
      <w:spacing w:after="160"/>
      <w:jc w:val="left"/>
    </w:pPr>
    <w:rPr>
      <w:i/>
      <w:spacing w:val="0"/>
      <w:sz w:val="20"/>
      <w:lang w:val="x-none" w:eastAsia="x-none"/>
    </w:rPr>
  </w:style>
  <w:style w:type="paragraph" w:customStyle="1" w:styleId="BodyTextKeep">
    <w:name w:val="Body Text Keep"/>
    <w:basedOn w:val="BodyText"/>
    <w:uiPriority w:val="99"/>
    <w:rsid w:val="00D565C2"/>
    <w:pPr>
      <w:keepNext/>
      <w:spacing w:after="160"/>
      <w:jc w:val="left"/>
    </w:pPr>
    <w:rPr>
      <w:b w:val="0"/>
      <w:spacing w:val="0"/>
      <w:sz w:val="20"/>
      <w:lang w:val="x-none" w:eastAsia="x-none"/>
    </w:rPr>
  </w:style>
  <w:style w:type="paragraph" w:customStyle="1" w:styleId="-">
    <w:name w:val=":-|"/>
    <w:uiPriority w:val="99"/>
    <w:rsid w:val="00D565C2"/>
    <w:pPr>
      <w:spacing w:after="0" w:line="240" w:lineRule="auto"/>
    </w:pPr>
    <w:rPr>
      <w:rFonts w:ascii="Times New Roman" w:eastAsia="Times New Roman" w:hAnsi="Times New Roman" w:cs="Times New Roman"/>
      <w:kern w:val="0"/>
      <w:sz w:val="20"/>
      <w:szCs w:val="20"/>
      <w14:ligatures w14:val="none"/>
    </w:rPr>
  </w:style>
  <w:style w:type="paragraph" w:customStyle="1" w:styleId="KingHeader">
    <w:name w:val="KingHeader"/>
    <w:uiPriority w:val="99"/>
    <w:rsid w:val="00D565C2"/>
    <w:pPr>
      <w:spacing w:after="0" w:line="240" w:lineRule="auto"/>
    </w:pPr>
    <w:rPr>
      <w:rFonts w:ascii="Arial" w:eastAsia="Times New Roman" w:hAnsi="Arial" w:cs="Times New Roman"/>
      <w:b/>
      <w:noProof/>
      <w:kern w:val="0"/>
      <w:sz w:val="20"/>
      <w:szCs w:val="20"/>
      <w14:ligatures w14:val="none"/>
    </w:rPr>
  </w:style>
  <w:style w:type="paragraph" w:customStyle="1" w:styleId="a0">
    <w:name w:val="&lt;=&gt;"/>
    <w:uiPriority w:val="99"/>
    <w:rsid w:val="00D565C2"/>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link w:val="FootnoteText"/>
    <w:uiPriority w:val="99"/>
    <w:semiHidden/>
    <w:rsid w:val="00D565C2"/>
    <w:rPr>
      <w:rFonts w:ascii="Courier New" w:hAnsi="Courier New"/>
      <w:spacing w:val="-2"/>
    </w:rPr>
  </w:style>
  <w:style w:type="paragraph" w:styleId="FootnoteText">
    <w:name w:val="footnote text"/>
    <w:basedOn w:val="Normal"/>
    <w:link w:val="FootnoteTextChar"/>
    <w:uiPriority w:val="99"/>
    <w:semiHidden/>
    <w:rsid w:val="00D565C2"/>
    <w:pPr>
      <w:spacing w:after="0" w:line="240" w:lineRule="auto"/>
    </w:pPr>
    <w:rPr>
      <w:rFonts w:ascii="Courier New" w:hAnsi="Courier New"/>
      <w:spacing w:val="-2"/>
    </w:rPr>
  </w:style>
  <w:style w:type="character" w:customStyle="1" w:styleId="FootnoteTextChar1">
    <w:name w:val="Footnote Text Char1"/>
    <w:basedOn w:val="DefaultParagraphFont"/>
    <w:uiPriority w:val="99"/>
    <w:semiHidden/>
    <w:rsid w:val="00D565C2"/>
    <w:rPr>
      <w:sz w:val="20"/>
      <w:szCs w:val="20"/>
    </w:rPr>
  </w:style>
  <w:style w:type="character" w:customStyle="1" w:styleId="DeltaViewDeletion">
    <w:name w:val="DeltaView Deletion"/>
    <w:rsid w:val="00D565C2"/>
    <w:rPr>
      <w:b/>
      <w:bCs/>
      <w:strike/>
      <w:color w:val="FF0000"/>
      <w:spacing w:val="0"/>
    </w:rPr>
  </w:style>
  <w:style w:type="character" w:customStyle="1" w:styleId="DeltaViewInsertion">
    <w:name w:val="DeltaView Insertion"/>
    <w:rsid w:val="00D565C2"/>
    <w:rPr>
      <w:b/>
      <w:bCs/>
      <w:color w:val="0000FF"/>
      <w:spacing w:val="0"/>
      <w:u w:val="double"/>
    </w:rPr>
  </w:style>
  <w:style w:type="paragraph" w:styleId="NormalIndent">
    <w:name w:val="Normal Indent"/>
    <w:basedOn w:val="Normal"/>
    <w:uiPriority w:val="99"/>
    <w:rsid w:val="00D565C2"/>
    <w:pPr>
      <w:spacing w:after="0" w:line="240" w:lineRule="auto"/>
      <w:ind w:left="504"/>
    </w:pPr>
    <w:rPr>
      <w:rFonts w:ascii="Times New Roman" w:eastAsia="Times New Roman" w:hAnsi="Times New Roman" w:cs="Times New Roman"/>
      <w:kern w:val="0"/>
      <w:sz w:val="24"/>
      <w:szCs w:val="20"/>
      <w14:ligatures w14:val="none"/>
    </w:rPr>
  </w:style>
  <w:style w:type="paragraph" w:customStyle="1" w:styleId="EnvelopeReturn1">
    <w:name w:val="Envelope Return1"/>
    <w:basedOn w:val="Normal"/>
    <w:uiPriority w:val="99"/>
    <w:rsid w:val="00D565C2"/>
    <w:pPr>
      <w:spacing w:after="0" w:line="240" w:lineRule="auto"/>
    </w:pPr>
    <w:rPr>
      <w:rFonts w:ascii="Times New Roman" w:eastAsia="Times New Roman" w:hAnsi="Times New Roman" w:cs="Times New Roman"/>
      <w:kern w:val="0"/>
      <w:sz w:val="20"/>
      <w:szCs w:val="20"/>
      <w14:ligatures w14:val="none"/>
    </w:rPr>
  </w:style>
  <w:style w:type="paragraph" w:customStyle="1" w:styleId="EnvelopeAddress1">
    <w:name w:val="Envelope Address1"/>
    <w:basedOn w:val="Normal"/>
    <w:uiPriority w:val="99"/>
    <w:rsid w:val="00D565C2"/>
    <w:pPr>
      <w:framePr w:w="7920" w:h="1980" w:hRule="exact" w:hSpace="180" w:wrap="auto" w:hAnchor="text" w:xAlign="center" w:yAlign="bottom"/>
      <w:spacing w:after="0" w:line="240" w:lineRule="auto"/>
      <w:ind w:left="2880"/>
    </w:pPr>
    <w:rPr>
      <w:rFonts w:ascii="Times New Roman" w:eastAsia="Times New Roman" w:hAnsi="Times New Roman" w:cs="Times New Roman"/>
      <w:kern w:val="0"/>
      <w:sz w:val="24"/>
      <w:szCs w:val="20"/>
      <w14:ligatures w14:val="none"/>
    </w:rPr>
  </w:style>
  <w:style w:type="paragraph" w:styleId="EnvelopeAddress">
    <w:name w:val="envelope address"/>
    <w:basedOn w:val="Normal"/>
    <w:uiPriority w:val="99"/>
    <w:rsid w:val="00D565C2"/>
    <w:pPr>
      <w:framePr w:w="7920" w:h="1980" w:hRule="exact" w:hSpace="180" w:wrap="auto" w:hAnchor="page" w:xAlign="center" w:yAlign="bottom"/>
      <w:spacing w:after="0" w:line="240" w:lineRule="auto"/>
      <w:ind w:left="2880"/>
    </w:pPr>
    <w:rPr>
      <w:rFonts w:ascii="Times New Roman" w:eastAsia="Times New Roman" w:hAnsi="Times New Roman" w:cs="Times New Roman"/>
      <w:kern w:val="0"/>
      <w:sz w:val="24"/>
      <w:szCs w:val="20"/>
      <w14:ligatures w14:val="none"/>
    </w:rPr>
  </w:style>
  <w:style w:type="paragraph" w:customStyle="1" w:styleId="Courier10">
    <w:name w:val="Courier 10"/>
    <w:basedOn w:val="Normal"/>
    <w:uiPriority w:val="99"/>
    <w:rsid w:val="00D565C2"/>
    <w:pPr>
      <w:spacing w:after="0" w:line="240" w:lineRule="auto"/>
    </w:pPr>
    <w:rPr>
      <w:rFonts w:ascii="Courier New" w:eastAsia="Times New Roman" w:hAnsi="Courier New" w:cs="Times New Roman"/>
      <w:kern w:val="0"/>
      <w:sz w:val="20"/>
      <w:szCs w:val="20"/>
      <w14:ligatures w14:val="none"/>
    </w:rPr>
  </w:style>
  <w:style w:type="paragraph" w:customStyle="1" w:styleId="Courier12">
    <w:name w:val="Courier 12"/>
    <w:basedOn w:val="Normal"/>
    <w:uiPriority w:val="99"/>
    <w:rsid w:val="00D565C2"/>
    <w:pPr>
      <w:spacing w:after="0" w:line="240" w:lineRule="auto"/>
    </w:pPr>
    <w:rPr>
      <w:rFonts w:ascii="Courier New" w:eastAsia="Times New Roman" w:hAnsi="Courier New" w:cs="Times New Roman"/>
      <w:kern w:val="0"/>
      <w:sz w:val="24"/>
      <w:szCs w:val="20"/>
      <w14:ligatures w14:val="none"/>
    </w:rPr>
  </w:style>
  <w:style w:type="paragraph" w:customStyle="1" w:styleId="CGTimes11">
    <w:name w:val="CG Times 11"/>
    <w:basedOn w:val="Normal"/>
    <w:uiPriority w:val="99"/>
    <w:rsid w:val="00D565C2"/>
    <w:pPr>
      <w:spacing w:after="0" w:line="240" w:lineRule="auto"/>
    </w:pPr>
    <w:rPr>
      <w:rFonts w:ascii="CG Times" w:eastAsia="Times New Roman" w:hAnsi="CG Times" w:cs="Times New Roman"/>
      <w:kern w:val="0"/>
      <w:szCs w:val="20"/>
      <w14:ligatures w14:val="none"/>
    </w:rPr>
  </w:style>
  <w:style w:type="paragraph" w:customStyle="1" w:styleId="Flush4CS4">
    <w:name w:val="Flush 4 &lt;CS 4&gt;"/>
    <w:uiPriority w:val="99"/>
    <w:rsid w:val="00D565C2"/>
    <w:pPr>
      <w:tabs>
        <w:tab w:val="left" w:pos="2016"/>
        <w:tab w:val="right" w:pos="6960"/>
        <w:tab w:val="right" w:pos="8400"/>
      </w:tabs>
      <w:spacing w:after="240" w:line="260" w:lineRule="exact"/>
      <w:ind w:left="1512"/>
    </w:pPr>
    <w:rPr>
      <w:rFonts w:ascii="CG Times (WN)" w:eastAsia="Times New Roman" w:hAnsi="CG Times (WN)" w:cs="Times New Roman"/>
      <w:kern w:val="0"/>
      <w:sz w:val="24"/>
      <w:szCs w:val="20"/>
      <w14:ligatures w14:val="none"/>
    </w:rPr>
  </w:style>
  <w:style w:type="paragraph" w:customStyle="1" w:styleId="BAStable">
    <w:name w:val="BAS table"/>
    <w:basedOn w:val="Normal"/>
    <w:uiPriority w:val="99"/>
    <w:rsid w:val="00D565C2"/>
    <w:pPr>
      <w:spacing w:before="60" w:after="60" w:line="240" w:lineRule="auto"/>
    </w:pPr>
    <w:rPr>
      <w:rFonts w:ascii="Times New Roman" w:eastAsia="Times New Roman" w:hAnsi="Times New Roman" w:cs="Times New Roman"/>
      <w:kern w:val="0"/>
      <w:sz w:val="20"/>
      <w:szCs w:val="20"/>
      <w14:ligatures w14:val="none"/>
    </w:rPr>
  </w:style>
  <w:style w:type="paragraph" w:customStyle="1" w:styleId="BASbullets">
    <w:name w:val="BAS bullets"/>
    <w:basedOn w:val="Normal"/>
    <w:uiPriority w:val="99"/>
    <w:rsid w:val="00D565C2"/>
    <w:pPr>
      <w:tabs>
        <w:tab w:val="num" w:pos="360"/>
      </w:tabs>
      <w:spacing w:before="40" w:line="240" w:lineRule="auto"/>
    </w:pPr>
    <w:rPr>
      <w:rFonts w:ascii="Arial" w:eastAsia="Times New Roman" w:hAnsi="Arial" w:cs="Times New Roman"/>
      <w:kern w:val="0"/>
      <w:sz w:val="24"/>
      <w:szCs w:val="24"/>
      <w14:ligatures w14:val="none"/>
    </w:rPr>
  </w:style>
  <w:style w:type="paragraph" w:customStyle="1" w:styleId="BASsecondarybullet">
    <w:name w:val="BAS secondary bullet"/>
    <w:basedOn w:val="Normal"/>
    <w:uiPriority w:val="99"/>
    <w:rsid w:val="00D565C2"/>
    <w:pPr>
      <w:tabs>
        <w:tab w:val="num" w:pos="360"/>
        <w:tab w:val="num" w:pos="720"/>
      </w:tabs>
      <w:spacing w:before="40" w:after="120" w:line="240" w:lineRule="auto"/>
      <w:ind w:left="1080" w:hanging="360"/>
    </w:pPr>
    <w:rPr>
      <w:rFonts w:ascii="Arial" w:eastAsia="Times New Roman" w:hAnsi="Arial" w:cs="Times New Roman"/>
      <w:kern w:val="0"/>
      <w:sz w:val="24"/>
      <w:szCs w:val="24"/>
      <w14:ligatures w14:val="none"/>
    </w:rPr>
  </w:style>
  <w:style w:type="paragraph" w:customStyle="1" w:styleId="BASbodytext">
    <w:name w:val="BAS body text"/>
    <w:basedOn w:val="Normal"/>
    <w:uiPriority w:val="99"/>
    <w:rsid w:val="00D565C2"/>
    <w:pPr>
      <w:numPr>
        <w:numId w:val="2"/>
      </w:numPr>
      <w:tabs>
        <w:tab w:val="clear" w:pos="720"/>
        <w:tab w:val="num" w:pos="360"/>
      </w:tabs>
      <w:spacing w:before="40" w:after="180" w:line="240" w:lineRule="auto"/>
      <w:ind w:left="0" w:firstLine="0"/>
    </w:pPr>
    <w:rPr>
      <w:rFonts w:ascii="Times New Roman" w:eastAsia="Times New Roman" w:hAnsi="Times New Roman" w:cs="Times New Roman"/>
      <w:kern w:val="0"/>
      <w:sz w:val="24"/>
      <w:szCs w:val="20"/>
      <w14:ligatures w14:val="none"/>
    </w:rPr>
  </w:style>
  <w:style w:type="character" w:customStyle="1" w:styleId="Heading2Char1CharCharCharChar">
    <w:name w:val="Heading 2 Char1 Char Char Char Char"/>
    <w:aliases w:val="Heading 2 Char Char Char Char Char Char,Heading 2 Char Char1 Char Char Char"/>
    <w:rsid w:val="00D565C2"/>
    <w:rPr>
      <w:rFonts w:ascii="Arial" w:hAnsi="Arial" w:cs="Arial" w:hint="default"/>
      <w:b/>
      <w:bCs w:val="0"/>
      <w:i/>
      <w:iCs w:val="0"/>
      <w:sz w:val="24"/>
      <w:szCs w:val="24"/>
      <w:lang w:val="en-US" w:eastAsia="en-US" w:bidi="ar-SA"/>
    </w:rPr>
  </w:style>
  <w:style w:type="paragraph" w:customStyle="1" w:styleId="Sect4Bodytext">
    <w:name w:val="Sect4 Body text"/>
    <w:basedOn w:val="Normal"/>
    <w:uiPriority w:val="99"/>
    <w:rsid w:val="00D565C2"/>
    <w:pPr>
      <w:widowControl w:val="0"/>
      <w:spacing w:after="0" w:line="240" w:lineRule="auto"/>
      <w:ind w:left="720"/>
      <w:jc w:val="both"/>
    </w:pPr>
    <w:rPr>
      <w:rFonts w:ascii="Times New Roman" w:eastAsia="Times New Roman" w:hAnsi="Times New Roman" w:cs="Times New Roman"/>
      <w:kern w:val="0"/>
      <w14:ligatures w14:val="none"/>
    </w:rPr>
  </w:style>
  <w:style w:type="paragraph" w:styleId="NormalWeb">
    <w:name w:val="Normal (Web)"/>
    <w:basedOn w:val="Normal"/>
    <w:uiPriority w:val="99"/>
    <w:unhideWhenUsed/>
    <w:rsid w:val="00D565C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UnresolvedMention">
    <w:name w:val="Unresolved Mention"/>
    <w:uiPriority w:val="99"/>
    <w:unhideWhenUsed/>
    <w:rsid w:val="00D565C2"/>
    <w:rPr>
      <w:color w:val="605E5C"/>
      <w:shd w:val="clear" w:color="auto" w:fill="E1DFDD"/>
    </w:rPr>
  </w:style>
  <w:style w:type="character" w:styleId="Mention">
    <w:name w:val="Mention"/>
    <w:uiPriority w:val="99"/>
    <w:unhideWhenUsed/>
    <w:rsid w:val="00D565C2"/>
    <w:rPr>
      <w:color w:val="2B579A"/>
      <w:shd w:val="clear" w:color="auto" w:fill="E1DFDD"/>
    </w:rPr>
  </w:style>
  <w:style w:type="character" w:customStyle="1" w:styleId="ui-provider">
    <w:name w:val="ui-provider"/>
    <w:basedOn w:val="DefaultParagraphFont"/>
    <w:rsid w:val="0089455A"/>
  </w:style>
  <w:style w:type="paragraph" w:customStyle="1" w:styleId="xmsobodytext">
    <w:name w:val="x_msobodytext"/>
    <w:basedOn w:val="Normal"/>
    <w:uiPriority w:val="99"/>
    <w:rsid w:val="002C2056"/>
    <w:pPr>
      <w:spacing w:after="0" w:line="240" w:lineRule="auto"/>
      <w:jc w:val="center"/>
    </w:pPr>
    <w:rPr>
      <w:rFonts w:ascii="Times New Roman" w:hAnsi="Times New Roman" w:cs="Times New Roman"/>
      <w:b/>
      <w:bCs/>
      <w:spacing w:val="-3"/>
      <w:kern w:val="0"/>
      <w:sz w:val="24"/>
      <w:szCs w:val="24"/>
    </w:rPr>
  </w:style>
  <w:style w:type="numbering" w:customStyle="1" w:styleId="NoList2">
    <w:name w:val="No List2"/>
    <w:next w:val="NoList"/>
    <w:uiPriority w:val="99"/>
    <w:semiHidden/>
    <w:unhideWhenUsed/>
    <w:rsid w:val="001C4003"/>
  </w:style>
  <w:style w:type="paragraph" w:customStyle="1" w:styleId="blockquote">
    <w:name w:val="block quote"/>
    <w:basedOn w:val="Normal"/>
    <w:rsid w:val="001C4003"/>
    <w:pPr>
      <w:spacing w:after="0" w:line="240" w:lineRule="auto"/>
      <w:ind w:left="1440" w:right="1440"/>
    </w:pPr>
    <w:rPr>
      <w:rFonts w:ascii="Times New Roman" w:eastAsia="Times New Roman" w:hAnsi="Times New Roman" w:cs="Times New Roman"/>
      <w:spacing w:val="-3"/>
      <w:kern w:val="0"/>
      <w:sz w:val="24"/>
      <w:szCs w:val="20"/>
      <w14:ligatures w14:val="none"/>
    </w:rPr>
  </w:style>
  <w:style w:type="numbering" w:customStyle="1" w:styleId="NoList11">
    <w:name w:val="No List11"/>
    <w:next w:val="NoList"/>
    <w:uiPriority w:val="99"/>
    <w:semiHidden/>
    <w:unhideWhenUsed/>
    <w:rsid w:val="001C4003"/>
  </w:style>
  <w:style w:type="paragraph" w:customStyle="1" w:styleId="msonormal0">
    <w:name w:val="msonormal"/>
    <w:basedOn w:val="Normal"/>
    <w:uiPriority w:val="99"/>
    <w:rsid w:val="001C400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customStyle="1" w:styleId="KCCP1">
    <w:name w:val="KCCP1"/>
    <w:basedOn w:val="TableNormal"/>
    <w:uiPriority w:val="99"/>
    <w:rsid w:val="001C4003"/>
    <w:pPr>
      <w:spacing w:after="0" w:line="240" w:lineRule="auto"/>
    </w:pPr>
    <w:rPr>
      <w:rFonts w:ascii="Arial" w:eastAsia="Calibri" w:hAnsi="Arial" w:cs="Times New Roman"/>
      <w14:ligatures w14:val="none"/>
    </w:rPr>
    <w:tblPr>
      <w:tblInd w:w="0" w:type="nil"/>
    </w:tblPr>
  </w:style>
  <w:style w:type="character" w:customStyle="1" w:styleId="UnresolvedMention2">
    <w:name w:val="Unresolved Mention2"/>
    <w:uiPriority w:val="99"/>
    <w:semiHidden/>
    <w:unhideWhenUsed/>
    <w:rsid w:val="001C4003"/>
    <w:rPr>
      <w:color w:val="605E5C"/>
      <w:shd w:val="clear" w:color="auto" w:fill="E1DFDD"/>
    </w:rPr>
  </w:style>
  <w:style w:type="character" w:customStyle="1" w:styleId="Mention2">
    <w:name w:val="Mention2"/>
    <w:uiPriority w:val="99"/>
    <w:unhideWhenUsed/>
    <w:rsid w:val="001C4003"/>
    <w:rPr>
      <w:color w:val="2B579A"/>
      <w:shd w:val="clear" w:color="auto" w:fill="E1DFDD"/>
    </w:rPr>
  </w:style>
  <w:style w:type="numbering" w:customStyle="1" w:styleId="NoList3">
    <w:name w:val="No List3"/>
    <w:next w:val="NoList"/>
    <w:uiPriority w:val="99"/>
    <w:semiHidden/>
    <w:unhideWhenUsed/>
    <w:rsid w:val="006B4A66"/>
  </w:style>
  <w:style w:type="paragraph" w:customStyle="1" w:styleId="xmsonormal">
    <w:name w:val="x_msonormal"/>
    <w:basedOn w:val="Normal"/>
    <w:rsid w:val="006B4A6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xcontentpasted0">
    <w:name w:val="x_contentpasted0"/>
    <w:rsid w:val="006B4A66"/>
  </w:style>
  <w:style w:type="paragraph" w:customStyle="1" w:styleId="xxmsonormal">
    <w:name w:val="x_xmsonormal"/>
    <w:basedOn w:val="Normal"/>
    <w:rsid w:val="006B4A6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xxcontentpasted0">
    <w:name w:val="x_xcontentpasted0"/>
    <w:rsid w:val="006B4A66"/>
  </w:style>
  <w:style w:type="character" w:customStyle="1" w:styleId="xxxxcontentpasted0">
    <w:name w:val="x_xxxcontentpasted0"/>
    <w:rsid w:val="006B4A66"/>
  </w:style>
  <w:style w:type="paragraph" w:styleId="List3">
    <w:name w:val="List 3"/>
    <w:basedOn w:val="List2"/>
    <w:uiPriority w:val="5"/>
    <w:unhideWhenUsed/>
    <w:qFormat/>
    <w:rsid w:val="006B4A66"/>
    <w:pPr>
      <w:spacing w:before="40" w:after="120"/>
      <w:ind w:left="1425" w:hanging="475"/>
      <w:contextualSpacing w:val="0"/>
    </w:pPr>
    <w:rPr>
      <w:rFonts w:ascii="Calibri" w:eastAsia="Calibri" w:hAnsi="Calibri" w:cs="Arial"/>
      <w:sz w:val="20"/>
    </w:rPr>
  </w:style>
  <w:style w:type="paragraph" w:styleId="List2">
    <w:name w:val="List 2"/>
    <w:basedOn w:val="Normal"/>
    <w:uiPriority w:val="99"/>
    <w:semiHidden/>
    <w:unhideWhenUsed/>
    <w:rsid w:val="006B4A66"/>
    <w:pPr>
      <w:spacing w:after="0" w:line="240" w:lineRule="auto"/>
      <w:ind w:left="720" w:hanging="360"/>
      <w:contextualSpacing/>
    </w:pPr>
    <w:rPr>
      <w:rFonts w:ascii="Times New Roman" w:eastAsia="Times New Roman" w:hAnsi="Times New Roman" w:cs="Times New Roman"/>
      <w:kern w:val="0"/>
      <w:sz w:val="24"/>
      <w:szCs w:val="24"/>
      <w14:ligatures w14:val="none"/>
    </w:rPr>
  </w:style>
  <w:style w:type="paragraph" w:customStyle="1" w:styleId="Normal2">
    <w:name w:val="Normal2"/>
    <w:basedOn w:val="Normal"/>
    <w:rsid w:val="006B4A6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Normal3">
    <w:name w:val="Normal3"/>
    <w:basedOn w:val="Normal"/>
    <w:rsid w:val="006B4A6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Normal4">
    <w:name w:val="Normal4"/>
    <w:basedOn w:val="Normal"/>
    <w:rsid w:val="006B4A6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f01">
    <w:name w:val="cf01"/>
    <w:rsid w:val="006B4A66"/>
    <w:rPr>
      <w:rFonts w:ascii="Segoe UI" w:hAnsi="Segoe UI" w:cs="Segoe UI" w:hint="default"/>
      <w:sz w:val="18"/>
      <w:szCs w:val="18"/>
      <w:shd w:val="clear" w:color="auto" w:fill="D3D3D3"/>
    </w:rPr>
  </w:style>
  <w:style w:type="character" w:customStyle="1" w:styleId="normaltextrun">
    <w:name w:val="normaltextrun"/>
    <w:rsid w:val="006B4A66"/>
  </w:style>
  <w:style w:type="character" w:customStyle="1" w:styleId="eop">
    <w:name w:val="eop"/>
    <w:rsid w:val="006B4A66"/>
  </w:style>
  <w:style w:type="paragraph" w:customStyle="1" w:styleId="paragraph0">
    <w:name w:val="paragraph"/>
    <w:basedOn w:val="Normal"/>
    <w:rsid w:val="006B4A6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uiPriority w:val="22"/>
    <w:qFormat/>
    <w:rsid w:val="006B4A66"/>
    <w:rPr>
      <w:b/>
      <w:bCs/>
    </w:rPr>
  </w:style>
  <w:style w:type="table" w:customStyle="1" w:styleId="TableGrid1">
    <w:name w:val="Table Grid1"/>
    <w:basedOn w:val="TableNormal"/>
    <w:next w:val="TableGrid"/>
    <w:uiPriority w:val="39"/>
    <w:rsid w:val="006B4A66"/>
    <w:pPr>
      <w:spacing w:after="0" w:line="240" w:lineRule="auto"/>
    </w:pPr>
    <w:rPr>
      <w:rFonts w:ascii="Calibri" w:eastAsia="Calibri" w:hAnsi="Calibri" w:cs="Aria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6B4A66"/>
    <w:pPr>
      <w:spacing w:after="0" w:line="240" w:lineRule="auto"/>
    </w:pPr>
    <w:rPr>
      <w:rFonts w:ascii="Calibri" w:eastAsia="Calibri" w:hAnsi="Calibri" w:cs="Aria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6B4A66"/>
    <w:pPr>
      <w:spacing w:after="0" w:line="240" w:lineRule="auto"/>
    </w:pPr>
    <w:rPr>
      <w:rFonts w:ascii="Calibri" w:eastAsia="Calibri" w:hAnsi="Calibri" w:cs="Aria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basedOn w:val="DefaultParagraphFont"/>
    <w:uiPriority w:val="99"/>
    <w:semiHidden/>
    <w:unhideWhenUsed/>
    <w:rsid w:val="003046E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829686">
      <w:bodyDiv w:val="1"/>
      <w:marLeft w:val="0"/>
      <w:marRight w:val="0"/>
      <w:marTop w:val="0"/>
      <w:marBottom w:val="0"/>
      <w:divBdr>
        <w:top w:val="none" w:sz="0" w:space="0" w:color="auto"/>
        <w:left w:val="none" w:sz="0" w:space="0" w:color="auto"/>
        <w:bottom w:val="none" w:sz="0" w:space="0" w:color="auto"/>
        <w:right w:val="none" w:sz="0" w:space="0" w:color="auto"/>
      </w:divBdr>
      <w:divsChild>
        <w:div w:id="508522385">
          <w:marLeft w:val="0"/>
          <w:marRight w:val="0"/>
          <w:marTop w:val="0"/>
          <w:marBottom w:val="0"/>
          <w:divBdr>
            <w:top w:val="none" w:sz="0" w:space="0" w:color="auto"/>
            <w:left w:val="none" w:sz="0" w:space="0" w:color="auto"/>
            <w:bottom w:val="none" w:sz="0" w:space="0" w:color="auto"/>
            <w:right w:val="none" w:sz="0" w:space="0" w:color="auto"/>
          </w:divBdr>
        </w:div>
        <w:div w:id="858356370">
          <w:marLeft w:val="0"/>
          <w:marRight w:val="0"/>
          <w:marTop w:val="0"/>
          <w:marBottom w:val="0"/>
          <w:divBdr>
            <w:top w:val="none" w:sz="0" w:space="0" w:color="auto"/>
            <w:left w:val="none" w:sz="0" w:space="0" w:color="auto"/>
            <w:bottom w:val="none" w:sz="0" w:space="0" w:color="auto"/>
            <w:right w:val="none" w:sz="0" w:space="0" w:color="auto"/>
          </w:divBdr>
        </w:div>
        <w:div w:id="1209803413">
          <w:marLeft w:val="0"/>
          <w:marRight w:val="0"/>
          <w:marTop w:val="0"/>
          <w:marBottom w:val="0"/>
          <w:divBdr>
            <w:top w:val="none" w:sz="0" w:space="0" w:color="auto"/>
            <w:left w:val="none" w:sz="0" w:space="0" w:color="auto"/>
            <w:bottom w:val="none" w:sz="0" w:space="0" w:color="auto"/>
            <w:right w:val="none" w:sz="0" w:space="0" w:color="auto"/>
          </w:divBdr>
        </w:div>
        <w:div w:id="1535845642">
          <w:marLeft w:val="0"/>
          <w:marRight w:val="0"/>
          <w:marTop w:val="0"/>
          <w:marBottom w:val="0"/>
          <w:divBdr>
            <w:top w:val="none" w:sz="0" w:space="0" w:color="auto"/>
            <w:left w:val="none" w:sz="0" w:space="0" w:color="auto"/>
            <w:bottom w:val="none" w:sz="0" w:space="0" w:color="auto"/>
            <w:right w:val="none" w:sz="0" w:space="0" w:color="auto"/>
          </w:divBdr>
        </w:div>
      </w:divsChild>
    </w:div>
    <w:div w:id="294718740">
      <w:bodyDiv w:val="1"/>
      <w:marLeft w:val="0"/>
      <w:marRight w:val="0"/>
      <w:marTop w:val="0"/>
      <w:marBottom w:val="0"/>
      <w:divBdr>
        <w:top w:val="none" w:sz="0" w:space="0" w:color="auto"/>
        <w:left w:val="none" w:sz="0" w:space="0" w:color="auto"/>
        <w:bottom w:val="none" w:sz="0" w:space="0" w:color="auto"/>
        <w:right w:val="none" w:sz="0" w:space="0" w:color="auto"/>
      </w:divBdr>
    </w:div>
    <w:div w:id="466433085">
      <w:bodyDiv w:val="1"/>
      <w:marLeft w:val="0"/>
      <w:marRight w:val="0"/>
      <w:marTop w:val="0"/>
      <w:marBottom w:val="0"/>
      <w:divBdr>
        <w:top w:val="none" w:sz="0" w:space="0" w:color="auto"/>
        <w:left w:val="none" w:sz="0" w:space="0" w:color="auto"/>
        <w:bottom w:val="none" w:sz="0" w:space="0" w:color="auto"/>
        <w:right w:val="none" w:sz="0" w:space="0" w:color="auto"/>
      </w:divBdr>
    </w:div>
    <w:div w:id="726342565">
      <w:bodyDiv w:val="1"/>
      <w:marLeft w:val="0"/>
      <w:marRight w:val="0"/>
      <w:marTop w:val="0"/>
      <w:marBottom w:val="0"/>
      <w:divBdr>
        <w:top w:val="none" w:sz="0" w:space="0" w:color="auto"/>
        <w:left w:val="none" w:sz="0" w:space="0" w:color="auto"/>
        <w:bottom w:val="none" w:sz="0" w:space="0" w:color="auto"/>
        <w:right w:val="none" w:sz="0" w:space="0" w:color="auto"/>
      </w:divBdr>
    </w:div>
    <w:div w:id="1338845706">
      <w:bodyDiv w:val="1"/>
      <w:marLeft w:val="0"/>
      <w:marRight w:val="0"/>
      <w:marTop w:val="0"/>
      <w:marBottom w:val="0"/>
      <w:divBdr>
        <w:top w:val="none" w:sz="0" w:space="0" w:color="auto"/>
        <w:left w:val="none" w:sz="0" w:space="0" w:color="auto"/>
        <w:bottom w:val="none" w:sz="0" w:space="0" w:color="auto"/>
        <w:right w:val="none" w:sz="0" w:space="0" w:color="auto"/>
      </w:divBdr>
    </w:div>
    <w:div w:id="1369914545">
      <w:bodyDiv w:val="1"/>
      <w:marLeft w:val="0"/>
      <w:marRight w:val="0"/>
      <w:marTop w:val="0"/>
      <w:marBottom w:val="0"/>
      <w:divBdr>
        <w:top w:val="none" w:sz="0" w:space="0" w:color="auto"/>
        <w:left w:val="none" w:sz="0" w:space="0" w:color="auto"/>
        <w:bottom w:val="none" w:sz="0" w:space="0" w:color="auto"/>
        <w:right w:val="none" w:sz="0" w:space="0" w:color="auto"/>
      </w:divBdr>
    </w:div>
    <w:div w:id="1382558270">
      <w:bodyDiv w:val="1"/>
      <w:marLeft w:val="0"/>
      <w:marRight w:val="0"/>
      <w:marTop w:val="0"/>
      <w:marBottom w:val="0"/>
      <w:divBdr>
        <w:top w:val="none" w:sz="0" w:space="0" w:color="auto"/>
        <w:left w:val="none" w:sz="0" w:space="0" w:color="auto"/>
        <w:bottom w:val="none" w:sz="0" w:space="0" w:color="auto"/>
        <w:right w:val="none" w:sz="0" w:space="0" w:color="auto"/>
      </w:divBdr>
    </w:div>
    <w:div w:id="1900356208">
      <w:bodyDiv w:val="1"/>
      <w:marLeft w:val="0"/>
      <w:marRight w:val="0"/>
      <w:marTop w:val="0"/>
      <w:marBottom w:val="0"/>
      <w:divBdr>
        <w:top w:val="none" w:sz="0" w:space="0" w:color="auto"/>
        <w:left w:val="none" w:sz="0" w:space="0" w:color="auto"/>
        <w:bottom w:val="none" w:sz="0" w:space="0" w:color="auto"/>
        <w:right w:val="none" w:sz="0" w:space="0" w:color="auto"/>
      </w:divBdr>
    </w:div>
    <w:div w:id="1999533682">
      <w:bodyDiv w:val="1"/>
      <w:marLeft w:val="0"/>
      <w:marRight w:val="0"/>
      <w:marTop w:val="0"/>
      <w:marBottom w:val="0"/>
      <w:divBdr>
        <w:top w:val="none" w:sz="0" w:space="0" w:color="auto"/>
        <w:left w:val="none" w:sz="0" w:space="0" w:color="auto"/>
        <w:bottom w:val="none" w:sz="0" w:space="0" w:color="auto"/>
        <w:right w:val="none" w:sz="0" w:space="0" w:color="auto"/>
      </w:divBdr>
      <w:divsChild>
        <w:div w:id="837113967">
          <w:marLeft w:val="0"/>
          <w:marRight w:val="0"/>
          <w:marTop w:val="0"/>
          <w:marBottom w:val="0"/>
          <w:divBdr>
            <w:top w:val="none" w:sz="0" w:space="0" w:color="auto"/>
            <w:left w:val="none" w:sz="0" w:space="0" w:color="auto"/>
            <w:bottom w:val="none" w:sz="0" w:space="0" w:color="auto"/>
            <w:right w:val="none" w:sz="0" w:space="0" w:color="auto"/>
          </w:divBdr>
        </w:div>
        <w:div w:id="914362297">
          <w:marLeft w:val="0"/>
          <w:marRight w:val="0"/>
          <w:marTop w:val="0"/>
          <w:marBottom w:val="0"/>
          <w:divBdr>
            <w:top w:val="none" w:sz="0" w:space="0" w:color="auto"/>
            <w:left w:val="none" w:sz="0" w:space="0" w:color="auto"/>
            <w:bottom w:val="none" w:sz="0" w:space="0" w:color="auto"/>
            <w:right w:val="none" w:sz="0" w:space="0" w:color="auto"/>
          </w:divBdr>
        </w:div>
        <w:div w:id="1009916242">
          <w:marLeft w:val="0"/>
          <w:marRight w:val="0"/>
          <w:marTop w:val="0"/>
          <w:marBottom w:val="0"/>
          <w:divBdr>
            <w:top w:val="none" w:sz="0" w:space="0" w:color="auto"/>
            <w:left w:val="none" w:sz="0" w:space="0" w:color="auto"/>
            <w:bottom w:val="none" w:sz="0" w:space="0" w:color="auto"/>
            <w:right w:val="none" w:sz="0" w:space="0" w:color="auto"/>
          </w:divBdr>
        </w:div>
        <w:div w:id="18761872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fe7613-ad30-4660-a1ea-5b41979d92cc">
      <Terms xmlns="http://schemas.microsoft.com/office/infopath/2007/PartnerControls"/>
    </lcf76f155ced4ddcb4097134ff3c332f>
    <TaxCatchAll xmlns="2beaef9f-cf1f-479f-a374-c737fe2c05cb"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5B61B6D73CEFE4BBE31050695399EE4" ma:contentTypeVersion="16" ma:contentTypeDescription="Create a new document." ma:contentTypeScope="" ma:versionID="48dc8944c6059785b04c9c07d0335d03">
  <xsd:schema xmlns:xsd="http://www.w3.org/2001/XMLSchema" xmlns:xs="http://www.w3.org/2001/XMLSchema" xmlns:p="http://schemas.microsoft.com/office/2006/metadata/properties" xmlns:ns2="41fe7613-ad30-4660-a1ea-5b41979d92cc" xmlns:ns3="2beaef9f-cf1f-479f-a374-c737fe2c05cb" xmlns:ns4="460b40b1-8940-426a-956a-a1941f8155cd" targetNamespace="http://schemas.microsoft.com/office/2006/metadata/properties" ma:root="true" ma:fieldsID="5b9aeabc8497fb2eac34fb6f0e771c43" ns2:_="" ns3:_="" ns4:_="">
    <xsd:import namespace="41fe7613-ad30-4660-a1ea-5b41979d92cc"/>
    <xsd:import namespace="2beaef9f-cf1f-479f-a374-c737fe2c05cb"/>
    <xsd:import namespace="460b40b1-8940-426a-956a-a1941f8155c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ObjectDetectorVersions" minOccurs="0"/>
                <xsd:element ref="ns2:MediaServiceLocation" minOccurs="0"/>
                <xsd:element ref="ns2:lcf76f155ced4ddcb4097134ff3c332f" minOccurs="0"/>
                <xsd:element ref="ns3:TaxCatchAll" minOccurs="0"/>
                <xsd:element ref="ns4:SharedWithUsers" minOccurs="0"/>
                <xsd:element ref="ns4: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fe7613-ad30-4660-a1ea-5b41979d92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08191451-e717-4045-927b-fb009344d2c2}" ma:internalName="TaxCatchAll" ma:showField="CatchAllData" ma:web="460b40b1-8940-426a-956a-a1941f8155c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60b40b1-8940-426a-956a-a1941f8155cd"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D62EE5-6A44-4A60-8A81-FBAB92A5BC7A}">
  <ds:schemaRefs>
    <ds:schemaRef ds:uri="http://schemas.microsoft.com/office/2006/metadata/properties"/>
    <ds:schemaRef ds:uri="http://schemas.microsoft.com/office/infopath/2007/PartnerControls"/>
    <ds:schemaRef ds:uri="41fe7613-ad30-4660-a1ea-5b41979d92cc"/>
    <ds:schemaRef ds:uri="2beaef9f-cf1f-479f-a374-c737fe2c05cb"/>
  </ds:schemaRefs>
</ds:datastoreItem>
</file>

<file path=customXml/itemProps2.xml><?xml version="1.0" encoding="utf-8"?>
<ds:datastoreItem xmlns:ds="http://schemas.openxmlformats.org/officeDocument/2006/customXml" ds:itemID="{F8AEE53C-21BA-4C63-AFA9-4A9649E134FE}">
  <ds:schemaRefs>
    <ds:schemaRef ds:uri="http://schemas.openxmlformats.org/officeDocument/2006/bibliography"/>
  </ds:schemaRefs>
</ds:datastoreItem>
</file>

<file path=customXml/itemProps3.xml><?xml version="1.0" encoding="utf-8"?>
<ds:datastoreItem xmlns:ds="http://schemas.openxmlformats.org/officeDocument/2006/customXml" ds:itemID="{9E33CC2F-EE4E-4C10-B891-372D11B381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fe7613-ad30-4660-a1ea-5b41979d92cc"/>
    <ds:schemaRef ds:uri="2beaef9f-cf1f-479f-a374-c737fe2c05cb"/>
    <ds:schemaRef ds:uri="460b40b1-8940-426a-956a-a1941f8155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BA8D777-D91A-4519-8347-A4F26E24EC2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355</Pages>
  <Words>72928</Words>
  <Characters>415694</Characters>
  <Application>Microsoft Office Word</Application>
  <DocSecurity>0</DocSecurity>
  <Lines>3464</Lines>
  <Paragraphs>975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487647</CharactersWithSpaces>
  <SharedDoc>false</SharedDoc>
  <HLinks>
    <vt:vector size="12" baseType="variant">
      <vt:variant>
        <vt:i4>2818156</vt:i4>
      </vt:variant>
      <vt:variant>
        <vt:i4>3</vt:i4>
      </vt:variant>
      <vt:variant>
        <vt:i4>0</vt:i4>
      </vt:variant>
      <vt:variant>
        <vt:i4>5</vt:i4>
      </vt:variant>
      <vt:variant>
        <vt:lpwstr>https://cdn.kingcounty.gov/-/media/king-county/depts/dph/documents/health-safety/environmental-health/fees/plumbing-gas-piping-service-fees-through-2026.pdf?rev=53b19fe8ca054f208d69f4494ae33242&amp;hash=333DB8594574DE215632682586E703F5</vt:lpwstr>
      </vt:variant>
      <vt:variant>
        <vt:lpwstr/>
      </vt:variant>
      <vt:variant>
        <vt:i4>3670105</vt:i4>
      </vt:variant>
      <vt:variant>
        <vt:i4>0</vt:i4>
      </vt:variant>
      <vt:variant>
        <vt:i4>0</vt:i4>
      </vt:variant>
      <vt:variant>
        <vt:i4>5</vt:i4>
      </vt:variant>
      <vt:variant>
        <vt:lpwstr>mailto:Jenny.Ngo@kingcounty.gov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Jake</dc:creator>
  <cp:keywords/>
  <dc:description/>
  <cp:lastModifiedBy>Tracy, Jake</cp:lastModifiedBy>
  <cp:revision>2</cp:revision>
  <dcterms:created xsi:type="dcterms:W3CDTF">2026-06-08T19:45:00Z</dcterms:created>
  <dcterms:modified xsi:type="dcterms:W3CDTF">2026-06-09T16:58:00Z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0x01010035B61B6D73CEFE4BBE31050695399EE4</vt:lpwstr>
  </property>
</Properties>
</file>