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22EF2" w14:textId="0E7B8BAF" w:rsidR="002D4425" w:rsidRPr="002D4425" w:rsidRDefault="002D4425" w:rsidP="002D4425">
      <w:pPr>
        <w:jc w:val="center"/>
        <w:rPr>
          <w:rFonts w:ascii="Calibri" w:eastAsia="Calibri" w:hAnsi="Calibri" w:cs="Calibri"/>
          <w:bCs/>
          <w:sz w:val="32"/>
        </w:rPr>
      </w:pPr>
    </w:p>
    <w:p w14:paraId="1BDFE849" w14:textId="77777777" w:rsidR="002D4425" w:rsidRPr="002D4425" w:rsidRDefault="002D4425" w:rsidP="002D4425">
      <w:pPr>
        <w:jc w:val="center"/>
        <w:rPr>
          <w:rFonts w:ascii="Calibri" w:eastAsia="Calibri" w:hAnsi="Calibri" w:cs="Calibri"/>
          <w:bCs/>
          <w:sz w:val="32"/>
        </w:rPr>
      </w:pPr>
    </w:p>
    <w:p w14:paraId="77DF016C" w14:textId="77777777" w:rsidR="002D4425" w:rsidRPr="002D4425" w:rsidRDefault="002D4425" w:rsidP="002D4425">
      <w:pPr>
        <w:jc w:val="center"/>
        <w:rPr>
          <w:rFonts w:ascii="Calibri" w:eastAsia="Calibri" w:hAnsi="Calibri" w:cs="Calibri"/>
          <w:bCs/>
          <w:sz w:val="32"/>
        </w:rPr>
      </w:pPr>
    </w:p>
    <w:p w14:paraId="41468252" w14:textId="77777777" w:rsidR="002D4425" w:rsidRPr="002D4425" w:rsidRDefault="002D4425" w:rsidP="002D4425">
      <w:pPr>
        <w:jc w:val="center"/>
        <w:rPr>
          <w:rFonts w:ascii="Calibri" w:eastAsia="Calibri" w:hAnsi="Calibri" w:cs="Calibri"/>
          <w:bCs/>
          <w:sz w:val="32"/>
        </w:rPr>
      </w:pPr>
    </w:p>
    <w:p w14:paraId="490267D1" w14:textId="77777777" w:rsidR="002D4425" w:rsidRPr="002D4425" w:rsidRDefault="002D4425" w:rsidP="002D4425">
      <w:pPr>
        <w:jc w:val="center"/>
        <w:rPr>
          <w:rFonts w:ascii="Calibri" w:eastAsia="Calibri" w:hAnsi="Calibri" w:cs="Calibri"/>
          <w:bCs/>
          <w:sz w:val="32"/>
        </w:rPr>
      </w:pPr>
    </w:p>
    <w:p w14:paraId="7C55A992" w14:textId="77777777" w:rsidR="002D4425" w:rsidRPr="002D4425" w:rsidRDefault="002D4425" w:rsidP="002D4425">
      <w:pPr>
        <w:jc w:val="center"/>
        <w:rPr>
          <w:rFonts w:ascii="Calibri" w:eastAsia="Calibri" w:hAnsi="Calibri" w:cs="Calibri"/>
          <w:bCs/>
          <w:sz w:val="32"/>
        </w:rPr>
      </w:pPr>
    </w:p>
    <w:p w14:paraId="1C2C5C05" w14:textId="05D4F4C4" w:rsidR="005F7BEC" w:rsidRDefault="00637BBA" w:rsidP="689740FD">
      <w:pPr>
        <w:pBdr>
          <w:bottom w:val="single" w:sz="4" w:space="1" w:color="auto"/>
        </w:pBdr>
        <w:jc w:val="center"/>
        <w:rPr>
          <w:rFonts w:ascii="Calibri" w:eastAsia="Calibri" w:hAnsi="Calibri" w:cs="Calibri"/>
          <w:b/>
          <w:bCs/>
          <w:color w:val="2F5496"/>
          <w:sz w:val="32"/>
          <w:szCs w:val="32"/>
        </w:rPr>
      </w:pPr>
      <w:r w:rsidRPr="689740FD">
        <w:rPr>
          <w:rFonts w:ascii="Calibri" w:eastAsia="Calibri" w:hAnsi="Calibri" w:cs="Calibri"/>
          <w:b/>
          <w:bCs/>
          <w:color w:val="2F5496"/>
          <w:sz w:val="32"/>
          <w:szCs w:val="32"/>
        </w:rPr>
        <w:t>Proposed 202</w:t>
      </w:r>
      <w:r w:rsidR="00481BD5" w:rsidRPr="689740FD">
        <w:rPr>
          <w:rFonts w:ascii="Calibri" w:eastAsia="Calibri" w:hAnsi="Calibri" w:cs="Calibri"/>
          <w:b/>
          <w:bCs/>
          <w:color w:val="2F5496"/>
          <w:sz w:val="32"/>
          <w:szCs w:val="32"/>
        </w:rPr>
        <w:t>7</w:t>
      </w:r>
      <w:r w:rsidRPr="689740FD">
        <w:rPr>
          <w:rFonts w:ascii="Calibri" w:eastAsia="Calibri" w:hAnsi="Calibri" w:cs="Calibri"/>
          <w:b/>
          <w:bCs/>
          <w:color w:val="2F5496"/>
          <w:sz w:val="32"/>
          <w:szCs w:val="32"/>
        </w:rPr>
        <w:t xml:space="preserve"> Sewer Rate and Capacity C</w:t>
      </w:r>
      <w:r w:rsidR="000F6800" w:rsidRPr="689740FD">
        <w:rPr>
          <w:rFonts w:ascii="Calibri" w:eastAsia="Calibri" w:hAnsi="Calibri" w:cs="Calibri"/>
          <w:b/>
          <w:bCs/>
          <w:color w:val="2F5496"/>
          <w:sz w:val="32"/>
          <w:szCs w:val="32"/>
        </w:rPr>
        <w:t>h</w:t>
      </w:r>
      <w:r w:rsidRPr="689740FD">
        <w:rPr>
          <w:rFonts w:ascii="Calibri" w:eastAsia="Calibri" w:hAnsi="Calibri" w:cs="Calibri"/>
          <w:b/>
          <w:bCs/>
          <w:color w:val="2F5496"/>
          <w:sz w:val="32"/>
          <w:szCs w:val="32"/>
        </w:rPr>
        <w:t xml:space="preserve">arge </w:t>
      </w:r>
    </w:p>
    <w:p w14:paraId="7D572E69" w14:textId="51537DD9" w:rsidR="002D4425" w:rsidRPr="002D4425" w:rsidRDefault="00637BBA" w:rsidP="002D4425">
      <w:pPr>
        <w:pBdr>
          <w:bottom w:val="single" w:sz="4" w:space="1" w:color="auto"/>
        </w:pBdr>
        <w:jc w:val="center"/>
        <w:rPr>
          <w:rFonts w:ascii="Calibri" w:eastAsia="Calibri" w:hAnsi="Calibri" w:cs="Calibri"/>
          <w:b/>
          <w:bCs/>
          <w:color w:val="2F5496"/>
          <w:sz w:val="32"/>
        </w:rPr>
      </w:pPr>
      <w:r>
        <w:rPr>
          <w:rFonts w:ascii="Calibri" w:eastAsia="Calibri" w:hAnsi="Calibri" w:cs="Calibri"/>
          <w:b/>
          <w:bCs/>
          <w:color w:val="2F5496"/>
          <w:sz w:val="32"/>
        </w:rPr>
        <w:t>and 202</w:t>
      </w:r>
      <w:r w:rsidR="00481BD5">
        <w:rPr>
          <w:rFonts w:ascii="Calibri" w:eastAsia="Calibri" w:hAnsi="Calibri" w:cs="Calibri"/>
          <w:b/>
          <w:bCs/>
          <w:color w:val="2F5496"/>
          <w:sz w:val="32"/>
        </w:rPr>
        <w:t>7</w:t>
      </w:r>
      <w:r>
        <w:rPr>
          <w:rFonts w:ascii="Calibri" w:eastAsia="Calibri" w:hAnsi="Calibri" w:cs="Calibri"/>
          <w:b/>
          <w:bCs/>
          <w:color w:val="2F5496"/>
          <w:sz w:val="32"/>
        </w:rPr>
        <w:t>-20</w:t>
      </w:r>
      <w:r w:rsidR="00BE400E">
        <w:rPr>
          <w:rFonts w:ascii="Calibri" w:eastAsia="Calibri" w:hAnsi="Calibri" w:cs="Calibri"/>
          <w:b/>
          <w:bCs/>
          <w:color w:val="2F5496"/>
          <w:sz w:val="32"/>
        </w:rPr>
        <w:t>4</w:t>
      </w:r>
      <w:r w:rsidR="00481BD5">
        <w:rPr>
          <w:rFonts w:ascii="Calibri" w:eastAsia="Calibri" w:hAnsi="Calibri" w:cs="Calibri"/>
          <w:b/>
          <w:bCs/>
          <w:color w:val="2F5496"/>
          <w:sz w:val="32"/>
        </w:rPr>
        <w:t>6</w:t>
      </w:r>
      <w:r>
        <w:rPr>
          <w:rFonts w:ascii="Calibri" w:eastAsia="Calibri" w:hAnsi="Calibri" w:cs="Calibri"/>
          <w:b/>
          <w:bCs/>
          <w:color w:val="2F5496"/>
          <w:sz w:val="32"/>
        </w:rPr>
        <w:t xml:space="preserve"> Financial Forecast</w:t>
      </w:r>
    </w:p>
    <w:p w14:paraId="149C7366" w14:textId="77777777" w:rsidR="002D4425" w:rsidRPr="002D4425" w:rsidRDefault="002D4425" w:rsidP="002D4425">
      <w:pPr>
        <w:jc w:val="center"/>
        <w:rPr>
          <w:rFonts w:ascii="Calibri" w:eastAsia="Calibri" w:hAnsi="Calibri" w:cs="Calibri"/>
          <w:b/>
          <w:bCs/>
          <w:sz w:val="24"/>
        </w:rPr>
      </w:pPr>
    </w:p>
    <w:p w14:paraId="5103D044" w14:textId="1259EC8F" w:rsidR="002D4425" w:rsidRPr="002D4425" w:rsidRDefault="009E01C2" w:rsidP="002D4425">
      <w:pPr>
        <w:jc w:val="center"/>
        <w:rPr>
          <w:rFonts w:ascii="Calibri" w:eastAsia="Calibri" w:hAnsi="Calibri" w:cs="Calibri"/>
          <w:bCs/>
          <w:sz w:val="24"/>
        </w:rPr>
      </w:pPr>
      <w:r w:rsidRPr="00CB642C">
        <w:rPr>
          <w:rFonts w:ascii="Calibri" w:eastAsia="Calibri" w:hAnsi="Calibri" w:cs="Calibri"/>
          <w:bCs/>
          <w:sz w:val="24"/>
        </w:rPr>
        <w:t>April</w:t>
      </w:r>
      <w:r>
        <w:rPr>
          <w:rFonts w:ascii="Calibri" w:eastAsia="Calibri" w:hAnsi="Calibri" w:cs="Calibri"/>
          <w:bCs/>
          <w:sz w:val="24"/>
        </w:rPr>
        <w:t xml:space="preserve"> </w:t>
      </w:r>
      <w:r w:rsidR="008B43F3">
        <w:rPr>
          <w:rFonts w:ascii="Calibri" w:eastAsia="Calibri" w:hAnsi="Calibri" w:cs="Calibri"/>
          <w:sz w:val="24"/>
        </w:rPr>
        <w:t>23</w:t>
      </w:r>
      <w:r>
        <w:rPr>
          <w:rFonts w:ascii="Calibri" w:eastAsia="Calibri" w:hAnsi="Calibri" w:cs="Calibri"/>
          <w:bCs/>
          <w:sz w:val="24"/>
        </w:rPr>
        <w:t xml:space="preserve">, </w:t>
      </w:r>
      <w:r w:rsidR="006B7A57" w:rsidRPr="00CB642C">
        <w:rPr>
          <w:rFonts w:ascii="Calibri" w:eastAsia="Calibri" w:hAnsi="Calibri" w:cs="Calibri"/>
          <w:bCs/>
          <w:sz w:val="24"/>
        </w:rPr>
        <w:t>2</w:t>
      </w:r>
      <w:r w:rsidR="006464A0" w:rsidRPr="00CB642C">
        <w:rPr>
          <w:rFonts w:ascii="Calibri" w:eastAsia="Calibri" w:hAnsi="Calibri" w:cs="Calibri"/>
          <w:bCs/>
          <w:sz w:val="24"/>
        </w:rPr>
        <w:t>02</w:t>
      </w:r>
      <w:r w:rsidR="00481BD5">
        <w:rPr>
          <w:rFonts w:ascii="Calibri" w:eastAsia="Calibri" w:hAnsi="Calibri" w:cs="Calibri"/>
          <w:bCs/>
          <w:sz w:val="24"/>
        </w:rPr>
        <w:t>6</w:t>
      </w:r>
    </w:p>
    <w:p w14:paraId="1A59B418" w14:textId="77777777" w:rsidR="002D4425" w:rsidRPr="002D4425" w:rsidRDefault="002D4425" w:rsidP="002D4425">
      <w:pPr>
        <w:jc w:val="center"/>
        <w:rPr>
          <w:rFonts w:ascii="Calibri" w:eastAsia="Calibri" w:hAnsi="Calibri" w:cs="Calibri"/>
          <w:bCs/>
          <w:i/>
          <w:sz w:val="24"/>
        </w:rPr>
      </w:pPr>
    </w:p>
    <w:p w14:paraId="7E5ECC10" w14:textId="77777777" w:rsidR="002D4425" w:rsidRPr="002D4425" w:rsidRDefault="002D4425" w:rsidP="002D4425">
      <w:pPr>
        <w:jc w:val="center"/>
        <w:rPr>
          <w:rFonts w:ascii="Calibri" w:eastAsia="Calibri" w:hAnsi="Calibri" w:cs="Calibri"/>
          <w:bCs/>
          <w:sz w:val="24"/>
        </w:rPr>
      </w:pPr>
    </w:p>
    <w:p w14:paraId="15C78FBB" w14:textId="77777777" w:rsidR="002D4425" w:rsidRPr="002D4425" w:rsidRDefault="002D4425" w:rsidP="002D4425">
      <w:pPr>
        <w:jc w:val="center"/>
        <w:rPr>
          <w:rFonts w:ascii="Calibri" w:eastAsia="Calibri" w:hAnsi="Calibri" w:cs="Calibri"/>
          <w:bCs/>
          <w:sz w:val="24"/>
        </w:rPr>
      </w:pPr>
    </w:p>
    <w:p w14:paraId="23E1AD9C" w14:textId="77777777" w:rsidR="002D4425" w:rsidRPr="002D4425" w:rsidRDefault="002D4425" w:rsidP="002D4425">
      <w:pPr>
        <w:jc w:val="center"/>
        <w:rPr>
          <w:rFonts w:ascii="Calibri" w:eastAsia="Calibri" w:hAnsi="Calibri" w:cs="Calibri"/>
          <w:bCs/>
          <w:sz w:val="24"/>
        </w:rPr>
      </w:pPr>
    </w:p>
    <w:p w14:paraId="23CE07C0" w14:textId="77777777" w:rsidR="002D4425" w:rsidRPr="002D4425" w:rsidRDefault="002D4425" w:rsidP="002D4425">
      <w:pPr>
        <w:jc w:val="center"/>
        <w:rPr>
          <w:rFonts w:ascii="Calibri" w:eastAsia="Calibri" w:hAnsi="Calibri" w:cs="Calibri"/>
          <w:bCs/>
          <w:sz w:val="24"/>
        </w:rPr>
      </w:pPr>
    </w:p>
    <w:p w14:paraId="320C0E91" w14:textId="77777777" w:rsidR="002D4425" w:rsidRPr="002D4425" w:rsidRDefault="002D4425" w:rsidP="002D4425">
      <w:pPr>
        <w:jc w:val="center"/>
        <w:rPr>
          <w:rFonts w:ascii="Calibri" w:eastAsia="Calibri" w:hAnsi="Calibri" w:cs="Calibri"/>
          <w:bCs/>
          <w:sz w:val="24"/>
        </w:rPr>
      </w:pPr>
    </w:p>
    <w:p w14:paraId="1397A4E6" w14:textId="77777777" w:rsidR="002D4425" w:rsidRPr="002D4425" w:rsidRDefault="002D4425" w:rsidP="002D4425">
      <w:pPr>
        <w:jc w:val="center"/>
        <w:rPr>
          <w:rFonts w:ascii="Calibri" w:eastAsia="Calibri" w:hAnsi="Calibri" w:cs="Calibri"/>
          <w:bCs/>
          <w:sz w:val="24"/>
        </w:rPr>
      </w:pPr>
    </w:p>
    <w:p w14:paraId="3B9DC553" w14:textId="77777777" w:rsidR="002D4425" w:rsidRPr="002D4425" w:rsidRDefault="002D4425" w:rsidP="002D4425">
      <w:pPr>
        <w:jc w:val="center"/>
        <w:rPr>
          <w:rFonts w:ascii="Calibri" w:eastAsia="Calibri" w:hAnsi="Calibri" w:cs="Calibri"/>
          <w:bCs/>
          <w:sz w:val="24"/>
        </w:rPr>
      </w:pPr>
    </w:p>
    <w:p w14:paraId="2EA7DCB7" w14:textId="77777777" w:rsidR="002D4425" w:rsidRPr="002D4425" w:rsidRDefault="002D4425" w:rsidP="002D4425">
      <w:pPr>
        <w:jc w:val="center"/>
        <w:rPr>
          <w:rFonts w:ascii="Calibri" w:eastAsia="Calibri" w:hAnsi="Calibri" w:cs="Calibri"/>
          <w:bCs/>
          <w:sz w:val="24"/>
        </w:rPr>
      </w:pPr>
    </w:p>
    <w:p w14:paraId="78CB30F8" w14:textId="77777777" w:rsidR="002D4425" w:rsidRPr="002D4425" w:rsidRDefault="002D4425" w:rsidP="002D4425">
      <w:pPr>
        <w:jc w:val="center"/>
        <w:rPr>
          <w:rFonts w:ascii="Calibri" w:eastAsia="Calibri" w:hAnsi="Calibri" w:cs="Calibri"/>
          <w:bCs/>
          <w:sz w:val="24"/>
        </w:rPr>
      </w:pPr>
    </w:p>
    <w:p w14:paraId="262287CA" w14:textId="69A6CB00" w:rsidR="002D4425" w:rsidRPr="002D4425" w:rsidRDefault="002D4425" w:rsidP="002D4425">
      <w:pPr>
        <w:jc w:val="center"/>
        <w:rPr>
          <w:rFonts w:ascii="Calibri" w:eastAsia="Calibri" w:hAnsi="Calibri" w:cs="Calibri"/>
          <w:bCs/>
          <w:sz w:val="24"/>
        </w:rPr>
      </w:pPr>
      <w:r w:rsidRPr="002D4425">
        <w:rPr>
          <w:rFonts w:ascii="Calibri" w:eastAsia="Calibri" w:hAnsi="Calibri" w:cs="Calibri"/>
          <w:noProof/>
        </w:rPr>
        <w:drawing>
          <wp:inline distT="0" distB="0" distL="0" distR="0" wp14:anchorId="07ADA38E" wp14:editId="6F7AD267">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14:paraId="3EC6BEAE" w14:textId="77777777" w:rsidR="007C596C" w:rsidRDefault="007C596C">
      <w:pPr>
        <w:spacing w:after="160" w:line="259" w:lineRule="auto"/>
        <w:rPr>
          <w:rFonts w:ascii="Calibri" w:eastAsia="Calibri" w:hAnsi="Calibri" w:cs="Calibri"/>
          <w:bCs/>
          <w:sz w:val="24"/>
        </w:rPr>
      </w:pPr>
      <w:r>
        <w:rPr>
          <w:rFonts w:ascii="Calibri" w:eastAsia="Calibri" w:hAnsi="Calibri" w:cs="Calibri"/>
          <w:bCs/>
          <w:sz w:val="24"/>
        </w:rPr>
        <w:br w:type="page"/>
      </w:r>
    </w:p>
    <w:sdt>
      <w:sdtPr>
        <w:rPr>
          <w:rFonts w:ascii="Palatino Linotype" w:eastAsia="Times New Roman" w:hAnsi="Palatino Linotype" w:cstheme="minorBidi"/>
          <w:b w:val="0"/>
          <w:color w:val="auto"/>
          <w:sz w:val="22"/>
          <w:szCs w:val="22"/>
        </w:rPr>
        <w:id w:val="-2135931858"/>
        <w:docPartObj>
          <w:docPartGallery w:val="Table of Contents"/>
          <w:docPartUnique/>
        </w:docPartObj>
      </w:sdtPr>
      <w:sdtEndPr>
        <w:rPr>
          <w:rFonts w:asciiTheme="minorHAnsi" w:hAnsiTheme="minorHAnsi"/>
          <w:noProof/>
        </w:rPr>
      </w:sdtEndPr>
      <w:sdtContent>
        <w:p w14:paraId="45EA5767" w14:textId="0D2BB5C9" w:rsidR="002F3A82" w:rsidRDefault="002F3A82" w:rsidP="0009114D">
          <w:pPr>
            <w:pStyle w:val="TOCHeading"/>
          </w:pPr>
          <w:r>
            <w:t>Table of Contents</w:t>
          </w:r>
        </w:p>
        <w:p w14:paraId="7E1C662A" w14:textId="56F75202" w:rsidR="00D911D3" w:rsidRPr="007C4898" w:rsidRDefault="00D911D3" w:rsidP="00201729">
          <w:pPr>
            <w:ind w:left="270"/>
            <w:rPr>
              <w:sz w:val="20"/>
              <w:szCs w:val="20"/>
            </w:rPr>
          </w:pPr>
          <w:r w:rsidRPr="007C4898">
            <w:rPr>
              <w:sz w:val="20"/>
              <w:szCs w:val="20"/>
            </w:rPr>
            <w:t>Table of Figures……………………</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7821B4">
            <w:rPr>
              <w:sz w:val="20"/>
              <w:szCs w:val="20"/>
            </w:rPr>
            <w:t>.</w:t>
          </w:r>
          <w:r w:rsidRPr="007C4898">
            <w:rPr>
              <w:sz w:val="20"/>
              <w:szCs w:val="20"/>
            </w:rPr>
            <w:t>…</w:t>
          </w:r>
          <w:r w:rsidR="00201729">
            <w:rPr>
              <w:sz w:val="20"/>
              <w:szCs w:val="20"/>
            </w:rPr>
            <w:t>.</w:t>
          </w:r>
          <w:r w:rsidRPr="007C4898">
            <w:rPr>
              <w:sz w:val="20"/>
              <w:szCs w:val="20"/>
            </w:rPr>
            <w:t>…………</w:t>
          </w:r>
          <w:r w:rsidR="00DA2326" w:rsidRPr="007C4898">
            <w:rPr>
              <w:sz w:val="20"/>
              <w:szCs w:val="20"/>
            </w:rPr>
            <w:t>…</w:t>
          </w:r>
          <w:r w:rsidR="00201729">
            <w:rPr>
              <w:sz w:val="20"/>
              <w:szCs w:val="20"/>
            </w:rPr>
            <w:t>.</w:t>
          </w:r>
          <w:r w:rsidR="00DA2326" w:rsidRPr="007C4898">
            <w:rPr>
              <w:sz w:val="20"/>
              <w:szCs w:val="20"/>
            </w:rPr>
            <w:t>…….</w:t>
          </w:r>
          <w:r w:rsidRPr="007C4898">
            <w:rPr>
              <w:sz w:val="20"/>
              <w:szCs w:val="20"/>
            </w:rPr>
            <w:t>3</w:t>
          </w:r>
        </w:p>
        <w:p w14:paraId="7C251F2C" w14:textId="6515A887" w:rsidR="007C4898" w:rsidRPr="007C4898" w:rsidRDefault="003267A5">
          <w:pPr>
            <w:pStyle w:val="TOC1"/>
            <w:rPr>
              <w:rFonts w:eastAsiaTheme="minorEastAsia"/>
              <w:noProof/>
              <w:kern w:val="2"/>
              <w:sz w:val="20"/>
              <w:szCs w:val="20"/>
              <w14:ligatures w14:val="standardContextual"/>
            </w:rPr>
          </w:pPr>
          <w:r w:rsidRPr="007C4898">
            <w:rPr>
              <w:sz w:val="20"/>
              <w:szCs w:val="20"/>
            </w:rPr>
            <w:fldChar w:fldCharType="begin"/>
          </w:r>
          <w:r w:rsidRPr="007C4898">
            <w:rPr>
              <w:sz w:val="20"/>
              <w:szCs w:val="20"/>
            </w:rPr>
            <w:instrText xml:space="preserve"> TOC \o "1-2" \h \z \u </w:instrText>
          </w:r>
          <w:r w:rsidRPr="007C4898">
            <w:rPr>
              <w:sz w:val="20"/>
              <w:szCs w:val="20"/>
            </w:rPr>
            <w:fldChar w:fldCharType="separate"/>
          </w:r>
          <w:hyperlink w:anchor="_Toc224573024" w:history="1">
            <w:r w:rsidR="007C4898" w:rsidRPr="007C4898">
              <w:rPr>
                <w:rStyle w:val="Hyperlink"/>
                <w:noProof/>
                <w:sz w:val="20"/>
                <w:szCs w:val="20"/>
              </w:rPr>
              <w:t>Executive Summary</w:t>
            </w:r>
            <w:r w:rsidR="007C4898" w:rsidRPr="007C4898">
              <w:rPr>
                <w:noProof/>
                <w:webHidden/>
                <w:sz w:val="20"/>
                <w:szCs w:val="20"/>
              </w:rPr>
              <w:tab/>
            </w:r>
            <w:r w:rsidR="007C4898" w:rsidRPr="007C4898">
              <w:rPr>
                <w:noProof/>
                <w:webHidden/>
                <w:sz w:val="20"/>
                <w:szCs w:val="20"/>
              </w:rPr>
              <w:fldChar w:fldCharType="begin"/>
            </w:r>
            <w:r w:rsidR="007C4898" w:rsidRPr="007C4898">
              <w:rPr>
                <w:noProof/>
                <w:webHidden/>
                <w:sz w:val="20"/>
                <w:szCs w:val="20"/>
              </w:rPr>
              <w:instrText xml:space="preserve"> PAGEREF _Toc224573024 \h </w:instrText>
            </w:r>
            <w:r w:rsidR="007C4898" w:rsidRPr="007C4898">
              <w:rPr>
                <w:noProof/>
                <w:webHidden/>
                <w:sz w:val="20"/>
                <w:szCs w:val="20"/>
              </w:rPr>
            </w:r>
            <w:r w:rsidR="007C4898" w:rsidRPr="007C4898">
              <w:rPr>
                <w:noProof/>
                <w:webHidden/>
                <w:sz w:val="20"/>
                <w:szCs w:val="20"/>
              </w:rPr>
              <w:fldChar w:fldCharType="separate"/>
            </w:r>
            <w:r w:rsidR="007C4898" w:rsidRPr="007C4898">
              <w:rPr>
                <w:noProof/>
                <w:webHidden/>
                <w:sz w:val="20"/>
                <w:szCs w:val="20"/>
              </w:rPr>
              <w:t>5</w:t>
            </w:r>
            <w:r w:rsidR="007C4898" w:rsidRPr="007C4898">
              <w:rPr>
                <w:noProof/>
                <w:webHidden/>
                <w:sz w:val="20"/>
                <w:szCs w:val="20"/>
              </w:rPr>
              <w:fldChar w:fldCharType="end"/>
            </w:r>
          </w:hyperlink>
        </w:p>
        <w:p w14:paraId="3729DD96" w14:textId="0B37C280" w:rsidR="007C4898" w:rsidRPr="007C4898" w:rsidRDefault="007C4898">
          <w:pPr>
            <w:pStyle w:val="TOC1"/>
            <w:rPr>
              <w:rFonts w:eastAsiaTheme="minorEastAsia"/>
              <w:noProof/>
              <w:kern w:val="2"/>
              <w:sz w:val="20"/>
              <w:szCs w:val="20"/>
              <w14:ligatures w14:val="standardContextual"/>
            </w:rPr>
          </w:pPr>
          <w:hyperlink w:anchor="_Toc224573025" w:history="1">
            <w:r w:rsidRPr="007C4898">
              <w:rPr>
                <w:rStyle w:val="Hyperlink"/>
                <w:noProof/>
                <w:sz w:val="20"/>
                <w:szCs w:val="20"/>
              </w:rPr>
              <w:t>Introduction</w:t>
            </w:r>
            <w:r w:rsidR="00A05CB0">
              <w:rPr>
                <w:rStyle w:val="Hyperlink"/>
                <w:noProof/>
                <w:sz w:val="20"/>
                <w:szCs w:val="20"/>
              </w:rPr>
              <w: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_Toc224573025 \h </w:instrText>
            </w:r>
            <w:r w:rsidRPr="007C4898">
              <w:rPr>
                <w:noProof/>
                <w:webHidden/>
                <w:sz w:val="20"/>
                <w:szCs w:val="20"/>
              </w:rPr>
            </w:r>
            <w:r w:rsidRPr="007C4898">
              <w:rPr>
                <w:noProof/>
                <w:webHidden/>
                <w:sz w:val="20"/>
                <w:szCs w:val="20"/>
              </w:rPr>
              <w:fldChar w:fldCharType="separate"/>
            </w:r>
            <w:r w:rsidRPr="007C4898">
              <w:rPr>
                <w:noProof/>
                <w:webHidden/>
                <w:sz w:val="20"/>
                <w:szCs w:val="20"/>
              </w:rPr>
              <w:t>7</w:t>
            </w:r>
            <w:r w:rsidRPr="007C4898">
              <w:rPr>
                <w:noProof/>
                <w:webHidden/>
                <w:sz w:val="20"/>
                <w:szCs w:val="20"/>
              </w:rPr>
              <w:fldChar w:fldCharType="end"/>
            </w:r>
          </w:hyperlink>
        </w:p>
        <w:p w14:paraId="5C268E0B" w14:textId="0B283EF8" w:rsidR="007C4898" w:rsidRPr="007C4898" w:rsidRDefault="007C4898">
          <w:pPr>
            <w:pStyle w:val="TOC1"/>
            <w:rPr>
              <w:rFonts w:eastAsiaTheme="minorEastAsia"/>
              <w:noProof/>
              <w:kern w:val="2"/>
              <w:sz w:val="20"/>
              <w:szCs w:val="20"/>
              <w14:ligatures w14:val="standardContextual"/>
            </w:rPr>
          </w:pPr>
          <w:hyperlink w:anchor="_Toc224573026" w:history="1">
            <w:r w:rsidRPr="007C4898">
              <w:rPr>
                <w:rStyle w:val="Hyperlink"/>
                <w:noProof/>
                <w:sz w:val="20"/>
                <w:szCs w:val="20"/>
              </w:rPr>
              <w:t>Operating Expenditures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_Toc224573026 \h </w:instrText>
            </w:r>
            <w:r w:rsidRPr="007C4898">
              <w:rPr>
                <w:noProof/>
                <w:webHidden/>
                <w:sz w:val="20"/>
                <w:szCs w:val="20"/>
              </w:rPr>
            </w:r>
            <w:r w:rsidRPr="007C4898">
              <w:rPr>
                <w:noProof/>
                <w:webHidden/>
                <w:sz w:val="20"/>
                <w:szCs w:val="20"/>
              </w:rPr>
              <w:fldChar w:fldCharType="separate"/>
            </w:r>
            <w:r w:rsidRPr="007C4898">
              <w:rPr>
                <w:noProof/>
                <w:webHidden/>
                <w:sz w:val="20"/>
                <w:szCs w:val="20"/>
              </w:rPr>
              <w:t>10</w:t>
            </w:r>
            <w:r w:rsidRPr="007C4898">
              <w:rPr>
                <w:noProof/>
                <w:webHidden/>
                <w:sz w:val="20"/>
                <w:szCs w:val="20"/>
              </w:rPr>
              <w:fldChar w:fldCharType="end"/>
            </w:r>
          </w:hyperlink>
        </w:p>
        <w:p w14:paraId="4E2431EF" w14:textId="1C7B3494" w:rsidR="007C4898" w:rsidRPr="007C4898" w:rsidRDefault="007C4898">
          <w:pPr>
            <w:pStyle w:val="TOC2"/>
            <w:rPr>
              <w:rFonts w:eastAsiaTheme="minorEastAsia"/>
              <w:noProof/>
              <w:kern w:val="2"/>
              <w:sz w:val="20"/>
              <w:szCs w:val="20"/>
              <w14:ligatures w14:val="standardContextual"/>
            </w:rPr>
          </w:pPr>
          <w:hyperlink w:anchor="_Toc224573027" w:history="1">
            <w:r w:rsidRPr="007C4898">
              <w:rPr>
                <w:rStyle w:val="Hyperlink"/>
                <w:noProof/>
                <w:sz w:val="20"/>
                <w:szCs w:val="20"/>
              </w:rPr>
              <w:t>Operating Forecast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_Toc224573027 \h </w:instrText>
            </w:r>
            <w:r w:rsidRPr="007C4898">
              <w:rPr>
                <w:noProof/>
                <w:webHidden/>
                <w:sz w:val="20"/>
                <w:szCs w:val="20"/>
              </w:rPr>
            </w:r>
            <w:r w:rsidRPr="007C4898">
              <w:rPr>
                <w:noProof/>
                <w:webHidden/>
                <w:sz w:val="20"/>
                <w:szCs w:val="20"/>
              </w:rPr>
              <w:fldChar w:fldCharType="separate"/>
            </w:r>
            <w:r w:rsidRPr="007C4898">
              <w:rPr>
                <w:noProof/>
                <w:webHidden/>
                <w:sz w:val="20"/>
                <w:szCs w:val="20"/>
              </w:rPr>
              <w:t>10</w:t>
            </w:r>
            <w:r w:rsidRPr="007C4898">
              <w:rPr>
                <w:noProof/>
                <w:webHidden/>
                <w:sz w:val="20"/>
                <w:szCs w:val="20"/>
              </w:rPr>
              <w:fldChar w:fldCharType="end"/>
            </w:r>
          </w:hyperlink>
        </w:p>
        <w:p w14:paraId="5D9C73EA" w14:textId="4258EC6B" w:rsidR="007C4898" w:rsidRPr="007C4898" w:rsidRDefault="007C4898">
          <w:pPr>
            <w:pStyle w:val="TOC2"/>
            <w:rPr>
              <w:rFonts w:eastAsiaTheme="minorEastAsia"/>
              <w:noProof/>
              <w:kern w:val="2"/>
              <w:sz w:val="20"/>
              <w:szCs w:val="20"/>
              <w14:ligatures w14:val="standardContextual"/>
            </w:rPr>
          </w:pPr>
          <w:hyperlink w:anchor="_Toc224573028" w:history="1">
            <w:r w:rsidRPr="007C4898">
              <w:rPr>
                <w:rStyle w:val="Hyperlink"/>
                <w:noProof/>
                <w:sz w:val="20"/>
                <w:szCs w:val="20"/>
              </w:rPr>
              <w:t>WTD Operating Expenditures Forecast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_Toc224573028 \h </w:instrText>
            </w:r>
            <w:r w:rsidRPr="007C4898">
              <w:rPr>
                <w:noProof/>
                <w:webHidden/>
                <w:sz w:val="20"/>
                <w:szCs w:val="20"/>
              </w:rPr>
            </w:r>
            <w:r w:rsidRPr="007C4898">
              <w:rPr>
                <w:noProof/>
                <w:webHidden/>
                <w:sz w:val="20"/>
                <w:szCs w:val="20"/>
              </w:rPr>
              <w:fldChar w:fldCharType="separate"/>
            </w:r>
            <w:r w:rsidRPr="007C4898">
              <w:rPr>
                <w:noProof/>
                <w:webHidden/>
                <w:sz w:val="20"/>
                <w:szCs w:val="20"/>
              </w:rPr>
              <w:t>11</w:t>
            </w:r>
            <w:r w:rsidRPr="007C4898">
              <w:rPr>
                <w:noProof/>
                <w:webHidden/>
                <w:sz w:val="20"/>
                <w:szCs w:val="20"/>
              </w:rPr>
              <w:fldChar w:fldCharType="end"/>
            </w:r>
          </w:hyperlink>
        </w:p>
        <w:p w14:paraId="5617CCE5" w14:textId="12396708" w:rsidR="007C4898" w:rsidRPr="007C4898" w:rsidRDefault="007C4898">
          <w:pPr>
            <w:pStyle w:val="TOC1"/>
            <w:rPr>
              <w:rFonts w:eastAsiaTheme="minorEastAsia"/>
              <w:noProof/>
              <w:kern w:val="2"/>
              <w:sz w:val="20"/>
              <w:szCs w:val="20"/>
              <w14:ligatures w14:val="standardContextual"/>
            </w:rPr>
          </w:pPr>
          <w:hyperlink w:anchor="_Toc224573029" w:history="1">
            <w:r w:rsidRPr="007C4898">
              <w:rPr>
                <w:rStyle w:val="Hyperlink"/>
                <w:noProof/>
                <w:sz w:val="20"/>
                <w:szCs w:val="20"/>
              </w:rPr>
              <w:t>Capital Improvement Program</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_Toc224573029 \h </w:instrText>
            </w:r>
            <w:r w:rsidRPr="007C4898">
              <w:rPr>
                <w:noProof/>
                <w:webHidden/>
                <w:sz w:val="20"/>
                <w:szCs w:val="20"/>
              </w:rPr>
            </w:r>
            <w:r w:rsidRPr="007C4898">
              <w:rPr>
                <w:noProof/>
                <w:webHidden/>
                <w:sz w:val="20"/>
                <w:szCs w:val="20"/>
              </w:rPr>
              <w:fldChar w:fldCharType="separate"/>
            </w:r>
            <w:r w:rsidRPr="007C4898">
              <w:rPr>
                <w:noProof/>
                <w:webHidden/>
                <w:sz w:val="20"/>
                <w:szCs w:val="20"/>
              </w:rPr>
              <w:t>11</w:t>
            </w:r>
            <w:r w:rsidRPr="007C4898">
              <w:rPr>
                <w:noProof/>
                <w:webHidden/>
                <w:sz w:val="20"/>
                <w:szCs w:val="20"/>
              </w:rPr>
              <w:fldChar w:fldCharType="end"/>
            </w:r>
          </w:hyperlink>
        </w:p>
        <w:p w14:paraId="6A1C54D1" w14:textId="08E1A8D8" w:rsidR="007C4898" w:rsidRPr="007C4898" w:rsidRDefault="007C4898">
          <w:pPr>
            <w:pStyle w:val="TOC2"/>
            <w:rPr>
              <w:rFonts w:eastAsiaTheme="minorEastAsia"/>
              <w:noProof/>
              <w:kern w:val="2"/>
              <w:sz w:val="20"/>
              <w:szCs w:val="20"/>
              <w14:ligatures w14:val="standardContextual"/>
            </w:rPr>
          </w:pPr>
          <w:hyperlink w:anchor="_Toc224573030" w:history="1">
            <w:r w:rsidRPr="007C4898">
              <w:rPr>
                <w:rStyle w:val="Hyperlink"/>
                <w:noProof/>
                <w:sz w:val="20"/>
                <w:szCs w:val="20"/>
              </w:rPr>
              <w:t>Portfolio Management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_Toc224573030 \h </w:instrText>
            </w:r>
            <w:r w:rsidRPr="007C4898">
              <w:rPr>
                <w:noProof/>
                <w:webHidden/>
                <w:sz w:val="20"/>
                <w:szCs w:val="20"/>
              </w:rPr>
            </w:r>
            <w:r w:rsidRPr="007C4898">
              <w:rPr>
                <w:noProof/>
                <w:webHidden/>
                <w:sz w:val="20"/>
                <w:szCs w:val="20"/>
              </w:rPr>
              <w:fldChar w:fldCharType="separate"/>
            </w:r>
            <w:r w:rsidRPr="007C4898">
              <w:rPr>
                <w:noProof/>
                <w:webHidden/>
                <w:sz w:val="20"/>
                <w:szCs w:val="20"/>
              </w:rPr>
              <w:t>11</w:t>
            </w:r>
            <w:r w:rsidRPr="007C4898">
              <w:rPr>
                <w:noProof/>
                <w:webHidden/>
                <w:sz w:val="20"/>
                <w:szCs w:val="20"/>
              </w:rPr>
              <w:fldChar w:fldCharType="end"/>
            </w:r>
          </w:hyperlink>
        </w:p>
        <w:p w14:paraId="5BEEB7C8" w14:textId="18088B08" w:rsidR="007C4898" w:rsidRPr="007C4898" w:rsidRDefault="007C4898">
          <w:pPr>
            <w:pStyle w:val="TOC2"/>
            <w:rPr>
              <w:rFonts w:eastAsiaTheme="minorEastAsia"/>
              <w:noProof/>
              <w:kern w:val="2"/>
              <w:sz w:val="20"/>
              <w:szCs w:val="20"/>
              <w14:ligatures w14:val="standardContextual"/>
            </w:rPr>
          </w:pPr>
          <w:hyperlink w:anchor="_Toc224573031" w:history="1">
            <w:r w:rsidRPr="007C4898">
              <w:rPr>
                <w:rStyle w:val="Hyperlink"/>
                <w:noProof/>
                <w:sz w:val="20"/>
                <w:szCs w:val="20"/>
              </w:rPr>
              <w:t>2025 Performance and Accomplishment Rate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_Toc224573031 \h </w:instrText>
            </w:r>
            <w:r w:rsidRPr="007C4898">
              <w:rPr>
                <w:noProof/>
                <w:webHidden/>
                <w:sz w:val="20"/>
                <w:szCs w:val="20"/>
              </w:rPr>
            </w:r>
            <w:r w:rsidRPr="007C4898">
              <w:rPr>
                <w:noProof/>
                <w:webHidden/>
                <w:sz w:val="20"/>
                <w:szCs w:val="20"/>
              </w:rPr>
              <w:fldChar w:fldCharType="separate"/>
            </w:r>
            <w:r w:rsidRPr="007C4898">
              <w:rPr>
                <w:noProof/>
                <w:webHidden/>
                <w:sz w:val="20"/>
                <w:szCs w:val="20"/>
              </w:rPr>
              <w:t>11</w:t>
            </w:r>
            <w:r w:rsidRPr="007C4898">
              <w:rPr>
                <w:noProof/>
                <w:webHidden/>
                <w:sz w:val="20"/>
                <w:szCs w:val="20"/>
              </w:rPr>
              <w:fldChar w:fldCharType="end"/>
            </w:r>
          </w:hyperlink>
        </w:p>
        <w:p w14:paraId="700D5609" w14:textId="66183ECD" w:rsidR="007C4898" w:rsidRPr="007C4898" w:rsidRDefault="007C4898">
          <w:pPr>
            <w:pStyle w:val="TOC2"/>
            <w:rPr>
              <w:rFonts w:eastAsiaTheme="minorEastAsia"/>
              <w:noProof/>
              <w:kern w:val="2"/>
              <w:sz w:val="20"/>
              <w:szCs w:val="20"/>
              <w14:ligatures w14:val="standardContextual"/>
            </w:rPr>
          </w:pPr>
          <w:hyperlink w:anchor="_Toc224573032" w:history="1">
            <w:r w:rsidRPr="007C4898">
              <w:rPr>
                <w:rStyle w:val="Hyperlink"/>
                <w:noProof/>
                <w:sz w:val="20"/>
                <w:szCs w:val="20"/>
              </w:rPr>
              <w:t>Estimated CIP Spending for 2027-2046 Financial Forecast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_Toc224573032 \h </w:instrText>
            </w:r>
            <w:r w:rsidRPr="007C4898">
              <w:rPr>
                <w:noProof/>
                <w:webHidden/>
                <w:sz w:val="20"/>
                <w:szCs w:val="20"/>
              </w:rPr>
            </w:r>
            <w:r w:rsidRPr="007C4898">
              <w:rPr>
                <w:noProof/>
                <w:webHidden/>
                <w:sz w:val="20"/>
                <w:szCs w:val="20"/>
              </w:rPr>
              <w:fldChar w:fldCharType="separate"/>
            </w:r>
            <w:r w:rsidRPr="007C4898">
              <w:rPr>
                <w:noProof/>
                <w:webHidden/>
                <w:sz w:val="20"/>
                <w:szCs w:val="20"/>
              </w:rPr>
              <w:t>12</w:t>
            </w:r>
            <w:r w:rsidRPr="007C4898">
              <w:rPr>
                <w:noProof/>
                <w:webHidden/>
                <w:sz w:val="20"/>
                <w:szCs w:val="20"/>
              </w:rPr>
              <w:fldChar w:fldCharType="end"/>
            </w:r>
          </w:hyperlink>
        </w:p>
        <w:p w14:paraId="4AAA8411" w14:textId="43C07737" w:rsidR="007C4898" w:rsidRPr="007C4898" w:rsidRDefault="007C4898">
          <w:pPr>
            <w:pStyle w:val="TOC2"/>
            <w:rPr>
              <w:rFonts w:eastAsiaTheme="minorEastAsia"/>
              <w:noProof/>
              <w:kern w:val="2"/>
              <w:sz w:val="20"/>
              <w:szCs w:val="20"/>
              <w14:ligatures w14:val="standardContextual"/>
            </w:rPr>
          </w:pPr>
          <w:hyperlink w:anchor="_Toc224573033" w:history="1">
            <w:r w:rsidRPr="007C4898">
              <w:rPr>
                <w:rStyle w:val="Hyperlink"/>
                <w:noProof/>
                <w:sz w:val="20"/>
                <w:szCs w:val="20"/>
              </w:rPr>
              <w:t>Capital Expenditure Delivery Capacity Analysis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_Toc224573033 \h </w:instrText>
            </w:r>
            <w:r w:rsidRPr="007C4898">
              <w:rPr>
                <w:noProof/>
                <w:webHidden/>
                <w:sz w:val="20"/>
                <w:szCs w:val="20"/>
              </w:rPr>
            </w:r>
            <w:r w:rsidRPr="007C4898">
              <w:rPr>
                <w:noProof/>
                <w:webHidden/>
                <w:sz w:val="20"/>
                <w:szCs w:val="20"/>
              </w:rPr>
              <w:fldChar w:fldCharType="separate"/>
            </w:r>
            <w:r w:rsidRPr="007C4898">
              <w:rPr>
                <w:noProof/>
                <w:webHidden/>
                <w:sz w:val="20"/>
                <w:szCs w:val="20"/>
              </w:rPr>
              <w:t>14</w:t>
            </w:r>
            <w:r w:rsidRPr="007C4898">
              <w:rPr>
                <w:noProof/>
                <w:webHidden/>
                <w:sz w:val="20"/>
                <w:szCs w:val="20"/>
              </w:rPr>
              <w:fldChar w:fldCharType="end"/>
            </w:r>
          </w:hyperlink>
        </w:p>
        <w:p w14:paraId="0A995021" w14:textId="26C7CD7F" w:rsidR="007C4898" w:rsidRPr="007C4898" w:rsidRDefault="007C4898">
          <w:pPr>
            <w:pStyle w:val="TOC2"/>
            <w:rPr>
              <w:rFonts w:eastAsiaTheme="minorEastAsia"/>
              <w:noProof/>
              <w:kern w:val="2"/>
              <w:sz w:val="20"/>
              <w:szCs w:val="20"/>
              <w14:ligatures w14:val="standardContextual"/>
            </w:rPr>
          </w:pPr>
          <w:hyperlink w:anchor="_Toc224573034" w:history="1">
            <w:r w:rsidRPr="007C4898">
              <w:rPr>
                <w:rStyle w:val="Hyperlink"/>
                <w:noProof/>
                <w:sz w:val="20"/>
                <w:szCs w:val="20"/>
              </w:rPr>
              <w:t>Capital Improvement Program Funding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_Toc224573034 \h </w:instrText>
            </w:r>
            <w:r w:rsidRPr="007C4898">
              <w:rPr>
                <w:noProof/>
                <w:webHidden/>
                <w:sz w:val="20"/>
                <w:szCs w:val="20"/>
              </w:rPr>
            </w:r>
            <w:r w:rsidRPr="007C4898">
              <w:rPr>
                <w:noProof/>
                <w:webHidden/>
                <w:sz w:val="20"/>
                <w:szCs w:val="20"/>
              </w:rPr>
              <w:fldChar w:fldCharType="separate"/>
            </w:r>
            <w:r w:rsidRPr="007C4898">
              <w:rPr>
                <w:noProof/>
                <w:webHidden/>
                <w:sz w:val="20"/>
                <w:szCs w:val="20"/>
              </w:rPr>
              <w:t>16</w:t>
            </w:r>
            <w:r w:rsidRPr="007C4898">
              <w:rPr>
                <w:noProof/>
                <w:webHidden/>
                <w:sz w:val="20"/>
                <w:szCs w:val="20"/>
              </w:rPr>
              <w:fldChar w:fldCharType="end"/>
            </w:r>
          </w:hyperlink>
        </w:p>
        <w:p w14:paraId="36A3AE32" w14:textId="173293D8" w:rsidR="007C4898" w:rsidRPr="007C4898" w:rsidRDefault="007C4898">
          <w:pPr>
            <w:pStyle w:val="TOC2"/>
            <w:rPr>
              <w:rFonts w:eastAsiaTheme="minorEastAsia"/>
              <w:noProof/>
              <w:kern w:val="2"/>
              <w:sz w:val="20"/>
              <w:szCs w:val="20"/>
              <w14:ligatures w14:val="standardContextual"/>
            </w:rPr>
          </w:pPr>
          <w:hyperlink w:anchor="_Toc224573035" w:history="1">
            <w:r w:rsidRPr="007C4898">
              <w:rPr>
                <w:rStyle w:val="Hyperlink"/>
                <w:noProof/>
                <w:sz w:val="20"/>
                <w:szCs w:val="20"/>
              </w:rPr>
              <w:t>Cash Funding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_Toc224573035 \h </w:instrText>
            </w:r>
            <w:r w:rsidRPr="007C4898">
              <w:rPr>
                <w:noProof/>
                <w:webHidden/>
                <w:sz w:val="20"/>
                <w:szCs w:val="20"/>
              </w:rPr>
            </w:r>
            <w:r w:rsidRPr="007C4898">
              <w:rPr>
                <w:noProof/>
                <w:webHidden/>
                <w:sz w:val="20"/>
                <w:szCs w:val="20"/>
              </w:rPr>
              <w:fldChar w:fldCharType="separate"/>
            </w:r>
            <w:r w:rsidRPr="007C4898">
              <w:rPr>
                <w:noProof/>
                <w:webHidden/>
                <w:sz w:val="20"/>
                <w:szCs w:val="20"/>
              </w:rPr>
              <w:t>16</w:t>
            </w:r>
            <w:r w:rsidRPr="007C4898">
              <w:rPr>
                <w:noProof/>
                <w:webHidden/>
                <w:sz w:val="20"/>
                <w:szCs w:val="20"/>
              </w:rPr>
              <w:fldChar w:fldCharType="end"/>
            </w:r>
          </w:hyperlink>
        </w:p>
        <w:p w14:paraId="405E9472" w14:textId="6591EABD" w:rsidR="007C4898" w:rsidRPr="007C4898" w:rsidRDefault="007C4898">
          <w:pPr>
            <w:pStyle w:val="TOC2"/>
            <w:rPr>
              <w:rFonts w:eastAsiaTheme="minorEastAsia"/>
              <w:noProof/>
              <w:kern w:val="2"/>
              <w:sz w:val="20"/>
              <w:szCs w:val="20"/>
              <w14:ligatures w14:val="standardContextual"/>
            </w:rPr>
          </w:pPr>
          <w:hyperlink w:anchor="_Toc224573036" w:history="1">
            <w:r w:rsidRPr="007C4898">
              <w:rPr>
                <w:rStyle w:val="Hyperlink"/>
                <w:noProof/>
                <w:sz w:val="20"/>
                <w:szCs w:val="20"/>
              </w:rPr>
              <w:t>Debt Financing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_Toc224573036 \h </w:instrText>
            </w:r>
            <w:r w:rsidRPr="007C4898">
              <w:rPr>
                <w:noProof/>
                <w:webHidden/>
                <w:sz w:val="20"/>
                <w:szCs w:val="20"/>
              </w:rPr>
            </w:r>
            <w:r w:rsidRPr="007C4898">
              <w:rPr>
                <w:noProof/>
                <w:webHidden/>
                <w:sz w:val="20"/>
                <w:szCs w:val="20"/>
              </w:rPr>
              <w:fldChar w:fldCharType="separate"/>
            </w:r>
            <w:r w:rsidRPr="007C4898">
              <w:rPr>
                <w:noProof/>
                <w:webHidden/>
                <w:sz w:val="20"/>
                <w:szCs w:val="20"/>
              </w:rPr>
              <w:t>16</w:t>
            </w:r>
            <w:r w:rsidRPr="007C4898">
              <w:rPr>
                <w:noProof/>
                <w:webHidden/>
                <w:sz w:val="20"/>
                <w:szCs w:val="20"/>
              </w:rPr>
              <w:fldChar w:fldCharType="end"/>
            </w:r>
          </w:hyperlink>
        </w:p>
        <w:p w14:paraId="0771C2EB" w14:textId="28878CCA" w:rsidR="007C4898" w:rsidRPr="007C4898" w:rsidRDefault="007C4898">
          <w:pPr>
            <w:pStyle w:val="TOC1"/>
            <w:rPr>
              <w:rFonts w:eastAsiaTheme="minorEastAsia"/>
              <w:noProof/>
              <w:kern w:val="2"/>
              <w:sz w:val="20"/>
              <w:szCs w:val="20"/>
              <w14:ligatures w14:val="standardContextual"/>
            </w:rPr>
          </w:pPr>
          <w:hyperlink w:anchor="_Toc224573037" w:history="1">
            <w:r w:rsidRPr="007C4898">
              <w:rPr>
                <w:rStyle w:val="Hyperlink"/>
                <w:noProof/>
                <w:sz w:val="20"/>
                <w:szCs w:val="20"/>
              </w:rPr>
              <w:t>Reserves Management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_Toc224573037 \h </w:instrText>
            </w:r>
            <w:r w:rsidRPr="007C4898">
              <w:rPr>
                <w:noProof/>
                <w:webHidden/>
                <w:sz w:val="20"/>
                <w:szCs w:val="20"/>
              </w:rPr>
            </w:r>
            <w:r w:rsidRPr="007C4898">
              <w:rPr>
                <w:noProof/>
                <w:webHidden/>
                <w:sz w:val="20"/>
                <w:szCs w:val="20"/>
              </w:rPr>
              <w:fldChar w:fldCharType="separate"/>
            </w:r>
            <w:r w:rsidRPr="007C4898">
              <w:rPr>
                <w:noProof/>
                <w:webHidden/>
                <w:sz w:val="20"/>
                <w:szCs w:val="20"/>
              </w:rPr>
              <w:t>22</w:t>
            </w:r>
            <w:r w:rsidRPr="007C4898">
              <w:rPr>
                <w:noProof/>
                <w:webHidden/>
                <w:sz w:val="20"/>
                <w:szCs w:val="20"/>
              </w:rPr>
              <w:fldChar w:fldCharType="end"/>
            </w:r>
          </w:hyperlink>
        </w:p>
        <w:p w14:paraId="324F5B42" w14:textId="36E964FC" w:rsidR="007C4898" w:rsidRPr="007C4898" w:rsidRDefault="007C4898">
          <w:pPr>
            <w:pStyle w:val="TOC2"/>
            <w:rPr>
              <w:rFonts w:eastAsiaTheme="minorEastAsia"/>
              <w:noProof/>
              <w:kern w:val="2"/>
              <w:sz w:val="20"/>
              <w:szCs w:val="20"/>
              <w14:ligatures w14:val="standardContextual"/>
            </w:rPr>
          </w:pPr>
          <w:hyperlink w:anchor="_Toc224573038" w:history="1">
            <w:r w:rsidRPr="007C4898">
              <w:rPr>
                <w:rStyle w:val="Hyperlink"/>
                <w:noProof/>
                <w:sz w:val="20"/>
                <w:szCs w:val="20"/>
              </w:rPr>
              <w:t>WTD Operating Fund 4611</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_Toc224573038 \h </w:instrText>
            </w:r>
            <w:r w:rsidRPr="007C4898">
              <w:rPr>
                <w:noProof/>
                <w:webHidden/>
                <w:sz w:val="20"/>
                <w:szCs w:val="20"/>
              </w:rPr>
            </w:r>
            <w:r w:rsidRPr="007C4898">
              <w:rPr>
                <w:noProof/>
                <w:webHidden/>
                <w:sz w:val="20"/>
                <w:szCs w:val="20"/>
              </w:rPr>
              <w:fldChar w:fldCharType="separate"/>
            </w:r>
            <w:r w:rsidRPr="007C4898">
              <w:rPr>
                <w:noProof/>
                <w:webHidden/>
                <w:sz w:val="20"/>
                <w:szCs w:val="20"/>
              </w:rPr>
              <w:t>22</w:t>
            </w:r>
            <w:r w:rsidRPr="007C4898">
              <w:rPr>
                <w:noProof/>
                <w:webHidden/>
                <w:sz w:val="20"/>
                <w:szCs w:val="20"/>
              </w:rPr>
              <w:fldChar w:fldCharType="end"/>
            </w:r>
          </w:hyperlink>
        </w:p>
        <w:p w14:paraId="296CBB0F" w14:textId="095BA392" w:rsidR="007C4898" w:rsidRPr="007C4898" w:rsidRDefault="007C4898">
          <w:pPr>
            <w:pStyle w:val="TOC2"/>
            <w:rPr>
              <w:rFonts w:eastAsiaTheme="minorEastAsia"/>
              <w:noProof/>
              <w:kern w:val="2"/>
              <w:sz w:val="20"/>
              <w:szCs w:val="20"/>
              <w14:ligatures w14:val="standardContextual"/>
            </w:rPr>
          </w:pPr>
          <w:hyperlink w:anchor="_Toc224573039" w:history="1">
            <w:r w:rsidRPr="007C4898">
              <w:rPr>
                <w:rStyle w:val="Hyperlink"/>
                <w:noProof/>
                <w:sz w:val="20"/>
                <w:szCs w:val="20"/>
              </w:rPr>
              <w:t>WTD Construction Fund 3611</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_Toc224573039 \h </w:instrText>
            </w:r>
            <w:r w:rsidRPr="007C4898">
              <w:rPr>
                <w:noProof/>
                <w:webHidden/>
                <w:sz w:val="20"/>
                <w:szCs w:val="20"/>
              </w:rPr>
            </w:r>
            <w:r w:rsidRPr="007C4898">
              <w:rPr>
                <w:noProof/>
                <w:webHidden/>
                <w:sz w:val="20"/>
                <w:szCs w:val="20"/>
              </w:rPr>
              <w:fldChar w:fldCharType="separate"/>
            </w:r>
            <w:r w:rsidRPr="007C4898">
              <w:rPr>
                <w:noProof/>
                <w:webHidden/>
                <w:sz w:val="20"/>
                <w:szCs w:val="20"/>
              </w:rPr>
              <w:t>23</w:t>
            </w:r>
            <w:r w:rsidRPr="007C4898">
              <w:rPr>
                <w:noProof/>
                <w:webHidden/>
                <w:sz w:val="20"/>
                <w:szCs w:val="20"/>
              </w:rPr>
              <w:fldChar w:fldCharType="end"/>
            </w:r>
          </w:hyperlink>
        </w:p>
        <w:p w14:paraId="4B50FE3F" w14:textId="34D8A54D" w:rsidR="007C4898" w:rsidRPr="007C4898" w:rsidRDefault="007C4898">
          <w:pPr>
            <w:pStyle w:val="TOC2"/>
            <w:rPr>
              <w:rFonts w:eastAsiaTheme="minorEastAsia"/>
              <w:noProof/>
              <w:kern w:val="2"/>
              <w:sz w:val="20"/>
              <w:szCs w:val="20"/>
              <w14:ligatures w14:val="standardContextual"/>
            </w:rPr>
          </w:pPr>
          <w:hyperlink w:anchor="_Toc224573040" w:history="1">
            <w:r w:rsidRPr="007C4898">
              <w:rPr>
                <w:rStyle w:val="Hyperlink"/>
                <w:noProof/>
                <w:sz w:val="20"/>
                <w:szCs w:val="20"/>
              </w:rPr>
              <w:t>Debt Reserve Funds 8921 and 8922</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_Toc224573040 \h </w:instrText>
            </w:r>
            <w:r w:rsidRPr="007C4898">
              <w:rPr>
                <w:noProof/>
                <w:webHidden/>
                <w:sz w:val="20"/>
                <w:szCs w:val="20"/>
              </w:rPr>
            </w:r>
            <w:r w:rsidRPr="007C4898">
              <w:rPr>
                <w:noProof/>
                <w:webHidden/>
                <w:sz w:val="20"/>
                <w:szCs w:val="20"/>
              </w:rPr>
              <w:fldChar w:fldCharType="separate"/>
            </w:r>
            <w:r w:rsidRPr="007C4898">
              <w:rPr>
                <w:noProof/>
                <w:webHidden/>
                <w:sz w:val="20"/>
                <w:szCs w:val="20"/>
              </w:rPr>
              <w:t>24</w:t>
            </w:r>
            <w:r w:rsidRPr="007C4898">
              <w:rPr>
                <w:noProof/>
                <w:webHidden/>
                <w:sz w:val="20"/>
                <w:szCs w:val="20"/>
              </w:rPr>
              <w:fldChar w:fldCharType="end"/>
            </w:r>
          </w:hyperlink>
        </w:p>
        <w:p w14:paraId="7D36A1E2" w14:textId="04E932A2" w:rsidR="007C4898" w:rsidRPr="007C4898" w:rsidRDefault="007C4898">
          <w:pPr>
            <w:pStyle w:val="TOC1"/>
            <w:rPr>
              <w:rFonts w:eastAsiaTheme="minorEastAsia"/>
              <w:noProof/>
              <w:kern w:val="2"/>
              <w:sz w:val="20"/>
              <w:szCs w:val="20"/>
              <w14:ligatures w14:val="standardContextual"/>
            </w:rPr>
          </w:pPr>
          <w:hyperlink w:anchor="_Toc224573041" w:history="1">
            <w:r w:rsidRPr="007C4898">
              <w:rPr>
                <w:rStyle w:val="Hyperlink"/>
                <w:noProof/>
                <w:sz w:val="20"/>
                <w:szCs w:val="20"/>
              </w:rPr>
              <w:t>Revenue</w:t>
            </w:r>
            <w:r w:rsidR="00A05CB0">
              <w:rPr>
                <w:rStyle w:val="Hyperlink"/>
                <w:noProof/>
                <w:sz w:val="20"/>
                <w:szCs w:val="20"/>
              </w:rPr>
              <w: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_Toc224573041 \h </w:instrText>
            </w:r>
            <w:r w:rsidRPr="007C4898">
              <w:rPr>
                <w:noProof/>
                <w:webHidden/>
                <w:sz w:val="20"/>
                <w:szCs w:val="20"/>
              </w:rPr>
            </w:r>
            <w:r w:rsidRPr="007C4898">
              <w:rPr>
                <w:noProof/>
                <w:webHidden/>
                <w:sz w:val="20"/>
                <w:szCs w:val="20"/>
              </w:rPr>
              <w:fldChar w:fldCharType="separate"/>
            </w:r>
            <w:r w:rsidRPr="007C4898">
              <w:rPr>
                <w:noProof/>
                <w:webHidden/>
                <w:sz w:val="20"/>
                <w:szCs w:val="20"/>
              </w:rPr>
              <w:t>24</w:t>
            </w:r>
            <w:r w:rsidRPr="007C4898">
              <w:rPr>
                <w:noProof/>
                <w:webHidden/>
                <w:sz w:val="20"/>
                <w:szCs w:val="20"/>
              </w:rPr>
              <w:fldChar w:fldCharType="end"/>
            </w:r>
          </w:hyperlink>
        </w:p>
        <w:p w14:paraId="33ED43A1" w14:textId="2D6B711F" w:rsidR="007C4898" w:rsidRPr="007C4898" w:rsidRDefault="007C4898">
          <w:pPr>
            <w:pStyle w:val="TOC2"/>
            <w:rPr>
              <w:rFonts w:eastAsiaTheme="minorEastAsia"/>
              <w:noProof/>
              <w:kern w:val="2"/>
              <w:sz w:val="20"/>
              <w:szCs w:val="20"/>
              <w14:ligatures w14:val="standardContextual"/>
            </w:rPr>
          </w:pPr>
          <w:hyperlink w:anchor="_Toc224573042" w:history="1">
            <w:r w:rsidRPr="007C4898">
              <w:rPr>
                <w:rStyle w:val="Hyperlink"/>
                <w:noProof/>
                <w:sz w:val="20"/>
                <w:szCs w:val="20"/>
              </w:rPr>
              <w:t>Revenue Requirement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_Toc224573042 \h </w:instrText>
            </w:r>
            <w:r w:rsidRPr="007C4898">
              <w:rPr>
                <w:noProof/>
                <w:webHidden/>
                <w:sz w:val="20"/>
                <w:szCs w:val="20"/>
              </w:rPr>
            </w:r>
            <w:r w:rsidRPr="007C4898">
              <w:rPr>
                <w:noProof/>
                <w:webHidden/>
                <w:sz w:val="20"/>
                <w:szCs w:val="20"/>
              </w:rPr>
              <w:fldChar w:fldCharType="separate"/>
            </w:r>
            <w:r w:rsidRPr="007C4898">
              <w:rPr>
                <w:noProof/>
                <w:webHidden/>
                <w:sz w:val="20"/>
                <w:szCs w:val="20"/>
              </w:rPr>
              <w:t>25</w:t>
            </w:r>
            <w:r w:rsidRPr="007C4898">
              <w:rPr>
                <w:noProof/>
                <w:webHidden/>
                <w:sz w:val="20"/>
                <w:szCs w:val="20"/>
              </w:rPr>
              <w:fldChar w:fldCharType="end"/>
            </w:r>
          </w:hyperlink>
        </w:p>
        <w:p w14:paraId="304839F3" w14:textId="4F5D092D" w:rsidR="007C4898" w:rsidRPr="007C4898" w:rsidRDefault="007C4898">
          <w:pPr>
            <w:pStyle w:val="TOC2"/>
            <w:rPr>
              <w:rFonts w:eastAsiaTheme="minorEastAsia"/>
              <w:noProof/>
              <w:kern w:val="2"/>
              <w:sz w:val="20"/>
              <w:szCs w:val="20"/>
              <w14:ligatures w14:val="standardContextual"/>
            </w:rPr>
          </w:pPr>
          <w:hyperlink w:anchor="_Toc224573043" w:history="1">
            <w:r w:rsidRPr="007C4898">
              <w:rPr>
                <w:rStyle w:val="Hyperlink"/>
                <w:noProof/>
                <w:sz w:val="20"/>
                <w:szCs w:val="20"/>
              </w:rPr>
              <w:t>Sewer Rate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_Toc224573043 \h </w:instrText>
            </w:r>
            <w:r w:rsidRPr="007C4898">
              <w:rPr>
                <w:noProof/>
                <w:webHidden/>
                <w:sz w:val="20"/>
                <w:szCs w:val="20"/>
              </w:rPr>
            </w:r>
            <w:r w:rsidRPr="007C4898">
              <w:rPr>
                <w:noProof/>
                <w:webHidden/>
                <w:sz w:val="20"/>
                <w:szCs w:val="20"/>
              </w:rPr>
              <w:fldChar w:fldCharType="separate"/>
            </w:r>
            <w:r w:rsidRPr="007C4898">
              <w:rPr>
                <w:noProof/>
                <w:webHidden/>
                <w:sz w:val="20"/>
                <w:szCs w:val="20"/>
              </w:rPr>
              <w:t>27</w:t>
            </w:r>
            <w:r w:rsidRPr="007C4898">
              <w:rPr>
                <w:noProof/>
                <w:webHidden/>
                <w:sz w:val="20"/>
                <w:szCs w:val="20"/>
              </w:rPr>
              <w:fldChar w:fldCharType="end"/>
            </w:r>
          </w:hyperlink>
        </w:p>
        <w:p w14:paraId="5DE3FD89" w14:textId="0FD2535B" w:rsidR="007C4898" w:rsidRPr="007C4898" w:rsidRDefault="007C4898">
          <w:pPr>
            <w:pStyle w:val="TOC1"/>
            <w:rPr>
              <w:rFonts w:eastAsiaTheme="minorEastAsia"/>
              <w:noProof/>
              <w:kern w:val="2"/>
              <w:sz w:val="20"/>
              <w:szCs w:val="20"/>
              <w14:ligatures w14:val="standardContextual"/>
            </w:rPr>
          </w:pPr>
          <w:hyperlink w:anchor="_Toc224573044" w:history="1">
            <w:r w:rsidRPr="007C4898">
              <w:rPr>
                <w:rStyle w:val="Hyperlink"/>
                <w:noProof/>
                <w:sz w:val="20"/>
                <w:szCs w:val="20"/>
              </w:rPr>
              <w:t>Legal Disclaimer</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_Toc224573044 \h </w:instrText>
            </w:r>
            <w:r w:rsidRPr="007C4898">
              <w:rPr>
                <w:noProof/>
                <w:webHidden/>
                <w:sz w:val="20"/>
                <w:szCs w:val="20"/>
              </w:rPr>
            </w:r>
            <w:r w:rsidRPr="007C4898">
              <w:rPr>
                <w:noProof/>
                <w:webHidden/>
                <w:sz w:val="20"/>
                <w:szCs w:val="20"/>
              </w:rPr>
              <w:fldChar w:fldCharType="separate"/>
            </w:r>
            <w:r w:rsidRPr="007C4898">
              <w:rPr>
                <w:noProof/>
                <w:webHidden/>
                <w:sz w:val="20"/>
                <w:szCs w:val="20"/>
              </w:rPr>
              <w:t>30</w:t>
            </w:r>
            <w:r w:rsidRPr="007C4898">
              <w:rPr>
                <w:noProof/>
                <w:webHidden/>
                <w:sz w:val="20"/>
                <w:szCs w:val="20"/>
              </w:rPr>
              <w:fldChar w:fldCharType="end"/>
            </w:r>
          </w:hyperlink>
        </w:p>
        <w:p w14:paraId="0E825DF2" w14:textId="7CE6822E" w:rsidR="007C4898" w:rsidRPr="007C4898" w:rsidRDefault="007C4898">
          <w:pPr>
            <w:pStyle w:val="TOC1"/>
            <w:rPr>
              <w:rFonts w:eastAsiaTheme="minorEastAsia"/>
              <w:noProof/>
              <w:kern w:val="2"/>
              <w:sz w:val="20"/>
              <w:szCs w:val="20"/>
              <w14:ligatures w14:val="standardContextual"/>
            </w:rPr>
          </w:pPr>
          <w:hyperlink w:anchor="_Toc224573045" w:history="1">
            <w:r w:rsidRPr="007C4898">
              <w:rPr>
                <w:rStyle w:val="Hyperlink"/>
                <w:noProof/>
                <w:sz w:val="20"/>
                <w:szCs w:val="20"/>
              </w:rPr>
              <w:t>Alternative Scenarios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_Toc224573045 \h </w:instrText>
            </w:r>
            <w:r w:rsidRPr="007C4898">
              <w:rPr>
                <w:noProof/>
                <w:webHidden/>
                <w:sz w:val="20"/>
                <w:szCs w:val="20"/>
              </w:rPr>
            </w:r>
            <w:r w:rsidRPr="007C4898">
              <w:rPr>
                <w:noProof/>
                <w:webHidden/>
                <w:sz w:val="20"/>
                <w:szCs w:val="20"/>
              </w:rPr>
              <w:fldChar w:fldCharType="separate"/>
            </w:r>
            <w:r w:rsidRPr="007C4898">
              <w:rPr>
                <w:noProof/>
                <w:webHidden/>
                <w:sz w:val="20"/>
                <w:szCs w:val="20"/>
              </w:rPr>
              <w:t>31</w:t>
            </w:r>
            <w:r w:rsidRPr="007C4898">
              <w:rPr>
                <w:noProof/>
                <w:webHidden/>
                <w:sz w:val="20"/>
                <w:szCs w:val="20"/>
              </w:rPr>
              <w:fldChar w:fldCharType="end"/>
            </w:r>
          </w:hyperlink>
        </w:p>
        <w:p w14:paraId="3A5AB2FA" w14:textId="20EA57C2" w:rsidR="007C4898" w:rsidRPr="007C4898" w:rsidRDefault="007C4898">
          <w:pPr>
            <w:pStyle w:val="TOC2"/>
            <w:rPr>
              <w:rFonts w:eastAsiaTheme="minorEastAsia"/>
              <w:noProof/>
              <w:kern w:val="2"/>
              <w:sz w:val="20"/>
              <w:szCs w:val="20"/>
              <w14:ligatures w14:val="standardContextual"/>
            </w:rPr>
          </w:pPr>
          <w:hyperlink w:anchor="_Toc224573046" w:history="1">
            <w:r w:rsidRPr="007C4898">
              <w:rPr>
                <w:rStyle w:val="Hyperlink"/>
                <w:noProof/>
                <w:sz w:val="20"/>
                <w:szCs w:val="20"/>
              </w:rPr>
              <w:t>Council Request Scenario</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_Toc224573046 \h </w:instrText>
            </w:r>
            <w:r w:rsidRPr="007C4898">
              <w:rPr>
                <w:noProof/>
                <w:webHidden/>
                <w:sz w:val="20"/>
                <w:szCs w:val="20"/>
              </w:rPr>
            </w:r>
            <w:r w:rsidRPr="007C4898">
              <w:rPr>
                <w:noProof/>
                <w:webHidden/>
                <w:sz w:val="20"/>
                <w:szCs w:val="20"/>
              </w:rPr>
              <w:fldChar w:fldCharType="separate"/>
            </w:r>
            <w:r w:rsidRPr="007C4898">
              <w:rPr>
                <w:noProof/>
                <w:webHidden/>
                <w:sz w:val="20"/>
                <w:szCs w:val="20"/>
              </w:rPr>
              <w:t>31</w:t>
            </w:r>
            <w:r w:rsidRPr="007C4898">
              <w:rPr>
                <w:noProof/>
                <w:webHidden/>
                <w:sz w:val="20"/>
                <w:szCs w:val="20"/>
              </w:rPr>
              <w:fldChar w:fldCharType="end"/>
            </w:r>
          </w:hyperlink>
        </w:p>
        <w:p w14:paraId="44910526" w14:textId="7375B88A" w:rsidR="007C4898" w:rsidRPr="007C4898" w:rsidRDefault="007C4898">
          <w:pPr>
            <w:pStyle w:val="TOC2"/>
            <w:rPr>
              <w:rFonts w:eastAsiaTheme="minorEastAsia"/>
              <w:noProof/>
              <w:kern w:val="2"/>
              <w:sz w:val="20"/>
              <w:szCs w:val="20"/>
              <w14:ligatures w14:val="standardContextual"/>
            </w:rPr>
          </w:pPr>
          <w:hyperlink w:anchor="_Toc224573047" w:history="1">
            <w:r w:rsidRPr="007C4898">
              <w:rPr>
                <w:rStyle w:val="Hyperlink"/>
                <w:noProof/>
                <w:sz w:val="20"/>
                <w:szCs w:val="20"/>
              </w:rPr>
              <w:t>Theoretical Regulatory Deadline Extension Scenario</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_Toc224573047 \h </w:instrText>
            </w:r>
            <w:r w:rsidRPr="007C4898">
              <w:rPr>
                <w:noProof/>
                <w:webHidden/>
                <w:sz w:val="20"/>
                <w:szCs w:val="20"/>
              </w:rPr>
            </w:r>
            <w:r w:rsidRPr="007C4898">
              <w:rPr>
                <w:noProof/>
                <w:webHidden/>
                <w:sz w:val="20"/>
                <w:szCs w:val="20"/>
              </w:rPr>
              <w:fldChar w:fldCharType="separate"/>
            </w:r>
            <w:r w:rsidRPr="007C4898">
              <w:rPr>
                <w:noProof/>
                <w:webHidden/>
                <w:sz w:val="20"/>
                <w:szCs w:val="20"/>
              </w:rPr>
              <w:t>32</w:t>
            </w:r>
            <w:r w:rsidRPr="007C4898">
              <w:rPr>
                <w:noProof/>
                <w:webHidden/>
                <w:sz w:val="20"/>
                <w:szCs w:val="20"/>
              </w:rPr>
              <w:fldChar w:fldCharType="end"/>
            </w:r>
          </w:hyperlink>
        </w:p>
        <w:p w14:paraId="0A7F64F7" w14:textId="4A5BF1DC" w:rsidR="007C4898" w:rsidRPr="007C4898" w:rsidRDefault="007C4898">
          <w:pPr>
            <w:pStyle w:val="TOC2"/>
            <w:rPr>
              <w:rFonts w:eastAsiaTheme="minorEastAsia"/>
              <w:noProof/>
              <w:kern w:val="2"/>
              <w:sz w:val="20"/>
              <w:szCs w:val="20"/>
              <w14:ligatures w14:val="standardContextual"/>
            </w:rPr>
          </w:pPr>
          <w:hyperlink w:anchor="_Toc224573048" w:history="1">
            <w:r w:rsidRPr="007C4898">
              <w:rPr>
                <w:rStyle w:val="Hyperlink"/>
                <w:noProof/>
                <w:sz w:val="20"/>
                <w:szCs w:val="20"/>
              </w:rPr>
              <w:t>Capacity Charge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_Toc224573048 \h </w:instrText>
            </w:r>
            <w:r w:rsidRPr="007C4898">
              <w:rPr>
                <w:noProof/>
                <w:webHidden/>
                <w:sz w:val="20"/>
                <w:szCs w:val="20"/>
              </w:rPr>
            </w:r>
            <w:r w:rsidRPr="007C4898">
              <w:rPr>
                <w:noProof/>
                <w:webHidden/>
                <w:sz w:val="20"/>
                <w:szCs w:val="20"/>
              </w:rPr>
              <w:fldChar w:fldCharType="separate"/>
            </w:r>
            <w:r w:rsidRPr="007C4898">
              <w:rPr>
                <w:noProof/>
                <w:webHidden/>
                <w:sz w:val="20"/>
                <w:szCs w:val="20"/>
              </w:rPr>
              <w:t>33</w:t>
            </w:r>
            <w:r w:rsidRPr="007C4898">
              <w:rPr>
                <w:noProof/>
                <w:webHidden/>
                <w:sz w:val="20"/>
                <w:szCs w:val="20"/>
              </w:rPr>
              <w:fldChar w:fldCharType="end"/>
            </w:r>
          </w:hyperlink>
        </w:p>
        <w:p w14:paraId="54510942" w14:textId="59D851AD" w:rsidR="007C4898" w:rsidRPr="007C4898" w:rsidRDefault="007C4898">
          <w:pPr>
            <w:pStyle w:val="TOC2"/>
            <w:rPr>
              <w:rFonts w:eastAsiaTheme="minorEastAsia"/>
              <w:noProof/>
              <w:kern w:val="2"/>
              <w:sz w:val="20"/>
              <w:szCs w:val="20"/>
              <w14:ligatures w14:val="standardContextual"/>
            </w:rPr>
          </w:pPr>
          <w:hyperlink w:anchor="_Toc224573049" w:history="1">
            <w:r w:rsidRPr="007C4898">
              <w:rPr>
                <w:rStyle w:val="Hyperlink"/>
                <w:noProof/>
                <w:sz w:val="20"/>
                <w:szCs w:val="20"/>
              </w:rPr>
              <w:t>Other Revenues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_Toc224573049 \h </w:instrText>
            </w:r>
            <w:r w:rsidRPr="007C4898">
              <w:rPr>
                <w:noProof/>
                <w:webHidden/>
                <w:sz w:val="20"/>
                <w:szCs w:val="20"/>
              </w:rPr>
            </w:r>
            <w:r w:rsidRPr="007C4898">
              <w:rPr>
                <w:noProof/>
                <w:webHidden/>
                <w:sz w:val="20"/>
                <w:szCs w:val="20"/>
              </w:rPr>
              <w:fldChar w:fldCharType="separate"/>
            </w:r>
            <w:r w:rsidRPr="007C4898">
              <w:rPr>
                <w:noProof/>
                <w:webHidden/>
                <w:sz w:val="20"/>
                <w:szCs w:val="20"/>
              </w:rPr>
              <w:t>36</w:t>
            </w:r>
            <w:r w:rsidRPr="007C4898">
              <w:rPr>
                <w:noProof/>
                <w:webHidden/>
                <w:sz w:val="20"/>
                <w:szCs w:val="20"/>
              </w:rPr>
              <w:fldChar w:fldCharType="end"/>
            </w:r>
          </w:hyperlink>
        </w:p>
        <w:p w14:paraId="43DD054A" w14:textId="67039B95" w:rsidR="007C4898" w:rsidRPr="007C4898" w:rsidRDefault="007C4898">
          <w:pPr>
            <w:pStyle w:val="TOC1"/>
            <w:rPr>
              <w:rFonts w:eastAsiaTheme="minorEastAsia"/>
              <w:noProof/>
              <w:kern w:val="2"/>
              <w:sz w:val="20"/>
              <w:szCs w:val="20"/>
              <w14:ligatures w14:val="standardContextual"/>
            </w:rPr>
          </w:pPr>
          <w:hyperlink w:anchor="_Toc224573050" w:history="1">
            <w:r w:rsidRPr="007C4898">
              <w:rPr>
                <w:rStyle w:val="Hyperlink"/>
                <w:noProof/>
                <w:sz w:val="20"/>
                <w:szCs w:val="20"/>
              </w:rPr>
              <w:t>Reference and Additional Information</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_Toc224573050 \h </w:instrText>
            </w:r>
            <w:r w:rsidRPr="007C4898">
              <w:rPr>
                <w:noProof/>
                <w:webHidden/>
                <w:sz w:val="20"/>
                <w:szCs w:val="20"/>
              </w:rPr>
            </w:r>
            <w:r w:rsidRPr="007C4898">
              <w:rPr>
                <w:noProof/>
                <w:webHidden/>
                <w:sz w:val="20"/>
                <w:szCs w:val="20"/>
              </w:rPr>
              <w:fldChar w:fldCharType="separate"/>
            </w:r>
            <w:r w:rsidRPr="007C4898">
              <w:rPr>
                <w:noProof/>
                <w:webHidden/>
                <w:sz w:val="20"/>
                <w:szCs w:val="20"/>
              </w:rPr>
              <w:t>37</w:t>
            </w:r>
            <w:r w:rsidRPr="007C4898">
              <w:rPr>
                <w:noProof/>
                <w:webHidden/>
                <w:sz w:val="20"/>
                <w:szCs w:val="20"/>
              </w:rPr>
              <w:fldChar w:fldCharType="end"/>
            </w:r>
          </w:hyperlink>
        </w:p>
        <w:p w14:paraId="1120B955" w14:textId="628E895F" w:rsidR="007C4898" w:rsidRPr="007C4898" w:rsidRDefault="007C4898">
          <w:pPr>
            <w:pStyle w:val="TOC2"/>
            <w:rPr>
              <w:rFonts w:eastAsiaTheme="minorEastAsia"/>
              <w:noProof/>
              <w:kern w:val="2"/>
              <w:sz w:val="20"/>
              <w:szCs w:val="20"/>
              <w14:ligatures w14:val="standardContextual"/>
            </w:rPr>
          </w:pPr>
          <w:hyperlink w:anchor="_Toc224573051" w:history="1">
            <w:r w:rsidRPr="007C4898">
              <w:rPr>
                <w:rStyle w:val="Hyperlink"/>
                <w:noProof/>
                <w:sz w:val="20"/>
                <w:szCs w:val="20"/>
              </w:rPr>
              <w:t>Supplemental WTD Debt Information</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_Toc224573051 \h </w:instrText>
            </w:r>
            <w:r w:rsidRPr="007C4898">
              <w:rPr>
                <w:noProof/>
                <w:webHidden/>
                <w:sz w:val="20"/>
                <w:szCs w:val="20"/>
              </w:rPr>
            </w:r>
            <w:r w:rsidRPr="007C4898">
              <w:rPr>
                <w:noProof/>
                <w:webHidden/>
                <w:sz w:val="20"/>
                <w:szCs w:val="20"/>
              </w:rPr>
              <w:fldChar w:fldCharType="separate"/>
            </w:r>
            <w:r w:rsidRPr="007C4898">
              <w:rPr>
                <w:noProof/>
                <w:webHidden/>
                <w:sz w:val="20"/>
                <w:szCs w:val="20"/>
              </w:rPr>
              <w:t>37</w:t>
            </w:r>
            <w:r w:rsidRPr="007C4898">
              <w:rPr>
                <w:noProof/>
                <w:webHidden/>
                <w:sz w:val="20"/>
                <w:szCs w:val="20"/>
              </w:rPr>
              <w:fldChar w:fldCharType="end"/>
            </w:r>
          </w:hyperlink>
        </w:p>
        <w:p w14:paraId="2F72B65D" w14:textId="518B0C18" w:rsidR="007C4898" w:rsidRPr="007C4898" w:rsidRDefault="007C4898">
          <w:pPr>
            <w:pStyle w:val="TOC2"/>
            <w:rPr>
              <w:rFonts w:eastAsiaTheme="minorEastAsia"/>
              <w:noProof/>
              <w:kern w:val="2"/>
              <w:sz w:val="20"/>
              <w:szCs w:val="20"/>
              <w14:ligatures w14:val="standardContextual"/>
            </w:rPr>
          </w:pPr>
          <w:hyperlink w:anchor="_Toc224573052" w:history="1">
            <w:r w:rsidRPr="007C4898">
              <w:rPr>
                <w:rStyle w:val="Hyperlink"/>
                <w:noProof/>
                <w:sz w:val="20"/>
                <w:szCs w:val="20"/>
              </w:rPr>
              <w:t>Types of WTD Financing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_Toc224573052 \h </w:instrText>
            </w:r>
            <w:r w:rsidRPr="007C4898">
              <w:rPr>
                <w:noProof/>
                <w:webHidden/>
                <w:sz w:val="20"/>
                <w:szCs w:val="20"/>
              </w:rPr>
            </w:r>
            <w:r w:rsidRPr="007C4898">
              <w:rPr>
                <w:noProof/>
                <w:webHidden/>
                <w:sz w:val="20"/>
                <w:szCs w:val="20"/>
              </w:rPr>
              <w:fldChar w:fldCharType="separate"/>
            </w:r>
            <w:r w:rsidRPr="007C4898">
              <w:rPr>
                <w:noProof/>
                <w:webHidden/>
                <w:sz w:val="20"/>
                <w:szCs w:val="20"/>
              </w:rPr>
              <w:t>37</w:t>
            </w:r>
            <w:r w:rsidRPr="007C4898">
              <w:rPr>
                <w:noProof/>
                <w:webHidden/>
                <w:sz w:val="20"/>
                <w:szCs w:val="20"/>
              </w:rPr>
              <w:fldChar w:fldCharType="end"/>
            </w:r>
          </w:hyperlink>
        </w:p>
        <w:p w14:paraId="5ECAE85F" w14:textId="0369319E" w:rsidR="007C4898" w:rsidRPr="007C4898" w:rsidRDefault="007C4898">
          <w:pPr>
            <w:pStyle w:val="TOC2"/>
            <w:rPr>
              <w:rFonts w:eastAsiaTheme="minorEastAsia"/>
              <w:noProof/>
              <w:kern w:val="2"/>
              <w:sz w:val="20"/>
              <w:szCs w:val="20"/>
              <w14:ligatures w14:val="standardContextual"/>
            </w:rPr>
          </w:pPr>
          <w:hyperlink w:anchor="_Toc224573053" w:history="1">
            <w:r w:rsidRPr="007C4898">
              <w:rPr>
                <w:rStyle w:val="Hyperlink"/>
                <w:noProof/>
                <w:sz w:val="20"/>
                <w:szCs w:val="20"/>
              </w:rPr>
              <w:t>Forecast Assumptions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_Toc224573053 \h </w:instrText>
            </w:r>
            <w:r w:rsidRPr="007C4898">
              <w:rPr>
                <w:noProof/>
                <w:webHidden/>
                <w:sz w:val="20"/>
                <w:szCs w:val="20"/>
              </w:rPr>
            </w:r>
            <w:r w:rsidRPr="007C4898">
              <w:rPr>
                <w:noProof/>
                <w:webHidden/>
                <w:sz w:val="20"/>
                <w:szCs w:val="20"/>
              </w:rPr>
              <w:fldChar w:fldCharType="separate"/>
            </w:r>
            <w:r w:rsidRPr="007C4898">
              <w:rPr>
                <w:noProof/>
                <w:webHidden/>
                <w:sz w:val="20"/>
                <w:szCs w:val="20"/>
              </w:rPr>
              <w:t>38</w:t>
            </w:r>
            <w:r w:rsidRPr="007C4898">
              <w:rPr>
                <w:noProof/>
                <w:webHidden/>
                <w:sz w:val="20"/>
                <w:szCs w:val="20"/>
              </w:rPr>
              <w:fldChar w:fldCharType="end"/>
            </w:r>
          </w:hyperlink>
        </w:p>
        <w:p w14:paraId="29417581" w14:textId="4172B2AE" w:rsidR="007C4898" w:rsidRPr="007C4898" w:rsidRDefault="007C4898">
          <w:pPr>
            <w:pStyle w:val="TOC2"/>
            <w:rPr>
              <w:rFonts w:eastAsiaTheme="minorEastAsia"/>
              <w:noProof/>
              <w:kern w:val="2"/>
              <w:sz w:val="20"/>
              <w:szCs w:val="20"/>
              <w14:ligatures w14:val="standardContextual"/>
            </w:rPr>
          </w:pPr>
          <w:hyperlink w:anchor="_Toc224573054" w:history="1">
            <w:r w:rsidRPr="007C4898">
              <w:rPr>
                <w:rStyle w:val="Hyperlink"/>
                <w:noProof/>
                <w:sz w:val="20"/>
                <w:szCs w:val="20"/>
              </w:rPr>
              <w:t>2025 Wastewater Treatment Division Financial Performance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_Toc224573054 \h </w:instrText>
            </w:r>
            <w:r w:rsidRPr="007C4898">
              <w:rPr>
                <w:noProof/>
                <w:webHidden/>
                <w:sz w:val="20"/>
                <w:szCs w:val="20"/>
              </w:rPr>
            </w:r>
            <w:r w:rsidRPr="007C4898">
              <w:rPr>
                <w:noProof/>
                <w:webHidden/>
                <w:sz w:val="20"/>
                <w:szCs w:val="20"/>
              </w:rPr>
              <w:fldChar w:fldCharType="separate"/>
            </w:r>
            <w:r w:rsidRPr="007C4898">
              <w:rPr>
                <w:noProof/>
                <w:webHidden/>
                <w:sz w:val="20"/>
                <w:szCs w:val="20"/>
              </w:rPr>
              <w:t>39</w:t>
            </w:r>
            <w:r w:rsidRPr="007C4898">
              <w:rPr>
                <w:noProof/>
                <w:webHidden/>
                <w:sz w:val="20"/>
                <w:szCs w:val="20"/>
              </w:rPr>
              <w:fldChar w:fldCharType="end"/>
            </w:r>
          </w:hyperlink>
        </w:p>
        <w:p w14:paraId="4F45AC68" w14:textId="1CA22D5D" w:rsidR="007C4898" w:rsidRPr="007C4898" w:rsidRDefault="007C4898">
          <w:pPr>
            <w:pStyle w:val="TOC2"/>
            <w:rPr>
              <w:rFonts w:eastAsiaTheme="minorEastAsia"/>
              <w:noProof/>
              <w:kern w:val="2"/>
              <w:sz w:val="20"/>
              <w:szCs w:val="20"/>
              <w14:ligatures w14:val="standardContextual"/>
            </w:rPr>
          </w:pPr>
          <w:hyperlink w:anchor="_Toc224573055" w:history="1">
            <w:r w:rsidRPr="007C4898">
              <w:rPr>
                <w:rStyle w:val="Hyperlink"/>
                <w:noProof/>
                <w:sz w:val="20"/>
                <w:szCs w:val="20"/>
              </w:rPr>
              <w:t>Contaminants of Emerging Concern (e.g., PFAS) – Cost Tracking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_Toc224573055 \h </w:instrText>
            </w:r>
            <w:r w:rsidRPr="007C4898">
              <w:rPr>
                <w:noProof/>
                <w:webHidden/>
                <w:sz w:val="20"/>
                <w:szCs w:val="20"/>
              </w:rPr>
            </w:r>
            <w:r w:rsidRPr="007C4898">
              <w:rPr>
                <w:noProof/>
                <w:webHidden/>
                <w:sz w:val="20"/>
                <w:szCs w:val="20"/>
              </w:rPr>
              <w:fldChar w:fldCharType="separate"/>
            </w:r>
            <w:r w:rsidRPr="007C4898">
              <w:rPr>
                <w:noProof/>
                <w:webHidden/>
                <w:sz w:val="20"/>
                <w:szCs w:val="20"/>
              </w:rPr>
              <w:t>41</w:t>
            </w:r>
            <w:r w:rsidRPr="007C4898">
              <w:rPr>
                <w:noProof/>
                <w:webHidden/>
                <w:sz w:val="20"/>
                <w:szCs w:val="20"/>
              </w:rPr>
              <w:fldChar w:fldCharType="end"/>
            </w:r>
          </w:hyperlink>
        </w:p>
        <w:p w14:paraId="3EF3E3C1" w14:textId="34E880F5" w:rsidR="007C4898" w:rsidRPr="007C4898" w:rsidRDefault="007C4898">
          <w:pPr>
            <w:pStyle w:val="TOC1"/>
            <w:rPr>
              <w:rFonts w:eastAsiaTheme="minorEastAsia"/>
              <w:noProof/>
              <w:kern w:val="2"/>
              <w:sz w:val="20"/>
              <w:szCs w:val="20"/>
              <w14:ligatures w14:val="standardContextual"/>
            </w:rPr>
          </w:pPr>
          <w:hyperlink w:anchor="_Toc224573056" w:history="1">
            <w:r w:rsidRPr="007C4898">
              <w:rPr>
                <w:rStyle w:val="Hyperlink"/>
                <w:noProof/>
                <w:sz w:val="20"/>
                <w:szCs w:val="20"/>
              </w:rPr>
              <w:t>Appendix. Attachment A</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_Toc224573056 \h </w:instrText>
            </w:r>
            <w:r w:rsidRPr="007C4898">
              <w:rPr>
                <w:noProof/>
                <w:webHidden/>
                <w:sz w:val="20"/>
                <w:szCs w:val="20"/>
              </w:rPr>
            </w:r>
            <w:r w:rsidRPr="007C4898">
              <w:rPr>
                <w:noProof/>
                <w:webHidden/>
                <w:sz w:val="20"/>
                <w:szCs w:val="20"/>
              </w:rPr>
              <w:fldChar w:fldCharType="separate"/>
            </w:r>
            <w:r w:rsidRPr="007C4898">
              <w:rPr>
                <w:noProof/>
                <w:webHidden/>
                <w:sz w:val="20"/>
                <w:szCs w:val="20"/>
              </w:rPr>
              <w:t>43</w:t>
            </w:r>
            <w:r w:rsidRPr="007C4898">
              <w:rPr>
                <w:noProof/>
                <w:webHidden/>
                <w:sz w:val="20"/>
                <w:szCs w:val="20"/>
              </w:rPr>
              <w:fldChar w:fldCharType="end"/>
            </w:r>
          </w:hyperlink>
        </w:p>
        <w:p w14:paraId="2D753204" w14:textId="5A7EBA0E" w:rsidR="007C4898" w:rsidRPr="007C4898" w:rsidRDefault="007C4898">
          <w:pPr>
            <w:pStyle w:val="TOC1"/>
            <w:rPr>
              <w:rFonts w:eastAsiaTheme="minorEastAsia"/>
              <w:noProof/>
              <w:kern w:val="2"/>
              <w:sz w:val="20"/>
              <w:szCs w:val="20"/>
              <w14:ligatures w14:val="standardContextual"/>
            </w:rPr>
          </w:pPr>
          <w:hyperlink w:anchor="_Toc224573057" w:history="1">
            <w:r w:rsidRPr="007C4898">
              <w:rPr>
                <w:rStyle w:val="Hyperlink"/>
                <w:noProof/>
                <w:sz w:val="20"/>
                <w:szCs w:val="20"/>
              </w:rPr>
              <w:t>Endnotes………</w:t>
            </w:r>
            <w:r>
              <w:rPr>
                <w:rStyle w:val="Hyperlink"/>
                <w:noProof/>
                <w:sz w:val="20"/>
                <w:szCs w:val="20"/>
              </w:rPr>
              <w: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_Toc224573057 \h </w:instrText>
            </w:r>
            <w:r w:rsidRPr="007C4898">
              <w:rPr>
                <w:noProof/>
                <w:webHidden/>
                <w:sz w:val="20"/>
                <w:szCs w:val="20"/>
              </w:rPr>
            </w:r>
            <w:r w:rsidRPr="007C4898">
              <w:rPr>
                <w:noProof/>
                <w:webHidden/>
                <w:sz w:val="20"/>
                <w:szCs w:val="20"/>
              </w:rPr>
              <w:fldChar w:fldCharType="separate"/>
            </w:r>
            <w:r w:rsidRPr="007C4898">
              <w:rPr>
                <w:noProof/>
                <w:webHidden/>
                <w:sz w:val="20"/>
                <w:szCs w:val="20"/>
              </w:rPr>
              <w:t>44</w:t>
            </w:r>
            <w:r w:rsidRPr="007C4898">
              <w:rPr>
                <w:noProof/>
                <w:webHidden/>
                <w:sz w:val="20"/>
                <w:szCs w:val="20"/>
              </w:rPr>
              <w:fldChar w:fldCharType="end"/>
            </w:r>
          </w:hyperlink>
        </w:p>
        <w:p w14:paraId="4A27EADA" w14:textId="040C8133" w:rsidR="002F3A82" w:rsidRDefault="003267A5">
          <w:r w:rsidRPr="007C4898">
            <w:rPr>
              <w:sz w:val="20"/>
              <w:szCs w:val="20"/>
            </w:rPr>
            <w:fldChar w:fldCharType="end"/>
          </w:r>
        </w:p>
      </w:sdtContent>
    </w:sdt>
    <w:p w14:paraId="2C9F7DFB" w14:textId="709FD274" w:rsidR="008C0127" w:rsidRDefault="008C0127" w:rsidP="0009114D">
      <w:pPr>
        <w:pStyle w:val="TOCHeading"/>
      </w:pPr>
      <w:r>
        <w:lastRenderedPageBreak/>
        <w:t>Table of Figures</w:t>
      </w:r>
    </w:p>
    <w:p w14:paraId="52F890DD" w14:textId="7CA1D002" w:rsidR="009A1679" w:rsidRDefault="0083739A">
      <w:pPr>
        <w:pStyle w:val="TableofFigures"/>
        <w:tabs>
          <w:tab w:val="right" w:leader="dot" w:pos="10790"/>
        </w:tabs>
        <w:rPr>
          <w:rFonts w:eastAsiaTheme="minorEastAsia"/>
          <w:noProof/>
          <w:kern w:val="2"/>
          <w:sz w:val="24"/>
          <w:szCs w:val="24"/>
          <w14:ligatures w14:val="standardContextual"/>
        </w:rPr>
      </w:pPr>
      <w:r>
        <w:fldChar w:fldCharType="begin"/>
      </w:r>
      <w:r>
        <w:instrText xml:space="preserve"> TOC \h \z \c "Figure" </w:instrText>
      </w:r>
      <w:r>
        <w:fldChar w:fldCharType="separate"/>
      </w:r>
      <w:hyperlink w:anchor="_Toc226970639" w:history="1">
        <w:r w:rsidR="009A1679" w:rsidRPr="000C3D4F">
          <w:rPr>
            <w:rStyle w:val="Hyperlink"/>
            <w:noProof/>
          </w:rPr>
          <w:t>Figure 1</w:t>
        </w:r>
        <w:r w:rsidR="009A1679" w:rsidRPr="000C3D4F">
          <w:rPr>
            <w:rStyle w:val="Hyperlink"/>
            <w:bCs/>
            <w:noProof/>
          </w:rPr>
          <w:t xml:space="preserve"> </w:t>
        </w:r>
        <w:r w:rsidR="009A1679" w:rsidRPr="000C3D4F">
          <w:rPr>
            <w:rStyle w:val="Hyperlink"/>
            <w:noProof/>
          </w:rPr>
          <w:t>Proposed 2027 Sewer Rate and 2027-2046 Forecast</w:t>
        </w:r>
        <w:r w:rsidR="009A1679" w:rsidRPr="000C3D4F">
          <w:rPr>
            <w:rStyle w:val="Hyperlink"/>
            <w:bCs/>
            <w:noProof/>
          </w:rPr>
          <w:t xml:space="preserve"> </w:t>
        </w:r>
        <w:r w:rsidR="009A1679">
          <w:rPr>
            <w:noProof/>
            <w:webHidden/>
          </w:rPr>
          <w:tab/>
        </w:r>
        <w:r w:rsidR="009A1679">
          <w:rPr>
            <w:noProof/>
            <w:webHidden/>
          </w:rPr>
          <w:fldChar w:fldCharType="begin"/>
        </w:r>
        <w:r w:rsidR="009A1679">
          <w:rPr>
            <w:noProof/>
            <w:webHidden/>
          </w:rPr>
          <w:instrText xml:space="preserve"> PAGEREF _Toc226970639 \h </w:instrText>
        </w:r>
        <w:r w:rsidR="009A1679">
          <w:rPr>
            <w:noProof/>
            <w:webHidden/>
          </w:rPr>
        </w:r>
        <w:r w:rsidR="009A1679">
          <w:rPr>
            <w:noProof/>
            <w:webHidden/>
          </w:rPr>
          <w:fldChar w:fldCharType="separate"/>
        </w:r>
        <w:r w:rsidR="009A1679">
          <w:rPr>
            <w:noProof/>
            <w:webHidden/>
          </w:rPr>
          <w:t>6</w:t>
        </w:r>
        <w:r w:rsidR="009A1679">
          <w:rPr>
            <w:noProof/>
            <w:webHidden/>
          </w:rPr>
          <w:fldChar w:fldCharType="end"/>
        </w:r>
      </w:hyperlink>
    </w:p>
    <w:p w14:paraId="24DA5F81" w14:textId="6B5677DB"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0" w:history="1">
        <w:r w:rsidRPr="000C3D4F">
          <w:rPr>
            <w:rStyle w:val="Hyperlink"/>
            <w:noProof/>
          </w:rPr>
          <w:t xml:space="preserve">Figure 2 </w:t>
        </w:r>
        <w:r w:rsidRPr="000C3D4F">
          <w:rPr>
            <w:rStyle w:val="Hyperlink"/>
            <w:bCs/>
            <w:noProof/>
          </w:rPr>
          <w:t>Adopted 2026 Sewer Rate and</w:t>
        </w:r>
        <w:r w:rsidRPr="000C3D4F">
          <w:rPr>
            <w:rStyle w:val="Hyperlink"/>
            <w:noProof/>
          </w:rPr>
          <w:t xml:space="preserve"> 2026-2045 Forecast</w:t>
        </w:r>
        <w:r>
          <w:rPr>
            <w:noProof/>
            <w:webHidden/>
          </w:rPr>
          <w:tab/>
        </w:r>
        <w:r>
          <w:rPr>
            <w:noProof/>
            <w:webHidden/>
          </w:rPr>
          <w:fldChar w:fldCharType="begin"/>
        </w:r>
        <w:r>
          <w:rPr>
            <w:noProof/>
            <w:webHidden/>
          </w:rPr>
          <w:instrText xml:space="preserve"> PAGEREF _Toc226970640 \h </w:instrText>
        </w:r>
        <w:r>
          <w:rPr>
            <w:noProof/>
            <w:webHidden/>
          </w:rPr>
        </w:r>
        <w:r>
          <w:rPr>
            <w:noProof/>
            <w:webHidden/>
          </w:rPr>
          <w:fldChar w:fldCharType="separate"/>
        </w:r>
        <w:r>
          <w:rPr>
            <w:noProof/>
            <w:webHidden/>
          </w:rPr>
          <w:t>6</w:t>
        </w:r>
        <w:r>
          <w:rPr>
            <w:noProof/>
            <w:webHidden/>
          </w:rPr>
          <w:fldChar w:fldCharType="end"/>
        </w:r>
      </w:hyperlink>
    </w:p>
    <w:p w14:paraId="688E9CF2" w14:textId="2BE719EF"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1" w:history="1">
        <w:r w:rsidRPr="000C3D4F">
          <w:rPr>
            <w:rStyle w:val="Hyperlink"/>
            <w:noProof/>
          </w:rPr>
          <w:t>Figure 3 Proposed 2027 Capacity Charge and 2028-2031 Forecast</w:t>
        </w:r>
        <w:r>
          <w:rPr>
            <w:noProof/>
            <w:webHidden/>
          </w:rPr>
          <w:tab/>
        </w:r>
        <w:r>
          <w:rPr>
            <w:noProof/>
            <w:webHidden/>
          </w:rPr>
          <w:fldChar w:fldCharType="begin"/>
        </w:r>
        <w:r>
          <w:rPr>
            <w:noProof/>
            <w:webHidden/>
          </w:rPr>
          <w:instrText xml:space="preserve"> PAGEREF _Toc226970641 \h </w:instrText>
        </w:r>
        <w:r>
          <w:rPr>
            <w:noProof/>
            <w:webHidden/>
          </w:rPr>
        </w:r>
        <w:r>
          <w:rPr>
            <w:noProof/>
            <w:webHidden/>
          </w:rPr>
          <w:fldChar w:fldCharType="separate"/>
        </w:r>
        <w:r>
          <w:rPr>
            <w:noProof/>
            <w:webHidden/>
          </w:rPr>
          <w:t>6</w:t>
        </w:r>
        <w:r>
          <w:rPr>
            <w:noProof/>
            <w:webHidden/>
          </w:rPr>
          <w:fldChar w:fldCharType="end"/>
        </w:r>
      </w:hyperlink>
    </w:p>
    <w:p w14:paraId="4227DBE3" w14:textId="6E48D8D9"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2" w:history="1">
        <w:r w:rsidRPr="000C3D4F">
          <w:rPr>
            <w:rStyle w:val="Hyperlink"/>
            <w:noProof/>
          </w:rPr>
          <w:t>Figure 4 System Map</w:t>
        </w:r>
        <w:r>
          <w:rPr>
            <w:noProof/>
            <w:webHidden/>
          </w:rPr>
          <w:tab/>
        </w:r>
        <w:r>
          <w:rPr>
            <w:noProof/>
            <w:webHidden/>
          </w:rPr>
          <w:fldChar w:fldCharType="begin"/>
        </w:r>
        <w:r>
          <w:rPr>
            <w:noProof/>
            <w:webHidden/>
          </w:rPr>
          <w:instrText xml:space="preserve"> PAGEREF _Toc226970642 \h </w:instrText>
        </w:r>
        <w:r>
          <w:rPr>
            <w:noProof/>
            <w:webHidden/>
          </w:rPr>
        </w:r>
        <w:r>
          <w:rPr>
            <w:noProof/>
            <w:webHidden/>
          </w:rPr>
          <w:fldChar w:fldCharType="separate"/>
        </w:r>
        <w:r>
          <w:rPr>
            <w:noProof/>
            <w:webHidden/>
          </w:rPr>
          <w:t>8</w:t>
        </w:r>
        <w:r>
          <w:rPr>
            <w:noProof/>
            <w:webHidden/>
          </w:rPr>
          <w:fldChar w:fldCharType="end"/>
        </w:r>
      </w:hyperlink>
    </w:p>
    <w:p w14:paraId="0E2B637E" w14:textId="3E87077D"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3" w:history="1">
        <w:r w:rsidRPr="000C3D4F">
          <w:rPr>
            <w:rStyle w:val="Hyperlink"/>
            <w:noProof/>
          </w:rPr>
          <w:t>Figure 5 2025 Average Reported Residential Capacity Equivalents by Local Sewer Agency</w:t>
        </w:r>
        <w:r>
          <w:rPr>
            <w:noProof/>
            <w:webHidden/>
          </w:rPr>
          <w:tab/>
        </w:r>
        <w:r>
          <w:rPr>
            <w:noProof/>
            <w:webHidden/>
          </w:rPr>
          <w:fldChar w:fldCharType="begin"/>
        </w:r>
        <w:r>
          <w:rPr>
            <w:noProof/>
            <w:webHidden/>
          </w:rPr>
          <w:instrText xml:space="preserve"> PAGEREF _Toc226970643 \h </w:instrText>
        </w:r>
        <w:r>
          <w:rPr>
            <w:noProof/>
            <w:webHidden/>
          </w:rPr>
        </w:r>
        <w:r>
          <w:rPr>
            <w:noProof/>
            <w:webHidden/>
          </w:rPr>
          <w:fldChar w:fldCharType="separate"/>
        </w:r>
        <w:r>
          <w:rPr>
            <w:noProof/>
            <w:webHidden/>
          </w:rPr>
          <w:t>9</w:t>
        </w:r>
        <w:r>
          <w:rPr>
            <w:noProof/>
            <w:webHidden/>
          </w:rPr>
          <w:fldChar w:fldCharType="end"/>
        </w:r>
      </w:hyperlink>
    </w:p>
    <w:p w14:paraId="31948BF3" w14:textId="266FCDD7"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4" w:history="1">
        <w:r w:rsidRPr="000C3D4F">
          <w:rPr>
            <w:rStyle w:val="Hyperlink"/>
            <w:noProof/>
          </w:rPr>
          <w:t>Figure 6 2025-2026 WTD Operating Expenses ($ ‘000s)</w:t>
        </w:r>
        <w:r>
          <w:rPr>
            <w:noProof/>
            <w:webHidden/>
          </w:rPr>
          <w:tab/>
        </w:r>
        <w:r>
          <w:rPr>
            <w:noProof/>
            <w:webHidden/>
          </w:rPr>
          <w:fldChar w:fldCharType="begin"/>
        </w:r>
        <w:r>
          <w:rPr>
            <w:noProof/>
            <w:webHidden/>
          </w:rPr>
          <w:instrText xml:space="preserve"> PAGEREF _Toc226970644 \h </w:instrText>
        </w:r>
        <w:r>
          <w:rPr>
            <w:noProof/>
            <w:webHidden/>
          </w:rPr>
        </w:r>
        <w:r>
          <w:rPr>
            <w:noProof/>
            <w:webHidden/>
          </w:rPr>
          <w:fldChar w:fldCharType="separate"/>
        </w:r>
        <w:r>
          <w:rPr>
            <w:noProof/>
            <w:webHidden/>
          </w:rPr>
          <w:t>10</w:t>
        </w:r>
        <w:r>
          <w:rPr>
            <w:noProof/>
            <w:webHidden/>
          </w:rPr>
          <w:fldChar w:fldCharType="end"/>
        </w:r>
      </w:hyperlink>
    </w:p>
    <w:p w14:paraId="2AC9C571" w14:textId="50DEF525"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5" w:history="1">
        <w:r w:rsidRPr="000C3D4F">
          <w:rPr>
            <w:rStyle w:val="Hyperlink"/>
            <w:noProof/>
          </w:rPr>
          <w:t>Figure 7 Historical Annual Increase in WTD Operating Expenditures</w:t>
        </w:r>
        <w:r>
          <w:rPr>
            <w:noProof/>
            <w:webHidden/>
          </w:rPr>
          <w:tab/>
        </w:r>
        <w:r>
          <w:rPr>
            <w:noProof/>
            <w:webHidden/>
          </w:rPr>
          <w:fldChar w:fldCharType="begin"/>
        </w:r>
        <w:r>
          <w:rPr>
            <w:noProof/>
            <w:webHidden/>
          </w:rPr>
          <w:instrText xml:space="preserve"> PAGEREF _Toc226970645 \h </w:instrText>
        </w:r>
        <w:r>
          <w:rPr>
            <w:noProof/>
            <w:webHidden/>
          </w:rPr>
        </w:r>
        <w:r>
          <w:rPr>
            <w:noProof/>
            <w:webHidden/>
          </w:rPr>
          <w:fldChar w:fldCharType="separate"/>
        </w:r>
        <w:r>
          <w:rPr>
            <w:noProof/>
            <w:webHidden/>
          </w:rPr>
          <w:t>10</w:t>
        </w:r>
        <w:r>
          <w:rPr>
            <w:noProof/>
            <w:webHidden/>
          </w:rPr>
          <w:fldChar w:fldCharType="end"/>
        </w:r>
      </w:hyperlink>
    </w:p>
    <w:p w14:paraId="19A84390" w14:textId="1165E1D0"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6" w:history="1">
        <w:r w:rsidRPr="000C3D4F">
          <w:rPr>
            <w:rStyle w:val="Hyperlink"/>
            <w:noProof/>
          </w:rPr>
          <w:t>Figure 8 Capital Portfolio Category Descriptions</w:t>
        </w:r>
        <w:r>
          <w:rPr>
            <w:noProof/>
            <w:webHidden/>
          </w:rPr>
          <w:tab/>
        </w:r>
        <w:r>
          <w:rPr>
            <w:noProof/>
            <w:webHidden/>
          </w:rPr>
          <w:fldChar w:fldCharType="begin"/>
        </w:r>
        <w:r>
          <w:rPr>
            <w:noProof/>
            <w:webHidden/>
          </w:rPr>
          <w:instrText xml:space="preserve"> PAGEREF _Toc226970646 \h </w:instrText>
        </w:r>
        <w:r>
          <w:rPr>
            <w:noProof/>
            <w:webHidden/>
          </w:rPr>
        </w:r>
        <w:r>
          <w:rPr>
            <w:noProof/>
            <w:webHidden/>
          </w:rPr>
          <w:fldChar w:fldCharType="separate"/>
        </w:r>
        <w:r>
          <w:rPr>
            <w:noProof/>
            <w:webHidden/>
          </w:rPr>
          <w:t>11</w:t>
        </w:r>
        <w:r>
          <w:rPr>
            <w:noProof/>
            <w:webHidden/>
          </w:rPr>
          <w:fldChar w:fldCharType="end"/>
        </w:r>
      </w:hyperlink>
    </w:p>
    <w:p w14:paraId="6734B809" w14:textId="3E15E794"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7" w:history="1">
        <w:r w:rsidRPr="000C3D4F">
          <w:rPr>
            <w:rStyle w:val="Hyperlink"/>
            <w:noProof/>
          </w:rPr>
          <w:t>Figure 9 Historic Accomplishment Rate</w:t>
        </w:r>
        <w:r>
          <w:rPr>
            <w:noProof/>
            <w:webHidden/>
          </w:rPr>
          <w:tab/>
        </w:r>
        <w:r>
          <w:rPr>
            <w:noProof/>
            <w:webHidden/>
          </w:rPr>
          <w:fldChar w:fldCharType="begin"/>
        </w:r>
        <w:r>
          <w:rPr>
            <w:noProof/>
            <w:webHidden/>
          </w:rPr>
          <w:instrText xml:space="preserve"> PAGEREF _Toc226970647 \h </w:instrText>
        </w:r>
        <w:r>
          <w:rPr>
            <w:noProof/>
            <w:webHidden/>
          </w:rPr>
        </w:r>
        <w:r>
          <w:rPr>
            <w:noProof/>
            <w:webHidden/>
          </w:rPr>
          <w:fldChar w:fldCharType="separate"/>
        </w:r>
        <w:r>
          <w:rPr>
            <w:noProof/>
            <w:webHidden/>
          </w:rPr>
          <w:t>12</w:t>
        </w:r>
        <w:r>
          <w:rPr>
            <w:noProof/>
            <w:webHidden/>
          </w:rPr>
          <w:fldChar w:fldCharType="end"/>
        </w:r>
      </w:hyperlink>
    </w:p>
    <w:p w14:paraId="6C853178" w14:textId="6D4EB9DC"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8" w:history="1">
        <w:r w:rsidRPr="000C3D4F">
          <w:rPr>
            <w:rStyle w:val="Hyperlink"/>
            <w:noProof/>
          </w:rPr>
          <w:t>Figure 10 Historical Accomplishment Rates for the Capital Program ($ in millions)</w:t>
        </w:r>
        <w:r>
          <w:rPr>
            <w:noProof/>
            <w:webHidden/>
          </w:rPr>
          <w:tab/>
        </w:r>
        <w:r>
          <w:rPr>
            <w:noProof/>
            <w:webHidden/>
          </w:rPr>
          <w:fldChar w:fldCharType="begin"/>
        </w:r>
        <w:r>
          <w:rPr>
            <w:noProof/>
            <w:webHidden/>
          </w:rPr>
          <w:instrText xml:space="preserve"> PAGEREF _Toc226970648 \h </w:instrText>
        </w:r>
        <w:r>
          <w:rPr>
            <w:noProof/>
            <w:webHidden/>
          </w:rPr>
        </w:r>
        <w:r>
          <w:rPr>
            <w:noProof/>
            <w:webHidden/>
          </w:rPr>
          <w:fldChar w:fldCharType="separate"/>
        </w:r>
        <w:r>
          <w:rPr>
            <w:noProof/>
            <w:webHidden/>
          </w:rPr>
          <w:t>13</w:t>
        </w:r>
        <w:r>
          <w:rPr>
            <w:noProof/>
            <w:webHidden/>
          </w:rPr>
          <w:fldChar w:fldCharType="end"/>
        </w:r>
      </w:hyperlink>
    </w:p>
    <w:p w14:paraId="4CC7C0A1" w14:textId="416FAA9F"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9" w:history="1">
        <w:r w:rsidRPr="000C3D4F">
          <w:rPr>
            <w:rStyle w:val="Hyperlink"/>
            <w:noProof/>
          </w:rPr>
          <w:t>Figure 11 WTD CIP Investment Strategy</w:t>
        </w:r>
        <w:r>
          <w:rPr>
            <w:noProof/>
            <w:webHidden/>
          </w:rPr>
          <w:tab/>
        </w:r>
        <w:r>
          <w:rPr>
            <w:noProof/>
            <w:webHidden/>
          </w:rPr>
          <w:fldChar w:fldCharType="begin"/>
        </w:r>
        <w:r>
          <w:rPr>
            <w:noProof/>
            <w:webHidden/>
          </w:rPr>
          <w:instrText xml:space="preserve"> PAGEREF _Toc226970649 \h </w:instrText>
        </w:r>
        <w:r>
          <w:rPr>
            <w:noProof/>
            <w:webHidden/>
          </w:rPr>
        </w:r>
        <w:r>
          <w:rPr>
            <w:noProof/>
            <w:webHidden/>
          </w:rPr>
          <w:fldChar w:fldCharType="separate"/>
        </w:r>
        <w:r>
          <w:rPr>
            <w:noProof/>
            <w:webHidden/>
          </w:rPr>
          <w:t>14</w:t>
        </w:r>
        <w:r>
          <w:rPr>
            <w:noProof/>
            <w:webHidden/>
          </w:rPr>
          <w:fldChar w:fldCharType="end"/>
        </w:r>
      </w:hyperlink>
    </w:p>
    <w:p w14:paraId="2635BA08" w14:textId="0DD80396"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0" w:history="1">
        <w:r w:rsidRPr="000C3D4F">
          <w:rPr>
            <w:rStyle w:val="Hyperlink"/>
            <w:noProof/>
          </w:rPr>
          <w:t>Figure 12 Proposed Capital Investments by Portfolio Category for 20-Year Forecast</w:t>
        </w:r>
        <w:r>
          <w:rPr>
            <w:noProof/>
            <w:webHidden/>
          </w:rPr>
          <w:tab/>
        </w:r>
        <w:r>
          <w:rPr>
            <w:noProof/>
            <w:webHidden/>
          </w:rPr>
          <w:fldChar w:fldCharType="begin"/>
        </w:r>
        <w:r>
          <w:rPr>
            <w:noProof/>
            <w:webHidden/>
          </w:rPr>
          <w:instrText xml:space="preserve"> PAGEREF _Toc226970650 \h </w:instrText>
        </w:r>
        <w:r>
          <w:rPr>
            <w:noProof/>
            <w:webHidden/>
          </w:rPr>
        </w:r>
        <w:r>
          <w:rPr>
            <w:noProof/>
            <w:webHidden/>
          </w:rPr>
          <w:fldChar w:fldCharType="separate"/>
        </w:r>
        <w:r>
          <w:rPr>
            <w:noProof/>
            <w:webHidden/>
          </w:rPr>
          <w:t>17</w:t>
        </w:r>
        <w:r>
          <w:rPr>
            <w:noProof/>
            <w:webHidden/>
          </w:rPr>
          <w:fldChar w:fldCharType="end"/>
        </w:r>
      </w:hyperlink>
    </w:p>
    <w:p w14:paraId="762E7AB4" w14:textId="48F3C7AD"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1" w:history="1">
        <w:r w:rsidRPr="000C3D4F">
          <w:rPr>
            <w:rStyle w:val="Hyperlink"/>
            <w:noProof/>
          </w:rPr>
          <w:t>Figure 13 Capital Funding Sources</w:t>
        </w:r>
        <w:r>
          <w:rPr>
            <w:noProof/>
            <w:webHidden/>
          </w:rPr>
          <w:tab/>
        </w:r>
        <w:r>
          <w:rPr>
            <w:noProof/>
            <w:webHidden/>
          </w:rPr>
          <w:fldChar w:fldCharType="begin"/>
        </w:r>
        <w:r>
          <w:rPr>
            <w:noProof/>
            <w:webHidden/>
          </w:rPr>
          <w:instrText xml:space="preserve"> PAGEREF _Toc226970651 \h </w:instrText>
        </w:r>
        <w:r>
          <w:rPr>
            <w:noProof/>
            <w:webHidden/>
          </w:rPr>
        </w:r>
        <w:r>
          <w:rPr>
            <w:noProof/>
            <w:webHidden/>
          </w:rPr>
          <w:fldChar w:fldCharType="separate"/>
        </w:r>
        <w:r>
          <w:rPr>
            <w:noProof/>
            <w:webHidden/>
          </w:rPr>
          <w:t>18</w:t>
        </w:r>
        <w:r>
          <w:rPr>
            <w:noProof/>
            <w:webHidden/>
          </w:rPr>
          <w:fldChar w:fldCharType="end"/>
        </w:r>
      </w:hyperlink>
    </w:p>
    <w:p w14:paraId="70263543" w14:textId="7227734C"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2" w:history="1">
        <w:r w:rsidRPr="000C3D4F">
          <w:rPr>
            <w:rStyle w:val="Hyperlink"/>
            <w:noProof/>
          </w:rPr>
          <w:t>Figure 14 Existing and New Debt Balances</w:t>
        </w:r>
        <w:r>
          <w:rPr>
            <w:noProof/>
            <w:webHidden/>
          </w:rPr>
          <w:tab/>
        </w:r>
        <w:r>
          <w:rPr>
            <w:noProof/>
            <w:webHidden/>
          </w:rPr>
          <w:fldChar w:fldCharType="begin"/>
        </w:r>
        <w:r>
          <w:rPr>
            <w:noProof/>
            <w:webHidden/>
          </w:rPr>
          <w:instrText xml:space="preserve"> PAGEREF _Toc226970652 \h </w:instrText>
        </w:r>
        <w:r>
          <w:rPr>
            <w:noProof/>
            <w:webHidden/>
          </w:rPr>
        </w:r>
        <w:r>
          <w:rPr>
            <w:noProof/>
            <w:webHidden/>
          </w:rPr>
          <w:fldChar w:fldCharType="separate"/>
        </w:r>
        <w:r>
          <w:rPr>
            <w:noProof/>
            <w:webHidden/>
          </w:rPr>
          <w:t>19</w:t>
        </w:r>
        <w:r>
          <w:rPr>
            <w:noProof/>
            <w:webHidden/>
          </w:rPr>
          <w:fldChar w:fldCharType="end"/>
        </w:r>
      </w:hyperlink>
    </w:p>
    <w:p w14:paraId="04D63E82" w14:textId="209CF3AC"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3" w:history="1">
        <w:r w:rsidRPr="000C3D4F">
          <w:rPr>
            <w:rStyle w:val="Hyperlink"/>
            <w:noProof/>
          </w:rPr>
          <w:t>Figure 15 Debt to Asset Balance</w:t>
        </w:r>
        <w:r>
          <w:rPr>
            <w:noProof/>
            <w:webHidden/>
          </w:rPr>
          <w:tab/>
        </w:r>
        <w:r>
          <w:rPr>
            <w:noProof/>
            <w:webHidden/>
          </w:rPr>
          <w:fldChar w:fldCharType="begin"/>
        </w:r>
        <w:r>
          <w:rPr>
            <w:noProof/>
            <w:webHidden/>
          </w:rPr>
          <w:instrText xml:space="preserve"> PAGEREF _Toc226970653 \h </w:instrText>
        </w:r>
        <w:r>
          <w:rPr>
            <w:noProof/>
            <w:webHidden/>
          </w:rPr>
        </w:r>
        <w:r>
          <w:rPr>
            <w:noProof/>
            <w:webHidden/>
          </w:rPr>
          <w:fldChar w:fldCharType="separate"/>
        </w:r>
        <w:r>
          <w:rPr>
            <w:noProof/>
            <w:webHidden/>
          </w:rPr>
          <w:t>19</w:t>
        </w:r>
        <w:r>
          <w:rPr>
            <w:noProof/>
            <w:webHidden/>
          </w:rPr>
          <w:fldChar w:fldCharType="end"/>
        </w:r>
      </w:hyperlink>
    </w:p>
    <w:p w14:paraId="2A28BBBF" w14:textId="78A90DAB"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4" w:history="1">
        <w:r w:rsidRPr="000C3D4F">
          <w:rPr>
            <w:rStyle w:val="Hyperlink"/>
            <w:noProof/>
          </w:rPr>
          <w:t>Figure 16 Sample Defeasance</w:t>
        </w:r>
        <w:r>
          <w:rPr>
            <w:noProof/>
            <w:webHidden/>
          </w:rPr>
          <w:tab/>
        </w:r>
        <w:r>
          <w:rPr>
            <w:noProof/>
            <w:webHidden/>
          </w:rPr>
          <w:fldChar w:fldCharType="begin"/>
        </w:r>
        <w:r>
          <w:rPr>
            <w:noProof/>
            <w:webHidden/>
          </w:rPr>
          <w:instrText xml:space="preserve"> PAGEREF _Toc226970654 \h </w:instrText>
        </w:r>
        <w:r>
          <w:rPr>
            <w:noProof/>
            <w:webHidden/>
          </w:rPr>
        </w:r>
        <w:r>
          <w:rPr>
            <w:noProof/>
            <w:webHidden/>
          </w:rPr>
          <w:fldChar w:fldCharType="separate"/>
        </w:r>
        <w:r>
          <w:rPr>
            <w:noProof/>
            <w:webHidden/>
          </w:rPr>
          <w:t>22</w:t>
        </w:r>
        <w:r>
          <w:rPr>
            <w:noProof/>
            <w:webHidden/>
          </w:rPr>
          <w:fldChar w:fldCharType="end"/>
        </w:r>
      </w:hyperlink>
    </w:p>
    <w:p w14:paraId="77B762E7" w14:textId="73C804CA"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5" w:history="1">
        <w:r w:rsidRPr="000C3D4F">
          <w:rPr>
            <w:rStyle w:val="Hyperlink"/>
            <w:noProof/>
          </w:rPr>
          <w:t>Figure 17 Summary of WTD Reserves</w:t>
        </w:r>
        <w:r>
          <w:rPr>
            <w:noProof/>
            <w:webHidden/>
          </w:rPr>
          <w:tab/>
        </w:r>
        <w:r>
          <w:rPr>
            <w:noProof/>
            <w:webHidden/>
          </w:rPr>
          <w:fldChar w:fldCharType="begin"/>
        </w:r>
        <w:r>
          <w:rPr>
            <w:noProof/>
            <w:webHidden/>
          </w:rPr>
          <w:instrText xml:space="preserve"> PAGEREF _Toc226970655 \h </w:instrText>
        </w:r>
        <w:r>
          <w:rPr>
            <w:noProof/>
            <w:webHidden/>
          </w:rPr>
        </w:r>
        <w:r>
          <w:rPr>
            <w:noProof/>
            <w:webHidden/>
          </w:rPr>
          <w:fldChar w:fldCharType="separate"/>
        </w:r>
        <w:r>
          <w:rPr>
            <w:noProof/>
            <w:webHidden/>
          </w:rPr>
          <w:t>23</w:t>
        </w:r>
        <w:r>
          <w:rPr>
            <w:noProof/>
            <w:webHidden/>
          </w:rPr>
          <w:fldChar w:fldCharType="end"/>
        </w:r>
      </w:hyperlink>
    </w:p>
    <w:p w14:paraId="515A33EC" w14:textId="75D918A5"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6" w:history="1">
        <w:r w:rsidRPr="000C3D4F">
          <w:rPr>
            <w:rStyle w:val="Hyperlink"/>
            <w:noProof/>
          </w:rPr>
          <w:t>Figure 18 Surety Bond Summary</w:t>
        </w:r>
        <w:r>
          <w:rPr>
            <w:noProof/>
            <w:webHidden/>
          </w:rPr>
          <w:tab/>
        </w:r>
        <w:r>
          <w:rPr>
            <w:noProof/>
            <w:webHidden/>
          </w:rPr>
          <w:fldChar w:fldCharType="begin"/>
        </w:r>
        <w:r>
          <w:rPr>
            <w:noProof/>
            <w:webHidden/>
          </w:rPr>
          <w:instrText xml:space="preserve"> PAGEREF _Toc226970656 \h </w:instrText>
        </w:r>
        <w:r>
          <w:rPr>
            <w:noProof/>
            <w:webHidden/>
          </w:rPr>
        </w:r>
        <w:r>
          <w:rPr>
            <w:noProof/>
            <w:webHidden/>
          </w:rPr>
          <w:fldChar w:fldCharType="separate"/>
        </w:r>
        <w:r>
          <w:rPr>
            <w:noProof/>
            <w:webHidden/>
          </w:rPr>
          <w:t>25</w:t>
        </w:r>
        <w:r>
          <w:rPr>
            <w:noProof/>
            <w:webHidden/>
          </w:rPr>
          <w:fldChar w:fldCharType="end"/>
        </w:r>
      </w:hyperlink>
    </w:p>
    <w:p w14:paraId="0C86D641" w14:textId="4871DD0C"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7" w:history="1">
        <w:r w:rsidRPr="000C3D4F">
          <w:rPr>
            <w:rStyle w:val="Hyperlink"/>
            <w:noProof/>
          </w:rPr>
          <w:t>Figure 19 Operating Revenue Components Sorted by Size</w:t>
        </w:r>
        <w:r>
          <w:rPr>
            <w:noProof/>
            <w:webHidden/>
          </w:rPr>
          <w:tab/>
        </w:r>
        <w:r>
          <w:rPr>
            <w:noProof/>
            <w:webHidden/>
          </w:rPr>
          <w:fldChar w:fldCharType="begin"/>
        </w:r>
        <w:r>
          <w:rPr>
            <w:noProof/>
            <w:webHidden/>
          </w:rPr>
          <w:instrText xml:space="preserve"> PAGEREF _Toc226970657 \h </w:instrText>
        </w:r>
        <w:r>
          <w:rPr>
            <w:noProof/>
            <w:webHidden/>
          </w:rPr>
        </w:r>
        <w:r>
          <w:rPr>
            <w:noProof/>
            <w:webHidden/>
          </w:rPr>
          <w:fldChar w:fldCharType="separate"/>
        </w:r>
        <w:r>
          <w:rPr>
            <w:noProof/>
            <w:webHidden/>
          </w:rPr>
          <w:t>26</w:t>
        </w:r>
        <w:r>
          <w:rPr>
            <w:noProof/>
            <w:webHidden/>
          </w:rPr>
          <w:fldChar w:fldCharType="end"/>
        </w:r>
      </w:hyperlink>
    </w:p>
    <w:p w14:paraId="2BD63635" w14:textId="6FD3F21F"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8" w:history="1">
        <w:r w:rsidRPr="000C3D4F">
          <w:rPr>
            <w:rStyle w:val="Hyperlink"/>
            <w:noProof/>
          </w:rPr>
          <w:t>Figure 20 2026 - 2046 Sewer Rate Forecast Revenue Requirement</w:t>
        </w:r>
        <w:r>
          <w:rPr>
            <w:noProof/>
            <w:webHidden/>
          </w:rPr>
          <w:tab/>
        </w:r>
        <w:r>
          <w:rPr>
            <w:noProof/>
            <w:webHidden/>
          </w:rPr>
          <w:fldChar w:fldCharType="begin"/>
        </w:r>
        <w:r>
          <w:rPr>
            <w:noProof/>
            <w:webHidden/>
          </w:rPr>
          <w:instrText xml:space="preserve"> PAGEREF _Toc226970658 \h </w:instrText>
        </w:r>
        <w:r>
          <w:rPr>
            <w:noProof/>
            <w:webHidden/>
          </w:rPr>
        </w:r>
        <w:r>
          <w:rPr>
            <w:noProof/>
            <w:webHidden/>
          </w:rPr>
          <w:fldChar w:fldCharType="separate"/>
        </w:r>
        <w:r>
          <w:rPr>
            <w:noProof/>
            <w:webHidden/>
          </w:rPr>
          <w:t>27</w:t>
        </w:r>
        <w:r>
          <w:rPr>
            <w:noProof/>
            <w:webHidden/>
          </w:rPr>
          <w:fldChar w:fldCharType="end"/>
        </w:r>
      </w:hyperlink>
    </w:p>
    <w:p w14:paraId="53EA6ABE" w14:textId="60A6219B"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9" w:history="1">
        <w:r w:rsidRPr="000C3D4F">
          <w:rPr>
            <w:rStyle w:val="Hyperlink"/>
            <w:noProof/>
          </w:rPr>
          <w:t>Figure 21 Proposed 2026 Sewer Rate and 2027-2045 Forecast [also available on page 6]</w:t>
        </w:r>
        <w:r>
          <w:rPr>
            <w:noProof/>
            <w:webHidden/>
          </w:rPr>
          <w:tab/>
        </w:r>
        <w:r>
          <w:rPr>
            <w:noProof/>
            <w:webHidden/>
          </w:rPr>
          <w:fldChar w:fldCharType="begin"/>
        </w:r>
        <w:r>
          <w:rPr>
            <w:noProof/>
            <w:webHidden/>
          </w:rPr>
          <w:instrText xml:space="preserve"> PAGEREF _Toc226970659 \h </w:instrText>
        </w:r>
        <w:r>
          <w:rPr>
            <w:noProof/>
            <w:webHidden/>
          </w:rPr>
        </w:r>
        <w:r>
          <w:rPr>
            <w:noProof/>
            <w:webHidden/>
          </w:rPr>
          <w:fldChar w:fldCharType="separate"/>
        </w:r>
        <w:r>
          <w:rPr>
            <w:noProof/>
            <w:webHidden/>
          </w:rPr>
          <w:t>27</w:t>
        </w:r>
        <w:r>
          <w:rPr>
            <w:noProof/>
            <w:webHidden/>
          </w:rPr>
          <w:fldChar w:fldCharType="end"/>
        </w:r>
      </w:hyperlink>
    </w:p>
    <w:p w14:paraId="630DCC8B" w14:textId="79C1D2AC"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0" w:history="1">
        <w:r w:rsidRPr="000C3D4F">
          <w:rPr>
            <w:rStyle w:val="Hyperlink"/>
            <w:noProof/>
          </w:rPr>
          <w:t xml:space="preserve">Figure 22 History of WTD DSC and Ratings </w:t>
        </w:r>
        <w:r>
          <w:rPr>
            <w:noProof/>
            <w:webHidden/>
          </w:rPr>
          <w:tab/>
        </w:r>
        <w:r>
          <w:rPr>
            <w:noProof/>
            <w:webHidden/>
          </w:rPr>
          <w:fldChar w:fldCharType="begin"/>
        </w:r>
        <w:r>
          <w:rPr>
            <w:noProof/>
            <w:webHidden/>
          </w:rPr>
          <w:instrText xml:space="preserve"> PAGEREF _Toc226970660 \h </w:instrText>
        </w:r>
        <w:r>
          <w:rPr>
            <w:noProof/>
            <w:webHidden/>
          </w:rPr>
        </w:r>
        <w:r>
          <w:rPr>
            <w:noProof/>
            <w:webHidden/>
          </w:rPr>
          <w:fldChar w:fldCharType="separate"/>
        </w:r>
        <w:r>
          <w:rPr>
            <w:noProof/>
            <w:webHidden/>
          </w:rPr>
          <w:t>28</w:t>
        </w:r>
        <w:r>
          <w:rPr>
            <w:noProof/>
            <w:webHidden/>
          </w:rPr>
          <w:fldChar w:fldCharType="end"/>
        </w:r>
      </w:hyperlink>
    </w:p>
    <w:p w14:paraId="236CE250" w14:textId="17C7EDE6"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1" w:history="1">
        <w:r w:rsidRPr="000C3D4F">
          <w:rPr>
            <w:rStyle w:val="Hyperlink"/>
            <w:noProof/>
          </w:rPr>
          <w:t>Figure 23 RCE Reporting to Sewer Rate Billing Lag</w:t>
        </w:r>
        <w:r>
          <w:rPr>
            <w:noProof/>
            <w:webHidden/>
          </w:rPr>
          <w:tab/>
        </w:r>
        <w:r>
          <w:rPr>
            <w:noProof/>
            <w:webHidden/>
          </w:rPr>
          <w:fldChar w:fldCharType="begin"/>
        </w:r>
        <w:r>
          <w:rPr>
            <w:noProof/>
            <w:webHidden/>
          </w:rPr>
          <w:instrText xml:space="preserve"> PAGEREF _Toc226970661 \h </w:instrText>
        </w:r>
        <w:r>
          <w:rPr>
            <w:noProof/>
            <w:webHidden/>
          </w:rPr>
        </w:r>
        <w:r>
          <w:rPr>
            <w:noProof/>
            <w:webHidden/>
          </w:rPr>
          <w:fldChar w:fldCharType="separate"/>
        </w:r>
        <w:r>
          <w:rPr>
            <w:noProof/>
            <w:webHidden/>
          </w:rPr>
          <w:t>28</w:t>
        </w:r>
        <w:r>
          <w:rPr>
            <w:noProof/>
            <w:webHidden/>
          </w:rPr>
          <w:fldChar w:fldCharType="end"/>
        </w:r>
      </w:hyperlink>
    </w:p>
    <w:p w14:paraId="2332ED88" w14:textId="15A14BC7"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2" w:history="1">
        <w:r w:rsidRPr="000C3D4F">
          <w:rPr>
            <w:rStyle w:val="Hyperlink"/>
            <w:noProof/>
          </w:rPr>
          <w:t>Figure 24 Reported SFRs and Flow-Based RCEs by Quarter (2011-2025)</w:t>
        </w:r>
        <w:r>
          <w:rPr>
            <w:noProof/>
            <w:webHidden/>
          </w:rPr>
          <w:tab/>
        </w:r>
        <w:r>
          <w:rPr>
            <w:noProof/>
            <w:webHidden/>
          </w:rPr>
          <w:fldChar w:fldCharType="begin"/>
        </w:r>
        <w:r>
          <w:rPr>
            <w:noProof/>
            <w:webHidden/>
          </w:rPr>
          <w:instrText xml:space="preserve"> PAGEREF _Toc226970662 \h </w:instrText>
        </w:r>
        <w:r>
          <w:rPr>
            <w:noProof/>
            <w:webHidden/>
          </w:rPr>
        </w:r>
        <w:r>
          <w:rPr>
            <w:noProof/>
            <w:webHidden/>
          </w:rPr>
          <w:fldChar w:fldCharType="separate"/>
        </w:r>
        <w:r>
          <w:rPr>
            <w:noProof/>
            <w:webHidden/>
          </w:rPr>
          <w:t>29</w:t>
        </w:r>
        <w:r>
          <w:rPr>
            <w:noProof/>
            <w:webHidden/>
          </w:rPr>
          <w:fldChar w:fldCharType="end"/>
        </w:r>
      </w:hyperlink>
    </w:p>
    <w:p w14:paraId="73CF4568" w14:textId="5068B3B3"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3" w:history="1">
        <w:r w:rsidRPr="000C3D4F">
          <w:rPr>
            <w:rStyle w:val="Hyperlink"/>
            <w:noProof/>
          </w:rPr>
          <w:t>Figure 25 Historical Sewer Rate Increases (1990-2026)</w:t>
        </w:r>
        <w:r>
          <w:rPr>
            <w:noProof/>
            <w:webHidden/>
          </w:rPr>
          <w:tab/>
        </w:r>
        <w:r>
          <w:rPr>
            <w:noProof/>
            <w:webHidden/>
          </w:rPr>
          <w:fldChar w:fldCharType="begin"/>
        </w:r>
        <w:r>
          <w:rPr>
            <w:noProof/>
            <w:webHidden/>
          </w:rPr>
          <w:instrText xml:space="preserve"> PAGEREF _Toc226970663 \h </w:instrText>
        </w:r>
        <w:r>
          <w:rPr>
            <w:noProof/>
            <w:webHidden/>
          </w:rPr>
        </w:r>
        <w:r>
          <w:rPr>
            <w:noProof/>
            <w:webHidden/>
          </w:rPr>
          <w:fldChar w:fldCharType="separate"/>
        </w:r>
        <w:r>
          <w:rPr>
            <w:noProof/>
            <w:webHidden/>
          </w:rPr>
          <w:t>30</w:t>
        </w:r>
        <w:r>
          <w:rPr>
            <w:noProof/>
            <w:webHidden/>
          </w:rPr>
          <w:fldChar w:fldCharType="end"/>
        </w:r>
      </w:hyperlink>
    </w:p>
    <w:p w14:paraId="71A6A02A" w14:textId="59FF005A"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4" w:history="1">
        <w:r w:rsidRPr="000C3D4F">
          <w:rPr>
            <w:rStyle w:val="Hyperlink"/>
            <w:noProof/>
          </w:rPr>
          <w:t>Figure 26 Adopted 2026 Sewer Rate and 2026-2045 Forecast</w:t>
        </w:r>
        <w:r>
          <w:rPr>
            <w:noProof/>
            <w:webHidden/>
          </w:rPr>
          <w:tab/>
        </w:r>
        <w:r>
          <w:rPr>
            <w:noProof/>
            <w:webHidden/>
          </w:rPr>
          <w:fldChar w:fldCharType="begin"/>
        </w:r>
        <w:r>
          <w:rPr>
            <w:noProof/>
            <w:webHidden/>
          </w:rPr>
          <w:instrText xml:space="preserve"> PAGEREF _Toc226970664 \h </w:instrText>
        </w:r>
        <w:r>
          <w:rPr>
            <w:noProof/>
            <w:webHidden/>
          </w:rPr>
        </w:r>
        <w:r>
          <w:rPr>
            <w:noProof/>
            <w:webHidden/>
          </w:rPr>
          <w:fldChar w:fldCharType="separate"/>
        </w:r>
        <w:r>
          <w:rPr>
            <w:noProof/>
            <w:webHidden/>
          </w:rPr>
          <w:t>31</w:t>
        </w:r>
        <w:r>
          <w:rPr>
            <w:noProof/>
            <w:webHidden/>
          </w:rPr>
          <w:fldChar w:fldCharType="end"/>
        </w:r>
      </w:hyperlink>
    </w:p>
    <w:p w14:paraId="205B4EFD" w14:textId="48405C5B"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5" w:history="1">
        <w:r w:rsidRPr="000C3D4F">
          <w:rPr>
            <w:rStyle w:val="Hyperlink"/>
            <w:noProof/>
          </w:rPr>
          <w:t>Figure 27 Proposed 2027 Sewer Rate and 2027-2046 Forecast [also available on page 6]</w:t>
        </w:r>
        <w:r>
          <w:rPr>
            <w:noProof/>
            <w:webHidden/>
          </w:rPr>
          <w:tab/>
        </w:r>
        <w:r>
          <w:rPr>
            <w:noProof/>
            <w:webHidden/>
          </w:rPr>
          <w:fldChar w:fldCharType="begin"/>
        </w:r>
        <w:r>
          <w:rPr>
            <w:noProof/>
            <w:webHidden/>
          </w:rPr>
          <w:instrText xml:space="preserve"> PAGEREF _Toc226970665 \h </w:instrText>
        </w:r>
        <w:r>
          <w:rPr>
            <w:noProof/>
            <w:webHidden/>
          </w:rPr>
        </w:r>
        <w:r>
          <w:rPr>
            <w:noProof/>
            <w:webHidden/>
          </w:rPr>
          <w:fldChar w:fldCharType="separate"/>
        </w:r>
        <w:r>
          <w:rPr>
            <w:noProof/>
            <w:webHidden/>
          </w:rPr>
          <w:t>31</w:t>
        </w:r>
        <w:r>
          <w:rPr>
            <w:noProof/>
            <w:webHidden/>
          </w:rPr>
          <w:fldChar w:fldCharType="end"/>
        </w:r>
      </w:hyperlink>
    </w:p>
    <w:p w14:paraId="69F210C1" w14:textId="45120C9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6" w:history="1">
        <w:r w:rsidRPr="000C3D4F">
          <w:rPr>
            <w:rStyle w:val="Hyperlink"/>
            <w:noProof/>
          </w:rPr>
          <w:t>Figure 28 Capital Forecast—Council Requested Rate</w:t>
        </w:r>
        <w:r>
          <w:rPr>
            <w:noProof/>
            <w:webHidden/>
          </w:rPr>
          <w:tab/>
        </w:r>
        <w:r>
          <w:rPr>
            <w:noProof/>
            <w:webHidden/>
          </w:rPr>
          <w:fldChar w:fldCharType="begin"/>
        </w:r>
        <w:r>
          <w:rPr>
            <w:noProof/>
            <w:webHidden/>
          </w:rPr>
          <w:instrText xml:space="preserve"> PAGEREF _Toc226970666 \h </w:instrText>
        </w:r>
        <w:r>
          <w:rPr>
            <w:noProof/>
            <w:webHidden/>
          </w:rPr>
        </w:r>
        <w:r>
          <w:rPr>
            <w:noProof/>
            <w:webHidden/>
          </w:rPr>
          <w:fldChar w:fldCharType="separate"/>
        </w:r>
        <w:r>
          <w:rPr>
            <w:noProof/>
            <w:webHidden/>
          </w:rPr>
          <w:t>32</w:t>
        </w:r>
        <w:r>
          <w:rPr>
            <w:noProof/>
            <w:webHidden/>
          </w:rPr>
          <w:fldChar w:fldCharType="end"/>
        </w:r>
      </w:hyperlink>
    </w:p>
    <w:p w14:paraId="0679BBF2" w14:textId="2121BF65"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7" w:history="1">
        <w:r w:rsidRPr="000C3D4F">
          <w:rPr>
            <w:rStyle w:val="Hyperlink"/>
            <w:noProof/>
          </w:rPr>
          <w:t>Figure 29 2027 Council Requested Rate and 2027-46 Rate Forecast</w:t>
        </w:r>
        <w:r>
          <w:rPr>
            <w:noProof/>
            <w:webHidden/>
          </w:rPr>
          <w:tab/>
        </w:r>
        <w:r>
          <w:rPr>
            <w:noProof/>
            <w:webHidden/>
          </w:rPr>
          <w:fldChar w:fldCharType="begin"/>
        </w:r>
        <w:r>
          <w:rPr>
            <w:noProof/>
            <w:webHidden/>
          </w:rPr>
          <w:instrText xml:space="preserve"> PAGEREF _Toc226970667 \h </w:instrText>
        </w:r>
        <w:r>
          <w:rPr>
            <w:noProof/>
            <w:webHidden/>
          </w:rPr>
        </w:r>
        <w:r>
          <w:rPr>
            <w:noProof/>
            <w:webHidden/>
          </w:rPr>
          <w:fldChar w:fldCharType="separate"/>
        </w:r>
        <w:r>
          <w:rPr>
            <w:noProof/>
            <w:webHidden/>
          </w:rPr>
          <w:t>33</w:t>
        </w:r>
        <w:r>
          <w:rPr>
            <w:noProof/>
            <w:webHidden/>
          </w:rPr>
          <w:fldChar w:fldCharType="end"/>
        </w:r>
      </w:hyperlink>
    </w:p>
    <w:p w14:paraId="072BE1BF" w14:textId="0658E29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8" w:history="1">
        <w:r w:rsidRPr="000C3D4F">
          <w:rPr>
            <w:rStyle w:val="Hyperlink"/>
            <w:noProof/>
          </w:rPr>
          <w:t>Figure 30 Capital Forecast—Theoretical Regulatory Deadline Extension</w:t>
        </w:r>
        <w:r>
          <w:rPr>
            <w:noProof/>
            <w:webHidden/>
          </w:rPr>
          <w:tab/>
        </w:r>
        <w:r>
          <w:rPr>
            <w:noProof/>
            <w:webHidden/>
          </w:rPr>
          <w:fldChar w:fldCharType="begin"/>
        </w:r>
        <w:r>
          <w:rPr>
            <w:noProof/>
            <w:webHidden/>
          </w:rPr>
          <w:instrText xml:space="preserve"> PAGEREF _Toc226970668 \h </w:instrText>
        </w:r>
        <w:r>
          <w:rPr>
            <w:noProof/>
            <w:webHidden/>
          </w:rPr>
        </w:r>
        <w:r>
          <w:rPr>
            <w:noProof/>
            <w:webHidden/>
          </w:rPr>
          <w:fldChar w:fldCharType="separate"/>
        </w:r>
        <w:r>
          <w:rPr>
            <w:noProof/>
            <w:webHidden/>
          </w:rPr>
          <w:t>33</w:t>
        </w:r>
        <w:r>
          <w:rPr>
            <w:noProof/>
            <w:webHidden/>
          </w:rPr>
          <w:fldChar w:fldCharType="end"/>
        </w:r>
      </w:hyperlink>
    </w:p>
    <w:p w14:paraId="39802405" w14:textId="50F59381"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9" w:history="1">
        <w:r w:rsidRPr="000C3D4F">
          <w:rPr>
            <w:rStyle w:val="Hyperlink"/>
            <w:noProof/>
          </w:rPr>
          <w:t>Figure 31 2027 Theoretical Regulatory Deadline Extension Rate and 2027-46 Rate Forecast</w:t>
        </w:r>
        <w:r>
          <w:rPr>
            <w:noProof/>
            <w:webHidden/>
          </w:rPr>
          <w:tab/>
        </w:r>
        <w:r>
          <w:rPr>
            <w:noProof/>
            <w:webHidden/>
          </w:rPr>
          <w:fldChar w:fldCharType="begin"/>
        </w:r>
        <w:r>
          <w:rPr>
            <w:noProof/>
            <w:webHidden/>
          </w:rPr>
          <w:instrText xml:space="preserve"> PAGEREF _Toc226970669 \h </w:instrText>
        </w:r>
        <w:r>
          <w:rPr>
            <w:noProof/>
            <w:webHidden/>
          </w:rPr>
        </w:r>
        <w:r>
          <w:rPr>
            <w:noProof/>
            <w:webHidden/>
          </w:rPr>
          <w:fldChar w:fldCharType="separate"/>
        </w:r>
        <w:r>
          <w:rPr>
            <w:noProof/>
            <w:webHidden/>
          </w:rPr>
          <w:t>34</w:t>
        </w:r>
        <w:r>
          <w:rPr>
            <w:noProof/>
            <w:webHidden/>
          </w:rPr>
          <w:fldChar w:fldCharType="end"/>
        </w:r>
      </w:hyperlink>
    </w:p>
    <w:p w14:paraId="03F2A02C" w14:textId="493A5E18"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0" w:history="1">
        <w:r w:rsidRPr="000C3D4F">
          <w:rPr>
            <w:rStyle w:val="Hyperlink"/>
            <w:noProof/>
          </w:rPr>
          <w:t>Figure 32 Historical Capacity Charge Increases (2003-2026)</w:t>
        </w:r>
        <w:r>
          <w:rPr>
            <w:noProof/>
            <w:webHidden/>
          </w:rPr>
          <w:tab/>
        </w:r>
        <w:r>
          <w:rPr>
            <w:noProof/>
            <w:webHidden/>
          </w:rPr>
          <w:fldChar w:fldCharType="begin"/>
        </w:r>
        <w:r>
          <w:rPr>
            <w:noProof/>
            <w:webHidden/>
          </w:rPr>
          <w:instrText xml:space="preserve"> PAGEREF _Toc226970670 \h </w:instrText>
        </w:r>
        <w:r>
          <w:rPr>
            <w:noProof/>
            <w:webHidden/>
          </w:rPr>
        </w:r>
        <w:r>
          <w:rPr>
            <w:noProof/>
            <w:webHidden/>
          </w:rPr>
          <w:fldChar w:fldCharType="separate"/>
        </w:r>
        <w:r>
          <w:rPr>
            <w:noProof/>
            <w:webHidden/>
          </w:rPr>
          <w:t>35</w:t>
        </w:r>
        <w:r>
          <w:rPr>
            <w:noProof/>
            <w:webHidden/>
          </w:rPr>
          <w:fldChar w:fldCharType="end"/>
        </w:r>
      </w:hyperlink>
    </w:p>
    <w:p w14:paraId="0DF76EFC" w14:textId="1B805DC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1" w:history="1">
        <w:r w:rsidRPr="000C3D4F">
          <w:rPr>
            <w:rStyle w:val="Hyperlink"/>
            <w:noProof/>
          </w:rPr>
          <w:t>Figure 33 Proposed 2027 Capacity Charge and 2028-2031 Forecast [also available on page 6]</w:t>
        </w:r>
        <w:r>
          <w:rPr>
            <w:noProof/>
            <w:webHidden/>
          </w:rPr>
          <w:tab/>
        </w:r>
        <w:r>
          <w:rPr>
            <w:noProof/>
            <w:webHidden/>
          </w:rPr>
          <w:fldChar w:fldCharType="begin"/>
        </w:r>
        <w:r>
          <w:rPr>
            <w:noProof/>
            <w:webHidden/>
          </w:rPr>
          <w:instrText xml:space="preserve"> PAGEREF _Toc226970671 \h </w:instrText>
        </w:r>
        <w:r>
          <w:rPr>
            <w:noProof/>
            <w:webHidden/>
          </w:rPr>
        </w:r>
        <w:r>
          <w:rPr>
            <w:noProof/>
            <w:webHidden/>
          </w:rPr>
          <w:fldChar w:fldCharType="separate"/>
        </w:r>
        <w:r>
          <w:rPr>
            <w:noProof/>
            <w:webHidden/>
          </w:rPr>
          <w:t>36</w:t>
        </w:r>
        <w:r>
          <w:rPr>
            <w:noProof/>
            <w:webHidden/>
          </w:rPr>
          <w:fldChar w:fldCharType="end"/>
        </w:r>
      </w:hyperlink>
    </w:p>
    <w:p w14:paraId="68697975" w14:textId="6EF396F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2" w:history="1">
        <w:r w:rsidRPr="000C3D4F">
          <w:rPr>
            <w:rStyle w:val="Hyperlink"/>
            <w:noProof/>
          </w:rPr>
          <w:t>Figure 34 Historical Capacity Charge Ongoing Payments</w:t>
        </w:r>
        <w:r w:rsidRPr="000C3D4F">
          <w:rPr>
            <w:rStyle w:val="Hyperlink"/>
            <w:bCs/>
            <w:noProof/>
          </w:rPr>
          <w:t xml:space="preserve"> </w:t>
        </w:r>
        <w:r w:rsidRPr="000C3D4F">
          <w:rPr>
            <w:rStyle w:val="Hyperlink"/>
            <w:noProof/>
          </w:rPr>
          <w:t>and Prepayments (2012-2025)</w:t>
        </w:r>
        <w:r>
          <w:rPr>
            <w:noProof/>
            <w:webHidden/>
          </w:rPr>
          <w:tab/>
        </w:r>
        <w:r>
          <w:rPr>
            <w:noProof/>
            <w:webHidden/>
          </w:rPr>
          <w:fldChar w:fldCharType="begin"/>
        </w:r>
        <w:r>
          <w:rPr>
            <w:noProof/>
            <w:webHidden/>
          </w:rPr>
          <w:instrText xml:space="preserve"> PAGEREF _Toc226970672 \h </w:instrText>
        </w:r>
        <w:r>
          <w:rPr>
            <w:noProof/>
            <w:webHidden/>
          </w:rPr>
        </w:r>
        <w:r>
          <w:rPr>
            <w:noProof/>
            <w:webHidden/>
          </w:rPr>
          <w:fldChar w:fldCharType="separate"/>
        </w:r>
        <w:r>
          <w:rPr>
            <w:noProof/>
            <w:webHidden/>
          </w:rPr>
          <w:t>37</w:t>
        </w:r>
        <w:r>
          <w:rPr>
            <w:noProof/>
            <w:webHidden/>
          </w:rPr>
          <w:fldChar w:fldCharType="end"/>
        </w:r>
      </w:hyperlink>
    </w:p>
    <w:p w14:paraId="31657B62" w14:textId="24E07AC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3" w:history="1">
        <w:r w:rsidRPr="000C3D4F">
          <w:rPr>
            <w:rStyle w:val="Hyperlink"/>
            <w:noProof/>
          </w:rPr>
          <w:t>Figure 35 2025 Year-End Outstanding Debt Balances</w:t>
        </w:r>
        <w:r>
          <w:rPr>
            <w:noProof/>
            <w:webHidden/>
          </w:rPr>
          <w:tab/>
        </w:r>
        <w:r>
          <w:rPr>
            <w:noProof/>
            <w:webHidden/>
          </w:rPr>
          <w:fldChar w:fldCharType="begin"/>
        </w:r>
        <w:r>
          <w:rPr>
            <w:noProof/>
            <w:webHidden/>
          </w:rPr>
          <w:instrText xml:space="preserve"> PAGEREF _Toc226970673 \h </w:instrText>
        </w:r>
        <w:r>
          <w:rPr>
            <w:noProof/>
            <w:webHidden/>
          </w:rPr>
        </w:r>
        <w:r>
          <w:rPr>
            <w:noProof/>
            <w:webHidden/>
          </w:rPr>
          <w:fldChar w:fldCharType="separate"/>
        </w:r>
        <w:r>
          <w:rPr>
            <w:noProof/>
            <w:webHidden/>
          </w:rPr>
          <w:t>38</w:t>
        </w:r>
        <w:r>
          <w:rPr>
            <w:noProof/>
            <w:webHidden/>
          </w:rPr>
          <w:fldChar w:fldCharType="end"/>
        </w:r>
      </w:hyperlink>
    </w:p>
    <w:p w14:paraId="1D3B3E70" w14:textId="61AE54A5"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4" w:history="1">
        <w:r w:rsidRPr="000C3D4F">
          <w:rPr>
            <w:rStyle w:val="Hyperlink"/>
            <w:noProof/>
          </w:rPr>
          <w:t>Figure 36 Forecast Assumptions Used in Financial Forecast</w:t>
        </w:r>
        <w:r>
          <w:rPr>
            <w:noProof/>
            <w:webHidden/>
          </w:rPr>
          <w:tab/>
        </w:r>
        <w:r>
          <w:rPr>
            <w:noProof/>
            <w:webHidden/>
          </w:rPr>
          <w:fldChar w:fldCharType="begin"/>
        </w:r>
        <w:r>
          <w:rPr>
            <w:noProof/>
            <w:webHidden/>
          </w:rPr>
          <w:instrText xml:space="preserve"> PAGEREF _Toc226970674 \h </w:instrText>
        </w:r>
        <w:r>
          <w:rPr>
            <w:noProof/>
            <w:webHidden/>
          </w:rPr>
        </w:r>
        <w:r>
          <w:rPr>
            <w:noProof/>
            <w:webHidden/>
          </w:rPr>
          <w:fldChar w:fldCharType="separate"/>
        </w:r>
        <w:r>
          <w:rPr>
            <w:noProof/>
            <w:webHidden/>
          </w:rPr>
          <w:t>39</w:t>
        </w:r>
        <w:r>
          <w:rPr>
            <w:noProof/>
            <w:webHidden/>
          </w:rPr>
          <w:fldChar w:fldCharType="end"/>
        </w:r>
      </w:hyperlink>
    </w:p>
    <w:p w14:paraId="04D70E61" w14:textId="221350F4"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5" w:history="1">
        <w:r w:rsidRPr="000C3D4F">
          <w:rPr>
            <w:rStyle w:val="Hyperlink"/>
            <w:noProof/>
          </w:rPr>
          <w:t>Figure 37 Wastewater Treatment 2025 Forecast vs. Preliminary 2025 Actuals</w:t>
        </w:r>
        <w:r>
          <w:rPr>
            <w:noProof/>
            <w:webHidden/>
          </w:rPr>
          <w:tab/>
        </w:r>
        <w:r>
          <w:rPr>
            <w:noProof/>
            <w:webHidden/>
          </w:rPr>
          <w:fldChar w:fldCharType="begin"/>
        </w:r>
        <w:r>
          <w:rPr>
            <w:noProof/>
            <w:webHidden/>
          </w:rPr>
          <w:instrText xml:space="preserve"> PAGEREF _Toc226970675 \h </w:instrText>
        </w:r>
        <w:r>
          <w:rPr>
            <w:noProof/>
            <w:webHidden/>
          </w:rPr>
        </w:r>
        <w:r>
          <w:rPr>
            <w:noProof/>
            <w:webHidden/>
          </w:rPr>
          <w:fldChar w:fldCharType="separate"/>
        </w:r>
        <w:r>
          <w:rPr>
            <w:noProof/>
            <w:webHidden/>
          </w:rPr>
          <w:t>41</w:t>
        </w:r>
        <w:r>
          <w:rPr>
            <w:noProof/>
            <w:webHidden/>
          </w:rPr>
          <w:fldChar w:fldCharType="end"/>
        </w:r>
      </w:hyperlink>
    </w:p>
    <w:p w14:paraId="72E57FBC" w14:textId="3559659C" w:rsidR="00A40759" w:rsidRDefault="0083739A" w:rsidP="00E83729">
      <w:pPr>
        <w:pStyle w:val="Heading1"/>
      </w:pPr>
      <w:r>
        <w:fldChar w:fldCharType="end"/>
      </w:r>
    </w:p>
    <w:p w14:paraId="773285A0" w14:textId="77777777" w:rsidR="00A40759" w:rsidRDefault="00A40759">
      <w:pPr>
        <w:spacing w:after="160" w:line="259" w:lineRule="auto"/>
        <w:rPr>
          <w:rFonts w:ascii="Calibri" w:eastAsiaTheme="majorEastAsia" w:hAnsi="Calibri" w:cstheme="majorBidi"/>
          <w:b/>
          <w:color w:val="2F5496"/>
          <w:sz w:val="28"/>
          <w:szCs w:val="32"/>
        </w:rPr>
      </w:pPr>
      <w:r>
        <w:br w:type="page"/>
      </w:r>
    </w:p>
    <w:p w14:paraId="7C017246" w14:textId="26AF7799" w:rsidR="0018130B" w:rsidRDefault="00862231" w:rsidP="00996F69">
      <w:pPr>
        <w:pStyle w:val="Heading1"/>
      </w:pPr>
      <w:bookmarkStart w:id="0" w:name="_Toc224573024"/>
      <w:r>
        <w:lastRenderedPageBreak/>
        <w:t>Executive Summary</w:t>
      </w:r>
      <w:bookmarkEnd w:id="0"/>
    </w:p>
    <w:p w14:paraId="5055E466" w14:textId="60299878" w:rsidR="005531A4" w:rsidRDefault="005531A4" w:rsidP="005531A4">
      <w:pPr>
        <w:pStyle w:val="Heading4"/>
      </w:pPr>
      <w:r w:rsidRPr="00156C91">
        <w:t>Key Assumptions</w:t>
      </w:r>
      <w:r>
        <w:t xml:space="preserve"> for the Proposed</w:t>
      </w:r>
      <w:r w:rsidR="005269D5">
        <w:t xml:space="preserve"> </w:t>
      </w:r>
      <w:r w:rsidR="004A4293">
        <w:t xml:space="preserve">2026 </w:t>
      </w:r>
      <w:r w:rsidR="005269D5">
        <w:t>Sewer Rate and</w:t>
      </w:r>
      <w:r>
        <w:t xml:space="preserve"> </w:t>
      </w:r>
      <w:r w:rsidRPr="00DD4042">
        <w:t>202</w:t>
      </w:r>
      <w:r w:rsidR="005B7D9D">
        <w:t>7</w:t>
      </w:r>
      <w:r w:rsidRPr="00DD4042">
        <w:t>-20</w:t>
      </w:r>
      <w:r w:rsidR="005B7D9D">
        <w:t>45</w:t>
      </w:r>
      <w:r>
        <w:t xml:space="preserve"> Financial Forecast</w:t>
      </w:r>
    </w:p>
    <w:p w14:paraId="11708D1E" w14:textId="6D673995" w:rsidR="00EC5699" w:rsidRPr="007C22FB" w:rsidRDefault="0080526D" w:rsidP="000170C0">
      <w:r w:rsidRPr="007C22FB">
        <w:t>The 2027 sewer rate process builds on</w:t>
      </w:r>
      <w:r w:rsidR="006B6C72" w:rsidRPr="007C22FB">
        <w:t xml:space="preserve"> the </w:t>
      </w:r>
      <w:r w:rsidR="00E87339">
        <w:t>substantive</w:t>
      </w:r>
      <w:r w:rsidR="006B6C72" w:rsidRPr="007C22FB">
        <w:t xml:space="preserve"> changes incorporated into the 2026 rate process, including</w:t>
      </w:r>
      <w:r w:rsidR="00E9725C" w:rsidRPr="007C22FB">
        <w:t xml:space="preserve"> an extension of the forecast period to 20 years</w:t>
      </w:r>
      <w:r w:rsidR="001316AB" w:rsidRPr="007C22FB">
        <w:t xml:space="preserve"> (Council Motion 16449)</w:t>
      </w:r>
      <w:r w:rsidR="00E9725C" w:rsidRPr="007C22FB">
        <w:t>, a</w:t>
      </w:r>
      <w:r w:rsidR="002E62A6" w:rsidRPr="007C22FB">
        <w:t xml:space="preserve">n updated </w:t>
      </w:r>
      <w:r w:rsidR="00DB6CC1" w:rsidRPr="007C22FB">
        <w:t xml:space="preserve">Combined Sewer Overflow (CSO) </w:t>
      </w:r>
      <w:r w:rsidR="00D56573">
        <w:t>c</w:t>
      </w:r>
      <w:r w:rsidR="002E62A6" w:rsidRPr="007C22FB">
        <w:t xml:space="preserve">onsent </w:t>
      </w:r>
      <w:r w:rsidR="00D56573">
        <w:t>d</w:t>
      </w:r>
      <w:r w:rsidR="002E62A6" w:rsidRPr="007C22FB">
        <w:t>ecree schedule reflecting 2037</w:t>
      </w:r>
      <w:r w:rsidR="00DB6CC1" w:rsidRPr="007C22FB">
        <w:t xml:space="preserve"> completion</w:t>
      </w:r>
      <w:r w:rsidR="00176452" w:rsidRPr="007C22FB">
        <w:t xml:space="preserve"> (</w:t>
      </w:r>
      <w:r w:rsidR="00157E1F" w:rsidRPr="007C22FB">
        <w:t>see Capital Improvement Program section for greater detail)</w:t>
      </w:r>
      <w:r w:rsidR="00DB6CC1" w:rsidRPr="007C22FB">
        <w:t>,</w:t>
      </w:r>
      <w:r w:rsidR="006D2682" w:rsidRPr="007C22FB">
        <w:t xml:space="preserve"> and updated cost estimates for large CSO projects including the Mouth of the Duwamish Wet Weather Facilities</w:t>
      </w:r>
      <w:r w:rsidR="00FD7E4C">
        <w:t>.</w:t>
      </w:r>
      <w:r w:rsidR="00EC5699">
        <w:rPr>
          <w:rStyle w:val="EndnoteReference"/>
        </w:rPr>
        <w:endnoteReference w:id="2"/>
      </w:r>
      <w:r w:rsidR="007D449C" w:rsidRPr="007821B4">
        <w:rPr>
          <w:rStyle w:val="EndnoteReference"/>
        </w:rPr>
        <w:t>,</w:t>
      </w:r>
      <w:r w:rsidR="00EC5699">
        <w:rPr>
          <w:rStyle w:val="EndnoteReference"/>
        </w:rPr>
        <w:endnoteReference w:id="3"/>
      </w:r>
      <w:r w:rsidR="007D449C" w:rsidRPr="007821B4">
        <w:rPr>
          <w:rStyle w:val="EndnoteReference"/>
        </w:rPr>
        <w:t>,</w:t>
      </w:r>
      <w:r w:rsidR="00EC5699">
        <w:rPr>
          <w:rStyle w:val="EndnoteReference"/>
        </w:rPr>
        <w:endnoteReference w:id="4"/>
      </w:r>
    </w:p>
    <w:p w14:paraId="05F1DB60" w14:textId="77777777" w:rsidR="00EC5699" w:rsidRPr="007C22FB" w:rsidRDefault="00EC5699" w:rsidP="000170C0">
      <w:r w:rsidRPr="007C22FB">
        <w:t>The 2027 sewer rate process sought to incorporate additional project cost updates while also:</w:t>
      </w:r>
    </w:p>
    <w:p w14:paraId="6E3A2A5E" w14:textId="6ECF6674" w:rsidR="00EC5699" w:rsidRPr="007C22FB" w:rsidRDefault="00EC5699" w:rsidP="004B5708">
      <w:pPr>
        <w:pStyle w:val="ListParagraph"/>
        <w:numPr>
          <w:ilvl w:val="0"/>
          <w:numId w:val="91"/>
        </w:numPr>
        <w:ind w:left="720"/>
      </w:pPr>
      <w:r w:rsidRPr="007C22FB">
        <w:t>moderating near-term rate increases</w:t>
      </w:r>
      <w:r w:rsidR="00541425">
        <w:t>;</w:t>
      </w:r>
      <w:r w:rsidRPr="007C22FB">
        <w:t xml:space="preserve"> </w:t>
      </w:r>
    </w:p>
    <w:p w14:paraId="4C86BB84" w14:textId="092DC506" w:rsidR="00EC5699" w:rsidRPr="007C22FB" w:rsidRDefault="00EC5699" w:rsidP="004B5708">
      <w:pPr>
        <w:pStyle w:val="ListParagraph"/>
        <w:numPr>
          <w:ilvl w:val="0"/>
          <w:numId w:val="91"/>
        </w:numPr>
        <w:ind w:left="720"/>
      </w:pPr>
      <w:r w:rsidRPr="007C22FB">
        <w:t>responding to</w:t>
      </w:r>
      <w:r>
        <w:t xml:space="preserve"> 2026/27</w:t>
      </w:r>
      <w:r w:rsidRPr="007C22FB">
        <w:t xml:space="preserve"> budget proviso </w:t>
      </w:r>
      <w:r w:rsidRPr="000E2CE1">
        <w:t>Section 115 P4 and</w:t>
      </w:r>
      <w:r w:rsidRPr="007C22FB">
        <w:t xml:space="preserve"> Sewer Rate and Capital Work Plan requirements of Capital Improvement Program (CIP) scenarios with clear policy choices and tradeoffs</w:t>
      </w:r>
      <w:r w:rsidR="00541425">
        <w:t>;</w:t>
      </w:r>
      <w:r>
        <w:rPr>
          <w:rStyle w:val="EndnoteReference"/>
        </w:rPr>
        <w:endnoteReference w:id="5"/>
      </w:r>
    </w:p>
    <w:p w14:paraId="39A3CFE9" w14:textId="4DE20A1A" w:rsidR="00EC5699" w:rsidRPr="007C22FB" w:rsidRDefault="00EC5699" w:rsidP="004B5708">
      <w:pPr>
        <w:pStyle w:val="ListParagraph"/>
        <w:numPr>
          <w:ilvl w:val="0"/>
          <w:numId w:val="91"/>
        </w:numPr>
        <w:ind w:left="720"/>
      </w:pPr>
      <w:r w:rsidRPr="007C22FB">
        <w:t>balancing to a status quo operating expenditure forecast</w:t>
      </w:r>
      <w:r w:rsidR="00541425">
        <w:t>;</w:t>
      </w:r>
      <w:r w:rsidR="00647849">
        <w:t xml:space="preserve"> and</w:t>
      </w:r>
    </w:p>
    <w:p w14:paraId="2B0B5D30" w14:textId="3F49F3C8" w:rsidR="00EC5699" w:rsidRPr="007C22FB" w:rsidRDefault="00EC5699" w:rsidP="004B5708">
      <w:pPr>
        <w:pStyle w:val="ListParagraph"/>
        <w:numPr>
          <w:ilvl w:val="0"/>
          <w:numId w:val="91"/>
        </w:numPr>
        <w:ind w:left="720"/>
      </w:pPr>
      <w:r w:rsidRPr="007C22FB">
        <w:t xml:space="preserve">maintaining </w:t>
      </w:r>
      <w:r w:rsidR="00CE13FD">
        <w:t xml:space="preserve">King County </w:t>
      </w:r>
      <w:r w:rsidRPr="007C22FB">
        <w:t>W</w:t>
      </w:r>
      <w:r w:rsidR="00AF2633">
        <w:t xml:space="preserve">astewater </w:t>
      </w:r>
      <w:r w:rsidRPr="007C22FB">
        <w:t>T</w:t>
      </w:r>
      <w:r w:rsidR="00AF2633">
        <w:t>reatment Division’s (WTD)</w:t>
      </w:r>
      <w:r w:rsidRPr="007C22FB">
        <w:t xml:space="preserve"> strong financial policies to minimize debt burden and risk.</w:t>
      </w:r>
    </w:p>
    <w:p w14:paraId="068C6566" w14:textId="1233366C" w:rsidR="00EC5699" w:rsidRPr="00FE4446" w:rsidRDefault="00EC5699" w:rsidP="000170C0">
      <w:r w:rsidRPr="00FE4446">
        <w:t>A continued challenge for the County’s WTD CIP includes the “stacking” problem of multiple concurrent and large capital needs. The three main drivers continue to be high-risk priority asset replacement and renewal investments, meeting contract obligations to serve new growth capacity, and substantial regulatory requirements.</w:t>
      </w:r>
      <w:r w:rsidRPr="00A6757C">
        <w:t xml:space="preserve"> </w:t>
      </w:r>
      <w:r w:rsidRPr="007C22FB">
        <w:t>These regulatory requirements have fixed</w:t>
      </w:r>
      <w:r>
        <w:t xml:space="preserve"> and</w:t>
      </w:r>
      <w:r w:rsidRPr="007C22FB">
        <w:t xml:space="preserve"> concurrent deadlines for large CSO projects, making up the largest driver of near-term rate increases.</w:t>
      </w:r>
      <w:r w:rsidRPr="00FE4446">
        <w:t xml:space="preserve"> </w:t>
      </w:r>
    </w:p>
    <w:p w14:paraId="09F1F97E" w14:textId="65D74DA8" w:rsidR="00EC5699" w:rsidRPr="00FE4446" w:rsidRDefault="00EC5699" w:rsidP="004D0BBD">
      <w:r w:rsidRPr="00FE4446">
        <w:t>There are also continued significant regulatory “known unknowns,” including how nutrient regulations will affect CIP needs, especially since the Puget Sound General Nutrient Permit was recently invalidated by the state Pollution Control Hearings Board (PCHB No. 21-085)</w:t>
      </w:r>
      <w:r w:rsidR="00A55455">
        <w:t>.</w:t>
      </w:r>
      <w:r>
        <w:rPr>
          <w:rStyle w:val="EndnoteReference"/>
        </w:rPr>
        <w:endnoteReference w:id="6"/>
      </w:r>
      <w:r w:rsidRPr="00FE4446">
        <w:t xml:space="preserve"> Given the uncertainty, WTD  continue</w:t>
      </w:r>
      <w:r>
        <w:t>s</w:t>
      </w:r>
      <w:r w:rsidRPr="00FE4446">
        <w:t xml:space="preserve"> to include comparably modest costs for initial optimization-level nutrient reduction</w:t>
      </w:r>
      <w:r>
        <w:t xml:space="preserve"> in its CIP</w:t>
      </w:r>
      <w:r w:rsidRPr="00FE4446">
        <w:t>. WTD and legal counsel will continue to monitor the status of nutrient litigation and regulation and endeavor to anticipate and respond to regulatory requirements and options.</w:t>
      </w:r>
    </w:p>
    <w:p w14:paraId="1D0F1BE5" w14:textId="27188D0E" w:rsidR="00EC5699" w:rsidRDefault="00EC5699" w:rsidP="004D0BBD">
      <w:r w:rsidRPr="00FE4446">
        <w:t>This 202</w:t>
      </w:r>
      <w:r w:rsidRPr="007C22FB">
        <w:t>7</w:t>
      </w:r>
      <w:r w:rsidRPr="00FE4446">
        <w:t xml:space="preserve"> sewer rate proposal and forecast </w:t>
      </w:r>
      <w:r w:rsidRPr="007C22FB">
        <w:t xml:space="preserve">prioritize regulatory compliance and positions WTD to proactively replace some of the most critical assets prior to failure and avoid building moratoria driven by insufficient capacity. The proposed scenario limits the rate increase forecast through 2034 as the County continues to better define the affordability challenges in the region, make concerted efforts to contain internal cost growth, and support local and national efforts </w:t>
      </w:r>
      <w:r>
        <w:t>to address affordability</w:t>
      </w:r>
      <w:r w:rsidRPr="007C22FB">
        <w:t>.</w:t>
      </w:r>
    </w:p>
    <w:p w14:paraId="5AA0EBE6" w14:textId="597EF0E7" w:rsidR="00EC5699" w:rsidRPr="003B071A" w:rsidRDefault="00EC5699" w:rsidP="0018130B">
      <w:pPr>
        <w:pStyle w:val="Heading4"/>
      </w:pPr>
      <w:r w:rsidRPr="003B071A">
        <w:t>Committee Engagement</w:t>
      </w:r>
    </w:p>
    <w:p w14:paraId="6A86C599" w14:textId="2F5C6014" w:rsidR="00EC5699" w:rsidRPr="003B071A" w:rsidRDefault="00EC5699" w:rsidP="0018130B">
      <w:r w:rsidRPr="003B071A">
        <w:t>Throughout 2025, WTD engaged the Metropolitan Water Pollution Abatement Advisory Committee (MWPAAC) on the sewer rate and related topics, including rate-setting methodology, cost estimation methodology, and capital program needs and forecasting. Beginning in January 2026, WTD engaged with MWPAAC and its Rates and Finance Subcommittee to share the preliminary sewer rate forecast for 2027-2046, including multiple potential capital scenarios designed to reduce rate impacts</w:t>
      </w:r>
      <w:r>
        <w:t>.</w:t>
      </w:r>
      <w:r w:rsidRPr="003B071A">
        <w:t xml:space="preserve"> Details, rationale, and methodology were shared by WTD staff in these forums, including costs and timing of capital investments.</w:t>
      </w:r>
    </w:p>
    <w:p w14:paraId="2B05FA11" w14:textId="0A868A60" w:rsidR="00EC5699" w:rsidRPr="003B071A" w:rsidRDefault="00EC5699" w:rsidP="0018130B">
      <w:r w:rsidRPr="003B071A">
        <w:t>The process to develop the proposed 2027 sewer rate also included providing briefings to the Regional Water Quality Committee (RWQC) beyond the level of engagement provided to RWQC in past years.</w:t>
      </w:r>
      <w:r>
        <w:t xml:space="preserve"> These included briefings on the preliminary</w:t>
      </w:r>
      <w:r w:rsidRPr="003B071A">
        <w:t xml:space="preserve"> sewer rate forecast in February 2026 and on WTD’s proposed sewer rate in March. </w:t>
      </w:r>
    </w:p>
    <w:p w14:paraId="1C0EFC8D" w14:textId="11D6E14F" w:rsidR="00EC5699" w:rsidRPr="003B071A" w:rsidRDefault="00EC5699" w:rsidP="0018130B">
      <w:r>
        <w:t>In recent years, comment</w:t>
      </w:r>
      <w:r w:rsidR="007907F2">
        <w:t>s</w:t>
      </w:r>
      <w:r w:rsidRPr="003B071A">
        <w:t xml:space="preserve"> from MPWAAC and RWQC include desire for more predictability in the rate forecast and concern for the higher rate increases after 2026. WTD shares their </w:t>
      </w:r>
      <w:r>
        <w:t xml:space="preserve">interest in predictability and their </w:t>
      </w:r>
      <w:r w:rsidRPr="003B071A">
        <w:t>concern for customer affordability</w:t>
      </w:r>
      <w:r>
        <w:t>. WTD recently shared options for better predictability at MWPAAC</w:t>
      </w:r>
      <w:r w:rsidRPr="003B071A">
        <w:t xml:space="preserve"> and, as part of the </w:t>
      </w:r>
      <w:r w:rsidR="00541425">
        <w:t xml:space="preserve">Regional </w:t>
      </w:r>
      <w:r w:rsidR="00541425">
        <w:lastRenderedPageBreak/>
        <w:t>Wastewater Services Plan (</w:t>
      </w:r>
      <w:r w:rsidRPr="003B071A">
        <w:t>RWSP</w:t>
      </w:r>
      <w:r w:rsidR="00541425">
        <w:t>)</w:t>
      </w:r>
      <w:r w:rsidRPr="003B071A">
        <w:t xml:space="preserve"> update, </w:t>
      </w:r>
      <w:r>
        <w:t xml:space="preserve">WTD </w:t>
      </w:r>
      <w:r w:rsidRPr="003B071A">
        <w:t>is working to better characterize local affordability, develop metrics to measure it, and focus on actionable solutions.</w:t>
      </w:r>
    </w:p>
    <w:p w14:paraId="1B132353" w14:textId="5A1FD322" w:rsidR="00EC5699" w:rsidRPr="00DC0BF2" w:rsidRDefault="00EC5699" w:rsidP="00A042E5">
      <w:pPr>
        <w:keepNext/>
        <w:rPr>
          <w:b/>
          <w:bCs/>
        </w:rPr>
      </w:pPr>
      <w:r w:rsidRPr="00DC0BF2">
        <w:rPr>
          <w:b/>
          <w:bCs/>
        </w:rPr>
        <w:t>Proposed Sewer Rate and Capacity Charge</w:t>
      </w:r>
    </w:p>
    <w:p w14:paraId="7741423E" w14:textId="765917F6" w:rsidR="00EC5699" w:rsidRPr="00DC0BF2" w:rsidRDefault="00EC5699" w:rsidP="00EE5F5D">
      <w:r w:rsidRPr="00DC0BF2">
        <w:t>The proposed 202</w:t>
      </w:r>
      <w:r>
        <w:t>7</w:t>
      </w:r>
      <w:r w:rsidRPr="00DC0BF2">
        <w:t xml:space="preserve"> sewer rate is $</w:t>
      </w:r>
      <w:r>
        <w:t>70.65</w:t>
      </w:r>
      <w:r w:rsidRPr="00DC0BF2">
        <w:t xml:space="preserve">, or a </w:t>
      </w:r>
      <w:r>
        <w:t>12.75</w:t>
      </w:r>
      <w:r w:rsidRPr="00DC0BF2">
        <w:t xml:space="preserve"> percent increase over the 202</w:t>
      </w:r>
      <w:r>
        <w:t>6</w:t>
      </w:r>
      <w:r w:rsidRPr="00DC0BF2">
        <w:t xml:space="preserve"> rate of $</w:t>
      </w:r>
      <w:r>
        <w:t>62.66</w:t>
      </w:r>
      <w:r w:rsidRPr="00DC0BF2">
        <w:t>. The 202</w:t>
      </w:r>
      <w:r>
        <w:t>7</w:t>
      </w:r>
      <w:r w:rsidRPr="00DC0BF2">
        <w:t>-204</w:t>
      </w:r>
      <w:r>
        <w:t>6</w:t>
      </w:r>
      <w:r w:rsidRPr="00DC0BF2">
        <w:t xml:space="preserve"> sewer rate</w:t>
      </w:r>
      <w:r w:rsidRPr="00DC0BF2" w:rsidDel="005617AA">
        <w:t xml:space="preserve"> </w:t>
      </w:r>
      <w:r w:rsidRPr="00DC0BF2">
        <w:t xml:space="preserve">forecast shown in </w:t>
      </w:r>
      <w:r w:rsidRPr="006C1029">
        <w:fldChar w:fldCharType="begin"/>
      </w:r>
      <w:r w:rsidRPr="006C1029">
        <w:instrText xml:space="preserve"> REF _Ref161292427 \h  \* MERGEFORMAT </w:instrText>
      </w:r>
      <w:r w:rsidRPr="006C1029">
        <w:fldChar w:fldCharType="separate"/>
      </w:r>
      <w:r w:rsidRPr="006C1029">
        <w:t>Figure 1</w:t>
      </w:r>
      <w:r w:rsidRPr="006C1029">
        <w:fldChar w:fldCharType="end"/>
      </w:r>
      <w:r w:rsidRPr="00DC0BF2">
        <w:t xml:space="preserve"> includes smoothed annual increases </w:t>
      </w:r>
      <w:r>
        <w:t>of 12.75 percent through 2030</w:t>
      </w:r>
      <w:r w:rsidRPr="00DC0BF2">
        <w:t>, followed by</w:t>
      </w:r>
      <w:r>
        <w:t xml:space="preserve"> increases of 11.25 percent in 2031 and 2032, followed by</w:t>
      </w:r>
      <w:r w:rsidRPr="00DC0BF2">
        <w:t xml:space="preserve"> lower rate increases in 203</w:t>
      </w:r>
      <w:r>
        <w:t>3</w:t>
      </w:r>
      <w:r w:rsidRPr="00DC0BF2">
        <w:t xml:space="preserve"> and beyond.</w:t>
      </w:r>
      <w:r w:rsidRPr="00DC0BF2">
        <w:rPr>
          <w:rStyle w:val="EndnoteReference"/>
        </w:rPr>
        <w:endnoteReference w:id="7"/>
      </w:r>
      <w:r w:rsidRPr="00DC0BF2">
        <w:t xml:space="preserve"> A smoothed sewer rate forecast allows for the collection of revenues that exceed expenditures in a given year and are less than expenditures in subsequent years to fully fund the utility over the forecast period with less volatility. These proposed rate increases enable WTD to fund the projected CIP and sufficiently perform operations and maintenance. </w:t>
      </w:r>
    </w:p>
    <w:p w14:paraId="2C0CF381" w14:textId="207785DC" w:rsidR="00EC5699" w:rsidRPr="00DC0BF2" w:rsidRDefault="00EC5699" w:rsidP="000666C3">
      <w:pPr>
        <w:pStyle w:val="Caption"/>
        <w:rPr>
          <w:b w:val="0"/>
          <w:bCs/>
        </w:rPr>
      </w:pPr>
      <w:bookmarkStart w:id="1" w:name="_Ref161292427"/>
      <w:bookmarkStart w:id="2" w:name="_Ref128686249"/>
      <w:bookmarkStart w:id="3" w:name="_Toc129353059"/>
      <w:bookmarkStart w:id="4" w:name="_Ref128473281"/>
      <w:bookmarkStart w:id="5" w:name="_Toc226970639"/>
      <w:r w:rsidRPr="00DC0BF2">
        <w:t xml:space="preserve">Figure </w:t>
      </w:r>
      <w:r w:rsidRPr="00DC0BF2">
        <w:fldChar w:fldCharType="begin"/>
      </w:r>
      <w:r w:rsidRPr="00DC0BF2">
        <w:instrText xml:space="preserve"> SEQ Figure \* ARABIC </w:instrText>
      </w:r>
      <w:r w:rsidRPr="00DC0BF2">
        <w:fldChar w:fldCharType="separate"/>
      </w:r>
      <w:r w:rsidRPr="00DC0BF2">
        <w:rPr>
          <w:noProof/>
        </w:rPr>
        <w:t>1</w:t>
      </w:r>
      <w:r w:rsidRPr="00DC0BF2">
        <w:fldChar w:fldCharType="end"/>
      </w:r>
      <w:bookmarkEnd w:id="1"/>
      <w:r w:rsidRPr="00DC0BF2">
        <w:rPr>
          <w:b w:val="0"/>
          <w:bCs/>
        </w:rPr>
        <w:t xml:space="preserve"> </w:t>
      </w:r>
      <w:r w:rsidRPr="00DC0BF2">
        <w:t xml:space="preserve">Proposed 2027 Sewer Rate and 2027-2046 </w:t>
      </w:r>
      <w:bookmarkEnd w:id="2"/>
      <w:bookmarkEnd w:id="3"/>
      <w:r w:rsidRPr="00DC0BF2">
        <w:t>Forecast</w:t>
      </w:r>
      <w:r w:rsidRPr="00DC0BF2">
        <w:rPr>
          <w:b w:val="0"/>
          <w:bCs/>
        </w:rPr>
        <w:t xml:space="preserve"> </w:t>
      </w:r>
      <w:bookmarkEnd w:id="4"/>
      <w:bookmarkEnd w:id="5"/>
    </w:p>
    <w:p w14:paraId="25F4E4AC" w14:textId="7D426265" w:rsidR="00EC5699" w:rsidRPr="007C22FB" w:rsidRDefault="00EC5699">
      <w:pPr>
        <w:rPr>
          <w:highlight w:val="yellow"/>
        </w:rPr>
      </w:pPr>
      <w:r w:rsidRPr="00C2535E">
        <w:rPr>
          <w:noProof/>
        </w:rPr>
        <w:drawing>
          <wp:inline distT="0" distB="0" distL="0" distR="0" wp14:anchorId="7614827F" wp14:editId="0D1B2D69">
            <wp:extent cx="6858000" cy="1453896"/>
            <wp:effectExtent l="0" t="0" r="0" b="0"/>
            <wp:docPr id="1573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0" cy="1453896"/>
                    </a:xfrm>
                    <a:prstGeom prst="rect">
                      <a:avLst/>
                    </a:prstGeom>
                    <a:noFill/>
                  </pic:spPr>
                </pic:pic>
              </a:graphicData>
            </a:graphic>
          </wp:inline>
        </w:drawing>
      </w:r>
    </w:p>
    <w:p w14:paraId="4537F0B4" w14:textId="04804F29" w:rsidR="00EC5699" w:rsidRPr="00C2535E" w:rsidRDefault="00EC5699" w:rsidP="00F851A3">
      <w:bookmarkStart w:id="6" w:name="_Ref129345558"/>
      <w:bookmarkStart w:id="7" w:name="_Ref128686306"/>
      <w:bookmarkStart w:id="8" w:name="_Toc129353060"/>
      <w:r w:rsidRPr="00C2535E">
        <w:t xml:space="preserve">For reference, the 2026 sewer rate forecast is shown in </w:t>
      </w:r>
      <w:r w:rsidRPr="00C2535E">
        <w:rPr>
          <w:b/>
          <w:bCs/>
        </w:rPr>
        <w:fldChar w:fldCharType="begin"/>
      </w:r>
      <w:r w:rsidRPr="00C2535E">
        <w:rPr>
          <w:b/>
          <w:bCs/>
        </w:rPr>
        <w:instrText xml:space="preserve"> REF _Ref161292454 \h  \* MERGEFORMAT </w:instrText>
      </w:r>
      <w:r w:rsidRPr="00C2535E">
        <w:rPr>
          <w:b/>
          <w:bCs/>
        </w:rPr>
      </w:r>
      <w:r w:rsidRPr="00C2535E">
        <w:rPr>
          <w:b/>
          <w:bCs/>
        </w:rPr>
        <w:fldChar w:fldCharType="separate"/>
      </w:r>
      <w:r w:rsidRPr="006C1029">
        <w:t>Figure 2</w:t>
      </w:r>
      <w:r w:rsidRPr="00C2535E">
        <w:rPr>
          <w:b/>
          <w:bCs/>
        </w:rPr>
        <w:fldChar w:fldCharType="end"/>
      </w:r>
      <w:r w:rsidRPr="00C2535E">
        <w:rPr>
          <w:b/>
          <w:bCs/>
        </w:rPr>
        <w:t>.</w:t>
      </w:r>
    </w:p>
    <w:p w14:paraId="65674256" w14:textId="785F2AB2" w:rsidR="00EC5699" w:rsidRPr="00C2535E" w:rsidRDefault="00EC5699" w:rsidP="00697701">
      <w:pPr>
        <w:pStyle w:val="Caption"/>
        <w:rPr>
          <w:rStyle w:val="Strong"/>
          <w:b/>
        </w:rPr>
      </w:pPr>
      <w:bookmarkStart w:id="9" w:name="_Ref161292454"/>
      <w:bookmarkStart w:id="10" w:name="_Ref128473237"/>
      <w:bookmarkStart w:id="11" w:name="_Toc129353057"/>
      <w:bookmarkStart w:id="12" w:name="_Ref161141252"/>
      <w:bookmarkStart w:id="13" w:name="_Toc226970640"/>
      <w:r w:rsidRPr="00C2535E">
        <w:t xml:space="preserve">Figure </w:t>
      </w:r>
      <w:r w:rsidRPr="00C2535E">
        <w:fldChar w:fldCharType="begin"/>
      </w:r>
      <w:r w:rsidRPr="00C2535E">
        <w:instrText xml:space="preserve"> SEQ Figure \* ARABIC </w:instrText>
      </w:r>
      <w:r w:rsidRPr="00C2535E">
        <w:fldChar w:fldCharType="separate"/>
      </w:r>
      <w:r w:rsidRPr="00C2535E">
        <w:rPr>
          <w:noProof/>
        </w:rPr>
        <w:t>2</w:t>
      </w:r>
      <w:r w:rsidRPr="00C2535E">
        <w:fldChar w:fldCharType="end"/>
      </w:r>
      <w:bookmarkEnd w:id="9"/>
      <w:r w:rsidRPr="00C2535E">
        <w:rPr>
          <w:b w:val="0"/>
        </w:rPr>
        <w:t xml:space="preserve"> </w:t>
      </w:r>
      <w:r w:rsidRPr="00C2535E">
        <w:rPr>
          <w:rStyle w:val="Strong"/>
          <w:b/>
        </w:rPr>
        <w:t>Adopted 2026 Sewer Rate and</w:t>
      </w:r>
      <w:r w:rsidRPr="00C2535E">
        <w:rPr>
          <w:rStyle w:val="Strong"/>
          <w:b/>
          <w:bCs w:val="0"/>
        </w:rPr>
        <w:t xml:space="preserve"> 2026-2045 Forecast</w:t>
      </w:r>
      <w:bookmarkEnd w:id="10"/>
      <w:bookmarkEnd w:id="11"/>
      <w:bookmarkEnd w:id="12"/>
      <w:bookmarkEnd w:id="13"/>
    </w:p>
    <w:p w14:paraId="2ADE9C09" w14:textId="6208F913" w:rsidR="00EC5699" w:rsidRPr="007C22FB" w:rsidRDefault="00EC5699" w:rsidP="0079051E">
      <w:pPr>
        <w:pStyle w:val="ListParagraph"/>
        <w:ind w:left="0"/>
        <w:jc w:val="center"/>
        <w:rPr>
          <w:rStyle w:val="Strong"/>
          <w:b w:val="0"/>
          <w:bCs w:val="0"/>
          <w:highlight w:val="yellow"/>
        </w:rPr>
      </w:pPr>
      <w:r w:rsidRPr="00C2535E">
        <w:rPr>
          <w:rStyle w:val="Strong"/>
          <w:b w:val="0"/>
          <w:bCs w:val="0"/>
          <w:noProof/>
        </w:rPr>
        <w:drawing>
          <wp:inline distT="0" distB="0" distL="0" distR="0" wp14:anchorId="60B78D54" wp14:editId="4B003548">
            <wp:extent cx="6858635" cy="1444625"/>
            <wp:effectExtent l="0" t="0" r="0" b="3175"/>
            <wp:docPr id="539253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635" cy="1444625"/>
                    </a:xfrm>
                    <a:prstGeom prst="rect">
                      <a:avLst/>
                    </a:prstGeom>
                    <a:noFill/>
                  </pic:spPr>
                </pic:pic>
              </a:graphicData>
            </a:graphic>
          </wp:inline>
        </w:drawing>
      </w:r>
    </w:p>
    <w:p w14:paraId="2C2FAE2E" w14:textId="50C49FAE" w:rsidR="00EC5699" w:rsidRPr="005663DC" w:rsidRDefault="00EC5699" w:rsidP="00084194">
      <w:r w:rsidRPr="00C2535E">
        <w:t>The proposed capacity charge is $83.10, or a 6.</w:t>
      </w:r>
      <w:r>
        <w:t>6</w:t>
      </w:r>
      <w:r w:rsidRPr="00C2535E">
        <w:t xml:space="preserve"> percent increase over the 2025 rate of $77.99. The financial forecast incorporates capacity charge revenue increases as shown in </w:t>
      </w:r>
      <w:r w:rsidRPr="006C1029">
        <w:fldChar w:fldCharType="begin"/>
      </w:r>
      <w:r w:rsidRPr="006C1029">
        <w:instrText xml:space="preserve"> REF _Ref161292475 \h  \* MERGEFORMAT </w:instrText>
      </w:r>
      <w:r w:rsidRPr="006C1029">
        <w:fldChar w:fldCharType="separate"/>
      </w:r>
      <w:r w:rsidRPr="006C1029">
        <w:t>Figure 3</w:t>
      </w:r>
      <w:r w:rsidRPr="006C1029">
        <w:fldChar w:fldCharType="end"/>
      </w:r>
      <w:r w:rsidRPr="00C2535E">
        <w:t>.</w:t>
      </w:r>
    </w:p>
    <w:p w14:paraId="02AC35C6" w14:textId="6CBDD6D9" w:rsidR="00EC5699" w:rsidRPr="003B4829" w:rsidRDefault="00EC5699" w:rsidP="0019593D">
      <w:pPr>
        <w:pStyle w:val="Heading4"/>
        <w:jc w:val="center"/>
        <w:rPr>
          <w:sz w:val="22"/>
        </w:rPr>
      </w:pPr>
      <w:bookmarkStart w:id="14" w:name="_Ref161292475"/>
      <w:bookmarkStart w:id="15" w:name="_Ref161127880"/>
      <w:bookmarkStart w:id="16" w:name="_Toc226970641"/>
      <w:bookmarkEnd w:id="6"/>
      <w:r w:rsidRPr="5F30696B">
        <w:rPr>
          <w:sz w:val="22"/>
        </w:rPr>
        <w:t xml:space="preserve">Figure </w:t>
      </w:r>
      <w:r w:rsidRPr="5F30696B">
        <w:rPr>
          <w:sz w:val="22"/>
        </w:rPr>
        <w:fldChar w:fldCharType="begin"/>
      </w:r>
      <w:r w:rsidRPr="5F30696B">
        <w:rPr>
          <w:sz w:val="22"/>
        </w:rPr>
        <w:instrText xml:space="preserve"> SEQ Figure \* ARABIC </w:instrText>
      </w:r>
      <w:r w:rsidRPr="5F30696B">
        <w:rPr>
          <w:sz w:val="22"/>
        </w:rPr>
        <w:fldChar w:fldCharType="separate"/>
      </w:r>
      <w:r w:rsidRPr="5F30696B">
        <w:rPr>
          <w:noProof/>
          <w:sz w:val="22"/>
        </w:rPr>
        <w:t>3</w:t>
      </w:r>
      <w:r w:rsidRPr="5F30696B">
        <w:rPr>
          <w:sz w:val="22"/>
        </w:rPr>
        <w:fldChar w:fldCharType="end"/>
      </w:r>
      <w:bookmarkEnd w:id="7"/>
      <w:bookmarkEnd w:id="8"/>
      <w:bookmarkEnd w:id="14"/>
      <w:bookmarkEnd w:id="15"/>
      <w:r w:rsidRPr="5F30696B">
        <w:rPr>
          <w:sz w:val="22"/>
        </w:rPr>
        <w:t xml:space="preserve"> Proposed 2027 Capacity Charge and 2028-2031 Forecast</w:t>
      </w:r>
      <w:bookmarkEnd w:id="16"/>
    </w:p>
    <w:p w14:paraId="3A0ABE09" w14:textId="19CE7076" w:rsidR="00EC5699" w:rsidRPr="004B27F6" w:rsidRDefault="0E4BC0EE" w:rsidP="5F30696B">
      <w:pPr>
        <w:jc w:val="center"/>
      </w:pPr>
      <w:r>
        <w:rPr>
          <w:noProof/>
        </w:rPr>
        <w:drawing>
          <wp:inline distT="0" distB="0" distL="0" distR="0" wp14:anchorId="1AAD6C96" wp14:editId="73842102">
            <wp:extent cx="5653874" cy="1463040"/>
            <wp:effectExtent l="0" t="0" r="0" b="0"/>
            <wp:docPr id="270663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63072" name="Picture 270663072"/>
                    <pic:cNvPicPr/>
                  </pic:nvPicPr>
                  <pic:blipFill>
                    <a:blip r:embed="rId15">
                      <a:extLst>
                        <a:ext uri="{28A0092B-C50C-407E-A947-70E740481C1C}">
                          <a14:useLocalDpi xmlns:a14="http://schemas.microsoft.com/office/drawing/2010/main"/>
                        </a:ext>
                      </a:extLst>
                    </a:blip>
                    <a:stretch>
                      <a:fillRect/>
                    </a:stretch>
                  </pic:blipFill>
                  <pic:spPr>
                    <a:xfrm>
                      <a:off x="0" y="0"/>
                      <a:ext cx="5653874" cy="1463040"/>
                    </a:xfrm>
                    <a:prstGeom prst="rect">
                      <a:avLst/>
                    </a:prstGeom>
                  </pic:spPr>
                </pic:pic>
              </a:graphicData>
            </a:graphic>
          </wp:inline>
        </w:drawing>
      </w:r>
    </w:p>
    <w:p w14:paraId="70F0AE19" w14:textId="3B3B5275" w:rsidR="00EC5699" w:rsidRPr="00795323" w:rsidRDefault="00EC5699" w:rsidP="0018130B">
      <w:pPr>
        <w:pStyle w:val="Heading1"/>
      </w:pPr>
      <w:bookmarkStart w:id="17" w:name="_Toc129353031"/>
      <w:bookmarkStart w:id="18" w:name="_Toc224573025"/>
      <w:r>
        <w:lastRenderedPageBreak/>
        <w:t>Introduction</w:t>
      </w:r>
      <w:bookmarkEnd w:id="17"/>
      <w:bookmarkEnd w:id="18"/>
    </w:p>
    <w:p w14:paraId="5C53EF83" w14:textId="38A28946" w:rsidR="00EC5699" w:rsidRPr="001C32A8" w:rsidRDefault="00EC5699" w:rsidP="0018130B">
      <w:pPr>
        <w:pStyle w:val="Heading3"/>
      </w:pPr>
      <w:r w:rsidRPr="001C32A8">
        <w:t>King County Wastewater Treatment Division</w:t>
      </w:r>
    </w:p>
    <w:p w14:paraId="1B186D4D" w14:textId="3C35F738" w:rsidR="00EC5699" w:rsidRDefault="00EC5699" w:rsidP="0018790D">
      <w:pPr>
        <w:rPr>
          <w:shd w:val="clear" w:color="auto" w:fill="FFFFFF"/>
        </w:rPr>
      </w:pPr>
      <w:r>
        <w:rPr>
          <w:shd w:val="clear" w:color="auto" w:fill="FFFFFF"/>
        </w:rPr>
        <w:t xml:space="preserve">The Wastewater Treatment Division (WTD) of the </w:t>
      </w:r>
      <w:r w:rsidRPr="056E9825">
        <w:rPr>
          <w:shd w:val="clear" w:color="auto" w:fill="FFFFFF"/>
        </w:rPr>
        <w:t>Department of Natural Resources and Parks (DNRP)</w:t>
      </w:r>
      <w:r>
        <w:rPr>
          <w:shd w:val="clear" w:color="auto" w:fill="FFFFFF"/>
        </w:rPr>
        <w:t xml:space="preserve"> is a utility providing</w:t>
      </w:r>
      <w:r w:rsidRPr="056E9825">
        <w:rPr>
          <w:shd w:val="clear" w:color="auto" w:fill="FFFFFF"/>
        </w:rPr>
        <w:t xml:space="preserve"> wholesale wastewater treatment</w:t>
      </w:r>
      <w:r>
        <w:rPr>
          <w:shd w:val="clear" w:color="auto" w:fill="FFFFFF"/>
        </w:rPr>
        <w:t xml:space="preserve"> and major conveyance </w:t>
      </w:r>
      <w:r w:rsidRPr="005663DC">
        <w:rPr>
          <w:shd w:val="clear" w:color="auto" w:fill="FFFFFF"/>
        </w:rPr>
        <w:t>for 34 local sewer agencies (</w:t>
      </w:r>
      <w:r>
        <w:rPr>
          <w:shd w:val="clear" w:color="auto" w:fill="FFFFFF"/>
        </w:rPr>
        <w:t xml:space="preserve">18 </w:t>
      </w:r>
      <w:r w:rsidRPr="005663DC">
        <w:rPr>
          <w:shd w:val="clear" w:color="auto" w:fill="FFFFFF"/>
        </w:rPr>
        <w:t>cities</w:t>
      </w:r>
      <w:r>
        <w:rPr>
          <w:shd w:val="clear" w:color="auto" w:fill="FFFFFF"/>
        </w:rPr>
        <w:t>, 15 sewer</w:t>
      </w:r>
      <w:r w:rsidRPr="005663DC">
        <w:rPr>
          <w:shd w:val="clear" w:color="auto" w:fill="FFFFFF"/>
        </w:rPr>
        <w:t xml:space="preserve"> districts</w:t>
      </w:r>
      <w:r>
        <w:rPr>
          <w:shd w:val="clear" w:color="auto" w:fill="FFFFFF"/>
        </w:rPr>
        <w:t>, and the Muckleshoot Indian Tribe</w:t>
      </w:r>
      <w:r w:rsidRPr="005663DC">
        <w:rPr>
          <w:shd w:val="clear" w:color="auto" w:fill="FFFFFF"/>
        </w:rPr>
        <w:t>)</w:t>
      </w:r>
      <w:r w:rsidRPr="056E9825">
        <w:rPr>
          <w:shd w:val="clear" w:color="auto" w:fill="FFFFFF"/>
        </w:rPr>
        <w:t xml:space="preserve"> in the</w:t>
      </w:r>
      <w:r>
        <w:rPr>
          <w:shd w:val="clear" w:color="auto" w:fill="FFFFFF"/>
        </w:rPr>
        <w:t xml:space="preserve"> Puget Sound</w:t>
      </w:r>
      <w:r w:rsidRPr="056E9825">
        <w:rPr>
          <w:shd w:val="clear" w:color="auto" w:fill="FFFFFF"/>
        </w:rPr>
        <w:t xml:space="preserve"> region. Distributed over a 424-square-mile service area, the King County (County) sewer system </w:t>
      </w:r>
      <w:r w:rsidRPr="00FE3F6C">
        <w:rPr>
          <w:shd w:val="clear" w:color="auto" w:fill="FFFFFF"/>
        </w:rPr>
        <w:t xml:space="preserve">collects and treats an </w:t>
      </w:r>
      <w:r w:rsidRPr="00911036">
        <w:rPr>
          <w:shd w:val="clear" w:color="auto" w:fill="FFFFFF"/>
        </w:rPr>
        <w:t>average of 182 million gallons of sewage a day from approximately 2 million residents. WTD’s service area map can be fou</w:t>
      </w:r>
      <w:r>
        <w:rPr>
          <w:shd w:val="clear" w:color="auto" w:fill="FFFFFF"/>
        </w:rPr>
        <w:t xml:space="preserve">nd in </w:t>
      </w:r>
      <w:r w:rsidRPr="006C1029">
        <w:rPr>
          <w:shd w:val="clear" w:color="auto" w:fill="FFFFFF"/>
        </w:rPr>
        <w:fldChar w:fldCharType="begin"/>
      </w:r>
      <w:r w:rsidRPr="006C1029">
        <w:rPr>
          <w:shd w:val="clear" w:color="auto" w:fill="FFFFFF"/>
        </w:rPr>
        <w:instrText xml:space="preserve"> REF _Ref161292614 \h  \* MERGEFORMAT </w:instrText>
      </w:r>
      <w:r w:rsidRPr="006C1029">
        <w:rPr>
          <w:shd w:val="clear" w:color="auto" w:fill="FFFFFF"/>
        </w:rPr>
      </w:r>
      <w:r w:rsidRPr="006C1029">
        <w:rPr>
          <w:shd w:val="clear" w:color="auto" w:fill="FFFFFF"/>
        </w:rPr>
        <w:fldChar w:fldCharType="separate"/>
      </w:r>
      <w:r w:rsidRPr="006C1029">
        <w:t>Figure 4</w:t>
      </w:r>
      <w:r w:rsidRPr="006C1029">
        <w:rPr>
          <w:shd w:val="clear" w:color="auto" w:fill="FFFFFF"/>
        </w:rPr>
        <w:fldChar w:fldCharType="end"/>
      </w:r>
      <w:r>
        <w:rPr>
          <w:shd w:val="clear" w:color="auto" w:fill="FFFFFF"/>
        </w:rPr>
        <w:t>.</w:t>
      </w:r>
    </w:p>
    <w:p w14:paraId="1325EE5B" w14:textId="099C063C" w:rsidR="00EC5699" w:rsidRDefault="00EC5699" w:rsidP="0018790D">
      <w:pPr>
        <w:rPr>
          <w:color w:val="23221F"/>
          <w:shd w:val="clear" w:color="auto" w:fill="FFFFFF"/>
        </w:rPr>
      </w:pPr>
      <w:r w:rsidRPr="29D96385">
        <w:t>WTD</w:t>
      </w:r>
      <w:r w:rsidRPr="400A862F">
        <w:rPr>
          <w:shd w:val="clear" w:color="auto" w:fill="FFFFFF"/>
        </w:rPr>
        <w:t xml:space="preserve"> is responsible for the construction, operation, and maintenance of the County’s regional wastewater conveyance and treatment system</w:t>
      </w:r>
      <w:r>
        <w:rPr>
          <w:rStyle w:val="CommentReference"/>
        </w:rPr>
        <w:t xml:space="preserve">. </w:t>
      </w:r>
      <w:r>
        <w:rPr>
          <w:shd w:val="clear" w:color="auto" w:fill="FFFFFF"/>
        </w:rPr>
        <w:t>The system</w:t>
      </w:r>
      <w:r w:rsidRPr="400A862F" w:rsidDel="004B401F">
        <w:rPr>
          <w:shd w:val="clear" w:color="auto" w:fill="FFFFFF"/>
        </w:rPr>
        <w:t xml:space="preserve"> </w:t>
      </w:r>
      <w:r w:rsidRPr="400A862F">
        <w:rPr>
          <w:shd w:val="clear" w:color="auto" w:fill="FFFFFF"/>
        </w:rPr>
        <w:t xml:space="preserve">includes three </w:t>
      </w:r>
      <w:r>
        <w:rPr>
          <w:shd w:val="clear" w:color="auto" w:fill="FFFFFF"/>
        </w:rPr>
        <w:t>regional</w:t>
      </w:r>
      <w:r w:rsidRPr="400A862F">
        <w:rPr>
          <w:shd w:val="clear" w:color="auto" w:fill="FFFFFF"/>
        </w:rPr>
        <w:t xml:space="preserve"> secondary treatment</w:t>
      </w:r>
      <w:r w:rsidRPr="400A862F" w:rsidDel="00915BA5">
        <w:rPr>
          <w:shd w:val="clear" w:color="auto" w:fill="FFFFFF"/>
        </w:rPr>
        <w:t xml:space="preserve"> </w:t>
      </w:r>
      <w:r w:rsidRPr="400A862F">
        <w:rPr>
          <w:shd w:val="clear" w:color="auto" w:fill="FFFFFF"/>
        </w:rPr>
        <w:t>plants (West Point in Seattle, South Plant in Renton, and Brightwater in southern Snohomish County)</w:t>
      </w:r>
      <w:r>
        <w:rPr>
          <w:shd w:val="clear" w:color="auto" w:fill="FFFFFF"/>
        </w:rPr>
        <w:t>;</w:t>
      </w:r>
      <w:r w:rsidRPr="400A862F">
        <w:rPr>
          <w:shd w:val="clear" w:color="auto" w:fill="FFFFFF"/>
        </w:rPr>
        <w:t xml:space="preserve"> </w:t>
      </w:r>
      <w:r>
        <w:rPr>
          <w:shd w:val="clear" w:color="auto" w:fill="FFFFFF"/>
        </w:rPr>
        <w:t>400</w:t>
      </w:r>
      <w:r w:rsidRPr="400A862F">
        <w:rPr>
          <w:shd w:val="clear" w:color="auto" w:fill="FFFFFF"/>
        </w:rPr>
        <w:t xml:space="preserve"> miles of conveyance lines</w:t>
      </w:r>
      <w:r>
        <w:rPr>
          <w:shd w:val="clear" w:color="auto" w:fill="FFFFFF"/>
        </w:rPr>
        <w:t>;</w:t>
      </w:r>
      <w:r w:rsidRPr="400A862F">
        <w:rPr>
          <w:shd w:val="clear" w:color="auto" w:fill="FFFFFF"/>
        </w:rPr>
        <w:t xml:space="preserve"> 48 pump stations</w:t>
      </w:r>
      <w:r>
        <w:rPr>
          <w:shd w:val="clear" w:color="auto" w:fill="FFFFFF"/>
        </w:rPr>
        <w:t>;</w:t>
      </w:r>
      <w:r w:rsidRPr="400A862F">
        <w:rPr>
          <w:shd w:val="clear" w:color="auto" w:fill="FFFFFF"/>
        </w:rPr>
        <w:t xml:space="preserve"> and 2</w:t>
      </w:r>
      <w:r>
        <w:rPr>
          <w:shd w:val="clear" w:color="auto" w:fill="FFFFFF"/>
        </w:rPr>
        <w:t>6</w:t>
      </w:r>
      <w:r w:rsidRPr="400A862F">
        <w:rPr>
          <w:shd w:val="clear" w:color="auto" w:fill="FFFFFF"/>
        </w:rPr>
        <w:t xml:space="preserve"> regulator stations.</w:t>
      </w:r>
      <w:r>
        <w:rPr>
          <w:rStyle w:val="EndnoteReference"/>
          <w:shd w:val="clear" w:color="auto" w:fill="FFFFFF"/>
        </w:rPr>
        <w:endnoteReference w:id="8"/>
      </w:r>
      <w:r w:rsidRPr="400A862F">
        <w:rPr>
          <w:shd w:val="clear" w:color="auto" w:fill="FFFFFF"/>
        </w:rPr>
        <w:t xml:space="preserve"> Other WTD facilities include f</w:t>
      </w:r>
      <w:r>
        <w:rPr>
          <w:shd w:val="clear" w:color="auto" w:fill="FFFFFF"/>
        </w:rPr>
        <w:t>ive</w:t>
      </w:r>
      <w:r w:rsidRPr="400A862F">
        <w:rPr>
          <w:shd w:val="clear" w:color="auto" w:fill="FFFFFF"/>
        </w:rPr>
        <w:t xml:space="preserve"> combined sewer overflow (CSO) treatment plants, four CSO storage facilities, 39 CSO outfall locations, </w:t>
      </w:r>
      <w:r>
        <w:rPr>
          <w:shd w:val="clear" w:color="auto" w:fill="FFFFFF"/>
        </w:rPr>
        <w:t xml:space="preserve">two </w:t>
      </w:r>
      <w:r w:rsidRPr="400A862F">
        <w:rPr>
          <w:shd w:val="clear" w:color="auto" w:fill="FFFFFF"/>
        </w:rPr>
        <w:t>secondary</w:t>
      </w:r>
      <w:r>
        <w:rPr>
          <w:shd w:val="clear" w:color="auto" w:fill="FFFFFF"/>
        </w:rPr>
        <w:t xml:space="preserve"> community-scale</w:t>
      </w:r>
      <w:r w:rsidRPr="400A862F">
        <w:rPr>
          <w:shd w:val="clear" w:color="auto" w:fill="FFFFFF"/>
        </w:rPr>
        <w:t xml:space="preserve"> treatment plants </w:t>
      </w:r>
      <w:r>
        <w:rPr>
          <w:shd w:val="clear" w:color="auto" w:fill="FFFFFF"/>
        </w:rPr>
        <w:t>(</w:t>
      </w:r>
      <w:r w:rsidRPr="400A862F">
        <w:rPr>
          <w:shd w:val="clear" w:color="auto" w:fill="FFFFFF"/>
        </w:rPr>
        <w:t>Vashon Island and Carnation</w:t>
      </w:r>
      <w:r>
        <w:rPr>
          <w:shd w:val="clear" w:color="auto" w:fill="FFFFFF"/>
        </w:rPr>
        <w:t xml:space="preserve">), and </w:t>
      </w:r>
      <w:r w:rsidRPr="7AC3F794">
        <w:rPr>
          <w:shd w:val="clear" w:color="auto" w:fill="FFFFFF"/>
        </w:rPr>
        <w:t>one community septic system on Vashon Island</w:t>
      </w:r>
      <w:r w:rsidRPr="400A862F">
        <w:rPr>
          <w:shd w:val="clear" w:color="auto" w:fill="FFFFFF"/>
        </w:rPr>
        <w:t>.</w:t>
      </w:r>
      <w:r>
        <w:rPr>
          <w:rStyle w:val="EndnoteReference"/>
          <w:shd w:val="clear" w:color="auto" w:fill="FFFFFF"/>
        </w:rPr>
        <w:endnoteReference w:id="9"/>
      </w:r>
      <w:r w:rsidRPr="39CD9D2F">
        <w:rPr>
          <w:rStyle w:val="EndnoteReference"/>
        </w:rPr>
        <w:t xml:space="preserve"> </w:t>
      </w:r>
    </w:p>
    <w:p w14:paraId="3135C232" w14:textId="3CC5F64B" w:rsidR="00EC5699" w:rsidRPr="008C35F0" w:rsidRDefault="00EC5699" w:rsidP="0018130B">
      <w:pPr>
        <w:pStyle w:val="Heading3"/>
        <w:rPr>
          <w:shd w:val="clear" w:color="auto" w:fill="FFFFFF"/>
        </w:rPr>
      </w:pPr>
      <w:r w:rsidRPr="008C35F0">
        <w:rPr>
          <w:shd w:val="clear" w:color="auto" w:fill="FFFFFF"/>
        </w:rPr>
        <w:t>Local Sewer Agencies</w:t>
      </w:r>
    </w:p>
    <w:p w14:paraId="7667C749" w14:textId="24B5EA6A" w:rsidR="00EC5699" w:rsidRPr="007439D2" w:rsidRDefault="00EC5699" w:rsidP="0018130B">
      <w:pPr>
        <w:rPr>
          <w:shd w:val="clear" w:color="auto" w:fill="FFFFFF"/>
        </w:rPr>
      </w:pPr>
      <w:r>
        <w:rPr>
          <w:shd w:val="clear" w:color="auto" w:fill="FFFFFF"/>
        </w:rPr>
        <w:t xml:space="preserve">WTD’s service area is comprised of </w:t>
      </w:r>
      <w:r w:rsidRPr="00E91EE6">
        <w:rPr>
          <w:shd w:val="clear" w:color="auto" w:fill="FFFFFF"/>
        </w:rPr>
        <w:t>Local Sewer Agencies (LSAs)</w:t>
      </w:r>
      <w:r>
        <w:rPr>
          <w:shd w:val="clear" w:color="auto" w:fill="FFFFFF"/>
        </w:rPr>
        <w:t>,</w:t>
      </w:r>
      <w:r w:rsidRPr="00E91EE6">
        <w:rPr>
          <w:shd w:val="clear" w:color="auto" w:fill="FFFFFF"/>
        </w:rPr>
        <w:t xml:space="preserve"> </w:t>
      </w:r>
      <w:r>
        <w:rPr>
          <w:shd w:val="clear" w:color="auto" w:fill="FFFFFF"/>
        </w:rPr>
        <w:t>which</w:t>
      </w:r>
      <w:r w:rsidRPr="00E91EE6">
        <w:rPr>
          <w:shd w:val="clear" w:color="auto" w:fill="FFFFFF"/>
        </w:rPr>
        <w:t xml:space="preserve"> include 18 cities and 15 sewer districts in King County, south</w:t>
      </w:r>
      <w:r w:rsidRPr="00309CDF">
        <w:rPr>
          <w:shd w:val="clear" w:color="auto" w:fill="FFFFFF"/>
        </w:rPr>
        <w:t>ern</w:t>
      </w:r>
      <w:r w:rsidRPr="00E91EE6">
        <w:rPr>
          <w:shd w:val="clear" w:color="auto" w:fill="FFFFFF"/>
        </w:rPr>
        <w:t xml:space="preserve"> Snohomish County, north</w:t>
      </w:r>
      <w:r w:rsidRPr="00309CDF">
        <w:rPr>
          <w:shd w:val="clear" w:color="auto" w:fill="FFFFFF"/>
        </w:rPr>
        <w:t xml:space="preserve">ern Pierce County, and the Muckleshoot </w:t>
      </w:r>
      <w:r>
        <w:rPr>
          <w:shd w:val="clear" w:color="auto" w:fill="FFFFFF"/>
        </w:rPr>
        <w:t xml:space="preserve">Indian </w:t>
      </w:r>
      <w:r w:rsidRPr="00309CDF">
        <w:rPr>
          <w:shd w:val="clear" w:color="auto" w:fill="FFFFFF"/>
        </w:rPr>
        <w:t xml:space="preserve">Tribe. </w:t>
      </w:r>
    </w:p>
    <w:p w14:paraId="06553488" w14:textId="628A5528" w:rsidR="00EC5699" w:rsidRPr="00E91EE6" w:rsidRDefault="00EC5699" w:rsidP="0018130B">
      <w:pPr>
        <w:rPr>
          <w:shd w:val="clear" w:color="auto" w:fill="FFFFFF"/>
        </w:rPr>
      </w:pPr>
      <w:r w:rsidRPr="00E91EE6">
        <w:t>LSAs</w:t>
      </w:r>
      <w:r>
        <w:t xml:space="preserve"> contract directly with WTD for wholesale wastewater treatment services.</w:t>
      </w:r>
      <w:r w:rsidRPr="5EC62DB7">
        <w:t xml:space="preserve"> </w:t>
      </w:r>
      <w:r w:rsidRPr="00E91EE6">
        <w:t xml:space="preserve">WTD does not have a direct relationship with individual </w:t>
      </w:r>
      <w:r>
        <w:t xml:space="preserve">sewer </w:t>
      </w:r>
      <w:r w:rsidRPr="00E91EE6">
        <w:t>ratepayers</w:t>
      </w:r>
      <w:r>
        <w:t>, except for Capacity Charge, High-Strength</w:t>
      </w:r>
      <w:r w:rsidRPr="2BB041A9">
        <w:t xml:space="preserve"> Surcharge</w:t>
      </w:r>
      <w:r>
        <w:t>, and Industrial Waste customers</w:t>
      </w:r>
      <w:r w:rsidRPr="00E91EE6">
        <w:t>.</w:t>
      </w:r>
      <w:r>
        <w:rPr>
          <w:rStyle w:val="EndnoteReference"/>
        </w:rPr>
        <w:endnoteReference w:id="10"/>
      </w:r>
      <w:r w:rsidRPr="00D10D8D">
        <w:rPr>
          <w:vertAlign w:val="superscript"/>
        </w:rPr>
        <w:t>,</w:t>
      </w:r>
      <w:r>
        <w:rPr>
          <w:vertAlign w:val="superscript"/>
        </w:rPr>
        <w:t xml:space="preserve"> </w:t>
      </w:r>
      <w:r>
        <w:rPr>
          <w:rStyle w:val="EndnoteReference"/>
        </w:rPr>
        <w:endnoteReference w:id="11"/>
      </w:r>
      <w:r w:rsidRPr="00E91EE6">
        <w:t xml:space="preserve"> Engagement with the LSAs is accomplished through the </w:t>
      </w:r>
      <w:r>
        <w:t>MWPAAC and the Regional Water Quality Committee (</w:t>
      </w:r>
      <w:r w:rsidRPr="00309CDF">
        <w:rPr>
          <w:shd w:val="clear" w:color="auto" w:fill="FFFFFF"/>
        </w:rPr>
        <w:t xml:space="preserve">RWQC). The sewage disposal contracts with the LSAs specify that the following year’s sewer rate must be </w:t>
      </w:r>
      <w:r w:rsidRPr="48706817">
        <w:rPr>
          <w:shd w:val="clear" w:color="auto" w:fill="FFFFFF"/>
        </w:rPr>
        <w:t>determined</w:t>
      </w:r>
      <w:r w:rsidRPr="00309CDF">
        <w:rPr>
          <w:shd w:val="clear" w:color="auto" w:fill="FFFFFF"/>
        </w:rPr>
        <w:t xml:space="preserve"> before July 1</w:t>
      </w:r>
      <w:r w:rsidRPr="48706817">
        <w:rPr>
          <w:vertAlign w:val="superscript"/>
        </w:rPr>
        <w:t xml:space="preserve"> </w:t>
      </w:r>
      <w:r>
        <w:t>of the current year. This provides time for the LSAs to include the WTD rate in preparing budgets and proposing local sewer collection rates for the following year.</w:t>
      </w:r>
    </w:p>
    <w:p w14:paraId="0DCD065F" w14:textId="57AA0EE2" w:rsidR="00EC5699" w:rsidRPr="00DC5AC5" w:rsidRDefault="00EC5699" w:rsidP="0018130B">
      <w:pPr>
        <w:rPr>
          <w:shd w:val="clear" w:color="auto" w:fill="FFFFFF"/>
        </w:rPr>
      </w:pPr>
      <w:r w:rsidRPr="5EC62DB7">
        <w:rPr>
          <w:shd w:val="clear" w:color="auto" w:fill="FFFFFF"/>
        </w:rPr>
        <w:t xml:space="preserve">The LSA contracts define two customer classes for billing the </w:t>
      </w:r>
      <w:r w:rsidRPr="49D7EF4A">
        <w:t>sewer rate</w:t>
      </w:r>
      <w:r w:rsidRPr="5EC62DB7">
        <w:rPr>
          <w:shd w:val="clear" w:color="auto" w:fill="FFFFFF"/>
        </w:rPr>
        <w:t xml:space="preserve">: single-family residential (SFR) and </w:t>
      </w:r>
      <w:r w:rsidRPr="005663DC">
        <w:rPr>
          <w:shd w:val="clear" w:color="auto" w:fill="FFFFFF"/>
        </w:rPr>
        <w:t>flow-based</w:t>
      </w:r>
      <w:r>
        <w:rPr>
          <w:shd w:val="clear" w:color="auto" w:fill="FFFFFF"/>
        </w:rPr>
        <w:t xml:space="preserve"> </w:t>
      </w:r>
      <w:r w:rsidRPr="5EC62DB7">
        <w:rPr>
          <w:shd w:val="clear" w:color="auto" w:fill="FFFFFF"/>
        </w:rPr>
        <w:t>residential customer equivalents (RCEs</w:t>
      </w:r>
      <w:r w:rsidRPr="2AC4773B">
        <w:rPr>
          <w:shd w:val="clear" w:color="auto" w:fill="FFFFFF"/>
        </w:rPr>
        <w:t>)</w:t>
      </w:r>
      <w:r>
        <w:rPr>
          <w:shd w:val="clear" w:color="auto" w:fill="FFFFFF"/>
        </w:rPr>
        <w:t>.</w:t>
      </w:r>
      <w:r w:rsidRPr="5EC62DB7">
        <w:rPr>
          <w:shd w:val="clear" w:color="auto" w:fill="FFFFFF"/>
        </w:rPr>
        <w:t xml:space="preserve"> </w:t>
      </w:r>
      <w:r w:rsidRPr="005663DC">
        <w:rPr>
          <w:shd w:val="clear" w:color="auto" w:fill="FFFFFF"/>
        </w:rPr>
        <w:t>Flow-based</w:t>
      </w:r>
      <w:r>
        <w:rPr>
          <w:shd w:val="clear" w:color="auto" w:fill="FFFFFF"/>
        </w:rPr>
        <w:t xml:space="preserve"> </w:t>
      </w:r>
      <w:r w:rsidRPr="5EC62DB7">
        <w:rPr>
          <w:shd w:val="clear" w:color="auto" w:fill="FFFFFF"/>
        </w:rPr>
        <w:t>RCEs include all other customer</w:t>
      </w:r>
      <w:r>
        <w:rPr>
          <w:shd w:val="clear" w:color="auto" w:fill="FFFFFF"/>
        </w:rPr>
        <w:t xml:space="preserve"> classes</w:t>
      </w:r>
      <w:r w:rsidRPr="5EC62DB7" w:rsidDel="00171B3F">
        <w:rPr>
          <w:shd w:val="clear" w:color="auto" w:fill="FFFFFF"/>
        </w:rPr>
        <w:t xml:space="preserve"> </w:t>
      </w:r>
      <w:r w:rsidRPr="7A6968C8">
        <w:rPr>
          <w:shd w:val="clear" w:color="auto" w:fill="FFFFFF"/>
        </w:rPr>
        <w:t>(</w:t>
      </w:r>
      <w:r w:rsidRPr="00E91EE6">
        <w:rPr>
          <w:shd w:val="clear" w:color="auto" w:fill="FFFFFF"/>
        </w:rPr>
        <w:t xml:space="preserve">commercial, </w:t>
      </w:r>
      <w:r w:rsidRPr="005663DC">
        <w:rPr>
          <w:shd w:val="clear" w:color="auto" w:fill="FFFFFF"/>
        </w:rPr>
        <w:t>multifamily</w:t>
      </w:r>
      <w:r w:rsidRPr="00E91EE6">
        <w:rPr>
          <w:shd w:val="clear" w:color="auto" w:fill="FFFFFF"/>
        </w:rPr>
        <w:t>, and industrial</w:t>
      </w:r>
      <w:r w:rsidRPr="1C640DE6">
        <w:t>),</w:t>
      </w:r>
      <w:r>
        <w:t xml:space="preserve"> and one </w:t>
      </w:r>
      <w:r w:rsidRPr="005663DC">
        <w:t>flow-based</w:t>
      </w:r>
      <w:r>
        <w:t xml:space="preserve"> RCE is equivalent to one SFR</w:t>
      </w:r>
      <w:r w:rsidRPr="00E91EE6">
        <w:rPr>
          <w:shd w:val="clear" w:color="auto" w:fill="FFFFFF"/>
        </w:rPr>
        <w:t>.</w:t>
      </w:r>
      <w:r>
        <w:t xml:space="preserve"> </w:t>
      </w:r>
      <w:r w:rsidRPr="005663DC">
        <w:rPr>
          <w:shd w:val="clear" w:color="auto" w:fill="FFFFFF"/>
        </w:rPr>
        <w:t>The service contracts specify that each flow-based RCE equals 750 cubic feet per month of water usage.</w:t>
      </w:r>
      <w:r w:rsidRPr="00E91EE6">
        <w:rPr>
          <w:shd w:val="clear" w:color="auto" w:fill="FFFFFF"/>
        </w:rPr>
        <w:t xml:space="preserve"> </w:t>
      </w:r>
      <w:r>
        <w:rPr>
          <w:shd w:val="clear" w:color="auto" w:fill="FFFFFF"/>
        </w:rPr>
        <w:t xml:space="preserve">In addition to sewer fees, </w:t>
      </w:r>
      <w:r w:rsidRPr="7722856D">
        <w:rPr>
          <w:shd w:val="clear" w:color="auto" w:fill="FFFFFF"/>
        </w:rPr>
        <w:t xml:space="preserve">LSAs </w:t>
      </w:r>
      <w:r>
        <w:rPr>
          <w:shd w:val="clear" w:color="auto" w:fill="FFFFFF"/>
        </w:rPr>
        <w:t xml:space="preserve">are </w:t>
      </w:r>
      <w:r w:rsidRPr="005663DC">
        <w:rPr>
          <w:shd w:val="clear" w:color="auto" w:fill="FFFFFF"/>
        </w:rPr>
        <w:t>invoiced</w:t>
      </w:r>
      <w:r>
        <w:rPr>
          <w:shd w:val="clear" w:color="auto" w:fill="FFFFFF"/>
        </w:rPr>
        <w:t xml:space="preserve"> for their customers’ </w:t>
      </w:r>
      <w:r w:rsidRPr="7722856D">
        <w:rPr>
          <w:shd w:val="clear" w:color="auto" w:fill="FFFFFF"/>
        </w:rPr>
        <w:t>high</w:t>
      </w:r>
      <w:r w:rsidRPr="0C5FB3AB">
        <w:rPr>
          <w:shd w:val="clear" w:color="auto" w:fill="FFFFFF"/>
        </w:rPr>
        <w:t>-</w:t>
      </w:r>
      <w:r w:rsidRPr="00AF6DD9">
        <w:rPr>
          <w:shd w:val="clear" w:color="auto" w:fill="FFFFFF"/>
        </w:rPr>
        <w:t>strength</w:t>
      </w:r>
      <w:r w:rsidRPr="00E91EE6" w:rsidDel="008E701D">
        <w:t xml:space="preserve"> </w:t>
      </w:r>
      <w:r w:rsidRPr="00E91EE6">
        <w:t>surcharge</w:t>
      </w:r>
      <w:r w:rsidRPr="7722856D" w:rsidDel="00D77CC4">
        <w:t xml:space="preserve"> </w:t>
      </w:r>
      <w:r w:rsidRPr="1C640DE6">
        <w:t>and industrial waste compliance and</w:t>
      </w:r>
      <w:r>
        <w:t xml:space="preserve"> </w:t>
      </w:r>
      <w:r w:rsidRPr="005663DC">
        <w:t>monitoring</w:t>
      </w:r>
      <w:r w:rsidRPr="1C640DE6">
        <w:t xml:space="preserve"> fees</w:t>
      </w:r>
      <w:r w:rsidRPr="00E91EE6">
        <w:rPr>
          <w:shd w:val="clear" w:color="auto" w:fill="FFFFFF"/>
        </w:rPr>
        <w:t>.</w:t>
      </w:r>
      <w:r>
        <w:rPr>
          <w:rStyle w:val="EndnoteReference"/>
        </w:rPr>
        <w:endnoteReference w:id="12"/>
      </w:r>
      <w:r>
        <w:rPr>
          <w:shd w:val="clear" w:color="auto" w:fill="FFFFFF"/>
        </w:rPr>
        <w:t xml:space="preserve"> </w:t>
      </w:r>
      <w:r w:rsidRPr="005663DC">
        <w:rPr>
          <w:shd w:val="clear" w:color="auto" w:fill="FFFFFF"/>
        </w:rPr>
        <w:t>To compensate for seasonal variation in water use, the service contracts provide for a quarterly rolling average to convert reported water use to billed RCEs.</w:t>
      </w:r>
      <w:r>
        <w:rPr>
          <w:shd w:val="clear" w:color="auto" w:fill="FFFFFF"/>
        </w:rPr>
        <w:t xml:space="preserve"> </w:t>
      </w:r>
      <w:r w:rsidRPr="00E91EE6">
        <w:rPr>
          <w:shd w:val="clear" w:color="auto" w:fill="FFFFFF"/>
        </w:rPr>
        <w:t xml:space="preserve">A list of the LSAs and their </w:t>
      </w:r>
      <w:r>
        <w:rPr>
          <w:shd w:val="clear" w:color="auto" w:fill="FFFFFF"/>
        </w:rPr>
        <w:t>average</w:t>
      </w:r>
      <w:r w:rsidRPr="00E91EE6">
        <w:rPr>
          <w:shd w:val="clear" w:color="auto" w:fill="FFFFFF"/>
        </w:rPr>
        <w:t xml:space="preserve"> </w:t>
      </w:r>
      <w:r w:rsidRPr="005663DC">
        <w:rPr>
          <w:shd w:val="clear" w:color="auto" w:fill="FFFFFF"/>
        </w:rPr>
        <w:t>202</w:t>
      </w:r>
      <w:r>
        <w:rPr>
          <w:shd w:val="clear" w:color="auto" w:fill="FFFFFF"/>
        </w:rPr>
        <w:t>5</w:t>
      </w:r>
      <w:r w:rsidRPr="00E91EE6">
        <w:rPr>
          <w:shd w:val="clear" w:color="auto" w:fill="FFFFFF"/>
        </w:rPr>
        <w:t xml:space="preserve"> reported RCEs </w:t>
      </w:r>
      <w:r w:rsidRPr="00DC5AC5">
        <w:rPr>
          <w:shd w:val="clear" w:color="auto" w:fill="FFFFFF"/>
        </w:rPr>
        <w:t>is provide</w:t>
      </w:r>
      <w:r>
        <w:rPr>
          <w:shd w:val="clear" w:color="auto" w:fill="FFFFFF"/>
        </w:rPr>
        <w:t xml:space="preserve">d in </w:t>
      </w:r>
      <w:r w:rsidRPr="006C1029">
        <w:rPr>
          <w:shd w:val="clear" w:color="auto" w:fill="FFFFFF"/>
        </w:rPr>
        <w:fldChar w:fldCharType="begin"/>
      </w:r>
      <w:r w:rsidRPr="006C1029">
        <w:rPr>
          <w:shd w:val="clear" w:color="auto" w:fill="FFFFFF"/>
        </w:rPr>
        <w:instrText xml:space="preserve"> REF _Ref161292654 \h  \* MERGEFORMAT </w:instrText>
      </w:r>
      <w:r w:rsidRPr="006C1029">
        <w:rPr>
          <w:shd w:val="clear" w:color="auto" w:fill="FFFFFF"/>
        </w:rPr>
      </w:r>
      <w:r w:rsidRPr="006C1029">
        <w:rPr>
          <w:shd w:val="clear" w:color="auto" w:fill="FFFFFF"/>
        </w:rPr>
        <w:fldChar w:fldCharType="separate"/>
      </w:r>
      <w:r w:rsidRPr="006C1029">
        <w:t>Figure 5</w:t>
      </w:r>
      <w:r w:rsidRPr="006C1029">
        <w:rPr>
          <w:shd w:val="clear" w:color="auto" w:fill="FFFFFF"/>
        </w:rPr>
        <w:fldChar w:fldCharType="end"/>
      </w:r>
      <w:r w:rsidRPr="00DC5AC5">
        <w:rPr>
          <w:shd w:val="clear" w:color="auto" w:fill="FFFFFF"/>
        </w:rPr>
        <w:t>.</w:t>
      </w:r>
    </w:p>
    <w:p w14:paraId="0D7A3080" w14:textId="77777777" w:rsidR="00EC5699" w:rsidRPr="008C35F0" w:rsidRDefault="00EC5699" w:rsidP="0018130B">
      <w:pPr>
        <w:pStyle w:val="Heading3"/>
      </w:pPr>
      <w:r w:rsidRPr="6F605BEE">
        <w:t>Financial Forecast</w:t>
      </w:r>
    </w:p>
    <w:p w14:paraId="19CD96AF" w14:textId="52FA8E49" w:rsidR="00EC5699" w:rsidRDefault="00EC5699" w:rsidP="00541BD4">
      <w:r w:rsidRPr="6F605BEE">
        <w:t>Utilit</w:t>
      </w:r>
      <w:r>
        <w:t xml:space="preserve">ies such as WTD are self-supporting enterprise funds </w:t>
      </w:r>
      <w:r w:rsidRPr="6F605BEE">
        <w:t>and, therefore, must set fees to recover the cost of providing services</w:t>
      </w:r>
      <w:r>
        <w:t>.</w:t>
      </w:r>
      <w:r>
        <w:rPr>
          <w:rStyle w:val="EndnoteReference"/>
        </w:rPr>
        <w:endnoteReference w:id="13"/>
      </w:r>
      <w:r w:rsidRPr="6F605BEE">
        <w:t xml:space="preserve"> Utility costs include operations, maintenance, debt service, and building new </w:t>
      </w:r>
      <w:r>
        <w:t xml:space="preserve">capital </w:t>
      </w:r>
      <w:r w:rsidRPr="6F605BEE">
        <w:t xml:space="preserve">infrastructure. </w:t>
      </w:r>
      <w:r>
        <w:t xml:space="preserve">Utilities must also account for cash requirements from financial policies, such as funding reserves and how capital projects are </w:t>
      </w:r>
      <w:r w:rsidRPr="005663DC">
        <w:t>funded</w:t>
      </w:r>
      <w:r>
        <w:t xml:space="preserve">. </w:t>
      </w:r>
      <w:r w:rsidRPr="6F605BEE">
        <w:t xml:space="preserve">The total </w:t>
      </w:r>
      <w:r>
        <w:t>revenue</w:t>
      </w:r>
      <w:r w:rsidRPr="6F605BEE">
        <w:t xml:space="preserve"> that must be generated by </w:t>
      </w:r>
      <w:r>
        <w:t xml:space="preserve">a </w:t>
      </w:r>
      <w:r w:rsidRPr="6F605BEE">
        <w:t>utility</w:t>
      </w:r>
      <w:r>
        <w:t>,</w:t>
      </w:r>
      <w:r w:rsidRPr="6F605BEE">
        <w:t xml:space="preserve"> </w:t>
      </w:r>
      <w:r>
        <w:t>i</w:t>
      </w:r>
      <w:r w:rsidRPr="6F605BEE">
        <w:t>n any given year</w:t>
      </w:r>
      <w:r>
        <w:t>,</w:t>
      </w:r>
      <w:r w:rsidRPr="6F605BEE">
        <w:t xml:space="preserve"> </w:t>
      </w:r>
      <w:r>
        <w:t>to cover costs</w:t>
      </w:r>
      <w:r w:rsidRPr="6F605BEE">
        <w:t xml:space="preserve"> </w:t>
      </w:r>
      <w:r>
        <w:t>and meet financial policies is referred to as</w:t>
      </w:r>
      <w:r w:rsidRPr="6F605BEE">
        <w:t xml:space="preserve"> a utility’s revenue requirement.</w:t>
      </w:r>
    </w:p>
    <w:p w14:paraId="7F1A6E45" w14:textId="0C1A9380" w:rsidR="00EC5699" w:rsidRDefault="00EC5699" w:rsidP="00541BD4">
      <w:pPr>
        <w:rPr>
          <w:rStyle w:val="Strong"/>
          <w:u w:val="single"/>
        </w:rPr>
      </w:pPr>
      <w:r>
        <w:t>WTD’s sewer rate and capacity charge are adopted annually and include development of a longer-term financial forecast. Initiated in response to Council Motion 16449, the rate forecast now extends to 20 years, instead of the previous 10. The proposed 2027 sewer rate and capacity charge are prepared in the context of the utility’s revenue requirements over the 20-year financial forecast. This document will cover each element of the financial forecast (Operating Expenditures, Capital Expenditures, Reserves Management, and Revenue).</w:t>
      </w:r>
    </w:p>
    <w:p w14:paraId="4325DBA0" w14:textId="28CA3D5D" w:rsidR="00EC5699" w:rsidRPr="00CE0E95" w:rsidRDefault="00EC5699" w:rsidP="00F6080F">
      <w:pPr>
        <w:pStyle w:val="Caption"/>
      </w:pPr>
      <w:bookmarkStart w:id="19" w:name="_Ref161292614"/>
      <w:bookmarkStart w:id="20" w:name="_Ref128583615"/>
      <w:bookmarkStart w:id="21" w:name="_Toc129353061"/>
      <w:bookmarkStart w:id="22" w:name="_Toc226970642"/>
      <w:r>
        <w:lastRenderedPageBreak/>
        <w:t xml:space="preserve">Figure </w:t>
      </w:r>
      <w:r>
        <w:fldChar w:fldCharType="begin"/>
      </w:r>
      <w:r>
        <w:instrText xml:space="preserve"> SEQ Figure \* ARABIC </w:instrText>
      </w:r>
      <w:r>
        <w:fldChar w:fldCharType="separate"/>
      </w:r>
      <w:r>
        <w:rPr>
          <w:noProof/>
        </w:rPr>
        <w:t>4</w:t>
      </w:r>
      <w:r>
        <w:fldChar w:fldCharType="end"/>
      </w:r>
      <w:bookmarkEnd w:id="19"/>
      <w:bookmarkEnd w:id="20"/>
      <w:bookmarkEnd w:id="21"/>
      <w:r>
        <w:t xml:space="preserve"> </w:t>
      </w:r>
      <w:r w:rsidRPr="00F6080F">
        <w:t>System Map</w:t>
      </w:r>
      <w:bookmarkEnd w:id="22"/>
    </w:p>
    <w:p w14:paraId="1E676165" w14:textId="77777777" w:rsidR="00EC5699" w:rsidRPr="00CA423A" w:rsidRDefault="00EC5699" w:rsidP="0018130B">
      <w:pPr>
        <w:jc w:val="center"/>
        <w:rPr>
          <w:rFonts w:cstheme="minorHAnsi"/>
          <w:color w:val="23221F"/>
          <w:shd w:val="clear" w:color="auto" w:fill="FFFFFF"/>
        </w:rPr>
      </w:pPr>
      <w:r>
        <w:rPr>
          <w:noProof/>
        </w:rPr>
        <w:drawing>
          <wp:inline distT="0" distB="0" distL="0" distR="0" wp14:anchorId="5A62A044" wp14:editId="0F70DF75">
            <wp:extent cx="4614729" cy="7243008"/>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14729" cy="7243008"/>
                    </a:xfrm>
                    <a:prstGeom prst="rect">
                      <a:avLst/>
                    </a:prstGeom>
                    <a:noFill/>
                    <a:ln>
                      <a:noFill/>
                    </a:ln>
                  </pic:spPr>
                </pic:pic>
              </a:graphicData>
            </a:graphic>
          </wp:inline>
        </w:drawing>
      </w:r>
    </w:p>
    <w:p w14:paraId="7F10121D" w14:textId="68F413AC" w:rsidR="00EC5699" w:rsidRPr="00CE0E95" w:rsidRDefault="00EC5699" w:rsidP="00611812">
      <w:pPr>
        <w:pStyle w:val="Caption"/>
        <w:rPr>
          <w:rStyle w:val="Strong"/>
          <w:b/>
          <w:bCs w:val="0"/>
        </w:rPr>
      </w:pPr>
      <w:bookmarkStart w:id="23" w:name="_Ref161292654"/>
      <w:bookmarkStart w:id="24" w:name="_Ref128473437"/>
      <w:bookmarkStart w:id="25" w:name="_Toc129353062"/>
      <w:bookmarkStart w:id="26" w:name="_Toc226970643"/>
      <w:r>
        <w:lastRenderedPageBreak/>
        <w:t xml:space="preserve">Figure </w:t>
      </w:r>
      <w:r>
        <w:fldChar w:fldCharType="begin"/>
      </w:r>
      <w:r>
        <w:instrText xml:space="preserve"> SEQ Figure \* ARABIC </w:instrText>
      </w:r>
      <w:r>
        <w:fldChar w:fldCharType="separate"/>
      </w:r>
      <w:r w:rsidRPr="5F30696B">
        <w:rPr>
          <w:noProof/>
        </w:rPr>
        <w:t>5</w:t>
      </w:r>
      <w:r>
        <w:fldChar w:fldCharType="end"/>
      </w:r>
      <w:bookmarkEnd w:id="23"/>
      <w:r>
        <w:t xml:space="preserve"> 2025 Average Reported Residential Capacity Equivalents by Local Sewer Agency</w:t>
      </w:r>
      <w:bookmarkEnd w:id="24"/>
      <w:bookmarkEnd w:id="25"/>
      <w:bookmarkEnd w:id="26"/>
    </w:p>
    <w:p w14:paraId="7BE0A31F" w14:textId="51E0DE78" w:rsidR="00EC5699" w:rsidRPr="00D335C4" w:rsidRDefault="00EC5699" w:rsidP="39CD9D2F">
      <w:pPr>
        <w:jc w:val="center"/>
        <w:rPr>
          <w:rFonts w:eastAsiaTheme="majorEastAsia"/>
        </w:rPr>
      </w:pPr>
      <w:r w:rsidRPr="39CD9D2F">
        <w:rPr>
          <w:rFonts w:eastAsiaTheme="majorEastAsia"/>
        </w:rPr>
        <w:t xml:space="preserve"> </w:t>
      </w:r>
      <w:r w:rsidR="007A5BE6">
        <w:rPr>
          <w:noProof/>
        </w:rPr>
        <w:drawing>
          <wp:inline distT="0" distB="0" distL="0" distR="0" wp14:anchorId="3AC37CDB" wp14:editId="7899C089">
            <wp:extent cx="6136640" cy="73152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36640" cy="7315200"/>
                    </a:xfrm>
                    <a:prstGeom prst="rect">
                      <a:avLst/>
                    </a:prstGeom>
                    <a:noFill/>
                    <a:ln>
                      <a:noFill/>
                    </a:ln>
                  </pic:spPr>
                </pic:pic>
              </a:graphicData>
            </a:graphic>
          </wp:inline>
        </w:drawing>
      </w:r>
    </w:p>
    <w:p w14:paraId="02BBD09B" w14:textId="096C5871" w:rsidR="00EC5699" w:rsidRPr="00D90BDE" w:rsidRDefault="00EC5699" w:rsidP="0018130B">
      <w:pPr>
        <w:pStyle w:val="Heading1"/>
      </w:pPr>
      <w:bookmarkStart w:id="27" w:name="_Toc129353032"/>
      <w:bookmarkStart w:id="28" w:name="_Toc224573026"/>
      <w:r w:rsidRPr="00D90BDE">
        <w:lastRenderedPageBreak/>
        <w:t>Operating Expenditures</w:t>
      </w:r>
      <w:bookmarkEnd w:id="27"/>
      <w:bookmarkEnd w:id="28"/>
    </w:p>
    <w:p w14:paraId="7A3E7AA2" w14:textId="0BA1A5AE" w:rsidR="00EC5699" w:rsidRDefault="00EC5699" w:rsidP="0018130B">
      <w:r>
        <w:t xml:space="preserve">WTD’s 2026 </w:t>
      </w:r>
      <w:r w:rsidRPr="002E4922">
        <w:t xml:space="preserve">operating budget </w:t>
      </w:r>
      <w:r>
        <w:t>is</w:t>
      </w:r>
      <w:r w:rsidRPr="002E4922">
        <w:t xml:space="preserve"> the basis </w:t>
      </w:r>
      <w:r>
        <w:t xml:space="preserve">for forecasting operating costs for </w:t>
      </w:r>
      <w:r w:rsidRPr="002E4922">
        <w:t>future years.</w:t>
      </w:r>
      <w:r w:rsidRPr="002F51BC">
        <w:rPr>
          <w:rFonts w:eastAsiaTheme="minorEastAsia" w:hAnsi="Calibri"/>
          <w:kern w:val="24"/>
        </w:rPr>
        <w:t xml:space="preserve"> </w:t>
      </w:r>
      <w:r w:rsidRPr="005663DC">
        <w:t>The</w:t>
      </w:r>
      <w:r w:rsidRPr="005663DC" w:rsidDel="008357F6">
        <w:t xml:space="preserve"> </w:t>
      </w:r>
      <w:r>
        <w:t>2026</w:t>
      </w:r>
      <w:r w:rsidRPr="005663DC">
        <w:t xml:space="preserve"> sewer rate and</w:t>
      </w:r>
      <w:r w:rsidRPr="006F5121">
        <w:t xml:space="preserve"> </w:t>
      </w:r>
      <w:r>
        <w:t>financial forecast</w:t>
      </w:r>
      <w:r w:rsidRPr="006F5121">
        <w:t xml:space="preserve"> </w:t>
      </w:r>
      <w:r>
        <w:t xml:space="preserve">included budgeted </w:t>
      </w:r>
      <w:r w:rsidRPr="006F5121">
        <w:t xml:space="preserve">operating expenditures </w:t>
      </w:r>
      <w:r w:rsidRPr="00B07936">
        <w:t xml:space="preserve">at </w:t>
      </w:r>
      <w:r w:rsidRPr="00D8443B">
        <w:t>$</w:t>
      </w:r>
      <w:r>
        <w:t>249 million.</w:t>
      </w:r>
    </w:p>
    <w:p w14:paraId="49F39F20" w14:textId="6CD4ED5E" w:rsidR="00EC5699" w:rsidRPr="006F5121" w:rsidRDefault="00EC5699" w:rsidP="0018130B">
      <w:pPr>
        <w:rPr>
          <w:b/>
        </w:rPr>
      </w:pPr>
      <w:r w:rsidRPr="006C1029">
        <w:fldChar w:fldCharType="begin"/>
      </w:r>
      <w:r w:rsidRPr="006C1029">
        <w:instrText xml:space="preserve"> REF _Ref161292683 \h  \* MERGEFORMAT </w:instrText>
      </w:r>
      <w:r w:rsidRPr="006C1029">
        <w:fldChar w:fldCharType="separate"/>
      </w:r>
      <w:r w:rsidRPr="006C1029">
        <w:t>Figure 6</w:t>
      </w:r>
      <w:r w:rsidRPr="006C1029">
        <w:fldChar w:fldCharType="end"/>
      </w:r>
      <w:r>
        <w:t xml:space="preserve"> </w:t>
      </w:r>
      <w:r w:rsidRPr="006F5121">
        <w:t xml:space="preserve">shows the </w:t>
      </w:r>
      <w:r>
        <w:t>2025</w:t>
      </w:r>
      <w:r w:rsidRPr="006F5121">
        <w:t xml:space="preserve"> </w:t>
      </w:r>
      <w:r>
        <w:t>preliminary actuals compared to the adopted budget,</w:t>
      </w:r>
      <w:r w:rsidRPr="006F5121">
        <w:t xml:space="preserve"> </w:t>
      </w:r>
      <w:r>
        <w:t xml:space="preserve">along with </w:t>
      </w:r>
      <w:r w:rsidRPr="1669E090">
        <w:t xml:space="preserve">the </w:t>
      </w:r>
      <w:r>
        <w:t>2025</w:t>
      </w:r>
      <w:r w:rsidRPr="006F5121">
        <w:t xml:space="preserve"> budget with percent</w:t>
      </w:r>
      <w:r w:rsidR="004D57B1">
        <w:t>age</w:t>
      </w:r>
      <w:r w:rsidRPr="006F5121">
        <w:t xml:space="preserve"> change</w:t>
      </w:r>
      <w:r>
        <w:t>,</w:t>
      </w:r>
      <w:r w:rsidRPr="006F5121">
        <w:t xml:space="preserve"> year over year.</w:t>
      </w:r>
      <w:r>
        <w:t xml:space="preserve"> Of note, the County typically budgets on a biennial schedule, while the sewer rate is based on annual requirements. An annualized version of the biennial appropriation is used in rate-setting. </w:t>
      </w:r>
    </w:p>
    <w:p w14:paraId="3F7666EB" w14:textId="46C973CD" w:rsidR="00EC5699" w:rsidRDefault="00EC5699" w:rsidP="3E87E352">
      <w:pPr>
        <w:rPr>
          <w:rFonts w:ascii="Calibri" w:eastAsia="Calibri" w:hAnsi="Calibri" w:cs="Calibri"/>
        </w:rPr>
      </w:pPr>
      <w:r w:rsidRPr="29F2B3F9">
        <w:rPr>
          <w:rFonts w:ascii="Calibri" w:eastAsia="Calibri" w:hAnsi="Calibri" w:cs="Calibri"/>
        </w:rPr>
        <w:t xml:space="preserve">The </w:t>
      </w:r>
      <w:r>
        <w:rPr>
          <w:rFonts w:ascii="Calibri" w:eastAsia="Calibri" w:hAnsi="Calibri" w:cs="Calibri"/>
        </w:rPr>
        <w:t>2025</w:t>
      </w:r>
      <w:r w:rsidRPr="29F2B3F9">
        <w:rPr>
          <w:rFonts w:ascii="Calibri" w:eastAsia="Calibri" w:hAnsi="Calibri" w:cs="Calibri"/>
        </w:rPr>
        <w:t xml:space="preserve"> operating expenses shown in</w:t>
      </w:r>
      <w:r w:rsidRPr="29F2B3F9">
        <w:rPr>
          <w:rFonts w:ascii="Calibri" w:eastAsia="Calibri" w:hAnsi="Calibri" w:cs="Calibri"/>
          <w:b/>
        </w:rPr>
        <w:t xml:space="preserve"> </w:t>
      </w:r>
      <w:r w:rsidRPr="006C1029">
        <w:rPr>
          <w:rFonts w:ascii="Calibri" w:eastAsia="Calibri" w:hAnsi="Calibri" w:cs="Calibri"/>
        </w:rPr>
        <w:t>Figure 6</w:t>
      </w:r>
      <w:r w:rsidRPr="29F2B3F9">
        <w:rPr>
          <w:rFonts w:ascii="Calibri" w:eastAsia="Calibri" w:hAnsi="Calibri" w:cs="Calibri"/>
          <w:b/>
        </w:rPr>
        <w:t xml:space="preserve"> </w:t>
      </w:r>
      <w:r w:rsidRPr="29F2B3F9">
        <w:rPr>
          <w:rFonts w:ascii="Calibri" w:eastAsia="Calibri" w:hAnsi="Calibri" w:cs="Calibri"/>
        </w:rPr>
        <w:t>reflect the existing operating budget as adopted</w:t>
      </w:r>
      <w:r>
        <w:rPr>
          <w:rFonts w:ascii="Calibri" w:eastAsia="Calibri" w:hAnsi="Calibri" w:cs="Calibri"/>
        </w:rPr>
        <w:t xml:space="preserve">, including </w:t>
      </w:r>
      <w:r w:rsidR="005D03AD">
        <w:rPr>
          <w:rFonts w:ascii="Calibri" w:eastAsia="Calibri" w:hAnsi="Calibri" w:cs="Calibri"/>
        </w:rPr>
        <w:t xml:space="preserve">the </w:t>
      </w:r>
      <w:r>
        <w:rPr>
          <w:rFonts w:ascii="Calibri" w:eastAsia="Calibri" w:hAnsi="Calibri" w:cs="Calibri"/>
        </w:rPr>
        <w:t>mid-year supplemental budget capturing unspent contractual commitments carried forward from 2024 as well as unplanned major repairs to the West Point access road.</w:t>
      </w:r>
    </w:p>
    <w:p w14:paraId="1D45E82E" w14:textId="08742A54" w:rsidR="00EC5699" w:rsidRPr="006E06E4" w:rsidRDefault="00EC5699" w:rsidP="006E06E4">
      <w:pPr>
        <w:pStyle w:val="Caption"/>
      </w:pPr>
      <w:bookmarkStart w:id="29" w:name="_Ref161292683"/>
      <w:bookmarkStart w:id="30" w:name="_Ref128473502"/>
      <w:bookmarkStart w:id="31" w:name="_Toc129353063"/>
      <w:bookmarkStart w:id="32" w:name="_Ref161128115"/>
      <w:bookmarkStart w:id="33" w:name="_Toc226970644"/>
      <w:r>
        <w:t xml:space="preserve">Figure </w:t>
      </w:r>
      <w:r>
        <w:fldChar w:fldCharType="begin"/>
      </w:r>
      <w:r>
        <w:instrText xml:space="preserve"> SEQ Figure \* ARABIC </w:instrText>
      </w:r>
      <w:r>
        <w:fldChar w:fldCharType="separate"/>
      </w:r>
      <w:r>
        <w:rPr>
          <w:noProof/>
        </w:rPr>
        <w:t>6</w:t>
      </w:r>
      <w:r>
        <w:fldChar w:fldCharType="end"/>
      </w:r>
      <w:bookmarkEnd w:id="29"/>
      <w:bookmarkEnd w:id="30"/>
      <w:bookmarkEnd w:id="31"/>
      <w:bookmarkEnd w:id="32"/>
      <w:r>
        <w:t xml:space="preserve"> 2025-2026 WTD Operating Expenses ($ ‘000s)</w:t>
      </w:r>
      <w:bookmarkEnd w:id="33"/>
      <w:r>
        <w:t xml:space="preserve">  </w:t>
      </w:r>
    </w:p>
    <w:p w14:paraId="1DE8EFA0" w14:textId="30C5DE01" w:rsidR="00EC5699" w:rsidRDefault="00EC5699" w:rsidP="3714579E">
      <w:pPr>
        <w:spacing w:after="0"/>
      </w:pPr>
      <w:r w:rsidRPr="00F4175B">
        <w:rPr>
          <w:noProof/>
        </w:rPr>
        <w:drawing>
          <wp:inline distT="0" distB="0" distL="0" distR="0" wp14:anchorId="30539DFA" wp14:editId="32E95E40">
            <wp:extent cx="6858000" cy="1726565"/>
            <wp:effectExtent l="0" t="0" r="0" b="6985"/>
            <wp:docPr id="10240278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58000" cy="1726565"/>
                    </a:xfrm>
                    <a:prstGeom prst="rect">
                      <a:avLst/>
                    </a:prstGeom>
                    <a:noFill/>
                    <a:ln>
                      <a:noFill/>
                    </a:ln>
                  </pic:spPr>
                </pic:pic>
              </a:graphicData>
            </a:graphic>
          </wp:inline>
        </w:drawing>
      </w:r>
    </w:p>
    <w:p w14:paraId="0C3D8879" w14:textId="77777777" w:rsidR="00EC5699" w:rsidRPr="00D90BDE" w:rsidRDefault="00EC5699" w:rsidP="0018130B">
      <w:pPr>
        <w:pStyle w:val="Heading2"/>
      </w:pPr>
      <w:bookmarkStart w:id="34" w:name="_Toc129353033"/>
      <w:bookmarkStart w:id="35" w:name="_Toc224573027"/>
      <w:r w:rsidRPr="00D90BDE">
        <w:t>Operating Forecast</w:t>
      </w:r>
      <w:bookmarkEnd w:id="34"/>
      <w:bookmarkEnd w:id="35"/>
    </w:p>
    <w:p w14:paraId="2FA9380A" w14:textId="066B2F55" w:rsidR="00EC5699" w:rsidRPr="006F5121" w:rsidRDefault="00EC5699" w:rsidP="0018130B">
      <w:r>
        <w:t>Before the inflation surge that began in 2022</w:t>
      </w:r>
      <w:r w:rsidRPr="00C44889">
        <w:t xml:space="preserve">, annual growth in </w:t>
      </w:r>
      <w:r>
        <w:t>WTD</w:t>
      </w:r>
      <w:r w:rsidRPr="00C44889">
        <w:t xml:space="preserve"> operating expenditures averaged </w:t>
      </w:r>
      <w:r w:rsidRPr="005663DC">
        <w:t xml:space="preserve">nearly </w:t>
      </w:r>
      <w:r w:rsidR="006E4723">
        <w:t xml:space="preserve">four </w:t>
      </w:r>
      <w:r w:rsidRPr="00C44889">
        <w:t>percent</w:t>
      </w:r>
      <w:r>
        <w:t xml:space="preserve"> per year. Including the recent high inflation years results in an annual average of 5.3 percent between 2014 and 2025. This growth represents</w:t>
      </w:r>
      <w:r w:rsidRPr="00C44889">
        <w:t xml:space="preserve"> a composite of inflation</w:t>
      </w:r>
      <w:r>
        <w:t xml:space="preserve">, </w:t>
      </w:r>
      <w:r w:rsidRPr="005663DC">
        <w:t>supporting new facilities that come online</w:t>
      </w:r>
      <w:r>
        <w:t>,</w:t>
      </w:r>
      <w:r w:rsidRPr="00C44889">
        <w:t xml:space="preserve"> and maintaining an aging and growing system. </w:t>
      </w:r>
      <w:r w:rsidRPr="008337FC">
        <w:fldChar w:fldCharType="begin"/>
      </w:r>
      <w:r w:rsidRPr="008337FC">
        <w:instrText xml:space="preserve"> REF _Ref161292723 \h  \* MERGEFORMAT </w:instrText>
      </w:r>
      <w:r w:rsidRPr="008337FC">
        <w:fldChar w:fldCharType="separate"/>
      </w:r>
      <w:r w:rsidRPr="008337FC">
        <w:t>Figure 7</w:t>
      </w:r>
      <w:r w:rsidRPr="008337FC">
        <w:fldChar w:fldCharType="end"/>
      </w:r>
      <w:r>
        <w:t xml:space="preserve"> </w:t>
      </w:r>
      <w:r w:rsidRPr="00BB0816">
        <w:t xml:space="preserve">shows the annual growth in operating expenditures going back to </w:t>
      </w:r>
      <w:r>
        <w:t>2014</w:t>
      </w:r>
      <w:r w:rsidRPr="00BB0816">
        <w:t>.</w:t>
      </w:r>
    </w:p>
    <w:p w14:paraId="09D7A650" w14:textId="4F3CA645" w:rsidR="00EC5699" w:rsidRPr="003B5E1A" w:rsidRDefault="00EC5699" w:rsidP="00A22B04">
      <w:pPr>
        <w:pStyle w:val="Caption"/>
        <w:rPr>
          <w:rStyle w:val="Strong"/>
          <w:b/>
          <w:bCs w:val="0"/>
        </w:rPr>
      </w:pPr>
      <w:bookmarkStart w:id="36" w:name="_Ref161292723"/>
      <w:bookmarkStart w:id="37" w:name="_Ref128473562"/>
      <w:bookmarkStart w:id="38" w:name="_Ref157001208"/>
      <w:bookmarkStart w:id="39" w:name="_Toc226970645"/>
      <w:r w:rsidRPr="00E16C67">
        <w:t xml:space="preserve">Figure </w:t>
      </w:r>
      <w:r>
        <w:fldChar w:fldCharType="begin"/>
      </w:r>
      <w:r>
        <w:instrText xml:space="preserve"> SEQ Figure \* ARABIC </w:instrText>
      </w:r>
      <w:r>
        <w:fldChar w:fldCharType="separate"/>
      </w:r>
      <w:r>
        <w:rPr>
          <w:noProof/>
        </w:rPr>
        <w:t>7</w:t>
      </w:r>
      <w:r>
        <w:fldChar w:fldCharType="end"/>
      </w:r>
      <w:bookmarkEnd w:id="36"/>
      <w:r w:rsidRPr="00E16C67">
        <w:t xml:space="preserve"> Historical Annual Increase in WTD Operating Expenditures</w:t>
      </w:r>
      <w:bookmarkEnd w:id="37"/>
      <w:bookmarkEnd w:id="38"/>
      <w:bookmarkEnd w:id="39"/>
    </w:p>
    <w:p w14:paraId="6580982B" w14:textId="1CE4F44A" w:rsidR="00EC5699" w:rsidRDefault="00EC5699" w:rsidP="00507511">
      <w:pPr>
        <w:jc w:val="center"/>
      </w:pPr>
      <w:r w:rsidRPr="006834A0">
        <w:t xml:space="preserve"> </w:t>
      </w:r>
      <w:r w:rsidRPr="002F1ECB">
        <w:rPr>
          <w:noProof/>
        </w:rPr>
        <w:drawing>
          <wp:inline distT="0" distB="0" distL="0" distR="0" wp14:anchorId="2FCE07B9" wp14:editId="45BA3E8A">
            <wp:extent cx="1872691" cy="2615827"/>
            <wp:effectExtent l="0" t="0" r="0" b="0"/>
            <wp:docPr id="428390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81807" cy="2628560"/>
                    </a:xfrm>
                    <a:prstGeom prst="rect">
                      <a:avLst/>
                    </a:prstGeom>
                    <a:noFill/>
                    <a:ln>
                      <a:noFill/>
                    </a:ln>
                  </pic:spPr>
                </pic:pic>
              </a:graphicData>
            </a:graphic>
          </wp:inline>
        </w:drawing>
      </w:r>
      <w:r>
        <w:br w:type="textWrapping" w:clear="all"/>
      </w:r>
    </w:p>
    <w:p w14:paraId="115A8CC1" w14:textId="5FBEABF1" w:rsidR="00EC5699" w:rsidRPr="00D90BDE" w:rsidRDefault="00EC5699" w:rsidP="0018130B">
      <w:pPr>
        <w:pStyle w:val="Heading2"/>
      </w:pPr>
      <w:bookmarkStart w:id="40" w:name="_Toc129353034"/>
      <w:bookmarkStart w:id="41" w:name="_Toc224573028"/>
      <w:r>
        <w:lastRenderedPageBreak/>
        <w:t>WTD Operating</w:t>
      </w:r>
      <w:r w:rsidRPr="00D90BDE">
        <w:t xml:space="preserve"> Expenditures</w:t>
      </w:r>
      <w:bookmarkEnd w:id="40"/>
      <w:r>
        <w:t xml:space="preserve"> </w:t>
      </w:r>
      <w:r w:rsidRPr="00D90BDE">
        <w:t>Forecast</w:t>
      </w:r>
      <w:bookmarkEnd w:id="41"/>
    </w:p>
    <w:p w14:paraId="4C31A344" w14:textId="26E43408" w:rsidR="00EC5699" w:rsidRPr="00C44889" w:rsidRDefault="00EC5699" w:rsidP="0018130B">
      <w:r w:rsidRPr="00E37475">
        <w:t>WTD is maintaining the same bottom-line operating expenses for 2027 as was forecast during the 2026 rate process. This assumes all the budget adds from 2026 are maintained, plus large nondiscretionary adds related to utilities (primarily electricity), chemicals, biosolids hauling, and multiple labor agreement updates</w:t>
      </w:r>
      <w:r>
        <w:t>, totaling approximately $13 million in unbudgeted labor costs for the 2026/27 biennium based on current estimates</w:t>
      </w:r>
      <w:r w:rsidRPr="00E37475">
        <w:t>. Given the size of the labor agreement costs and WTD’s commitment to focus on the highest efficient use of existing resources, additional staff are not proposed at this time. This will be revisited for the 2028 rate process and 2028-29 proposed budget.</w:t>
      </w:r>
    </w:p>
    <w:p w14:paraId="39C0F80E" w14:textId="4FDDA7D1" w:rsidR="00EC5699" w:rsidRPr="005663DC" w:rsidRDefault="00EC5699" w:rsidP="009C0F21">
      <w:r w:rsidRPr="005663DC">
        <w:t xml:space="preserve">Beyond </w:t>
      </w:r>
      <w:r>
        <w:t>2027</w:t>
      </w:r>
      <w:r w:rsidRPr="005663DC">
        <w:t>,</w:t>
      </w:r>
      <w:r>
        <w:t xml:space="preserve"> i</w:t>
      </w:r>
      <w:r w:rsidRPr="004C4736">
        <w:t xml:space="preserve">ncremental operating costs are forecast based on general cost and labor cost inflation at </w:t>
      </w:r>
      <w:r w:rsidR="00712B46">
        <w:t>four</w:t>
      </w:r>
      <w:r w:rsidRPr="004C4736">
        <w:t xml:space="preserve"> percent</w:t>
      </w:r>
      <w:r>
        <w:t xml:space="preserve">. </w:t>
      </w:r>
      <w:r w:rsidRPr="005663DC">
        <w:t xml:space="preserve">Growth in operating costs is forecast as </w:t>
      </w:r>
      <w:r w:rsidRPr="008C450F">
        <w:t xml:space="preserve">shown in </w:t>
      </w:r>
      <w:r w:rsidRPr="00712B46">
        <w:rPr>
          <w:highlight w:val="yellow"/>
        </w:rPr>
        <w:fldChar w:fldCharType="begin"/>
      </w:r>
      <w:r w:rsidRPr="00712B46">
        <w:instrText xml:space="preserve"> REF _Ref161292755 \h  \* MERGEFORMAT </w:instrText>
      </w:r>
      <w:r w:rsidRPr="00712B46">
        <w:rPr>
          <w:highlight w:val="yellow"/>
        </w:rPr>
      </w:r>
      <w:r w:rsidRPr="00712B46">
        <w:rPr>
          <w:highlight w:val="yellow"/>
        </w:rPr>
        <w:fldChar w:fldCharType="separate"/>
      </w:r>
      <w:r w:rsidRPr="00712B46">
        <w:t>Figure 35</w:t>
      </w:r>
      <w:r w:rsidRPr="00712B46">
        <w:rPr>
          <w:highlight w:val="yellow"/>
        </w:rPr>
        <w:fldChar w:fldCharType="end"/>
      </w:r>
      <w:r w:rsidRPr="00E611D3">
        <w:t>.</w:t>
      </w:r>
      <w:r>
        <w:t xml:space="preserve"> </w:t>
      </w:r>
    </w:p>
    <w:p w14:paraId="7316C9D2" w14:textId="02EEA47F" w:rsidR="00EC5699" w:rsidRDefault="00EC5699" w:rsidP="009C0F21">
      <w:r w:rsidRPr="005663DC">
        <w:t xml:space="preserve">WTD is preparing the specific </w:t>
      </w:r>
      <w:r>
        <w:t>decision packages</w:t>
      </w:r>
      <w:r w:rsidRPr="005663DC">
        <w:t xml:space="preserve"> for submittal in the 202</w:t>
      </w:r>
      <w:r>
        <w:t>6-2027</w:t>
      </w:r>
      <w:r w:rsidRPr="005663DC">
        <w:t xml:space="preserve"> </w:t>
      </w:r>
      <w:r w:rsidRPr="001D1B7B">
        <w:t xml:space="preserve">supplemental </w:t>
      </w:r>
      <w:r w:rsidRPr="005663DC">
        <w:t xml:space="preserve">budget process. </w:t>
      </w:r>
    </w:p>
    <w:p w14:paraId="486EB9A5" w14:textId="7589DD38" w:rsidR="00EC5699" w:rsidRPr="00D90BDE" w:rsidRDefault="00EC5699" w:rsidP="0018130B">
      <w:pPr>
        <w:pStyle w:val="Heading1"/>
      </w:pPr>
      <w:bookmarkStart w:id="42" w:name="_Toc129353035"/>
      <w:bookmarkStart w:id="43" w:name="_Toc224573029"/>
      <w:r>
        <w:t>Capital Improvement Program</w:t>
      </w:r>
      <w:bookmarkEnd w:id="42"/>
      <w:bookmarkEnd w:id="43"/>
    </w:p>
    <w:p w14:paraId="5AD4D1EC" w14:textId="77777777" w:rsidR="00EC5699" w:rsidRPr="00D90BDE" w:rsidRDefault="00EC5699" w:rsidP="0018130B">
      <w:pPr>
        <w:pStyle w:val="Heading2"/>
      </w:pPr>
      <w:bookmarkStart w:id="44" w:name="_Toc129353036"/>
      <w:bookmarkStart w:id="45" w:name="_Toc224573030"/>
      <w:r w:rsidRPr="00D90BDE">
        <w:t>Portfolio Management</w:t>
      </w:r>
      <w:bookmarkEnd w:id="44"/>
      <w:bookmarkEnd w:id="45"/>
    </w:p>
    <w:p w14:paraId="3186228D" w14:textId="55BEE3A4" w:rsidR="00EC5699" w:rsidRPr="005116A2" w:rsidRDefault="00EC5699" w:rsidP="0018130B">
      <w:pPr>
        <w:rPr>
          <w:rFonts w:eastAsia="Arial"/>
        </w:rPr>
      </w:pPr>
      <w:r w:rsidRPr="62829388">
        <w:rPr>
          <w:rFonts w:eastAsia="Arial"/>
        </w:rPr>
        <w:t>Beginning in 2017, WTD focused on developing a more comprehensive and structured approach to managing its capital program. This work included the goal of aligning the mix of projects in WTD’s Capital Improvement Plan (CIP) with its strategic initiatives and overall mission. A pilot of this prioritization approach informed the 2019 sewer rate development and, since then, has been used to inform rate and budget-setting processes.</w:t>
      </w:r>
    </w:p>
    <w:p w14:paraId="01E85092" w14:textId="77312A4E" w:rsidR="00EC5699" w:rsidRPr="00985FD8" w:rsidRDefault="00EC5699" w:rsidP="0018130B">
      <w:pPr>
        <w:rPr>
          <w:rFonts w:eastAsia="Arial"/>
        </w:rPr>
      </w:pPr>
      <w:r w:rsidRPr="00985FD8">
        <w:rPr>
          <w:rFonts w:eastAsia="Arial"/>
        </w:rPr>
        <w:t>Projects are organized and prioritized within the following categories</w:t>
      </w:r>
      <w:r>
        <w:rPr>
          <w:rFonts w:eastAsia="Arial"/>
        </w:rPr>
        <w:t>:</w:t>
      </w:r>
    </w:p>
    <w:p w14:paraId="4867A03E" w14:textId="5F29BB0D" w:rsidR="00EC5699" w:rsidRPr="00D47049" w:rsidRDefault="00EC5699" w:rsidP="00D47049">
      <w:pPr>
        <w:pStyle w:val="Caption"/>
      </w:pPr>
      <w:bookmarkStart w:id="46" w:name="_Ref128473673"/>
      <w:bookmarkStart w:id="47" w:name="_Toc129353064"/>
      <w:bookmarkStart w:id="48" w:name="_Toc226970646"/>
      <w:r>
        <w:t xml:space="preserve">Figure </w:t>
      </w:r>
      <w:r>
        <w:fldChar w:fldCharType="begin"/>
      </w:r>
      <w:r>
        <w:instrText xml:space="preserve"> SEQ Figure \* ARABIC </w:instrText>
      </w:r>
      <w:r>
        <w:fldChar w:fldCharType="separate"/>
      </w:r>
      <w:r>
        <w:rPr>
          <w:noProof/>
        </w:rPr>
        <w:t>8</w:t>
      </w:r>
      <w:r>
        <w:fldChar w:fldCharType="end"/>
      </w:r>
      <w:r>
        <w:t xml:space="preserve"> </w:t>
      </w:r>
      <w:r w:rsidRPr="008B16E4">
        <w:t>Capital Portfolio Category Descriptions</w:t>
      </w:r>
      <w:bookmarkEnd w:id="46"/>
      <w:bookmarkEnd w:id="47"/>
      <w:bookmarkEnd w:id="48"/>
    </w:p>
    <w:tbl>
      <w:tblPr>
        <w:tblStyle w:val="CustomTableFormat"/>
        <w:tblW w:w="9883" w:type="dxa"/>
        <w:tblLayout w:type="fixed"/>
        <w:tblLook w:val="06A0" w:firstRow="1" w:lastRow="0" w:firstColumn="1" w:lastColumn="0" w:noHBand="1" w:noVBand="1"/>
      </w:tblPr>
      <w:tblGrid>
        <w:gridCol w:w="2652"/>
        <w:gridCol w:w="7231"/>
      </w:tblGrid>
      <w:tr w:rsidR="00EC5699" w14:paraId="48FB2EEB" w14:textId="77777777" w:rsidTr="00712B46">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2652" w:type="dxa"/>
          </w:tcPr>
          <w:p w14:paraId="4A7B5500" w14:textId="77777777" w:rsidR="00EC5699" w:rsidRPr="001B17BF" w:rsidRDefault="00EC5699" w:rsidP="00E50EF9">
            <w:pPr>
              <w:pStyle w:val="Tableandgraphtext"/>
              <w:rPr>
                <w:rFonts w:eastAsia="Calibri"/>
              </w:rPr>
            </w:pPr>
            <w:r w:rsidRPr="001B17BF">
              <w:rPr>
                <w:rFonts w:eastAsia="Calibri"/>
              </w:rPr>
              <w:t>Category</w:t>
            </w:r>
          </w:p>
        </w:tc>
        <w:tc>
          <w:tcPr>
            <w:tcW w:w="7231" w:type="dxa"/>
          </w:tcPr>
          <w:p w14:paraId="7878AFBF" w14:textId="77777777" w:rsidR="00EC5699" w:rsidRPr="001B17BF" w:rsidRDefault="00EC5699" w:rsidP="00E50EF9">
            <w:pPr>
              <w:pStyle w:val="Tableandgraphtext"/>
              <w:cnfStyle w:val="100000000000" w:firstRow="1" w:lastRow="0" w:firstColumn="0" w:lastColumn="0" w:oddVBand="0" w:evenVBand="0" w:oddHBand="0" w:evenHBand="0" w:firstRowFirstColumn="0" w:firstRowLastColumn="0" w:lastRowFirstColumn="0" w:lastRowLastColumn="0"/>
              <w:rPr>
                <w:rFonts w:eastAsia="Calibri"/>
              </w:rPr>
            </w:pPr>
            <w:r w:rsidRPr="001B17BF">
              <w:rPr>
                <w:rFonts w:eastAsia="Calibri"/>
              </w:rPr>
              <w:t>Description</w:t>
            </w:r>
          </w:p>
        </w:tc>
      </w:tr>
      <w:tr w:rsidR="00EC5699" w14:paraId="0401AA66" w14:textId="77777777" w:rsidTr="00712B46">
        <w:trPr>
          <w:trHeight w:val="704"/>
        </w:trPr>
        <w:tc>
          <w:tcPr>
            <w:cnfStyle w:val="001000000000" w:firstRow="0" w:lastRow="0" w:firstColumn="1" w:lastColumn="0" w:oddVBand="0" w:evenVBand="0" w:oddHBand="0" w:evenHBand="0" w:firstRowFirstColumn="0" w:firstRowLastColumn="0" w:lastRowFirstColumn="0" w:lastRowLastColumn="0"/>
            <w:tcW w:w="2652" w:type="dxa"/>
          </w:tcPr>
          <w:p w14:paraId="6743C303" w14:textId="77777777" w:rsidR="00EC5699" w:rsidRDefault="00EC5699" w:rsidP="00E50EF9">
            <w:pPr>
              <w:pStyle w:val="Tableandgraphtext"/>
              <w:rPr>
                <w:rFonts w:eastAsia="Calibri"/>
              </w:rPr>
            </w:pPr>
            <w:r w:rsidRPr="49619475">
              <w:rPr>
                <w:rFonts w:eastAsia="Calibri"/>
              </w:rPr>
              <w:t>Asset Management Plants and Conveyance</w:t>
            </w:r>
          </w:p>
        </w:tc>
        <w:tc>
          <w:tcPr>
            <w:tcW w:w="7231" w:type="dxa"/>
          </w:tcPr>
          <w:p w14:paraId="2D9D3B88"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Maintain level of service through the rehabilitation or replacement of critical assets.</w:t>
            </w:r>
          </w:p>
        </w:tc>
      </w:tr>
      <w:tr w:rsidR="00EC5699" w14:paraId="03BC673D" w14:textId="77777777" w:rsidTr="00712B46">
        <w:trPr>
          <w:trHeight w:val="704"/>
        </w:trPr>
        <w:tc>
          <w:tcPr>
            <w:cnfStyle w:val="001000000000" w:firstRow="0" w:lastRow="0" w:firstColumn="1" w:lastColumn="0" w:oddVBand="0" w:evenVBand="0" w:oddHBand="0" w:evenHBand="0" w:firstRowFirstColumn="0" w:firstRowLastColumn="0" w:lastRowFirstColumn="0" w:lastRowLastColumn="0"/>
            <w:tcW w:w="2652" w:type="dxa"/>
            <w:shd w:val="clear" w:color="auto" w:fill="F2F2F2"/>
          </w:tcPr>
          <w:p w14:paraId="4EF2C44D" w14:textId="77777777" w:rsidR="00EC5699" w:rsidRDefault="00EC5699" w:rsidP="00E50EF9">
            <w:pPr>
              <w:pStyle w:val="Tableandgraphtext"/>
              <w:rPr>
                <w:rFonts w:eastAsia="Calibri"/>
              </w:rPr>
            </w:pPr>
            <w:r w:rsidRPr="49619475">
              <w:rPr>
                <w:rFonts w:eastAsia="Calibri"/>
              </w:rPr>
              <w:t>Capacity Improvement</w:t>
            </w:r>
          </w:p>
        </w:tc>
        <w:tc>
          <w:tcPr>
            <w:tcW w:w="7231" w:type="dxa"/>
            <w:shd w:val="clear" w:color="auto" w:fill="F2F2F2"/>
          </w:tcPr>
          <w:p w14:paraId="52618F1F"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Increase capacity in WTD facilities to accommodate future growth.</w:t>
            </w:r>
          </w:p>
        </w:tc>
      </w:tr>
      <w:tr w:rsidR="00EC5699" w14:paraId="073458B6"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tcPr>
          <w:p w14:paraId="6DD153DE" w14:textId="77777777" w:rsidR="00EC5699" w:rsidRDefault="00EC5699" w:rsidP="00E50EF9">
            <w:pPr>
              <w:pStyle w:val="Tableandgraphtext"/>
              <w:rPr>
                <w:rFonts w:eastAsia="Calibri"/>
              </w:rPr>
            </w:pPr>
            <w:r w:rsidRPr="49619475">
              <w:rPr>
                <w:rFonts w:eastAsia="Calibri"/>
              </w:rPr>
              <w:t>Operational Enhancements</w:t>
            </w:r>
          </w:p>
        </w:tc>
        <w:tc>
          <w:tcPr>
            <w:tcW w:w="7231" w:type="dxa"/>
          </w:tcPr>
          <w:p w14:paraId="128B5B25"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Reduce/improve operating costs at treatment plants through the delivery of projects that create efficiencies.</w:t>
            </w:r>
          </w:p>
        </w:tc>
      </w:tr>
      <w:tr w:rsidR="00EC5699" w14:paraId="6EB07676" w14:textId="77777777" w:rsidTr="00712B46">
        <w:trPr>
          <w:trHeight w:val="656"/>
        </w:trPr>
        <w:tc>
          <w:tcPr>
            <w:cnfStyle w:val="001000000000" w:firstRow="0" w:lastRow="0" w:firstColumn="1" w:lastColumn="0" w:oddVBand="0" w:evenVBand="0" w:oddHBand="0" w:evenHBand="0" w:firstRowFirstColumn="0" w:firstRowLastColumn="0" w:lastRowFirstColumn="0" w:lastRowLastColumn="0"/>
            <w:tcW w:w="2652" w:type="dxa"/>
            <w:shd w:val="clear" w:color="auto" w:fill="F2F2F2"/>
          </w:tcPr>
          <w:p w14:paraId="7E3BEF6B" w14:textId="77777777" w:rsidR="00EC5699" w:rsidRDefault="00EC5699" w:rsidP="00E50EF9">
            <w:pPr>
              <w:pStyle w:val="Tableandgraphtext"/>
              <w:rPr>
                <w:rFonts w:eastAsia="Calibri"/>
              </w:rPr>
            </w:pPr>
            <w:r w:rsidRPr="49619475">
              <w:rPr>
                <w:rFonts w:eastAsia="Calibri"/>
              </w:rPr>
              <w:t>Regulatory</w:t>
            </w:r>
          </w:p>
        </w:tc>
        <w:tc>
          <w:tcPr>
            <w:tcW w:w="7231" w:type="dxa"/>
            <w:shd w:val="clear" w:color="auto" w:fill="F2F2F2"/>
          </w:tcPr>
          <w:p w14:paraId="5C5CC9A4"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Deliver projects and programs that respond to permit, regulation, and/or consent decree legal deadlines.</w:t>
            </w:r>
          </w:p>
        </w:tc>
      </w:tr>
      <w:tr w:rsidR="00EC5699" w14:paraId="5D4CFAA4"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tcPr>
          <w:p w14:paraId="02BD7D90" w14:textId="77777777" w:rsidR="00EC5699" w:rsidRDefault="00EC5699" w:rsidP="00E50EF9">
            <w:pPr>
              <w:pStyle w:val="Tableandgraphtext"/>
              <w:rPr>
                <w:rFonts w:eastAsia="Calibri"/>
              </w:rPr>
            </w:pPr>
            <w:r w:rsidRPr="49619475">
              <w:rPr>
                <w:rFonts w:eastAsia="Calibri"/>
              </w:rPr>
              <w:t>Resiliency</w:t>
            </w:r>
          </w:p>
        </w:tc>
        <w:tc>
          <w:tcPr>
            <w:tcW w:w="7231" w:type="dxa"/>
          </w:tcPr>
          <w:p w14:paraId="3A86B7FB"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Improve the survivability and operability of core assets against natural disasters through the delivery of projects that address known deficiencies.</w:t>
            </w:r>
          </w:p>
        </w:tc>
      </w:tr>
      <w:tr w:rsidR="00EC5699" w14:paraId="426DA98B"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shd w:val="clear" w:color="auto" w:fill="F2F2F2"/>
          </w:tcPr>
          <w:p w14:paraId="6D3849FB" w14:textId="77777777" w:rsidR="00EC5699" w:rsidRDefault="00EC5699" w:rsidP="00E50EF9">
            <w:pPr>
              <w:pStyle w:val="Tableandgraphtext"/>
              <w:rPr>
                <w:rFonts w:eastAsia="Calibri"/>
              </w:rPr>
            </w:pPr>
            <w:r w:rsidRPr="49619475">
              <w:rPr>
                <w:rFonts w:eastAsia="Calibri"/>
              </w:rPr>
              <w:t>Resource Recovery</w:t>
            </w:r>
          </w:p>
        </w:tc>
        <w:tc>
          <w:tcPr>
            <w:tcW w:w="7231" w:type="dxa"/>
            <w:shd w:val="clear" w:color="auto" w:fill="F2F2F2"/>
          </w:tcPr>
          <w:p w14:paraId="237B0B4F"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Support the King County Strategic Climate Action Plan (SCAP) initiative through the delivery of projects that reduce energy use or recover valuable resources from wastewater.</w:t>
            </w:r>
          </w:p>
        </w:tc>
      </w:tr>
      <w:tr w:rsidR="00EC5699" w14:paraId="725A6912"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tcPr>
          <w:p w14:paraId="040E1D28" w14:textId="77777777" w:rsidR="00EC5699" w:rsidRDefault="00EC5699" w:rsidP="00E50EF9">
            <w:pPr>
              <w:pStyle w:val="Tableandgraphtext"/>
              <w:rPr>
                <w:rFonts w:eastAsia="Calibri"/>
              </w:rPr>
            </w:pPr>
            <w:r w:rsidRPr="49619475">
              <w:rPr>
                <w:rFonts w:eastAsia="Calibri"/>
              </w:rPr>
              <w:t>Planning and Administration</w:t>
            </w:r>
          </w:p>
        </w:tc>
        <w:tc>
          <w:tcPr>
            <w:tcW w:w="7231" w:type="dxa"/>
          </w:tcPr>
          <w:p w14:paraId="2C812AF9"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Incorporate programs and projects that facilitate execution of the overall capital portfolio through a series of planning</w:t>
            </w:r>
            <w:r w:rsidRPr="06CB2044">
              <w:rPr>
                <w:rFonts w:eastAsia="Calibri"/>
              </w:rPr>
              <w:t xml:space="preserve">- </w:t>
            </w:r>
            <w:r w:rsidRPr="49619475">
              <w:rPr>
                <w:rFonts w:eastAsia="Calibri"/>
              </w:rPr>
              <w:t>and administration</w:t>
            </w:r>
            <w:r w:rsidRPr="06CB2044">
              <w:rPr>
                <w:rFonts w:eastAsia="Calibri"/>
              </w:rPr>
              <w:t>-</w:t>
            </w:r>
            <w:r w:rsidRPr="49619475">
              <w:rPr>
                <w:rFonts w:eastAsia="Calibri"/>
              </w:rPr>
              <w:t>related efforts.</w:t>
            </w:r>
          </w:p>
        </w:tc>
      </w:tr>
    </w:tbl>
    <w:p w14:paraId="23A7E753" w14:textId="350EF376" w:rsidR="00EC5699" w:rsidRPr="00184AAC" w:rsidRDefault="00EC5699" w:rsidP="0018130B">
      <w:pPr>
        <w:pStyle w:val="Heading2"/>
      </w:pPr>
      <w:bookmarkStart w:id="49" w:name="_Toc129353037"/>
      <w:bookmarkStart w:id="50" w:name="_Toc224573031"/>
      <w:r w:rsidRPr="005663DC">
        <w:t>202</w:t>
      </w:r>
      <w:r>
        <w:t>5</w:t>
      </w:r>
      <w:r w:rsidRPr="1669E090">
        <w:t xml:space="preserve"> Performance and Accomplishment Rate</w:t>
      </w:r>
      <w:bookmarkEnd w:id="49"/>
      <w:bookmarkEnd w:id="50"/>
    </w:p>
    <w:p w14:paraId="7B62203C" w14:textId="2378F2A9" w:rsidR="00EC5699" w:rsidRPr="005663DC" w:rsidRDefault="00EC5699" w:rsidP="0018130B">
      <w:r w:rsidRPr="39E0BB25">
        <w:t xml:space="preserve">The capital accomplishment rate is the amount of actual or forecasted capital spending that occurs in the year compared with the amount of capital spending planned. WTD’s capital program accomplishment rate </w:t>
      </w:r>
      <w:r>
        <w:t xml:space="preserve">internal performance </w:t>
      </w:r>
      <w:r w:rsidRPr="39E0BB25">
        <w:t xml:space="preserve">target </w:t>
      </w:r>
      <w:r w:rsidRPr="39E0BB25">
        <w:lastRenderedPageBreak/>
        <w:t xml:space="preserve">of 85 percent </w:t>
      </w:r>
      <w:r>
        <w:t>for annual expenditures</w:t>
      </w:r>
      <w:r w:rsidRPr="39E0BB25">
        <w:t xml:space="preserve"> is evaluated against the actual spending in recent years to ensure </w:t>
      </w:r>
      <w:r w:rsidR="003047E0">
        <w:t xml:space="preserve">that </w:t>
      </w:r>
      <w:r w:rsidRPr="39E0BB25">
        <w:t xml:space="preserve">it remains a valid </w:t>
      </w:r>
      <w:r>
        <w:t>performance indicator.</w:t>
      </w:r>
    </w:p>
    <w:p w14:paraId="7249D52A" w14:textId="54DBAE24" w:rsidR="00EC5699" w:rsidRDefault="00EC5699" w:rsidP="0018130B">
      <w:r>
        <w:t xml:space="preserve">The 2025 aggregated projects forecast was $534 million. Actual spending totaled $429 million or 80 percent of the forecast. </w:t>
      </w:r>
    </w:p>
    <w:p w14:paraId="64611AAA" w14:textId="656D3E34" w:rsidR="00EC5699" w:rsidRPr="00BB2940" w:rsidRDefault="00EC5699" w:rsidP="0018130B">
      <w:r w:rsidRPr="00BB2940">
        <w:t>Drivers for th</w:t>
      </w:r>
      <w:r>
        <w:t xml:space="preserve">e 80 percent </w:t>
      </w:r>
      <w:r w:rsidRPr="00BB2940">
        <w:t xml:space="preserve">accomplishment rate </w:t>
      </w:r>
      <w:r>
        <w:t>against WTD’s internal performance target</w:t>
      </w:r>
      <w:r w:rsidRPr="00BB2940">
        <w:t xml:space="preserve"> include two large projects with significant underspend in 202</w:t>
      </w:r>
      <w:r>
        <w:t>5</w:t>
      </w:r>
      <w:r w:rsidRPr="00BB2940">
        <w:t>:</w:t>
      </w:r>
    </w:p>
    <w:p w14:paraId="75EE99B7" w14:textId="77777777" w:rsidR="00457479" w:rsidRDefault="00EC5699" w:rsidP="00457479">
      <w:pPr>
        <w:pStyle w:val="BodyText"/>
        <w:numPr>
          <w:ilvl w:val="0"/>
          <w:numId w:val="32"/>
        </w:numPr>
        <w:ind w:left="360"/>
        <w:rPr>
          <w:rFonts w:eastAsia="Calibri"/>
        </w:rPr>
      </w:pPr>
      <w:bookmarkStart w:id="51" w:name="_Hlk99372172"/>
      <w:r>
        <w:rPr>
          <w:rFonts w:eastAsia="Calibri"/>
        </w:rPr>
        <w:t>The West Point Primary Effluent and Return Activated Sludge Pipe Restoration/Replacement project is currently under construction and involves multiple work packages that are dependent on dry season work. Because of this seasonal dependency to accommodate operation of the plant, scope needed to be re-phased and an additional work window in 2028 was added to the schedule. The project finished 2025 spending at $18 million, or 68 percent of the $26 million forecast.</w:t>
      </w:r>
    </w:p>
    <w:p w14:paraId="33BC6C6E" w14:textId="4F510482" w:rsidR="00462E75" w:rsidRPr="00462E75" w:rsidRDefault="00EC5699" w:rsidP="00397D6E">
      <w:pPr>
        <w:pStyle w:val="BodyText"/>
        <w:numPr>
          <w:ilvl w:val="0"/>
          <w:numId w:val="32"/>
        </w:numPr>
        <w:ind w:left="360"/>
        <w:rPr>
          <w:rFonts w:eastAsia="Calibri"/>
        </w:rPr>
      </w:pPr>
      <w:r w:rsidRPr="00457479">
        <w:rPr>
          <w:rFonts w:eastAsia="Calibri"/>
        </w:rPr>
        <w:t>The North Mercer Island and Enatai Interceptors project also is</w:t>
      </w:r>
      <w:r w:rsidR="00E25565" w:rsidRPr="00457479">
        <w:rPr>
          <w:rFonts w:eastAsia="Calibri"/>
        </w:rPr>
        <w:t xml:space="preserve"> </w:t>
      </w:r>
      <w:r w:rsidRPr="00457479">
        <w:rPr>
          <w:rFonts w:eastAsia="Calibri"/>
        </w:rPr>
        <w:t>currently under construction; however, the project is experiencing a delay in meeting contractual milestones. The external construction contractors are currently repairing defective work on a portion of the newly installed conveyance line</w:t>
      </w:r>
      <w:r w:rsidR="00DD76EF">
        <w:rPr>
          <w:rFonts w:eastAsia="Calibri"/>
        </w:rPr>
        <w:t>,</w:t>
      </w:r>
      <w:r w:rsidRPr="00457479">
        <w:rPr>
          <w:rFonts w:eastAsia="Calibri"/>
        </w:rPr>
        <w:t xml:space="preserve"> which has delayed progress on the pump station as well as the remaining work under the conveyance contract. King County is monitoring these contractors on daily activities to get the project back on schedule. The project finished 2025 spending at $18 million, or 75 percent of the $24 million forecast.</w:t>
      </w:r>
      <w:r w:rsidRPr="00976B44">
        <w:t xml:space="preserve"> </w:t>
      </w:r>
    </w:p>
    <w:p w14:paraId="61A3B0DA" w14:textId="3E1F4FA8" w:rsidR="00677835" w:rsidRDefault="00677835" w:rsidP="00677835">
      <w:pPr>
        <w:pStyle w:val="Caption"/>
      </w:pPr>
      <w:bookmarkStart w:id="52" w:name="_Toc226970647"/>
      <w:r>
        <w:t xml:space="preserve">Figure </w:t>
      </w:r>
      <w:r>
        <w:fldChar w:fldCharType="begin"/>
      </w:r>
      <w:r>
        <w:instrText xml:space="preserve"> SEQ Figure \* ARABIC </w:instrText>
      </w:r>
      <w:r>
        <w:fldChar w:fldCharType="separate"/>
      </w:r>
      <w:r>
        <w:rPr>
          <w:noProof/>
        </w:rPr>
        <w:t>9</w:t>
      </w:r>
      <w:r>
        <w:fldChar w:fldCharType="end"/>
      </w:r>
      <w:r>
        <w:t xml:space="preserve"> </w:t>
      </w:r>
      <w:r w:rsidR="00440C7D">
        <w:t>Previous</w:t>
      </w:r>
      <w:r>
        <w:t xml:space="preserve"> Accomplishment Rate</w:t>
      </w:r>
      <w:bookmarkEnd w:id="52"/>
      <w:r w:rsidR="00440C7D">
        <w:t xml:space="preserve"> Measurement</w:t>
      </w:r>
    </w:p>
    <w:p w14:paraId="1E5E70D8" w14:textId="3058C91F" w:rsidR="00AF14D8" w:rsidRDefault="00C75A81" w:rsidP="00757B32">
      <w:pPr>
        <w:pStyle w:val="BodyText"/>
        <w:rPr>
          <w:rFonts w:eastAsia="Calibri"/>
        </w:rPr>
      </w:pPr>
      <w:r w:rsidRPr="00C75A81">
        <w:rPr>
          <w:rFonts w:eastAsia="Calibri"/>
          <w:noProof/>
        </w:rPr>
        <w:drawing>
          <wp:inline distT="0" distB="0" distL="0" distR="0" wp14:anchorId="247201AF" wp14:editId="44B767F2">
            <wp:extent cx="6115904" cy="1409897"/>
            <wp:effectExtent l="0" t="0" r="0" b="0"/>
            <wp:docPr id="158017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75094" name=""/>
                    <pic:cNvPicPr/>
                  </pic:nvPicPr>
                  <pic:blipFill>
                    <a:blip r:embed="rId20"/>
                    <a:stretch>
                      <a:fillRect/>
                    </a:stretch>
                  </pic:blipFill>
                  <pic:spPr>
                    <a:xfrm>
                      <a:off x="0" y="0"/>
                      <a:ext cx="6115904" cy="1409897"/>
                    </a:xfrm>
                    <a:prstGeom prst="rect">
                      <a:avLst/>
                    </a:prstGeom>
                  </pic:spPr>
                </pic:pic>
              </a:graphicData>
            </a:graphic>
          </wp:inline>
        </w:drawing>
      </w:r>
    </w:p>
    <w:p w14:paraId="62676204" w14:textId="1F1603AA" w:rsidR="005F6E5C" w:rsidRPr="00EB6BE6" w:rsidRDefault="00941EDD" w:rsidP="00EB6BE6">
      <w:pPr>
        <w:pStyle w:val="Heading2"/>
      </w:pPr>
      <w:r w:rsidRPr="00757B32">
        <w:t>Risk-Adjusted Accomplishment Rates</w:t>
      </w:r>
    </w:p>
    <w:p w14:paraId="2E8DDC41" w14:textId="6FE70482" w:rsidR="00EC5699" w:rsidRDefault="00EC5699" w:rsidP="00976B44">
      <w:r>
        <w:t xml:space="preserve">Since 2022, </w:t>
      </w:r>
      <w:r w:rsidRPr="00314918">
        <w:t xml:space="preserve">as part of </w:t>
      </w:r>
      <w:r>
        <w:t xml:space="preserve">developing the proposed 2023 </w:t>
      </w:r>
      <w:r w:rsidRPr="00314918">
        <w:t>sewer rate</w:t>
      </w:r>
      <w:r>
        <w:t xml:space="preserve">, WTD has incorporated </w:t>
      </w:r>
      <w:r w:rsidRPr="00314918">
        <w:t>an assessment</w:t>
      </w:r>
      <w:r>
        <w:t xml:space="preserve"> of expected </w:t>
      </w:r>
      <w:r w:rsidRPr="00314918">
        <w:t xml:space="preserve">staffing </w:t>
      </w:r>
      <w:r>
        <w:t xml:space="preserve">resources and schedule </w:t>
      </w:r>
      <w:r w:rsidRPr="00314918">
        <w:t>risks</w:t>
      </w:r>
      <w:r>
        <w:t xml:space="preserve"> into its capital spending </w:t>
      </w:r>
      <w:r w:rsidRPr="00314918">
        <w:t>assumptions. This approach ensures</w:t>
      </w:r>
      <w:r>
        <w:t xml:space="preserve"> that WTD does not secure funding for work it does not </w:t>
      </w:r>
      <w:r w:rsidRPr="00314918">
        <w:t>reasonably expect</w:t>
      </w:r>
      <w:r>
        <w:t xml:space="preserve"> to deliver. </w:t>
      </w:r>
      <w:r w:rsidRPr="00314918">
        <w:t>By integrating this risk</w:t>
      </w:r>
      <w:r w:rsidRPr="00314918">
        <w:rPr>
          <w:rFonts w:ascii="Cambria Math" w:hAnsi="Cambria Math" w:cs="Cambria Math"/>
        </w:rPr>
        <w:t>‑</w:t>
      </w:r>
      <w:r w:rsidRPr="00314918">
        <w:t>based analysis, WTD</w:t>
      </w:r>
      <w:r>
        <w:t xml:space="preserve"> produced portfolio</w:t>
      </w:r>
      <w:r w:rsidRPr="00314918">
        <w:rPr>
          <w:rFonts w:ascii="Cambria Math" w:hAnsi="Cambria Math" w:cs="Cambria Math"/>
        </w:rPr>
        <w:t>‑</w:t>
      </w:r>
      <w:r>
        <w:t xml:space="preserve">level </w:t>
      </w:r>
      <w:r w:rsidRPr="00314918">
        <w:t xml:space="preserve">capital </w:t>
      </w:r>
      <w:r>
        <w:t xml:space="preserve">forecasts that were lower than the </w:t>
      </w:r>
      <w:r w:rsidRPr="00314918">
        <w:t>sum of</w:t>
      </w:r>
      <w:r>
        <w:t xml:space="preserve"> project</w:t>
      </w:r>
      <w:r w:rsidRPr="00314918">
        <w:rPr>
          <w:rFonts w:ascii="Cambria Math" w:hAnsi="Cambria Math" w:cs="Cambria Math"/>
        </w:rPr>
        <w:t>‑</w:t>
      </w:r>
      <w:r>
        <w:t>by</w:t>
      </w:r>
      <w:r w:rsidRPr="00314918">
        <w:rPr>
          <w:rFonts w:ascii="Cambria Math" w:hAnsi="Cambria Math" w:cs="Cambria Math"/>
        </w:rPr>
        <w:t>‑</w:t>
      </w:r>
      <w:r>
        <w:t xml:space="preserve">project </w:t>
      </w:r>
      <w:r w:rsidRPr="00314918">
        <w:t>estimates traditionally used in the sewer rate model</w:t>
      </w:r>
      <w:r>
        <w:t xml:space="preserve">. Since </w:t>
      </w:r>
      <w:r w:rsidRPr="00314918">
        <w:t>adopting</w:t>
      </w:r>
      <w:r>
        <w:t xml:space="preserve"> this practice, the </w:t>
      </w:r>
      <w:r w:rsidRPr="00314918">
        <w:t>difference</w:t>
      </w:r>
      <w:r>
        <w:t xml:space="preserve"> between actual </w:t>
      </w:r>
      <w:r w:rsidRPr="00314918">
        <w:t>capital spending</w:t>
      </w:r>
      <w:r>
        <w:t xml:space="preserve"> and the </w:t>
      </w:r>
      <w:r w:rsidRPr="00314918">
        <w:t>assumptions</w:t>
      </w:r>
      <w:r>
        <w:t xml:space="preserve"> used in the </w:t>
      </w:r>
      <w:r w:rsidR="005C1FE4">
        <w:t xml:space="preserve">sewer </w:t>
      </w:r>
      <w:r>
        <w:t xml:space="preserve">rate model </w:t>
      </w:r>
      <w:r w:rsidRPr="00314918">
        <w:t>has narrowed, indicating improved alignment</w:t>
      </w:r>
      <w:r>
        <w:t xml:space="preserve"> between </w:t>
      </w:r>
      <w:r w:rsidRPr="00314918">
        <w:t>planned</w:t>
      </w:r>
      <w:r>
        <w:t xml:space="preserve"> and </w:t>
      </w:r>
      <w:r w:rsidRPr="00314918">
        <w:t>achievable capital delivery</w:t>
      </w:r>
      <w:r>
        <w:t xml:space="preserve">, as shown in </w:t>
      </w:r>
      <w:r w:rsidRPr="00AD286C">
        <w:fldChar w:fldCharType="begin"/>
      </w:r>
      <w:r w:rsidRPr="00AD286C">
        <w:instrText xml:space="preserve"> REF _Ref161292789 \h  \* MERGEFORMAT </w:instrText>
      </w:r>
      <w:r w:rsidRPr="00AD286C">
        <w:fldChar w:fldCharType="separate"/>
      </w:r>
      <w:r w:rsidR="00677835" w:rsidRPr="00677835">
        <w:t xml:space="preserve">Figure </w:t>
      </w:r>
      <w:r w:rsidR="00677835" w:rsidRPr="00EB6BE6">
        <w:t>10</w:t>
      </w:r>
      <w:r w:rsidRPr="00AD286C">
        <w:fldChar w:fldCharType="end"/>
      </w:r>
      <w:r w:rsidRPr="00314918">
        <w:t>.</w:t>
      </w:r>
    </w:p>
    <w:p w14:paraId="3AAF0186" w14:textId="48C435CD" w:rsidR="005F6E5C" w:rsidRPr="00BB2940" w:rsidRDefault="005F6E5C" w:rsidP="005F6E5C">
      <w:r>
        <w:t xml:space="preserve">In developing the 2026 sewer rate proposal, </w:t>
      </w:r>
      <w:r w:rsidR="0063329E">
        <w:t xml:space="preserve">the </w:t>
      </w:r>
      <w:r>
        <w:t>capital program forecast was reviewed to account for schedule risk and the likelihood that some project expenditures may shift into later years. This review resulted in a risk-adjusted forecast of $462 million. Compared to this adjusted target, 2025 actual spending of $429 million represents a 93 percent accomplishment rate.</w:t>
      </w:r>
    </w:p>
    <w:p w14:paraId="671DB09A" w14:textId="77777777" w:rsidR="005F6E5C" w:rsidRPr="00BB2940" w:rsidRDefault="005F6E5C" w:rsidP="00976B44">
      <w:pPr>
        <w:rPr>
          <w:rFonts w:eastAsia="Calibri"/>
        </w:rPr>
      </w:pPr>
    </w:p>
    <w:p w14:paraId="74E0124B" w14:textId="153A1BF0" w:rsidR="00EC5699" w:rsidRPr="00F7514A" w:rsidRDefault="00EC5699" w:rsidP="00F7514A">
      <w:pPr>
        <w:pStyle w:val="Caption"/>
      </w:pPr>
      <w:bookmarkStart w:id="53" w:name="_Ref161292789"/>
      <w:bookmarkStart w:id="54" w:name="_Ref128473880"/>
      <w:bookmarkStart w:id="55" w:name="_Toc129353065"/>
      <w:bookmarkStart w:id="56" w:name="_Toc226970648"/>
      <w:bookmarkEnd w:id="51"/>
      <w:r w:rsidRPr="00F7514A">
        <w:lastRenderedPageBreak/>
        <w:t xml:space="preserve">Figure </w:t>
      </w:r>
      <w:r w:rsidRPr="00F7514A">
        <w:fldChar w:fldCharType="begin"/>
      </w:r>
      <w:r w:rsidRPr="00F7514A">
        <w:instrText xml:space="preserve"> SEQ Figure \* ARABIC </w:instrText>
      </w:r>
      <w:r w:rsidRPr="00F7514A">
        <w:fldChar w:fldCharType="separate"/>
      </w:r>
      <w:r w:rsidR="00677835">
        <w:rPr>
          <w:noProof/>
        </w:rPr>
        <w:t>10</w:t>
      </w:r>
      <w:r w:rsidRPr="00F7514A">
        <w:fldChar w:fldCharType="end"/>
      </w:r>
      <w:bookmarkEnd w:id="53"/>
      <w:r w:rsidRPr="00F7514A">
        <w:t xml:space="preserve"> Historical Accomplishment Rates for the Capital Program ($ in millions)</w:t>
      </w:r>
      <w:bookmarkStart w:id="57" w:name="_Toc129353038"/>
      <w:bookmarkEnd w:id="54"/>
      <w:bookmarkEnd w:id="55"/>
      <w:bookmarkEnd w:id="56"/>
      <w:r w:rsidRPr="00F7514A">
        <w:t xml:space="preserve"> </w:t>
      </w:r>
    </w:p>
    <w:p w14:paraId="4B10F195" w14:textId="510D8188" w:rsidR="00EC5699" w:rsidRDefault="00EC5699" w:rsidP="00F7514A">
      <w:pPr>
        <w:jc w:val="center"/>
      </w:pPr>
      <w:r w:rsidRPr="00C175EB">
        <w:rPr>
          <w:noProof/>
        </w:rPr>
        <w:drawing>
          <wp:inline distT="0" distB="0" distL="0" distR="0" wp14:anchorId="55D1B40A" wp14:editId="68F4C377">
            <wp:extent cx="4359910" cy="1250950"/>
            <wp:effectExtent l="0" t="0" r="2540" b="0"/>
            <wp:docPr id="20949594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59910" cy="1250950"/>
                    </a:xfrm>
                    <a:prstGeom prst="rect">
                      <a:avLst/>
                    </a:prstGeom>
                    <a:noFill/>
                    <a:ln>
                      <a:noFill/>
                    </a:ln>
                  </pic:spPr>
                </pic:pic>
              </a:graphicData>
            </a:graphic>
          </wp:inline>
        </w:drawing>
      </w:r>
    </w:p>
    <w:p w14:paraId="3C9B330E" w14:textId="4DA634CD" w:rsidR="00EC5699" w:rsidRPr="005663DC" w:rsidRDefault="00EC5699" w:rsidP="0018130B">
      <w:pPr>
        <w:pStyle w:val="Heading2"/>
      </w:pPr>
      <w:bookmarkStart w:id="58" w:name="_Toc224573032"/>
      <w:r>
        <w:t xml:space="preserve">Estimated CIP Spending for </w:t>
      </w:r>
      <w:r w:rsidRPr="005663DC">
        <w:t>202</w:t>
      </w:r>
      <w:r>
        <w:t>7</w:t>
      </w:r>
      <w:r w:rsidRPr="005663DC">
        <w:t>-20</w:t>
      </w:r>
      <w:r>
        <w:t>46</w:t>
      </w:r>
      <w:r w:rsidRPr="003D6C5E">
        <w:t xml:space="preserve"> </w:t>
      </w:r>
      <w:r w:rsidRPr="5693BADF">
        <w:t>Financial Forecast</w:t>
      </w:r>
      <w:bookmarkEnd w:id="57"/>
      <w:bookmarkEnd w:id="58"/>
    </w:p>
    <w:p w14:paraId="195E5117" w14:textId="6BBFABA4" w:rsidR="00EC5699" w:rsidRDefault="00EC5699" w:rsidP="0018130B">
      <w:r>
        <w:t>To develop the 20-year financial forecast, WTD estimates spending for active projects and develops conceptual forecasts for future projects and programs. Updates to project and program spending estimates consider changes in scope, risk, and schedule. The capital component of the forecast’s second decade also incorporates long-term forecast methodology developed by a consultant, Raftelis, to support WTD in response to Council Motion 16449 as interim financial estimates until the Regional Wastewater Services Plan Update provides the long-term capital project plan.</w:t>
      </w:r>
    </w:p>
    <w:p w14:paraId="5F2349BC" w14:textId="69C24761" w:rsidR="00EC5699" w:rsidRDefault="00EC5699" w:rsidP="0018130B">
      <w:r>
        <w:t xml:space="preserve">While WTD has prepared a 20-year capital forecast for sewer rate planning, the County budgets capital projects on a six-year CIP schedule. </w:t>
      </w:r>
      <w:r w:rsidRPr="077501AC">
        <w:t>The following five projects are the largest individual components of WTD’s</w:t>
      </w:r>
      <w:r>
        <w:t xml:space="preserve"> six</w:t>
      </w:r>
      <w:r w:rsidRPr="077501AC">
        <w:t>-year CIP</w:t>
      </w:r>
      <w:r w:rsidR="0002573C">
        <w:t>.</w:t>
      </w:r>
    </w:p>
    <w:p w14:paraId="44938163" w14:textId="2F824B55" w:rsidR="00EC5699" w:rsidRDefault="00EC5699" w:rsidP="00465029">
      <w:pPr>
        <w:pStyle w:val="Heading4"/>
      </w:pPr>
      <w:r>
        <w:t>Mouth of Duwamish Combined Sewer Overflow</w:t>
      </w:r>
    </w:p>
    <w:p w14:paraId="0F7C65B1" w14:textId="7FB88434" w:rsidR="00EC5699" w:rsidRPr="00177F4C" w:rsidRDefault="00EC5699" w:rsidP="00177F4C">
      <w:r>
        <w:t>The Mouth of Duwamish Combined Sewer Overflow Program</w:t>
      </w:r>
      <w:r w:rsidRPr="00790110">
        <w:t xml:space="preserve"> (MDCSO) </w:t>
      </w:r>
      <w:r>
        <w:t>will</w:t>
      </w:r>
      <w:r w:rsidRPr="00790110">
        <w:t xml:space="preserve"> control five CSO outfalls in the area of the mouth of the Duwamish River</w:t>
      </w:r>
      <w:r>
        <w:t>.</w:t>
      </w:r>
      <w:r w:rsidRPr="005663DC">
        <w:rPr>
          <w:rStyle w:val="EndnoteReference"/>
        </w:rPr>
        <w:endnoteReference w:id="14"/>
      </w:r>
      <w:r w:rsidRPr="00790110">
        <w:t xml:space="preserve"> The outfalls (called Chelan, Hanford #2, Lander, Kingdome, and King Street) are located in the east and west waterways of the Duwamish River on both sides of Harbor Island and along the Seattle shoreline of Elliott Bay in the neighborhoods of SODO and West Seattle</w:t>
      </w:r>
      <w:r>
        <w:t>.</w:t>
      </w:r>
      <w:r w:rsidRPr="00790110">
        <w:t xml:space="preserve"> This work fulfills consent decree requirements with the </w:t>
      </w:r>
      <w:r w:rsidR="00D73948">
        <w:t xml:space="preserve">Washington State </w:t>
      </w:r>
      <w:r w:rsidR="000B7BEF">
        <w:t xml:space="preserve">Environmental Protection Agency </w:t>
      </w:r>
      <w:r w:rsidR="00C92C03">
        <w:t>(</w:t>
      </w:r>
      <w:r w:rsidRPr="00790110">
        <w:t>EPA</w:t>
      </w:r>
      <w:r w:rsidR="00C92C03">
        <w:t>)</w:t>
      </w:r>
      <w:r w:rsidRPr="00790110">
        <w:t xml:space="preserve"> and </w:t>
      </w:r>
      <w:r w:rsidR="00654EE5">
        <w:t xml:space="preserve">Department of </w:t>
      </w:r>
      <w:r w:rsidRPr="00790110">
        <w:t>Ecology</w:t>
      </w:r>
      <w:r w:rsidR="00654EE5">
        <w:t xml:space="preserve"> (</w:t>
      </w:r>
      <w:r w:rsidRPr="00790110">
        <w:t>Ecology</w:t>
      </w:r>
      <w:r w:rsidR="00654EE5">
        <w:t>)</w:t>
      </w:r>
      <w:r w:rsidRPr="00790110">
        <w:t>.</w:t>
      </w:r>
      <w:r>
        <w:rPr>
          <w:rStyle w:val="EndnoteReference"/>
        </w:rPr>
        <w:endnoteReference w:id="15"/>
      </w:r>
      <w:r>
        <w:t xml:space="preserve"> The program team shared the </w:t>
      </w:r>
      <w:r w:rsidRPr="009C78E1">
        <w:t>proposed solution to control the five MDCSO outfalls</w:t>
      </w:r>
      <w:r>
        <w:t xml:space="preserve"> in May 2025 and is currently doing on-the-ground surveys in the area around the planned facilities</w:t>
      </w:r>
      <w:r w:rsidRPr="009C78E1">
        <w:t>.</w:t>
      </w:r>
    </w:p>
    <w:p w14:paraId="657A422D" w14:textId="54B4BAE3" w:rsidR="00EC5699" w:rsidRDefault="00EC5699" w:rsidP="008816F3">
      <w:pPr>
        <w:pStyle w:val="Heading4"/>
      </w:pPr>
      <w:r>
        <w:t>West Point Electrical Improvements</w:t>
      </w:r>
    </w:p>
    <w:p w14:paraId="05724BD9" w14:textId="06DB9833" w:rsidR="00EC5699" w:rsidRPr="008816F3" w:rsidRDefault="00EC5699" w:rsidP="008816F3">
      <w:r>
        <w:t xml:space="preserve">This program will replace approximately 300 electrical assets, relocate an additional nine electrical assets, and coordinate these efforts with other electrical and asset replacement projects at West Point Treatment Plant (WPTP) in Seattle. WPTP was constructed in the early 1960s and underwent a major expansion during the 1991 Secondary Treatment Facilities project. WPTP electrical assets from the Secondary Treatment Facilities project are now more than 25 years old and reaching the end of their life cycle. Additionally, assets installed during earlier WPTP construction are beyond the end of their life cycle and need replacement as soon as possible. Failure to replace these critical assets may result in diminished reliability, interrupted facility operations, and potential </w:t>
      </w:r>
      <w:r w:rsidRPr="62829388">
        <w:rPr>
          <w:rFonts w:eastAsia="Palatino Linotype" w:cs="Palatino Linotype"/>
        </w:rPr>
        <w:t>National Pollutant Discharge Elimination System</w:t>
      </w:r>
      <w:r>
        <w:t xml:space="preserve"> (NPDES) permit violations. The program team forecasts that the improvements will be completed by 2033.</w:t>
      </w:r>
    </w:p>
    <w:p w14:paraId="3B8EEF23" w14:textId="1BD93D8F" w:rsidR="00EC5699" w:rsidRPr="005663DC" w:rsidRDefault="00EC5699" w:rsidP="0018130B">
      <w:pPr>
        <w:pStyle w:val="Heading4"/>
      </w:pPr>
      <w:r w:rsidRPr="005663DC">
        <w:t xml:space="preserve">Elliot West Wet Weather Treatment Station </w:t>
      </w:r>
    </w:p>
    <w:p w14:paraId="7578F8AA" w14:textId="7ED38407" w:rsidR="00EC5699" w:rsidRDefault="00EC5699" w:rsidP="0018130B">
      <w:r w:rsidRPr="005663DC">
        <w:t xml:space="preserve">The Elliott West Wet Weather Treatment Station (EWWTS) project consists of new and upgraded treatment facilities to treat CSOs prior to discharge through the existing outfall in Elliott Bay. </w:t>
      </w:r>
      <w:r w:rsidRPr="005663DC">
        <w:rPr>
          <w:rFonts w:eastAsia="Palatino Linotype" w:cs="Palatino Linotype"/>
        </w:rPr>
        <w:t xml:space="preserve">The project will make improvements that will result in full </w:t>
      </w:r>
      <w:r w:rsidRPr="224732CF">
        <w:rPr>
          <w:rFonts w:eastAsia="Palatino Linotype" w:cs="Palatino Linotype"/>
        </w:rPr>
        <w:t xml:space="preserve">NPDES </w:t>
      </w:r>
      <w:r w:rsidRPr="005663DC">
        <w:rPr>
          <w:rFonts w:eastAsia="Palatino Linotype" w:cs="Palatino Linotype"/>
        </w:rPr>
        <w:t xml:space="preserve">permit compliance at the EWWTS. </w:t>
      </w:r>
      <w:r w:rsidRPr="005663DC">
        <w:t>Construction is anticipated to begin in 2027 and extend through 2033.</w:t>
      </w:r>
    </w:p>
    <w:p w14:paraId="28C878BB" w14:textId="0102007C" w:rsidR="00EC5699" w:rsidRDefault="00EC5699" w:rsidP="0018130B">
      <w:pPr>
        <w:pStyle w:val="Heading4"/>
      </w:pPr>
      <w:r>
        <w:lastRenderedPageBreak/>
        <w:t>East Ship Canal Wet Weather Facilities</w:t>
      </w:r>
    </w:p>
    <w:p w14:paraId="2DCC6318" w14:textId="786398E0" w:rsidR="00EC5699" w:rsidRPr="00041EEB" w:rsidRDefault="00EC5699" w:rsidP="0018130B">
      <w:r>
        <w:t xml:space="preserve">The conceptual project scope anticipates construction of a large storage facility around the University </w:t>
      </w:r>
      <w:r w:rsidR="00E24069">
        <w:t>of Washingto</w:t>
      </w:r>
      <w:r w:rsidR="000A2996">
        <w:t>n</w:t>
      </w:r>
      <w:r>
        <w:t xml:space="preserve"> </w:t>
      </w:r>
      <w:r w:rsidR="00F119C9">
        <w:t>and</w:t>
      </w:r>
      <w:r>
        <w:t xml:space="preserve"> Montlake area</w:t>
      </w:r>
      <w:r w:rsidR="00F119C9">
        <w:t>s</w:t>
      </w:r>
      <w:r>
        <w:t xml:space="preserve"> to control and bring into compliance the University and Montlake Regulator Stations, the Belvoir Pump Station, and upgrade the Densmore Pump Station. This project is required by the modified 2013 federal consent decree with the U.S. Department of Justice, the EPA, and Ecology. The project recently secured budget appropriation in the 2026</w:t>
      </w:r>
      <w:r w:rsidR="0060544C">
        <w:t>-</w:t>
      </w:r>
      <w:r>
        <w:t>2027 biennial budget to begin planning and preliminary design activities</w:t>
      </w:r>
      <w:r w:rsidRPr="00041EEB">
        <w:t>.</w:t>
      </w:r>
      <w:r>
        <w:t xml:space="preserve"> </w:t>
      </w:r>
    </w:p>
    <w:p w14:paraId="15025C4C" w14:textId="6196F2F6" w:rsidR="00EC5699" w:rsidRDefault="00EC5699" w:rsidP="0018130B">
      <w:pPr>
        <w:pStyle w:val="Heading4"/>
      </w:pPr>
      <w:r>
        <w:t>West Point Treatment Plant Critical Gate Refurbishment</w:t>
      </w:r>
    </w:p>
    <w:p w14:paraId="2EE0F61B" w14:textId="7477B821" w:rsidR="00EC5699" w:rsidRDefault="00EC5699" w:rsidP="0018130B">
      <w:r>
        <w:t xml:space="preserve">The project will restore full functionality to critical treatment plant wastewater flow control gates and their support systems at the WPTP in Seattle. Support systems include operators, hydraulics, and controls. Gates and support systems will be renewed or replaced in kind. The first two major projects identified under this program address the WPTP primary effluent gate and the chlorine mix structure gate. These projects are currently forecasted to be completed by 2029 and 2030, respectively. </w:t>
      </w:r>
    </w:p>
    <w:p w14:paraId="6AA9CA80" w14:textId="77777777" w:rsidR="00EC5699" w:rsidRPr="00495260" w:rsidRDefault="00EC5699" w:rsidP="0018130B">
      <w:pPr>
        <w:pStyle w:val="Heading3"/>
      </w:pPr>
      <w:r w:rsidRPr="00495260">
        <w:t>Other Capital Projects</w:t>
      </w:r>
    </w:p>
    <w:p w14:paraId="0ECA8F82" w14:textId="7C01F6E3" w:rsidR="00EC5699" w:rsidRDefault="00EC5699" w:rsidP="0018130B">
      <w:r>
        <w:t xml:space="preserve">New projects, along with updated spending forecasts and schedules for the existing capital program, form the </w:t>
      </w:r>
      <w:r w:rsidRPr="005663DC">
        <w:t>basis for developing</w:t>
      </w:r>
      <w:r>
        <w:t xml:space="preserve"> the CIP </w:t>
      </w:r>
      <w:r w:rsidRPr="005663DC">
        <w:t>for the</w:t>
      </w:r>
      <w:r>
        <w:t xml:space="preserve"> financial forecast. </w:t>
      </w:r>
      <w:r w:rsidRPr="005663DC">
        <w:t xml:space="preserve">The updated forecast includes continued deferral of pipeline capacity projects that have neither a population growth driver nor overflows </w:t>
      </w:r>
      <w:r w:rsidRPr="006713ED">
        <w:t>within the last five years</w:t>
      </w:r>
      <w:r w:rsidRPr="005663DC">
        <w:t>, so that capital delivery capacity can be dedicated to higher-priority system investments</w:t>
      </w:r>
      <w:r w:rsidRPr="00022D04">
        <w:t>.</w:t>
      </w:r>
      <w:r>
        <w:t xml:space="preserve"> </w:t>
      </w:r>
    </w:p>
    <w:p w14:paraId="0BF01D23" w14:textId="2D9AD158" w:rsidR="00EC5699" w:rsidRPr="00CA423A" w:rsidRDefault="00EC5699" w:rsidP="0018130B">
      <w:pPr>
        <w:rPr>
          <w:b/>
          <w:bCs/>
        </w:rPr>
      </w:pPr>
      <w:r w:rsidRPr="00EF775B">
        <w:fldChar w:fldCharType="begin"/>
      </w:r>
      <w:r w:rsidRPr="00EF775B">
        <w:instrText xml:space="preserve"> REF _Ref161292847 \h  \* MERGEFORMAT </w:instrText>
      </w:r>
      <w:r w:rsidRPr="00EF775B">
        <w:fldChar w:fldCharType="separate"/>
      </w:r>
      <w:r w:rsidR="00961292">
        <w:t>Figure 11</w:t>
      </w:r>
      <w:r w:rsidRPr="00EF775B">
        <w:fldChar w:fldCharType="end"/>
      </w:r>
      <w:r w:rsidRPr="0015111A">
        <w:rPr>
          <w:b/>
          <w:bCs/>
        </w:rPr>
        <w:fldChar w:fldCharType="begin"/>
      </w:r>
      <w:r w:rsidRPr="0015111A">
        <w:rPr>
          <w:b/>
          <w:bCs/>
        </w:rPr>
        <w:instrText xml:space="preserve"> REF _Ref128473912 \r \h  \* MERGEFORMAT </w:instrText>
      </w:r>
      <w:r w:rsidRPr="0015111A">
        <w:rPr>
          <w:b/>
          <w:bCs/>
        </w:rPr>
      </w:r>
      <w:r w:rsidRPr="0015111A">
        <w:rPr>
          <w:b/>
          <w:bCs/>
        </w:rPr>
        <w:fldChar w:fldCharType="separate"/>
      </w:r>
      <w:r w:rsidRPr="0015111A">
        <w:rPr>
          <w:b/>
          <w:bCs/>
        </w:rPr>
        <w:fldChar w:fldCharType="end"/>
      </w:r>
      <w:r>
        <w:rPr>
          <w:b/>
          <w:bCs/>
        </w:rPr>
        <w:t xml:space="preserve"> </w:t>
      </w:r>
      <w:r>
        <w:t>summarizes the capital investment strategy used to develop the proposed sewer rate forecast.</w:t>
      </w:r>
    </w:p>
    <w:p w14:paraId="159A6FF4" w14:textId="44F1F3D2" w:rsidR="00EC5699" w:rsidRPr="008B16E4" w:rsidRDefault="00EC5699" w:rsidP="00FD22C6">
      <w:pPr>
        <w:pStyle w:val="Caption"/>
      </w:pPr>
      <w:bookmarkStart w:id="59" w:name="_Ref161292847"/>
      <w:bookmarkStart w:id="60" w:name="_Ref128473912"/>
      <w:bookmarkStart w:id="61" w:name="_Toc129353066"/>
      <w:bookmarkStart w:id="62" w:name="_Toc226970649"/>
      <w:r>
        <w:t xml:space="preserve">Figure </w:t>
      </w:r>
      <w:r>
        <w:fldChar w:fldCharType="begin"/>
      </w:r>
      <w:r>
        <w:instrText xml:space="preserve"> SEQ Figure \* ARABIC </w:instrText>
      </w:r>
      <w:r>
        <w:fldChar w:fldCharType="separate"/>
      </w:r>
      <w:r w:rsidR="00677835">
        <w:rPr>
          <w:noProof/>
        </w:rPr>
        <w:t>11</w:t>
      </w:r>
      <w:r>
        <w:fldChar w:fldCharType="end"/>
      </w:r>
      <w:bookmarkEnd w:id="59"/>
      <w:r>
        <w:t xml:space="preserve"> </w:t>
      </w:r>
      <w:r w:rsidRPr="00FD22C6">
        <w:t xml:space="preserve">WTD </w:t>
      </w:r>
      <w:r w:rsidRPr="008B16E4">
        <w:t>CIP Investment Strategy</w:t>
      </w:r>
      <w:bookmarkEnd w:id="60"/>
      <w:bookmarkEnd w:id="61"/>
      <w:bookmarkEnd w:id="62"/>
    </w:p>
    <w:tbl>
      <w:tblPr>
        <w:tblStyle w:val="CustomTableFormat"/>
        <w:tblW w:w="10494" w:type="dxa"/>
        <w:tblLayout w:type="fixed"/>
        <w:tblLook w:val="06A0" w:firstRow="1" w:lastRow="0" w:firstColumn="1" w:lastColumn="0" w:noHBand="1" w:noVBand="1"/>
      </w:tblPr>
      <w:tblGrid>
        <w:gridCol w:w="2292"/>
        <w:gridCol w:w="8202"/>
      </w:tblGrid>
      <w:tr w:rsidR="00EC5699" w14:paraId="591BED24" w14:textId="77777777" w:rsidTr="62829388">
        <w:trPr>
          <w:cnfStyle w:val="100000000000" w:firstRow="1" w:lastRow="0" w:firstColumn="0" w:lastColumn="0" w:oddVBand="0" w:evenVBand="0" w:oddHBand="0" w:evenHBand="0" w:firstRowFirstColumn="0" w:firstRowLastColumn="0" w:lastRowFirstColumn="0" w:lastRowLastColumn="0"/>
          <w:cantSplit/>
          <w:trHeight w:val="316"/>
        </w:trPr>
        <w:tc>
          <w:tcPr>
            <w:cnfStyle w:val="001000000000" w:firstRow="0" w:lastRow="0" w:firstColumn="1" w:lastColumn="0" w:oddVBand="0" w:evenVBand="0" w:oddHBand="0" w:evenHBand="0" w:firstRowFirstColumn="0" w:firstRowLastColumn="0" w:lastRowFirstColumn="0" w:lastRowLastColumn="0"/>
            <w:tcW w:w="2292" w:type="dxa"/>
          </w:tcPr>
          <w:p w14:paraId="60C5ABDF" w14:textId="77777777" w:rsidR="00EC5699" w:rsidRDefault="00EC5699" w:rsidP="00E50EF9">
            <w:pPr>
              <w:pStyle w:val="Tableandgraphtext"/>
            </w:pPr>
            <w:r w:rsidRPr="53A604D7">
              <w:rPr>
                <w:rFonts w:eastAsia="Calibri"/>
              </w:rPr>
              <w:t>CIP Policy Topic</w:t>
            </w:r>
          </w:p>
        </w:tc>
        <w:tc>
          <w:tcPr>
            <w:tcW w:w="8202" w:type="dxa"/>
          </w:tcPr>
          <w:p w14:paraId="1A5F67C0" w14:textId="77777777" w:rsidR="00EC5699" w:rsidRDefault="00EC5699" w:rsidP="00E50EF9">
            <w:pPr>
              <w:pStyle w:val="Tableandgraphtext"/>
              <w:cnfStyle w:val="100000000000" w:firstRow="1" w:lastRow="0" w:firstColumn="0" w:lastColumn="0" w:oddVBand="0" w:evenVBand="0" w:oddHBand="0" w:evenHBand="0" w:firstRowFirstColumn="0" w:firstRowLastColumn="0" w:lastRowFirstColumn="0" w:lastRowLastColumn="0"/>
            </w:pPr>
            <w:r w:rsidRPr="53A604D7">
              <w:rPr>
                <w:rFonts w:eastAsia="Calibri"/>
              </w:rPr>
              <w:t>Basis for Investment Strategy</w:t>
            </w:r>
          </w:p>
        </w:tc>
      </w:tr>
      <w:tr w:rsidR="00EC5699" w14:paraId="3A4D48DD"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tcPr>
          <w:p w14:paraId="1F65675B" w14:textId="77777777" w:rsidR="00EC5699" w:rsidRDefault="00EC5699" w:rsidP="00E50EF9">
            <w:pPr>
              <w:pStyle w:val="Tableandgraphtext"/>
            </w:pPr>
            <w:r w:rsidRPr="53A604D7">
              <w:rPr>
                <w:rFonts w:eastAsia="Calibri"/>
              </w:rPr>
              <w:t>CSO Consent Decree Cost &amp; Schedule</w:t>
            </w:r>
          </w:p>
        </w:tc>
        <w:tc>
          <w:tcPr>
            <w:tcW w:w="8202" w:type="dxa"/>
          </w:tcPr>
          <w:p w14:paraId="103AC968" w14:textId="4E2AA0B6"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Maintains</w:t>
            </w:r>
            <w:r w:rsidRPr="56E954E7">
              <w:rPr>
                <w:rFonts w:eastAsia="Calibri"/>
              </w:rPr>
              <w:t xml:space="preserve"> project </w:t>
            </w:r>
            <w:r>
              <w:rPr>
                <w:rFonts w:eastAsia="Calibri"/>
              </w:rPr>
              <w:t>cashflows</w:t>
            </w:r>
            <w:r w:rsidRPr="56E954E7">
              <w:rPr>
                <w:rFonts w:eastAsia="Calibri"/>
              </w:rPr>
              <w:t xml:space="preserve"> related to the CSO </w:t>
            </w:r>
            <w:r>
              <w:rPr>
                <w:rFonts w:eastAsia="Calibri"/>
              </w:rPr>
              <w:t>c</w:t>
            </w:r>
            <w:r w:rsidRPr="56E954E7">
              <w:rPr>
                <w:rFonts w:eastAsia="Calibri"/>
              </w:rPr>
              <w:t xml:space="preserve">onsent </w:t>
            </w:r>
            <w:r>
              <w:rPr>
                <w:rFonts w:eastAsia="Calibri"/>
              </w:rPr>
              <w:t>d</w:t>
            </w:r>
            <w:r w:rsidRPr="56E954E7">
              <w:rPr>
                <w:rFonts w:eastAsia="Calibri"/>
              </w:rPr>
              <w:t>ecree</w:t>
            </w:r>
            <w:r>
              <w:rPr>
                <w:rFonts w:eastAsia="Calibri"/>
              </w:rPr>
              <w:t xml:space="preserve"> to meet 2037 end date</w:t>
            </w:r>
            <w:r w:rsidRPr="2FE91817">
              <w:rPr>
                <w:rFonts w:eastAsia="Calibri"/>
              </w:rPr>
              <w:t xml:space="preserve">. </w:t>
            </w:r>
            <w:r>
              <w:rPr>
                <w:rFonts w:eastAsia="Calibri"/>
              </w:rPr>
              <w:t>Includes recent cost updates to the Mouth of the Duwamish CSO control program.</w:t>
            </w:r>
          </w:p>
        </w:tc>
      </w:tr>
      <w:tr w:rsidR="00EC5699" w14:paraId="09C2C44B"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shd w:val="clear" w:color="auto" w:fill="F2F2F2" w:themeFill="accent3" w:themeFillShade="F2"/>
          </w:tcPr>
          <w:p w14:paraId="41F114F6" w14:textId="77777777" w:rsidR="00EC5699" w:rsidRDefault="00EC5699" w:rsidP="00E50EF9">
            <w:pPr>
              <w:pStyle w:val="Tableandgraphtext"/>
            </w:pPr>
            <w:r w:rsidRPr="53A604D7">
              <w:rPr>
                <w:rFonts w:eastAsia="Calibri"/>
              </w:rPr>
              <w:t>Nutrient Removal - Ecology Permit</w:t>
            </w:r>
          </w:p>
        </w:tc>
        <w:tc>
          <w:tcPr>
            <w:tcW w:w="8202" w:type="dxa"/>
            <w:shd w:val="clear" w:color="auto" w:fill="F2F2F2" w:themeFill="accent3" w:themeFillShade="F2"/>
          </w:tcPr>
          <w:p w14:paraId="58BDF091" w14:textId="74775798"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pPr>
            <w:r w:rsidRPr="62829388">
              <w:rPr>
                <w:rFonts w:eastAsia="Calibri"/>
              </w:rPr>
              <w:t>Includes Nitrogen Reduction Planning, Nutrient Reduction Evaluation Study, and Near-Term Optimization Capital Investments. Includes proactive/multibenefit investment to optimize nitrogen removal at South Plant as comparably modest investments while nutrient regulations are uncertain.</w:t>
            </w:r>
          </w:p>
        </w:tc>
      </w:tr>
      <w:tr w:rsidR="00EC5699" w14:paraId="36D938AC"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accent3"/>
          </w:tcPr>
          <w:p w14:paraId="1405545C" w14:textId="23889410" w:rsidR="00EC5699" w:rsidRPr="00492D88" w:rsidRDefault="00EC5699" w:rsidP="00E50EF9">
            <w:pPr>
              <w:pStyle w:val="Tableandgraphtext"/>
              <w:rPr>
                <w:rFonts w:eastAsia="Calibri"/>
              </w:rPr>
            </w:pPr>
            <w:r w:rsidRPr="53A604D7">
              <w:rPr>
                <w:rFonts w:eastAsia="Calibri"/>
              </w:rPr>
              <w:t xml:space="preserve">Asset Management </w:t>
            </w:r>
            <w:r>
              <w:rPr>
                <w:rFonts w:eastAsia="Calibri"/>
              </w:rPr>
              <w:t>(Plants &amp; Conveyance)</w:t>
            </w:r>
            <w:r w:rsidRPr="53A604D7">
              <w:rPr>
                <w:rFonts w:eastAsia="Calibri"/>
              </w:rPr>
              <w:t xml:space="preserve">  </w:t>
            </w:r>
          </w:p>
        </w:tc>
        <w:tc>
          <w:tcPr>
            <w:tcW w:w="8202" w:type="dxa"/>
            <w:shd w:val="clear" w:color="auto" w:fill="FFFFFF" w:themeFill="accent3"/>
          </w:tcPr>
          <w:p w14:paraId="2B820A7D" w14:textId="12F2E794" w:rsidR="00EC5699" w:rsidRPr="004D17F4"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62829388">
              <w:rPr>
                <w:rFonts w:eastAsia="Calibri"/>
              </w:rPr>
              <w:t>Continues</w:t>
            </w:r>
            <w:r>
              <w:rPr>
                <w:rFonts w:eastAsia="Calibri"/>
              </w:rPr>
              <w:t xml:space="preserve"> sequencing of projects</w:t>
            </w:r>
            <w:r w:rsidRPr="62829388">
              <w:rPr>
                <w:rFonts w:eastAsia="Calibri"/>
              </w:rPr>
              <w:t xml:space="preserve"> remaining </w:t>
            </w:r>
            <w:r>
              <w:rPr>
                <w:rFonts w:eastAsia="Calibri"/>
              </w:rPr>
              <w:t xml:space="preserve">in the </w:t>
            </w:r>
            <w:r w:rsidRPr="62829388">
              <w:rPr>
                <w:rFonts w:eastAsia="Calibri"/>
              </w:rPr>
              <w:t>current high-risk inventory, then transitions to replacing assets at end of useful life; cost projected to year of replacement</w:t>
            </w:r>
          </w:p>
        </w:tc>
      </w:tr>
      <w:tr w:rsidR="00EC5699" w14:paraId="63FF43B3"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shd w:val="clear" w:color="auto" w:fill="F2F2F2" w:themeFill="accent3" w:themeFillShade="F2"/>
          </w:tcPr>
          <w:p w14:paraId="46600177" w14:textId="2E7B060E" w:rsidR="00EC5699" w:rsidRDefault="00EC5699" w:rsidP="00E50EF9">
            <w:pPr>
              <w:pStyle w:val="Tableandgraphtext"/>
            </w:pPr>
            <w:r>
              <w:rPr>
                <w:rFonts w:eastAsia="Calibri"/>
              </w:rPr>
              <w:t xml:space="preserve">Building for </w:t>
            </w:r>
            <w:r w:rsidRPr="53A604D7">
              <w:rPr>
                <w:rFonts w:eastAsia="Calibri"/>
              </w:rPr>
              <w:t>Capacity</w:t>
            </w:r>
          </w:p>
        </w:tc>
        <w:tc>
          <w:tcPr>
            <w:tcW w:w="8202" w:type="dxa"/>
            <w:shd w:val="clear" w:color="auto" w:fill="F2F2F2" w:themeFill="accent3" w:themeFillShade="F2"/>
          </w:tcPr>
          <w:p w14:paraId="6C250A0B" w14:textId="5DBA45D1"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pPr>
            <w:r w:rsidRPr="53A604D7">
              <w:rPr>
                <w:rFonts w:eastAsia="Calibri"/>
              </w:rPr>
              <w:t xml:space="preserve">Includes conceptual forecasts for projects </w:t>
            </w:r>
            <w:r>
              <w:rPr>
                <w:rFonts w:eastAsia="Calibri"/>
              </w:rPr>
              <w:t>identified</w:t>
            </w:r>
            <w:r w:rsidRPr="53A604D7">
              <w:rPr>
                <w:rFonts w:eastAsia="Calibri"/>
              </w:rPr>
              <w:t xml:space="preserve"> by the Treatment Planning Program and Conveyance System Improvements Program to address plant and conveyance system capacity limitations.</w:t>
            </w:r>
            <w:r>
              <w:rPr>
                <w:rFonts w:eastAsia="Calibri"/>
              </w:rPr>
              <w:t xml:space="preserve"> Deprioritizes conveyance system projects resulting from inflow and infiltration in the first decade.  </w:t>
            </w:r>
          </w:p>
        </w:tc>
      </w:tr>
      <w:tr w:rsidR="00EC5699" w14:paraId="7072BEDD"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tcPr>
          <w:p w14:paraId="57449B65" w14:textId="77777777" w:rsidR="00EC5699" w:rsidRDefault="00EC5699" w:rsidP="00E50EF9">
            <w:pPr>
              <w:pStyle w:val="Tableandgraphtext"/>
            </w:pPr>
            <w:r w:rsidRPr="53A604D7">
              <w:rPr>
                <w:rFonts w:eastAsia="Calibri"/>
              </w:rPr>
              <w:t>Capital Program Staffing</w:t>
            </w:r>
          </w:p>
        </w:tc>
        <w:tc>
          <w:tcPr>
            <w:tcW w:w="8202" w:type="dxa"/>
          </w:tcPr>
          <w:p w14:paraId="7E0A6933" w14:textId="00224E69"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pPr>
            <w:r w:rsidRPr="62829388">
              <w:rPr>
                <w:rFonts w:eastAsia="Calibri"/>
              </w:rPr>
              <w:t>Assumes that a ramp-up of capital delivery continues as WTD continues to hire, onboard, and train additional staff</w:t>
            </w:r>
            <w:r>
              <w:rPr>
                <w:rFonts w:eastAsia="Calibri"/>
              </w:rPr>
              <w:t xml:space="preserve"> added in previous budget cycles</w:t>
            </w:r>
            <w:r w:rsidRPr="62829388">
              <w:rPr>
                <w:rFonts w:eastAsia="Calibri"/>
              </w:rPr>
              <w:t>.</w:t>
            </w:r>
            <w:r>
              <w:rPr>
                <w:rFonts w:eastAsia="Calibri"/>
              </w:rPr>
              <w:t xml:space="preserve"> No additional staffing assumed for 2027</w:t>
            </w:r>
            <w:r w:rsidRPr="62829388">
              <w:rPr>
                <w:rFonts w:eastAsia="Calibri"/>
              </w:rPr>
              <w:t>.</w:t>
            </w:r>
          </w:p>
        </w:tc>
      </w:tr>
    </w:tbl>
    <w:p w14:paraId="6A1F6E4F" w14:textId="055E6481" w:rsidR="00EC5699" w:rsidRPr="00D90BDE" w:rsidRDefault="00EC5699" w:rsidP="0018130B">
      <w:pPr>
        <w:pStyle w:val="Heading2"/>
      </w:pPr>
      <w:bookmarkStart w:id="63" w:name="_Toc129353039"/>
      <w:bookmarkStart w:id="64" w:name="_Toc224573033"/>
      <w:bookmarkStart w:id="65" w:name="_Toc34589090"/>
      <w:bookmarkStart w:id="66" w:name="_Toc39566817"/>
      <w:bookmarkStart w:id="67" w:name="_Toc39586781"/>
      <w:r>
        <w:t>Capital Expenditure Delivery Capacity Analysis</w:t>
      </w:r>
      <w:bookmarkEnd w:id="63"/>
      <w:bookmarkEnd w:id="64"/>
    </w:p>
    <w:p w14:paraId="60389E27" w14:textId="2BFD56BC" w:rsidR="00EC5699" w:rsidRDefault="00EC5699" w:rsidP="003E2F19">
      <w:bookmarkStart w:id="68" w:name="_APPENDIX_C_–"/>
      <w:bookmarkEnd w:id="68"/>
      <w:r>
        <w:t xml:space="preserve">WTD is preparing for a significant increase in the volume of capital projects it will need to deliver to meet regulatory requirements, address aging infrastructure, and meet the needs of a growing regional population. As the capital program expands, the division is intentionally aligning commitments and funding requests with realistic delivery capacity so that WTD does not secure funding for work that it does not anticipate having resources to deliver.  </w:t>
      </w:r>
    </w:p>
    <w:p w14:paraId="435A0116" w14:textId="6193E8B7" w:rsidR="00EC5699" w:rsidRPr="00C377AA" w:rsidRDefault="00EC5699" w:rsidP="004F6ECF">
      <w:pPr>
        <w:keepNext/>
        <w:rPr>
          <w:b/>
        </w:rPr>
      </w:pPr>
      <w:r w:rsidRPr="00C377AA">
        <w:rPr>
          <w:b/>
        </w:rPr>
        <w:lastRenderedPageBreak/>
        <w:t>Expansion of Full Time Equivalent (FTE) Positions</w:t>
      </w:r>
    </w:p>
    <w:p w14:paraId="005D3757" w14:textId="527BD3E1" w:rsidR="00EC5699" w:rsidRDefault="00EC5699" w:rsidP="003E2F19">
      <w:r>
        <w:t>Between 2021</w:t>
      </w:r>
      <w:r w:rsidR="00B16C5A">
        <w:t xml:space="preserve"> and </w:t>
      </w:r>
      <w:r>
        <w:t>2025, WTD steadily increased the number for FTEs dedicated to capital delivery. This investment has expanded the division’s ability to plan, design, and construct projects. During the same period, annual capital expenditures have increased from approximately $200 million in 2021 to $4</w:t>
      </w:r>
      <w:r w:rsidR="7CB5FC84">
        <w:t>29</w:t>
      </w:r>
      <w:r>
        <w:t xml:space="preserve"> million in 2025. </w:t>
      </w:r>
    </w:p>
    <w:p w14:paraId="0C0F5CC1" w14:textId="79EE04F4" w:rsidR="00EC5699" w:rsidRDefault="00EC5699" w:rsidP="003E2F19">
      <w:r>
        <w:t>Many of the recently added staff are currently assigned to projects in early design phases. As these projects advance to construction, WTD expects a corresponding increase in project throughput and capital spending.</w:t>
      </w:r>
    </w:p>
    <w:p w14:paraId="6CE7B845" w14:textId="49BCA4EF" w:rsidR="00EC5699" w:rsidRPr="00C377AA" w:rsidRDefault="00EC5699" w:rsidP="0018130B">
      <w:pPr>
        <w:rPr>
          <w:b/>
        </w:rPr>
      </w:pPr>
      <w:r w:rsidRPr="00C377AA">
        <w:rPr>
          <w:b/>
        </w:rPr>
        <w:t>Additional Strategies to Increase Throughput</w:t>
      </w:r>
    </w:p>
    <w:p w14:paraId="6C681E43" w14:textId="77777777" w:rsidR="00EC5699" w:rsidRDefault="00EC5699" w:rsidP="0018130B">
      <w:r>
        <w:t>WTD has implemented several additional strategies to increase delivery capacity. These include:</w:t>
      </w:r>
    </w:p>
    <w:p w14:paraId="65641A18" w14:textId="2B63BA7C" w:rsidR="00EC5699" w:rsidRDefault="00EC5699" w:rsidP="00FB20CC">
      <w:pPr>
        <w:pStyle w:val="ListParagraph"/>
        <w:numPr>
          <w:ilvl w:val="0"/>
          <w:numId w:val="87"/>
        </w:numPr>
      </w:pPr>
      <w:r>
        <w:t>Aligned project delivery staff with operational facilities, which reduces onboarding time and improves coordination.</w:t>
      </w:r>
    </w:p>
    <w:p w14:paraId="041A3ACE" w14:textId="77777777" w:rsidR="00EC5699" w:rsidRDefault="00EC5699" w:rsidP="00FB20CC">
      <w:pPr>
        <w:pStyle w:val="ListParagraph"/>
        <w:numPr>
          <w:ilvl w:val="0"/>
          <w:numId w:val="87"/>
        </w:numPr>
      </w:pPr>
      <w:r>
        <w:t xml:space="preserve">Expanded consultant support in engineering and program management to support internal staff. </w:t>
      </w:r>
    </w:p>
    <w:p w14:paraId="2E839F21" w14:textId="523D1C49" w:rsidR="00EC5699" w:rsidRDefault="00EC5699" w:rsidP="00FB20CC">
      <w:pPr>
        <w:pStyle w:val="ListParagraph"/>
        <w:numPr>
          <w:ilvl w:val="0"/>
          <w:numId w:val="87"/>
        </w:numPr>
      </w:pPr>
      <w:r>
        <w:t xml:space="preserve">Bundled discrete scopes of work into larger contract packages to reduce the number of procurements and accelerate delivery. </w:t>
      </w:r>
    </w:p>
    <w:p w14:paraId="63CDE32A" w14:textId="77777777" w:rsidR="00EC5699" w:rsidRDefault="00EC5699" w:rsidP="00FB20CC">
      <w:pPr>
        <w:pStyle w:val="ListParagraph"/>
        <w:numPr>
          <w:ilvl w:val="0"/>
          <w:numId w:val="87"/>
        </w:numPr>
      </w:pPr>
      <w:r>
        <w:t>Increased use of alternative delivery when appropriate to improve schedule and cost certainty.</w:t>
      </w:r>
    </w:p>
    <w:p w14:paraId="22E06FAE" w14:textId="44126CEC" w:rsidR="00EC5699" w:rsidRDefault="00EC5699" w:rsidP="00A2696A">
      <w:pPr>
        <w:pStyle w:val="ListParagraph"/>
        <w:numPr>
          <w:ilvl w:val="0"/>
          <w:numId w:val="87"/>
        </w:numPr>
      </w:pPr>
      <w:r>
        <w:t>Enhanced contractor outreach to strengthen WTD’s position as an owner of choice and encourage competitive bidding.</w:t>
      </w:r>
    </w:p>
    <w:p w14:paraId="5D9140C2" w14:textId="4C5A6FA5" w:rsidR="00EC5699" w:rsidRPr="00195202" w:rsidRDefault="00EC5699" w:rsidP="0018130B">
      <w:pPr>
        <w:rPr>
          <w:b/>
        </w:rPr>
      </w:pPr>
      <w:r w:rsidRPr="00195202">
        <w:rPr>
          <w:b/>
        </w:rPr>
        <w:t>Mega Project Delivery Considerations</w:t>
      </w:r>
    </w:p>
    <w:p w14:paraId="328EF794" w14:textId="74623B19" w:rsidR="00FE3C00" w:rsidRDefault="00EC5699" w:rsidP="0018130B">
      <w:r>
        <w:t>A significant portion of forecasted spending through 2036 is being driven by mega projects with costs exceeding $1 billion. These projects benefit from economies of scale in staffing, as they typically rely on a relatively small team of internal staff</w:t>
      </w:r>
      <w:r w:rsidR="0037044D">
        <w:t>,</w:t>
      </w:r>
      <w:r>
        <w:t xml:space="preserve"> supported by large consultant teams. Construction costs also represent a larger share of total overall costs when compared to typical projects. </w:t>
      </w:r>
    </w:p>
    <w:p w14:paraId="01A71800" w14:textId="3E699929" w:rsidR="00EC5699" w:rsidRDefault="00EC5699" w:rsidP="0018130B">
      <w:r>
        <w:t>For example, to deliver the Brightwater Treatment Plant, which cost $900 million, about three percent of the total cost was WTD staff labor and about 13 percent was consultant labor. The remaining costs were land purchases, permitting, and construction.</w:t>
      </w:r>
    </w:p>
    <w:p w14:paraId="7D9E7377" w14:textId="6E0B4C08" w:rsidR="00EC5699" w:rsidRPr="00FD5526" w:rsidRDefault="00EC5699" w:rsidP="0018130B">
      <w:pPr>
        <w:rPr>
          <w:b/>
        </w:rPr>
      </w:pPr>
      <w:r w:rsidRPr="00FD5526">
        <w:rPr>
          <w:b/>
        </w:rPr>
        <w:t xml:space="preserve">Pre-Budget Capacity Analysis </w:t>
      </w:r>
    </w:p>
    <w:p w14:paraId="0205C85C" w14:textId="21109077" w:rsidR="00EC5699" w:rsidDel="00001FB4" w:rsidRDefault="00EC5699" w:rsidP="0018130B">
      <w:r>
        <w:t>The 2026-2027 Biennial budget and six-year CIP form the basis of the WTD capital forecast. To assess delivery capacity, WTD performed two complementary analyses during budget request development.</w:t>
      </w:r>
    </w:p>
    <w:p w14:paraId="6628CF1B" w14:textId="5399CB36" w:rsidR="00EC5699" w:rsidRPr="00A529C0" w:rsidRDefault="00EC5699" w:rsidP="008C3877">
      <w:pPr>
        <w:rPr>
          <w:bCs/>
          <w:u w:val="single"/>
        </w:rPr>
      </w:pPr>
      <w:r w:rsidRPr="00A529C0">
        <w:rPr>
          <w:bCs/>
          <w:u w:val="single"/>
        </w:rPr>
        <w:t>Model 1: Qualitative Assessment by Project Delivery Managers</w:t>
      </w:r>
    </w:p>
    <w:p w14:paraId="618219B7" w14:textId="71B10005" w:rsidR="00EC5699" w:rsidRDefault="00EC5699" w:rsidP="008C3877">
      <w:r>
        <w:t xml:space="preserve">WTD delivers projects using a matrixed staffing model. Project teams are composed of cross-functional staff from managerial units organized by functional discipline, such as engineering or construction management. Each discipline is managed by a functional unit manager responsible for assigning staff to cross-functional project teams. </w:t>
      </w:r>
    </w:p>
    <w:p w14:paraId="469E2B88" w14:textId="32F56A5C" w:rsidR="00EC5699" w:rsidRDefault="00EC5699" w:rsidP="008C3877">
      <w:r>
        <w:t>These functional unit managers conducted a qualitative review of staffing based on professional judgement and knowledge of anticipated workloads. Because capital projects vary widely in scope and complexity, this approach focused on understanding the nature of upcoming work and the cross-functional labor required.</w:t>
      </w:r>
    </w:p>
    <w:p w14:paraId="73D162F9" w14:textId="7861AB53" w:rsidR="00EC5699" w:rsidRDefault="00EC5699" w:rsidP="008C3877">
      <w:r>
        <w:t xml:space="preserve">Each unit evaluated its current workload and identified available capacity to initiate new projects in 2026. This established a baseline for near-term delivery capacity. Managers then projected staffing needs for 2027 and identified the additional positions needed to deliver the planned work. This resulting staffing gap informed the 2026 FTE request. Division leadership refined this request prior to budget submittal.  </w:t>
      </w:r>
    </w:p>
    <w:p w14:paraId="2F52B1A9" w14:textId="4B37D3DC" w:rsidR="00EC5699" w:rsidRPr="00A529C0" w:rsidRDefault="00EC5699" w:rsidP="008C3877">
      <w:pPr>
        <w:rPr>
          <w:bCs/>
          <w:u w:val="single"/>
        </w:rPr>
      </w:pPr>
      <w:r w:rsidRPr="00A529C0">
        <w:rPr>
          <w:bCs/>
          <w:u w:val="single"/>
        </w:rPr>
        <w:t>Model 2: Quantitative Forecasting Using Project Level Labor Data</w:t>
      </w:r>
    </w:p>
    <w:p w14:paraId="127659F1" w14:textId="57533503" w:rsidR="00EC5699" w:rsidRDefault="00EC5699" w:rsidP="008C3877">
      <w:r>
        <w:t xml:space="preserve">WTD also piloted a quantitative resource forecasting model that estimates staffing needs based on </w:t>
      </w:r>
      <w:r w:rsidR="00884654">
        <w:t xml:space="preserve">the </w:t>
      </w:r>
      <w:r>
        <w:t xml:space="preserve">project-level labor forecast included in the 2026–2027 capital budget requests. The model incorporates historical project labor </w:t>
      </w:r>
      <w:r>
        <w:lastRenderedPageBreak/>
        <w:t xml:space="preserve">expenditure data, forecasted labor needs for ongoing projects, and standard labor-hour assumptions to convert hours into FTEs. </w:t>
      </w:r>
    </w:p>
    <w:p w14:paraId="61653935" w14:textId="0099F412" w:rsidR="00EC5699" w:rsidRDefault="00EC5699" w:rsidP="008C3877">
      <w:r>
        <w:t>The model’s results closely aligned with the staffing needs identified through qualitative assessment, validating its results. WTD will continue to refine the model by comparing forecasted labor demand with actual labor data. Over time, WTD anticipates using this tool to help model staff labor demand and capacity.</w:t>
      </w:r>
    </w:p>
    <w:p w14:paraId="2F4F7ED6" w14:textId="77777777" w:rsidR="00EC5699" w:rsidRDefault="00EC5699" w:rsidP="0018130B"/>
    <w:p w14:paraId="13143087" w14:textId="2BF928AF" w:rsidR="00EC5699" w:rsidRDefault="00EC5699" w:rsidP="0018130B">
      <w:r>
        <w:t xml:space="preserve"> </w:t>
      </w:r>
      <w:r w:rsidDel="00445C98">
        <w:t xml:space="preserve"> </w:t>
      </w:r>
    </w:p>
    <w:p w14:paraId="10538FE2" w14:textId="1B4DE9DB" w:rsidR="00EC5699" w:rsidRDefault="00EC5699" w:rsidP="008661D8">
      <w:pPr>
        <w:jc w:val="center"/>
        <w:rPr>
          <w:highlight w:val="yellow"/>
        </w:rPr>
        <w:sectPr w:rsidR="00EC5699" w:rsidSect="002B447C">
          <w:footerReference w:type="default" r:id="rId22"/>
          <w:endnotePr>
            <w:numFmt w:val="decimal"/>
          </w:endnotePr>
          <w:pgSz w:w="12240" w:h="15840"/>
          <w:pgMar w:top="1008" w:right="720" w:bottom="1008" w:left="720" w:header="720" w:footer="720" w:gutter="0"/>
          <w:cols w:space="720"/>
          <w:docGrid w:linePitch="360"/>
        </w:sectPr>
      </w:pPr>
    </w:p>
    <w:bookmarkEnd w:id="65"/>
    <w:bookmarkEnd w:id="66"/>
    <w:bookmarkEnd w:id="67"/>
    <w:p w14:paraId="6FE7A21D" w14:textId="7CD8B264" w:rsidR="00EC5699" w:rsidRPr="00B5168C" w:rsidRDefault="00EC5699" w:rsidP="0018130B">
      <w:r w:rsidRPr="00EF775B">
        <w:lastRenderedPageBreak/>
        <w:fldChar w:fldCharType="begin"/>
      </w:r>
      <w:r w:rsidRPr="00EF775B">
        <w:instrText xml:space="preserve"> REF _Ref161292973 \h  \* MERGEFORMAT </w:instrText>
      </w:r>
      <w:r w:rsidRPr="00EF775B">
        <w:fldChar w:fldCharType="separate"/>
      </w:r>
      <w:r w:rsidR="00EC0A67">
        <w:t>Figure 12</w:t>
      </w:r>
      <w:r w:rsidRPr="00EF775B">
        <w:fldChar w:fldCharType="end"/>
      </w:r>
      <w:r w:rsidRPr="00395A08">
        <w:t xml:space="preserve"> shows the annual capital investments included in the proposed sewer rate and financial forecast in their respective portfolio categories.</w:t>
      </w:r>
    </w:p>
    <w:p w14:paraId="3A79EE32" w14:textId="29373B43" w:rsidR="00EC5699" w:rsidRDefault="00EC5699" w:rsidP="00B153E5">
      <w:pPr>
        <w:pStyle w:val="Caption"/>
      </w:pPr>
      <w:bookmarkStart w:id="69" w:name="_Ref161292973"/>
      <w:bookmarkStart w:id="70" w:name="_Ref128474034"/>
      <w:bookmarkStart w:id="71" w:name="_Toc129353070"/>
      <w:bookmarkStart w:id="72" w:name="_Toc226970650"/>
      <w:r>
        <w:t xml:space="preserve">Figure </w:t>
      </w:r>
      <w:r>
        <w:fldChar w:fldCharType="begin"/>
      </w:r>
      <w:r>
        <w:instrText xml:space="preserve"> SEQ Figure \* ARABIC </w:instrText>
      </w:r>
      <w:r>
        <w:fldChar w:fldCharType="separate"/>
      </w:r>
      <w:r w:rsidR="00677835">
        <w:rPr>
          <w:noProof/>
        </w:rPr>
        <w:t>12</w:t>
      </w:r>
      <w:r>
        <w:fldChar w:fldCharType="end"/>
      </w:r>
      <w:bookmarkEnd w:id="69"/>
      <w:r>
        <w:t xml:space="preserve"> </w:t>
      </w:r>
      <w:r w:rsidRPr="009F17E7">
        <w:t xml:space="preserve">Proposed Capital Investments by Portfolio Category for </w:t>
      </w:r>
      <w:r>
        <w:t>20</w:t>
      </w:r>
      <w:r w:rsidRPr="009F17E7">
        <w:t>-Year Forecast</w:t>
      </w:r>
      <w:bookmarkEnd w:id="70"/>
      <w:bookmarkEnd w:id="71"/>
      <w:bookmarkEnd w:id="72"/>
    </w:p>
    <w:p w14:paraId="3E71CBB0" w14:textId="0A2E7A2F" w:rsidR="00EC5699" w:rsidRDefault="00341F9C" w:rsidP="00BF6954">
      <w:pPr>
        <w:pStyle w:val="BodyText"/>
        <w:jc w:val="center"/>
        <w:sectPr w:rsidR="00EC5699" w:rsidSect="00EC5699">
          <w:endnotePr>
            <w:numFmt w:val="decimal"/>
          </w:endnotePr>
          <w:pgSz w:w="12240" w:h="15840"/>
          <w:pgMar w:top="1008" w:right="720" w:bottom="1008" w:left="720" w:header="720" w:footer="720" w:gutter="0"/>
          <w:cols w:space="720"/>
          <w:docGrid w:linePitch="360"/>
        </w:sectPr>
      </w:pPr>
      <w:r>
        <w:rPr>
          <w:noProof/>
        </w:rPr>
        <w:drawing>
          <wp:inline distT="0" distB="0" distL="0" distR="0" wp14:anchorId="10DFA41C" wp14:editId="6B27C343">
            <wp:extent cx="6820437" cy="3404800"/>
            <wp:effectExtent l="0" t="0" r="0" b="5715"/>
            <wp:docPr id="49376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36832" cy="3412984"/>
                    </a:xfrm>
                    <a:prstGeom prst="rect">
                      <a:avLst/>
                    </a:prstGeom>
                    <a:noFill/>
                  </pic:spPr>
                </pic:pic>
              </a:graphicData>
            </a:graphic>
          </wp:inline>
        </w:drawing>
      </w:r>
    </w:p>
    <w:p w14:paraId="4C3CC343" w14:textId="77777777" w:rsidR="00EC5699" w:rsidRPr="00D90BDE" w:rsidRDefault="00EC5699" w:rsidP="00A529C0">
      <w:pPr>
        <w:pStyle w:val="Heading2"/>
        <w:keepNext w:val="0"/>
      </w:pPr>
      <w:bookmarkStart w:id="73" w:name="_Toc129353040"/>
      <w:bookmarkStart w:id="74" w:name="_Toc224573034"/>
      <w:r w:rsidRPr="00D90BDE">
        <w:t>Capital</w:t>
      </w:r>
      <w:r>
        <w:t xml:space="preserve"> Improvement Program </w:t>
      </w:r>
      <w:r w:rsidRPr="00D90BDE">
        <w:t>Funding</w:t>
      </w:r>
      <w:bookmarkEnd w:id="73"/>
      <w:bookmarkEnd w:id="74"/>
    </w:p>
    <w:p w14:paraId="521BCD3C" w14:textId="11B1A01A" w:rsidR="00EC5699" w:rsidRPr="006F5121" w:rsidRDefault="00EC5699" w:rsidP="0018130B">
      <w:r w:rsidRPr="006F5121">
        <w:t>The capital</w:t>
      </w:r>
      <w:r>
        <w:t xml:space="preserve"> improvement</w:t>
      </w:r>
      <w:r w:rsidRPr="006F5121">
        <w:t xml:space="preserve"> program is funded by two primary sources</w:t>
      </w:r>
      <w:r>
        <w:t>: 1)</w:t>
      </w:r>
      <w:r w:rsidRPr="006F5121">
        <w:t xml:space="preserve"> cash generated from </w:t>
      </w:r>
      <w:r>
        <w:t xml:space="preserve">the </w:t>
      </w:r>
      <w:r w:rsidRPr="006F5121">
        <w:t>sewer rate and capacity charge revenues</w:t>
      </w:r>
      <w:r>
        <w:t>;</w:t>
      </w:r>
      <w:r w:rsidRPr="006F5121">
        <w:t xml:space="preserve"> and </w:t>
      </w:r>
      <w:r>
        <w:t>2)</w:t>
      </w:r>
      <w:r w:rsidRPr="006F5121">
        <w:t xml:space="preserve"> debt financing from revenue bonds or low</w:t>
      </w:r>
      <w:r>
        <w:t>-</w:t>
      </w:r>
      <w:r w:rsidRPr="006F5121">
        <w:t>interest state and federal loan programs.</w:t>
      </w:r>
    </w:p>
    <w:p w14:paraId="0F9D6638" w14:textId="77777777" w:rsidR="00EC5699" w:rsidRPr="00D90BDE" w:rsidRDefault="00EC5699" w:rsidP="009F17E7">
      <w:pPr>
        <w:pStyle w:val="Heading2"/>
      </w:pPr>
      <w:bookmarkStart w:id="75" w:name="_Toc224573035"/>
      <w:r w:rsidRPr="00513F67">
        <w:t>Cash Funding</w:t>
      </w:r>
      <w:bookmarkEnd w:id="75"/>
    </w:p>
    <w:p w14:paraId="24B5545E" w14:textId="2D6CE6C6" w:rsidR="00EC5699" w:rsidRPr="00CB443A" w:rsidRDefault="00EC5699" w:rsidP="0018130B">
      <w:r w:rsidRPr="4206D66E">
        <w:t xml:space="preserve">Since </w:t>
      </w:r>
      <w:r w:rsidRPr="005663DC">
        <w:t>2023</w:t>
      </w:r>
      <w:r w:rsidRPr="4206D66E">
        <w:t xml:space="preserve">, </w:t>
      </w:r>
      <w:r w:rsidRPr="00A5576E">
        <w:t>WTD</w:t>
      </w:r>
      <w:r w:rsidRPr="005663DC">
        <w:t xml:space="preserve"> </w:t>
      </w:r>
      <w:r>
        <w:t>has used</w:t>
      </w:r>
      <w:r w:rsidRPr="005663DC">
        <w:t xml:space="preserve"> an </w:t>
      </w:r>
      <w:r w:rsidRPr="00A5576E">
        <w:t>original cost depreciation method for setting cash funding targets for its capital program.</w:t>
      </w:r>
      <w:r w:rsidRPr="00A5576E">
        <w:rPr>
          <w:rStyle w:val="EndnoteReference"/>
        </w:rPr>
        <w:endnoteReference w:id="16"/>
      </w:r>
      <w:r w:rsidRPr="00A5576E">
        <w:t xml:space="preserve"> This method consists of targeting</w:t>
      </w:r>
      <w:r w:rsidRPr="005663DC">
        <w:t xml:space="preserve"> annual </w:t>
      </w:r>
      <w:r w:rsidRPr="000D206C">
        <w:t>cash</w:t>
      </w:r>
      <w:r w:rsidRPr="005663DC">
        <w:t xml:space="preserve"> funding generated from sewer rate revenue, </w:t>
      </w:r>
      <w:r w:rsidRPr="00824499">
        <w:t xml:space="preserve">equivalent to WTD’s annual depreciation </w:t>
      </w:r>
      <w:r w:rsidRPr="005663DC">
        <w:t>(</w:t>
      </w:r>
      <w:r w:rsidRPr="00824499">
        <w:t xml:space="preserve">including estimated </w:t>
      </w:r>
      <w:r w:rsidRPr="005663DC">
        <w:t xml:space="preserve">new </w:t>
      </w:r>
      <w:r w:rsidRPr="00824499">
        <w:t>depreciation</w:t>
      </w:r>
      <w:r w:rsidRPr="005663DC">
        <w:t xml:space="preserve"> resulting from completion of projects in the CIP that become depreciating assets). </w:t>
      </w:r>
      <w:r w:rsidRPr="00824499">
        <w:t xml:space="preserve">The total forecasted depreciation over the next </w:t>
      </w:r>
      <w:r>
        <w:t>1</w:t>
      </w:r>
      <w:r w:rsidRPr="00824499">
        <w:t xml:space="preserve">0 years translates into </w:t>
      </w:r>
      <w:r w:rsidRPr="00B3334D">
        <w:t xml:space="preserve">approximately </w:t>
      </w:r>
      <w:r w:rsidRPr="007C22FB">
        <w:t>27 percent</w:t>
      </w:r>
      <w:r w:rsidRPr="00824499">
        <w:t xml:space="preserve"> of the total CIP. Cash-funding requirements are averaged over the </w:t>
      </w:r>
      <w:r>
        <w:t xml:space="preserve">next 10 years of the </w:t>
      </w:r>
      <w:r w:rsidRPr="00824499">
        <w:t>forecast period, allowing WTD to smooth rate increases and produce a more stable rate path.</w:t>
      </w:r>
      <w:r>
        <w:t xml:space="preserve"> </w:t>
      </w:r>
    </w:p>
    <w:p w14:paraId="5B72612E" w14:textId="1E2FB5F9" w:rsidR="00EC5699" w:rsidRPr="003E2F49" w:rsidRDefault="00EC5699" w:rsidP="0018130B">
      <w:r w:rsidRPr="003E2F49">
        <w:t>Since the target cash funding is accumulated over the course of the year, a single year-end transfer to the construction fund from the operating fund makes the cash available for funding capital projects in the following year.</w:t>
      </w:r>
      <w:r w:rsidRPr="002443EA">
        <w:t xml:space="preserve"> </w:t>
      </w:r>
    </w:p>
    <w:p w14:paraId="4E07030B" w14:textId="77777777" w:rsidR="00EC5699" w:rsidRPr="00D90BDE" w:rsidRDefault="00EC5699" w:rsidP="009F17E7">
      <w:pPr>
        <w:pStyle w:val="Heading2"/>
      </w:pPr>
      <w:bookmarkStart w:id="76" w:name="_Toc224573036"/>
      <w:r w:rsidRPr="00513F67">
        <w:t>Debt Financing</w:t>
      </w:r>
      <w:bookmarkEnd w:id="76"/>
    </w:p>
    <w:p w14:paraId="7E0C94F5" w14:textId="5499C106" w:rsidR="00EC5699" w:rsidRPr="006F5121" w:rsidRDefault="00EC5699" w:rsidP="0018130B">
      <w:r w:rsidRPr="2B03F2C4">
        <w:t>Debt financing is used</w:t>
      </w:r>
      <w:r>
        <w:t xml:space="preserve"> </w:t>
      </w:r>
      <w:r w:rsidRPr="005663DC">
        <w:t xml:space="preserve">to provide the remaining funds needed after the use of cash. Debt financing </w:t>
      </w:r>
      <w:r w:rsidRPr="00D84FAD">
        <w:t>represents 7</w:t>
      </w:r>
      <w:r>
        <w:t>3</w:t>
      </w:r>
      <w:r w:rsidRPr="00D84FAD">
        <w:t xml:space="preserve"> percent</w:t>
      </w:r>
      <w:r w:rsidRPr="005663DC">
        <w:t xml:space="preserve"> of total project funding over the next 10 years. The main sources of debt available to WTD include state loans, federal Water Infrastructure Finance and Innovation Act (WIFIA) loans, and revenue bonds</w:t>
      </w:r>
      <w:r>
        <w:t>.</w:t>
      </w:r>
      <w:r w:rsidRPr="6BCE1675">
        <w:rPr>
          <w:rStyle w:val="EndnoteReference"/>
        </w:rPr>
        <w:endnoteReference w:id="17"/>
      </w:r>
      <w:r w:rsidRPr="2B03F2C4">
        <w:t xml:space="preserve"> </w:t>
      </w:r>
    </w:p>
    <w:p w14:paraId="43BB84A6" w14:textId="3D3BF6CF" w:rsidR="00EC5699" w:rsidRPr="004E60FA" w:rsidRDefault="00EC5699" w:rsidP="0018130B">
      <w:r w:rsidRPr="005663DC">
        <w:t xml:space="preserve">As interest rates </w:t>
      </w:r>
      <w:r>
        <w:t>began</w:t>
      </w:r>
      <w:r w:rsidRPr="005663DC">
        <w:t xml:space="preserve"> ris</w:t>
      </w:r>
      <w:r>
        <w:t>ing in 2022</w:t>
      </w:r>
      <w:r w:rsidRPr="005663DC">
        <w:t xml:space="preserve">, WTD </w:t>
      </w:r>
      <w:r>
        <w:t>successfully reduced its reliance on</w:t>
      </w:r>
      <w:r w:rsidRPr="005663DC">
        <w:t xml:space="preserve"> issuing new </w:t>
      </w:r>
      <w:r>
        <w:t xml:space="preserve">high-interest </w:t>
      </w:r>
      <w:r w:rsidRPr="005663DC">
        <w:t xml:space="preserve">revenue bonds </w:t>
      </w:r>
      <w:r>
        <w:t>in 2022 and</w:t>
      </w:r>
      <w:r w:rsidRPr="005663DC">
        <w:t xml:space="preserve"> 2023.</w:t>
      </w:r>
      <w:r w:rsidRPr="004F2863">
        <w:t xml:space="preserve"> This </w:t>
      </w:r>
      <w:r>
        <w:t>was</w:t>
      </w:r>
      <w:r w:rsidRPr="004F2863">
        <w:t xml:space="preserve"> possible </w:t>
      </w:r>
      <w:r w:rsidRPr="005663DC">
        <w:t>due</w:t>
      </w:r>
      <w:r w:rsidRPr="004F2863">
        <w:t xml:space="preserve"> to a large bond issuance in 2020 at record-low interest rates</w:t>
      </w:r>
      <w:r>
        <w:t>,</w:t>
      </w:r>
      <w:r w:rsidRPr="004F2863">
        <w:t xml:space="preserve"> </w:t>
      </w:r>
      <w:r>
        <w:t>low-cost commercial paper for interim financing,</w:t>
      </w:r>
      <w:r w:rsidRPr="004F2863">
        <w:t xml:space="preserve"> and the availability of state and federal loans at below-market interest rates.</w:t>
      </w:r>
      <w:r w:rsidRPr="6F243ABE">
        <w:t xml:space="preserve"> </w:t>
      </w:r>
      <w:r>
        <w:lastRenderedPageBreak/>
        <w:t xml:space="preserve">With reduction in interest rates beginning in the second half of 2024, WTD raised funds again from the bond markets. In 2025, WTD raised $565.0 million from new bond issuances, including $400.0 million new money for capital funding and balance $165.0 million for refunding. WTD also signed Tranche 3 under the WIFIA Master Agreement for $65.0 million </w:t>
      </w:r>
      <w:r w:rsidRPr="004E60FA">
        <w:t>for its Black Diamond Trunk Capacity upgrade project in January 2026.</w:t>
      </w:r>
    </w:p>
    <w:p w14:paraId="3E3A7A69" w14:textId="2F5D3CF1" w:rsidR="00EC5699" w:rsidRDefault="00EC5699" w:rsidP="0018130B">
      <w:r>
        <w:fldChar w:fldCharType="begin"/>
      </w:r>
      <w:r w:rsidRPr="007821B4">
        <w:instrText xml:space="preserve"> REF _Ref192511023  \* MERGEFORMAT </w:instrText>
      </w:r>
      <w:r>
        <w:fldChar w:fldCharType="separate"/>
      </w:r>
      <w:r>
        <w:fldChar w:fldCharType="end"/>
      </w:r>
      <w:r>
        <w:fldChar w:fldCharType="begin"/>
      </w:r>
      <w:r w:rsidRPr="007821B4">
        <w:instrText xml:space="preserve"> REF _Ref192511031  \* MERGEFORMAT </w:instrText>
      </w:r>
      <w:r>
        <w:fldChar w:fldCharType="separate"/>
      </w:r>
      <w:r w:rsidR="00EC0A67">
        <w:t>Figure 13</w:t>
      </w:r>
      <w:r>
        <w:fldChar w:fldCharType="end"/>
      </w:r>
      <w:r w:rsidRPr="004E60FA">
        <w:t xml:space="preserve"> shows the capital funding </w:t>
      </w:r>
      <w:bookmarkStart w:id="77" w:name="_Int_1rtWrjHS"/>
      <w:r w:rsidRPr="004E60FA">
        <w:t>forecast</w:t>
      </w:r>
      <w:bookmarkEnd w:id="77"/>
      <w:r w:rsidRPr="004E60FA">
        <w:t xml:space="preserve"> and the use of various debt instruments secured to fund the capital program. The higher cash funding shown in 2026 is the result of WTD’s debt issuance in November 2025 to fund capital programs in 2026.  </w:t>
      </w:r>
    </w:p>
    <w:p w14:paraId="0BDCA1B6" w14:textId="31441EF3" w:rsidR="00EC5699" w:rsidRDefault="00EC5699" w:rsidP="0018130B">
      <w:r>
        <w:t xml:space="preserve">Since state and federal loans work on a reimbursement basis, WTD needs to issue interim debt prior to being reimbursed for the project costs. Once reimbursed, WTD can retire the interim debt, which is then available for future projects that require interim financing. By 2032, WTD plans to draw on </w:t>
      </w:r>
      <w:r w:rsidRPr="0062056D">
        <w:t>its $2</w:t>
      </w:r>
      <w:r>
        <w:t>55.4</w:t>
      </w:r>
      <w:r w:rsidRPr="0062056D">
        <w:t xml:space="preserve"> million WIFIA loan</w:t>
      </w:r>
      <w:r>
        <w:t xml:space="preserve"> to reimburse interim debt. This strategy is beneficial as WTD can use low-interest interim debt during the construction period while remaining eligible for an interest rate reduction, provided the loan remains undrawn, capital expenditure does not exceed 51 percent of total costs, and the State and Local Government Services (SLGS) </w:t>
      </w:r>
      <w:r w:rsidR="0075506A">
        <w:t>r</w:t>
      </w:r>
      <w:r>
        <w:t>ate is lower than when the loan agreement was first signed</w:t>
      </w:r>
      <w:r w:rsidR="004E61FA">
        <w:t>.</w:t>
      </w:r>
      <w:r>
        <w:rPr>
          <w:rStyle w:val="EndnoteReference"/>
        </w:rPr>
        <w:endnoteReference w:id="18"/>
      </w:r>
    </w:p>
    <w:p w14:paraId="256AEF77" w14:textId="104D7DFA" w:rsidR="00EC5699" w:rsidRPr="006F4307" w:rsidRDefault="00EC5699" w:rsidP="00D13023">
      <w:pPr>
        <w:pStyle w:val="Caption"/>
      </w:pPr>
      <w:bookmarkStart w:id="78" w:name="_Ref192511031"/>
      <w:bookmarkStart w:id="79" w:name="_Ref192511023"/>
      <w:bookmarkStart w:id="80" w:name="_Toc226970651"/>
      <w:r>
        <w:t xml:space="preserve">Figure </w:t>
      </w:r>
      <w:r>
        <w:fldChar w:fldCharType="begin"/>
      </w:r>
      <w:r>
        <w:instrText xml:space="preserve"> SEQ Figure \* ARABIC </w:instrText>
      </w:r>
      <w:r>
        <w:fldChar w:fldCharType="separate"/>
      </w:r>
      <w:r w:rsidR="00677835">
        <w:rPr>
          <w:noProof/>
        </w:rPr>
        <w:t>13</w:t>
      </w:r>
      <w:r>
        <w:fldChar w:fldCharType="end"/>
      </w:r>
      <w:bookmarkEnd w:id="78"/>
      <w:r>
        <w:t xml:space="preserve"> </w:t>
      </w:r>
      <w:r w:rsidRPr="00DE6F05">
        <w:t>Capital Funding Sources</w:t>
      </w:r>
      <w:bookmarkEnd w:id="79"/>
      <w:bookmarkEnd w:id="80"/>
    </w:p>
    <w:p w14:paraId="12715BC9" w14:textId="6270CB0B" w:rsidR="00EC5699" w:rsidRPr="00CA423A" w:rsidRDefault="00EC5699" w:rsidP="00D13023">
      <w:pPr>
        <w:jc w:val="center"/>
      </w:pPr>
      <w:r>
        <w:rPr>
          <w:noProof/>
        </w:rPr>
        <w:drawing>
          <wp:inline distT="0" distB="0" distL="0" distR="0" wp14:anchorId="2F1A7A45" wp14:editId="0A50E8AD">
            <wp:extent cx="6176657" cy="3211373"/>
            <wp:effectExtent l="0" t="0" r="0" b="8255"/>
            <wp:docPr id="450414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217127" cy="3232414"/>
                    </a:xfrm>
                    <a:prstGeom prst="rect">
                      <a:avLst/>
                    </a:prstGeom>
                    <a:noFill/>
                  </pic:spPr>
                </pic:pic>
              </a:graphicData>
            </a:graphic>
          </wp:inline>
        </w:drawing>
      </w:r>
    </w:p>
    <w:p w14:paraId="21DAE04C" w14:textId="6E29C06C" w:rsidR="00EC5699" w:rsidRPr="00707AFE" w:rsidRDefault="00EC5699" w:rsidP="002B447C">
      <w:pPr>
        <w:pStyle w:val="BodyText"/>
      </w:pPr>
      <w:r>
        <w:fldChar w:fldCharType="begin"/>
      </w:r>
      <w:r w:rsidRPr="007821B4">
        <w:instrText xml:space="preserve"> REF _Ref192511099  \* MERGEFORMAT </w:instrText>
      </w:r>
      <w:r>
        <w:fldChar w:fldCharType="separate"/>
      </w:r>
      <w:r w:rsidR="005120F9">
        <w:t>Figure 14</w:t>
      </w:r>
      <w:r>
        <w:fldChar w:fldCharType="end"/>
      </w:r>
      <w:r>
        <w:t xml:space="preserve"> illustrates how, as existing debt is retired, repayment capacity is replaced by new debt issued to fund the capital program. </w:t>
      </w:r>
      <w:r>
        <w:fldChar w:fldCharType="begin"/>
      </w:r>
      <w:r w:rsidRPr="007821B4">
        <w:instrText xml:space="preserve"> REF _Ref192511165  \* MERGEFORMAT </w:instrText>
      </w:r>
      <w:r>
        <w:fldChar w:fldCharType="separate"/>
      </w:r>
      <w:r w:rsidRPr="00203B01">
        <w:t>Figure 14</w:t>
      </w:r>
      <w:r>
        <w:fldChar w:fldCharType="end"/>
      </w:r>
      <w:r w:rsidRPr="62829388">
        <w:rPr>
          <w:b/>
          <w:bCs/>
        </w:rPr>
        <w:t xml:space="preserve"> </w:t>
      </w:r>
      <w:r>
        <w:t>shows how WTD’s debt-to-asset ratio declines over time, demonstrating the higher cash funding percentage over time and an increase in the total asset base as capital expenditure ramps up.</w:t>
      </w:r>
    </w:p>
    <w:p w14:paraId="64DB98E0" w14:textId="78E9B4E5" w:rsidR="00EC5699" w:rsidRPr="006F4307" w:rsidRDefault="00EC5699" w:rsidP="00D13023">
      <w:pPr>
        <w:pStyle w:val="Caption"/>
      </w:pPr>
      <w:bookmarkStart w:id="81" w:name="_Ref192511099"/>
      <w:bookmarkStart w:id="82" w:name="_Toc226970652"/>
      <w:r>
        <w:lastRenderedPageBreak/>
        <w:t xml:space="preserve">Figure </w:t>
      </w:r>
      <w:r>
        <w:fldChar w:fldCharType="begin"/>
      </w:r>
      <w:r>
        <w:instrText xml:space="preserve"> SEQ Figure \* ARABIC </w:instrText>
      </w:r>
      <w:r>
        <w:fldChar w:fldCharType="separate"/>
      </w:r>
      <w:r w:rsidR="00677835">
        <w:rPr>
          <w:noProof/>
        </w:rPr>
        <w:t>14</w:t>
      </w:r>
      <w:r>
        <w:fldChar w:fldCharType="end"/>
      </w:r>
      <w:bookmarkEnd w:id="81"/>
      <w:r>
        <w:t xml:space="preserve"> </w:t>
      </w:r>
      <w:r w:rsidRPr="00DE6F05">
        <w:t>Existing and New Debt Balances</w:t>
      </w:r>
      <w:bookmarkEnd w:id="82"/>
    </w:p>
    <w:p w14:paraId="5784BE56" w14:textId="5749A907" w:rsidR="00EC5699" w:rsidRPr="00CA423A" w:rsidRDefault="00EC5699" w:rsidP="00D13023">
      <w:pPr>
        <w:jc w:val="center"/>
      </w:pPr>
      <w:r>
        <w:rPr>
          <w:noProof/>
        </w:rPr>
        <w:drawing>
          <wp:inline distT="0" distB="0" distL="0" distR="0" wp14:anchorId="5A881ABA" wp14:editId="4862E5DD">
            <wp:extent cx="6126480" cy="3562557"/>
            <wp:effectExtent l="0" t="0" r="7620" b="0"/>
            <wp:docPr id="143319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6480" cy="3562557"/>
                    </a:xfrm>
                    <a:prstGeom prst="rect">
                      <a:avLst/>
                    </a:prstGeom>
                    <a:noFill/>
                  </pic:spPr>
                </pic:pic>
              </a:graphicData>
            </a:graphic>
          </wp:inline>
        </w:drawing>
      </w:r>
    </w:p>
    <w:p w14:paraId="1B348930" w14:textId="77777777" w:rsidR="00EC5699" w:rsidRDefault="00EC5699" w:rsidP="00B3514F">
      <w:pPr>
        <w:pStyle w:val="Caption"/>
      </w:pPr>
      <w:bookmarkStart w:id="83" w:name="_Ref192511165"/>
    </w:p>
    <w:p w14:paraId="52B7DA8C" w14:textId="703F2F53" w:rsidR="00EC5699" w:rsidRPr="00CA423A" w:rsidRDefault="00EC5699" w:rsidP="00B3514F">
      <w:pPr>
        <w:pStyle w:val="Caption"/>
      </w:pPr>
      <w:bookmarkStart w:id="84" w:name="_Toc226970653"/>
      <w:r>
        <w:t xml:space="preserve">Figure </w:t>
      </w:r>
      <w:r>
        <w:fldChar w:fldCharType="begin"/>
      </w:r>
      <w:r>
        <w:instrText xml:space="preserve"> SEQ Figure \* ARABIC </w:instrText>
      </w:r>
      <w:r>
        <w:fldChar w:fldCharType="separate"/>
      </w:r>
      <w:r w:rsidR="00677835">
        <w:rPr>
          <w:noProof/>
        </w:rPr>
        <w:t>15</w:t>
      </w:r>
      <w:r>
        <w:fldChar w:fldCharType="end"/>
      </w:r>
      <w:bookmarkEnd w:id="83"/>
      <w:r>
        <w:t xml:space="preserve"> Debt to Asset Balance</w:t>
      </w:r>
      <w:bookmarkEnd w:id="84"/>
    </w:p>
    <w:p w14:paraId="1716AF39" w14:textId="3AA62065" w:rsidR="00EC5699" w:rsidRPr="00B3514F" w:rsidRDefault="00EC5699" w:rsidP="00B20D68">
      <w:pPr>
        <w:jc w:val="center"/>
      </w:pPr>
      <w:r>
        <w:rPr>
          <w:noProof/>
        </w:rPr>
        <w:drawing>
          <wp:inline distT="0" distB="0" distL="0" distR="0" wp14:anchorId="1A82E3CB" wp14:editId="1ED4F781">
            <wp:extent cx="6126480" cy="2727437"/>
            <wp:effectExtent l="0" t="0" r="7620" b="0"/>
            <wp:docPr id="326366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26480" cy="2727437"/>
                    </a:xfrm>
                    <a:prstGeom prst="rect">
                      <a:avLst/>
                    </a:prstGeom>
                    <a:noFill/>
                  </pic:spPr>
                </pic:pic>
              </a:graphicData>
            </a:graphic>
          </wp:inline>
        </w:drawing>
      </w:r>
    </w:p>
    <w:p w14:paraId="656DE305" w14:textId="7EECB831" w:rsidR="00EC5699" w:rsidRPr="004B0B87" w:rsidRDefault="00EC5699" w:rsidP="007C0BAC">
      <w:pPr>
        <w:pStyle w:val="Heading3"/>
      </w:pPr>
      <w:r>
        <w:t>State Revolving Fund Loans</w:t>
      </w:r>
    </w:p>
    <w:p w14:paraId="2FAA38C1" w14:textId="5494A921" w:rsidR="00EC5699" w:rsidRDefault="00EC5699" w:rsidP="007C0BAC">
      <w:r w:rsidRPr="62829388">
        <w:rPr>
          <w:b/>
          <w:bCs/>
        </w:rPr>
        <w:t>Joint Ship Canal Water Quality Project</w:t>
      </w:r>
      <w:r w:rsidRPr="00357D57">
        <w:rPr>
          <w:b/>
          <w:bCs/>
        </w:rPr>
        <w:t>.</w:t>
      </w:r>
      <w:r w:rsidRPr="00357D57">
        <w:t xml:space="preserve"> </w:t>
      </w:r>
      <w:r w:rsidRPr="005663DC">
        <w:t>In</w:t>
      </w:r>
      <w:r w:rsidRPr="005663DC" w:rsidDel="00E5778D">
        <w:t xml:space="preserve"> </w:t>
      </w:r>
      <w:r w:rsidRPr="005663DC">
        <w:t>2022</w:t>
      </w:r>
      <w:r>
        <w:t>,</w:t>
      </w:r>
      <w:r w:rsidRPr="00357D57">
        <w:t xml:space="preserve"> </w:t>
      </w:r>
      <w:r>
        <w:t>the</w:t>
      </w:r>
      <w:r w:rsidRPr="00357D57">
        <w:t xml:space="preserve"> Joint Ship Canal project was awarded $3 million </w:t>
      </w:r>
      <w:r w:rsidRPr="005663DC">
        <w:t xml:space="preserve">in </w:t>
      </w:r>
      <w:r>
        <w:t xml:space="preserve">addition to </w:t>
      </w:r>
      <w:r w:rsidRPr="00357D57">
        <w:t xml:space="preserve">$23 million awarded </w:t>
      </w:r>
      <w:r>
        <w:t xml:space="preserve">in 2021, </w:t>
      </w:r>
      <w:r w:rsidRPr="00357D57">
        <w:t>for a total of $26 million at a 1.4 percent</w:t>
      </w:r>
      <w:r>
        <w:t xml:space="preserve"> interest rate</w:t>
      </w:r>
      <w:r w:rsidRPr="00357D57">
        <w:t>. The $26 million state revolving fund (</w:t>
      </w:r>
      <w:r>
        <w:t>SRF)</w:t>
      </w:r>
      <w:r w:rsidRPr="00357D57">
        <w:t xml:space="preserve"> loan amendment was approved by Ordinance 19575 in February 2023</w:t>
      </w:r>
      <w:r w:rsidRPr="005663DC">
        <w:t>. It</w:t>
      </w:r>
      <w:r w:rsidRPr="00357D57">
        <w:t xml:space="preserve"> will provide $12.</w:t>
      </w:r>
      <w:r>
        <w:t>6</w:t>
      </w:r>
      <w:r w:rsidRPr="00357D57">
        <w:t xml:space="preserve"> million in total savings </w:t>
      </w:r>
      <w:r w:rsidRPr="005663DC">
        <w:lastRenderedPageBreak/>
        <w:t>over a 30-year period</w:t>
      </w:r>
      <w:r>
        <w:t xml:space="preserve"> due to </w:t>
      </w:r>
      <w:r w:rsidRPr="005663DC">
        <w:t>a low interest rate</w:t>
      </w:r>
      <w:r w:rsidRPr="00357D57">
        <w:t>.</w:t>
      </w:r>
      <w:r w:rsidRPr="00357D57">
        <w:rPr>
          <w:rStyle w:val="EndnoteReference"/>
        </w:rPr>
        <w:endnoteReference w:id="19"/>
      </w:r>
      <w:r>
        <w:t xml:space="preserve"> </w:t>
      </w:r>
      <w:r w:rsidRPr="001E46CD">
        <w:t>WTD dr</w:t>
      </w:r>
      <w:r>
        <w:t>e</w:t>
      </w:r>
      <w:r w:rsidRPr="001E46CD">
        <w:t>w</w:t>
      </w:r>
      <w:r>
        <w:t xml:space="preserve"> $11.4 million</w:t>
      </w:r>
      <w:r w:rsidRPr="001E46CD">
        <w:t xml:space="preserve"> from this loan</w:t>
      </w:r>
      <w:r>
        <w:t xml:space="preserve"> and expects to fund the balance costs via the WIFIA loan a</w:t>
      </w:r>
      <w:r w:rsidRPr="001E46CD">
        <w:t>s construction progresses over the course of 202</w:t>
      </w:r>
      <w:r>
        <w:t>6</w:t>
      </w:r>
      <w:r w:rsidRPr="001E46CD">
        <w:t xml:space="preserve"> and 202</w:t>
      </w:r>
      <w:r>
        <w:t>7</w:t>
      </w:r>
      <w:r w:rsidRPr="001E46CD">
        <w:t>.</w:t>
      </w:r>
    </w:p>
    <w:p w14:paraId="6F0BE9AE" w14:textId="77777777" w:rsidR="00EC5699" w:rsidRDefault="00EC5699" w:rsidP="007C0BAC">
      <w:r w:rsidRPr="0071327C">
        <w:rPr>
          <w:b/>
        </w:rPr>
        <w:t>Multiple SRF Loan Agreements.</w:t>
      </w:r>
      <w:r>
        <w:t xml:space="preserve"> </w:t>
      </w:r>
      <w:r w:rsidRPr="00B1346B">
        <w:t xml:space="preserve">In 2024, Council approved multiple SRF loan agreements </w:t>
      </w:r>
      <w:r>
        <w:t xml:space="preserve">with Ecology </w:t>
      </w:r>
      <w:r w:rsidRPr="00B1346B">
        <w:t>to support key wastewater projects. On February 2</w:t>
      </w:r>
      <w:r>
        <w:t>7</w:t>
      </w:r>
      <w:r w:rsidRPr="00B1346B">
        <w:t xml:space="preserve">, </w:t>
      </w:r>
      <w:r>
        <w:t xml:space="preserve">2024, </w:t>
      </w:r>
      <w:r w:rsidRPr="00B1346B">
        <w:t>Council approved a $9.4 million SRF loan at 1.4</w:t>
      </w:r>
      <w:r>
        <w:t xml:space="preserve"> percent</w:t>
      </w:r>
      <w:r w:rsidRPr="00B1346B">
        <w:t xml:space="preserve"> interest over 30 years for the West Point Passive Weir Emergency Bypass project.</w:t>
      </w:r>
      <w:r>
        <w:rPr>
          <w:rStyle w:val="EndnoteReference"/>
        </w:rPr>
        <w:endnoteReference w:id="20"/>
      </w:r>
      <w:r w:rsidRPr="00B1346B">
        <w:t xml:space="preserve"> </w:t>
      </w:r>
      <w:r>
        <w:t>On</w:t>
      </w:r>
      <w:r w:rsidRPr="00B1346B">
        <w:t xml:space="preserve"> </w:t>
      </w:r>
      <w:r>
        <w:t>September</w:t>
      </w:r>
      <w:r w:rsidRPr="00B1346B">
        <w:t xml:space="preserve"> 2</w:t>
      </w:r>
      <w:r>
        <w:t>4</w:t>
      </w:r>
      <w:r w:rsidRPr="00B1346B">
        <w:t xml:space="preserve">, </w:t>
      </w:r>
      <w:r>
        <w:t xml:space="preserve">2024, Council approved </w:t>
      </w:r>
      <w:r w:rsidRPr="00B1346B">
        <w:t xml:space="preserve">two 20-year SRF loan agreements </w:t>
      </w:r>
      <w:r>
        <w:t>to fund</w:t>
      </w:r>
      <w:r w:rsidRPr="00B1346B">
        <w:t xml:space="preserve"> $10.2 million for the West Duwamish CSO Control project</w:t>
      </w:r>
      <w:r>
        <w:t>’s design</w:t>
      </w:r>
      <w:r w:rsidRPr="00B1346B">
        <w:t xml:space="preserve"> and $14.9 million for the West Point Treatment Plant Raw Sewage Pump Replacement project</w:t>
      </w:r>
      <w:r>
        <w:t xml:space="preserve"> at 1.2 percent interest</w:t>
      </w:r>
      <w:r w:rsidRPr="00B1346B">
        <w:t>.</w:t>
      </w:r>
      <w:r>
        <w:rPr>
          <w:rStyle w:val="EndnoteReference"/>
        </w:rPr>
        <w:endnoteReference w:id="21"/>
      </w:r>
      <w:r w:rsidRPr="00B1346B">
        <w:t xml:space="preserve"> On December 10, </w:t>
      </w:r>
      <w:r>
        <w:t xml:space="preserve">2024, </w:t>
      </w:r>
      <w:r w:rsidRPr="00B1346B">
        <w:t>Council approved two additional 20-year SRF loans at 1.2</w:t>
      </w:r>
      <w:r>
        <w:t xml:space="preserve"> percent</w:t>
      </w:r>
      <w:r w:rsidRPr="00B1346B">
        <w:t xml:space="preserve"> interest, including $1.1 million for the West Point Treatment Plant Grit Classifier Replacement project and $8.1 million for the Sammamish Plateau Diversion project.</w:t>
      </w:r>
      <w:r>
        <w:rPr>
          <w:rStyle w:val="EndnoteReference"/>
        </w:rPr>
        <w:endnoteReference w:id="22"/>
      </w:r>
      <w:r>
        <w:t xml:space="preserve"> The $43.7 million in SRF funding will provide an estimated $22.6 million in total savings over the life of the loans. </w:t>
      </w:r>
    </w:p>
    <w:p w14:paraId="3B7AC91D" w14:textId="2D53485D" w:rsidR="00EC5699" w:rsidRPr="00357D57" w:rsidRDefault="00EC5699" w:rsidP="007C0BAC">
      <w:r>
        <w:t xml:space="preserve">In 2025, Council approved additional $43.9 million loan at 1.6 percent for West Duwamish CSO Control project’s construction. </w:t>
      </w:r>
    </w:p>
    <w:p w14:paraId="1342ED6D" w14:textId="1720B955" w:rsidR="00EC5699" w:rsidRPr="005663DC" w:rsidRDefault="00EC5699" w:rsidP="007C0BAC">
      <w:pPr>
        <w:pStyle w:val="Heading3"/>
      </w:pPr>
      <w:r>
        <w:t>Water Infrastructure Finance and Innovation Act Loans</w:t>
      </w:r>
    </w:p>
    <w:p w14:paraId="099B28D2" w14:textId="2998D4B7" w:rsidR="00EC5699" w:rsidRPr="005663DC" w:rsidRDefault="00EC5699" w:rsidP="007C0BAC">
      <w:pPr>
        <w:rPr>
          <w:b/>
        </w:rPr>
      </w:pPr>
      <w:r w:rsidRPr="005663DC">
        <w:rPr>
          <w:b/>
        </w:rPr>
        <w:t xml:space="preserve">Joint Ship Canal Water Quality Project. </w:t>
      </w:r>
      <w:r w:rsidRPr="005663DC">
        <w:t xml:space="preserve">In January 2021, WTD was awarded a $96.8 million WIFIA loan at 1.69 percent interest, which will provide an estimated $32.5 million in total savings over a 35-year period </w:t>
      </w:r>
      <w:r w:rsidRPr="005E7D22">
        <w:t>due to a low interest rate.</w:t>
      </w:r>
      <w:r w:rsidRPr="005663DC">
        <w:t xml:space="preserve"> </w:t>
      </w:r>
      <w:r>
        <w:t xml:space="preserve">In April 2024, </w:t>
      </w:r>
      <w:r w:rsidRPr="005663DC">
        <w:t xml:space="preserve">WTD </w:t>
      </w:r>
      <w:r>
        <w:t>made its first $9.6 million draw and in December 2025, WTD made an additional $33.3 million draw</w:t>
      </w:r>
      <w:r w:rsidRPr="005663DC">
        <w:t xml:space="preserve">, with the final draw to occur </w:t>
      </w:r>
      <w:r>
        <w:t>by</w:t>
      </w:r>
      <w:r w:rsidRPr="005663DC">
        <w:t xml:space="preserve"> </w:t>
      </w:r>
      <w:r>
        <w:t>March</w:t>
      </w:r>
      <w:r w:rsidRPr="005663DC">
        <w:t xml:space="preserve"> </w:t>
      </w:r>
      <w:r>
        <w:t>2028</w:t>
      </w:r>
      <w:r w:rsidRPr="005663DC">
        <w:t xml:space="preserve">. </w:t>
      </w:r>
      <w:r w:rsidRPr="001E46CD">
        <w:t>WTD plans on drawing from this loan</w:t>
      </w:r>
      <w:r>
        <w:t xml:space="preserve"> a</w:t>
      </w:r>
      <w:r w:rsidRPr="001E46CD">
        <w:t>s construction progresses over the course of 202</w:t>
      </w:r>
      <w:r>
        <w:t>6</w:t>
      </w:r>
      <w:r w:rsidRPr="001E46CD">
        <w:t xml:space="preserve"> and 202</w:t>
      </w:r>
      <w:r>
        <w:t>7</w:t>
      </w:r>
      <w:r w:rsidRPr="001E46CD">
        <w:t>.</w:t>
      </w:r>
    </w:p>
    <w:p w14:paraId="2079B8F0" w14:textId="1284CF4F" w:rsidR="00EC5699" w:rsidRPr="00277088" w:rsidRDefault="00EC5699" w:rsidP="007C0BAC">
      <w:r w:rsidRPr="62829388">
        <w:rPr>
          <w:b/>
          <w:bCs/>
        </w:rPr>
        <w:t xml:space="preserve">WIFIA Master Agreement. </w:t>
      </w:r>
      <w:r w:rsidRPr="005663DC">
        <w:t xml:space="preserve">In January 2024, the County was awarded its first WIFIA Master Agreement for the King County Wastewater 2024 Improvement Projects </w:t>
      </w:r>
      <w:r w:rsidDel="005B2225">
        <w:t>i</w:t>
      </w:r>
      <w:r w:rsidRPr="005663DC">
        <w:t>n the amount of $498.3 million</w:t>
      </w:r>
      <w:r>
        <w:t xml:space="preserve">. </w:t>
      </w:r>
      <w:r w:rsidRPr="005663DC">
        <w:t>The Master Agreement will finance 1</w:t>
      </w:r>
      <w:r>
        <w:t>1</w:t>
      </w:r>
      <w:r w:rsidRPr="005663DC">
        <w:t xml:space="preserve"> water quality projects across </w:t>
      </w:r>
      <w:r>
        <w:t>four</w:t>
      </w:r>
      <w:r w:rsidRPr="005663DC">
        <w:t xml:space="preserve"> separate loan tranches over the eight years of construction. The first loan tranche was signed in conjunction with the Master Agreement in the amount of $194.1 million at 4.4 percent interest for the group of West Point Treatment Plant projects. </w:t>
      </w:r>
      <w:r>
        <w:t xml:space="preserve">In December 2024, WTD signed its second loan tranche in the amount of $89.9 million at 4.44 percent interest for two projects at South Plant. In January 2026, WTD signed its third tranche in the amount of $65.0 million at 4.79 percent interest for the Black Diamond Trunk Capacity upgrade project. </w:t>
      </w:r>
      <w:r w:rsidRPr="005663DC">
        <w:t xml:space="preserve">WTD plans to </w:t>
      </w:r>
      <w:r>
        <w:t>initially</w:t>
      </w:r>
      <w:r w:rsidRPr="005663DC">
        <w:t xml:space="preserve"> fund the</w:t>
      </w:r>
      <w:r>
        <w:t>se</w:t>
      </w:r>
      <w:r w:rsidRPr="005663DC">
        <w:t xml:space="preserve"> projects with</w:t>
      </w:r>
      <w:r>
        <w:t xml:space="preserve"> low-cost</w:t>
      </w:r>
      <w:r w:rsidRPr="005663DC">
        <w:t xml:space="preserve"> interim commercial paper and draw </w:t>
      </w:r>
      <w:r>
        <w:t>from</w:t>
      </w:r>
      <w:r w:rsidRPr="005663DC">
        <w:t xml:space="preserve"> </w:t>
      </w:r>
      <w:r>
        <w:t>the loans later</w:t>
      </w:r>
      <w:r w:rsidRPr="005663DC">
        <w:t>.</w:t>
      </w:r>
      <w:r w:rsidRPr="005663DC">
        <w:rPr>
          <w:rStyle w:val="EndnoteReference"/>
        </w:rPr>
        <w:endnoteReference w:id="23"/>
      </w:r>
      <w:r w:rsidRPr="005663DC">
        <w:t xml:space="preserve"> Although the interest rate is higher than prior WIFIA loan agreements, WTD can apply for an interest rate reduction over the next </w:t>
      </w:r>
      <w:r>
        <w:t>several</w:t>
      </w:r>
      <w:r w:rsidRPr="005663DC">
        <w:t xml:space="preserve"> years, which would reduce WTD’s expected debt service. The subsequent loan tranche (totaling $</w:t>
      </w:r>
      <w:r>
        <w:t>149.3</w:t>
      </w:r>
      <w:r w:rsidRPr="005663DC">
        <w:t xml:space="preserve"> million) </w:t>
      </w:r>
      <w:r>
        <w:t>is</w:t>
      </w:r>
      <w:r w:rsidRPr="005663DC">
        <w:t xml:space="preserve"> slated to </w:t>
      </w:r>
      <w:r>
        <w:t>be signed</w:t>
      </w:r>
      <w:r w:rsidRPr="005663DC">
        <w:t xml:space="preserve"> </w:t>
      </w:r>
      <w:r>
        <w:t>in 2026</w:t>
      </w:r>
      <w:r w:rsidRPr="005663DC">
        <w:t>.</w:t>
      </w:r>
    </w:p>
    <w:p w14:paraId="21201FFF" w14:textId="77777777" w:rsidR="00EC5699" w:rsidRPr="0000532A" w:rsidRDefault="00EC5699" w:rsidP="0018130B">
      <w:pPr>
        <w:pStyle w:val="Heading3"/>
      </w:pPr>
      <w:r w:rsidRPr="0000532A">
        <w:t>Proposed Legislation to Restore Tax-Exempt Advanced Refunding</w:t>
      </w:r>
    </w:p>
    <w:p w14:paraId="68783308" w14:textId="5FE5DEE6" w:rsidR="00EC5699" w:rsidRPr="006F5121" w:rsidRDefault="00EC5699" w:rsidP="0018130B">
      <w:r w:rsidRPr="006F5121">
        <w:t xml:space="preserve">Tax-exempt bonds </w:t>
      </w:r>
      <w:r>
        <w:t>are</w:t>
      </w:r>
      <w:r w:rsidRPr="006F5121">
        <w:t xml:space="preserve"> issued by state and local government</w:t>
      </w:r>
      <w:r>
        <w:t>s</w:t>
      </w:r>
      <w:r w:rsidRPr="006F5121">
        <w:t xml:space="preserve"> for public infrastructure</w:t>
      </w:r>
      <w:r>
        <w:t xml:space="preserve"> projects.</w:t>
      </w:r>
      <w:r w:rsidDel="00BB7708">
        <w:t xml:space="preserve"> </w:t>
      </w:r>
      <w:r w:rsidRPr="006F5121">
        <w:t xml:space="preserve">WTD </w:t>
      </w:r>
      <w:r>
        <w:t>uses</w:t>
      </w:r>
      <w:r w:rsidRPr="006F5121">
        <w:t xml:space="preserve"> tax</w:t>
      </w:r>
      <w:r>
        <w:t>-</w:t>
      </w:r>
      <w:r w:rsidRPr="006F5121">
        <w:t xml:space="preserve">exempt bond financing as its primary source of long-term financing for the capital program. Investors who purchase these bonds are exempt from paying </w:t>
      </w:r>
      <w:r>
        <w:t>f</w:t>
      </w:r>
      <w:r w:rsidRPr="006F5121">
        <w:t>ederal income tax on interest earnings, so they are willing to buy the bonds at a lower interest rate than those of conventional bonds, which translates as lower</w:t>
      </w:r>
      <w:r>
        <w:t>-</w:t>
      </w:r>
      <w:r w:rsidRPr="006F5121">
        <w:t>cost debt to the borrower. Prior to the</w:t>
      </w:r>
      <w:r>
        <w:t xml:space="preserve"> </w:t>
      </w:r>
      <w:r w:rsidRPr="00C55076">
        <w:t xml:space="preserve">2017 </w:t>
      </w:r>
      <w:r>
        <w:t xml:space="preserve">federal </w:t>
      </w:r>
      <w:r w:rsidRPr="00C55076">
        <w:t>Tax Cuts and Jobs Act</w:t>
      </w:r>
      <w:r w:rsidRPr="006F5121">
        <w:t xml:space="preserve"> (TCJA), tax</w:t>
      </w:r>
      <w:r>
        <w:t>-</w:t>
      </w:r>
      <w:r w:rsidRPr="006F5121">
        <w:t>exempt advance refunding bonds could be issued to refund outstanding tax-exempt debt with higher-than-current-market interest rates</w:t>
      </w:r>
      <w:r>
        <w:t>.</w:t>
      </w:r>
      <w:r>
        <w:rPr>
          <w:rStyle w:val="EndnoteReference"/>
        </w:rPr>
        <w:endnoteReference w:id="24"/>
      </w:r>
      <w:r w:rsidRPr="006F5121">
        <w:t xml:space="preserve"> The TCJA eliminated tax</w:t>
      </w:r>
      <w:r>
        <w:t>-</w:t>
      </w:r>
      <w:r w:rsidRPr="006F5121">
        <w:t xml:space="preserve">exempt </w:t>
      </w:r>
      <w:r>
        <w:t xml:space="preserve">advance </w:t>
      </w:r>
      <w:r w:rsidRPr="006F5121">
        <w:t>refunding bonds.</w:t>
      </w:r>
    </w:p>
    <w:p w14:paraId="664A98FD" w14:textId="62547AD0" w:rsidR="00EC5699" w:rsidRPr="00701B86" w:rsidRDefault="00EC5699" w:rsidP="0018130B">
      <w:pPr>
        <w:rPr>
          <w:rFonts w:ascii="sans" w:hAnsi="sans"/>
          <w:sz w:val="21"/>
          <w:szCs w:val="21"/>
          <w:shd w:val="clear" w:color="auto" w:fill="FFFFFF"/>
        </w:rPr>
      </w:pPr>
      <w:r>
        <w:t xml:space="preserve">In April 2025, proposed federal legislation, S.1481–LOCAL Infrastructure ACT, the </w:t>
      </w:r>
      <w:r w:rsidRPr="00CE78CF">
        <w:t>Lifting Our Communities through Advance Liquidity for Infrastructure</w:t>
      </w:r>
      <w:r>
        <w:t xml:space="preserve"> Act, was introduced in the U.S. House of Representatives. </w:t>
      </w:r>
      <w:r w:rsidRPr="005663DC">
        <w:t xml:space="preserve">This </w:t>
      </w:r>
      <w:r>
        <w:t xml:space="preserve">is the most recent piece of </w:t>
      </w:r>
      <w:r w:rsidRPr="005663DC">
        <w:t>legislation</w:t>
      </w:r>
      <w:r>
        <w:t xml:space="preserve"> that</w:t>
      </w:r>
      <w:r w:rsidRPr="005663DC">
        <w:t xml:space="preserve"> would restore the tax-exempt status of advance refunding bonds.</w:t>
      </w:r>
      <w:r w:rsidRPr="005663DC">
        <w:rPr>
          <w:rStyle w:val="EndnoteReference"/>
        </w:rPr>
        <w:endnoteReference w:id="25"/>
      </w:r>
      <w:r w:rsidRPr="005663DC">
        <w:t xml:space="preserve"> </w:t>
      </w:r>
      <w:r w:rsidRPr="000D6805">
        <w:t>WTD is closely monitoring the viability of this effort</w:t>
      </w:r>
      <w:r w:rsidRPr="005663DC">
        <w:t xml:space="preserve"> as it moves through the legislative process</w:t>
      </w:r>
      <w:r w:rsidRPr="000D6805">
        <w:t xml:space="preserve"> and has prepared a list of potential </w:t>
      </w:r>
      <w:r w:rsidRPr="005663DC">
        <w:t>refunding opportunities</w:t>
      </w:r>
      <w:r w:rsidRPr="000D6805">
        <w:t xml:space="preserve"> should the legislation be enacted.</w:t>
      </w:r>
    </w:p>
    <w:p w14:paraId="56DC0F01" w14:textId="32A1A88E" w:rsidR="00EC5699" w:rsidRPr="006F5121" w:rsidRDefault="00EC5699" w:rsidP="0018130B">
      <w:r w:rsidRPr="00C43BA2">
        <w:lastRenderedPageBreak/>
        <w:t xml:space="preserve">The current restriction resulting from the TCJA on issuing tax-exempt </w:t>
      </w:r>
      <w:r>
        <w:t>advance</w:t>
      </w:r>
      <w:r w:rsidRPr="00C43BA2">
        <w:t xml:space="preserve"> refunding bonds does not limit the use of cash for advance refunding. In comparison with issuing tax-exempt advance refunding bonds, the ability to take high-interest-rate debt off the books through defeasance is limited by the utility’s ability to generate cash from ongoing revenue sources.</w:t>
      </w:r>
    </w:p>
    <w:p w14:paraId="5338852F" w14:textId="77777777" w:rsidR="00EC5699" w:rsidRDefault="00EC5699" w:rsidP="0018130B">
      <w:pPr>
        <w:pStyle w:val="Heading3"/>
      </w:pPr>
      <w:r w:rsidRPr="00D57810">
        <w:t>The Financial Data Transparency Act of 2022</w:t>
      </w:r>
    </w:p>
    <w:p w14:paraId="3A5A4486" w14:textId="51E17A06" w:rsidR="00EC5699" w:rsidRPr="005D56C9" w:rsidRDefault="00311A52" w:rsidP="0018130B">
      <w:r>
        <w:t xml:space="preserve">Former </w:t>
      </w:r>
      <w:r w:rsidR="00EC5699" w:rsidRPr="005D56C9">
        <w:t>President Biden signed the Financial Data Transparency Act of 2022 (FDTA) into law in December 2022</w:t>
      </w:r>
      <w:r w:rsidR="00EC5699">
        <w:t>.</w:t>
      </w:r>
      <w:r w:rsidR="00EC5699" w:rsidRPr="005D56C9">
        <w:rPr>
          <w:rStyle w:val="EndnoteReference"/>
        </w:rPr>
        <w:endnoteReference w:id="26"/>
      </w:r>
      <w:r w:rsidR="00EC5699" w:rsidRPr="005D56C9">
        <w:t xml:space="preserve"> The FDTA sets forth a sequence of regulatory steps to implement structured data requirements for the securities markets, including the municipal bond market, with the goal of providing machine-readable, searchable, comparable (e.g., standardized), structured financial data to investors and others. Along with other federal financial regulatory agencies, the federal Securities and Exchange Commission (SEC) is required to adopt data standards, including municipal market data standards for information submitted to the Municipal Securities Rulemaking Board (MSRB). </w:t>
      </w:r>
    </w:p>
    <w:p w14:paraId="3403AA76" w14:textId="1D894C28" w:rsidR="00EC5699" w:rsidRPr="00A70E86" w:rsidRDefault="00EC5699" w:rsidP="0018130B">
      <w:r>
        <w:t xml:space="preserve">The sequence of regulatory steps is expected to take place during 2026, with municipal market data standards adopted by December 2026. Compliance is expected to begin in 2027. WTD is following this development closely with bond counsel and the County’s financial advisor. </w:t>
      </w:r>
    </w:p>
    <w:p w14:paraId="0BAF4C49" w14:textId="221A0262" w:rsidR="00EC5699" w:rsidRPr="0000532A" w:rsidRDefault="00EC5699" w:rsidP="0018130B">
      <w:pPr>
        <w:pStyle w:val="Heading3"/>
      </w:pPr>
      <w:r w:rsidRPr="0000532A">
        <w:t xml:space="preserve">Defeasance </w:t>
      </w:r>
    </w:p>
    <w:p w14:paraId="5F0E30B5" w14:textId="54C3406A" w:rsidR="00EC5699" w:rsidRPr="006F5121" w:rsidRDefault="000E266F" w:rsidP="0018130B">
      <w:r>
        <w:t xml:space="preserve">Defeasance is the process of setting aside funds or assets to repay a debt or obligation, thereby </w:t>
      </w:r>
      <w:r w:rsidR="00666F7F">
        <w:t xml:space="preserve">releasing the debtor from further liability. </w:t>
      </w:r>
      <w:r w:rsidR="00EC5699" w:rsidRPr="056E9825">
        <w:t xml:space="preserve">Cash generated from </w:t>
      </w:r>
      <w:r w:rsidR="002C3614">
        <w:t>WTD’s</w:t>
      </w:r>
      <w:r w:rsidR="002C3614" w:rsidRPr="00164A40" w:rsidDel="006E3597">
        <w:t xml:space="preserve"> </w:t>
      </w:r>
      <w:r w:rsidR="00EC5699" w:rsidRPr="00164A40">
        <w:t>funding policy</w:t>
      </w:r>
      <w:r w:rsidR="00EC5699" w:rsidRPr="056E9825">
        <w:t xml:space="preserve"> </w:t>
      </w:r>
      <w:r w:rsidR="00EC5699">
        <w:t>(see cash funding section above)</w:t>
      </w:r>
      <w:r w:rsidR="00EC5699" w:rsidRPr="056E9825">
        <w:t xml:space="preserve"> can be used to directly fund capital spending or to pay </w:t>
      </w:r>
      <w:bookmarkStart w:id="85" w:name="_Hlk66604894"/>
      <w:r w:rsidR="00EC5699" w:rsidRPr="056E9825">
        <w:t xml:space="preserve">down higher-interest </w:t>
      </w:r>
      <w:bookmarkEnd w:id="85"/>
      <w:r w:rsidR="00EC5699" w:rsidRPr="056E9825">
        <w:t>outstanding debt. This accomplishes the same debt-balance outcome as directly cash-funding the CIP, while replacing high</w:t>
      </w:r>
      <w:r w:rsidR="00EC5699">
        <w:t>-</w:t>
      </w:r>
      <w:r w:rsidR="00EC5699" w:rsidRPr="056E9825">
        <w:t>interest</w:t>
      </w:r>
      <w:r w:rsidR="00EC5699">
        <w:t>-</w:t>
      </w:r>
      <w:r w:rsidR="00EC5699" w:rsidRPr="056E9825">
        <w:t>rate debt with lower</w:t>
      </w:r>
      <w:r w:rsidR="00EC5699">
        <w:t>-</w:t>
      </w:r>
      <w:r w:rsidR="00EC5699" w:rsidRPr="056E9825">
        <w:t>interest</w:t>
      </w:r>
      <w:r w:rsidR="00EC5699">
        <w:t>-</w:t>
      </w:r>
      <w:r w:rsidR="00EC5699" w:rsidRPr="056E9825">
        <w:t xml:space="preserve">rate new debt in the current market. </w:t>
      </w:r>
      <w:r w:rsidR="00EC5699">
        <w:t>A defeasance transaction usually occurs when interest rates are favorable enough to achieve maximum savings and meet the County’s minimum savings threshold of five percent of the par amount of the refunded bond.</w:t>
      </w:r>
      <w:r w:rsidR="00EC5699">
        <w:rPr>
          <w:rStyle w:val="EndnoteReference"/>
        </w:rPr>
        <w:endnoteReference w:id="27"/>
      </w:r>
      <w:r w:rsidR="00EC5699">
        <w:t xml:space="preserve"> </w:t>
      </w:r>
      <w:r w:rsidR="00EC5699" w:rsidRPr="003A7CE8">
        <w:t xml:space="preserve">In </w:t>
      </w:r>
      <w:r w:rsidR="00EC5699" w:rsidRPr="00C05207">
        <w:t>February 2025</w:t>
      </w:r>
      <w:r w:rsidR="00EC5699" w:rsidRPr="003A7CE8">
        <w:t xml:space="preserve">, WTD </w:t>
      </w:r>
      <w:r w:rsidR="00EC5699">
        <w:t xml:space="preserve">defeased $92.3 million of bonds and </w:t>
      </w:r>
      <w:r w:rsidR="00EC5699" w:rsidRPr="003A7CE8">
        <w:t>generated $</w:t>
      </w:r>
      <w:r w:rsidR="00EC5699" w:rsidRPr="00C05207">
        <w:t>8.6</w:t>
      </w:r>
      <w:r w:rsidR="00EC5699" w:rsidRPr="003A7CE8">
        <w:t xml:space="preserve"> million in total savings and $</w:t>
      </w:r>
      <w:r w:rsidR="00EC5699" w:rsidRPr="00C05207">
        <w:t>7.2</w:t>
      </w:r>
      <w:r w:rsidR="00EC5699" w:rsidRPr="003A7CE8">
        <w:t xml:space="preserve"> million in present-value savings through this mechanism.</w:t>
      </w:r>
      <w:r w:rsidR="00EC5699" w:rsidRPr="003A7CE8">
        <w:rPr>
          <w:rStyle w:val="EndnoteReference"/>
        </w:rPr>
        <w:endnoteReference w:id="28"/>
      </w:r>
    </w:p>
    <w:p w14:paraId="3E6F85B1" w14:textId="6C37387F" w:rsidR="00EC5699" w:rsidRPr="006F5121" w:rsidRDefault="00EC5699" w:rsidP="0018130B">
      <w:r w:rsidRPr="007821B4">
        <w:fldChar w:fldCharType="begin"/>
      </w:r>
      <w:r w:rsidRPr="007821B4">
        <w:instrText xml:space="preserve"> REF _Ref161293101 \h  \* MERGEFORMAT </w:instrText>
      </w:r>
      <w:r w:rsidRPr="007821B4">
        <w:fldChar w:fldCharType="separate"/>
      </w:r>
      <w:r w:rsidR="005120F9">
        <w:t>Figure 16</w:t>
      </w:r>
      <w:r w:rsidRPr="007821B4">
        <w:fldChar w:fldCharType="end"/>
      </w:r>
      <w:r>
        <w:t xml:space="preserve"> </w:t>
      </w:r>
      <w:r w:rsidRPr="006F5121">
        <w:t xml:space="preserve">demonstrates how </w:t>
      </w:r>
      <w:r>
        <w:t xml:space="preserve">the </w:t>
      </w:r>
      <w:r w:rsidRPr="006F5121">
        <w:t>use of the cash collected from sewer rate revenue for CIP funding can be used for defeasance and accomplish the same debt</w:t>
      </w:r>
      <w:r>
        <w:t>-</w:t>
      </w:r>
      <w:r w:rsidRPr="006F5121">
        <w:t>balance management goal.</w:t>
      </w:r>
    </w:p>
    <w:p w14:paraId="5768AD64" w14:textId="792C0282" w:rsidR="00EC5699" w:rsidRPr="0034134A" w:rsidRDefault="00EC5699" w:rsidP="0018130B">
      <w:r>
        <w:t>In the no-defeasance scenario, new bonds are issued and added to the debt balance at 60 percent of the annual CIP, while the remaining 40 percent is cash-funded. The sample ending debt balance in this scenario is $800.</w:t>
      </w:r>
    </w:p>
    <w:p w14:paraId="65D0CA37" w14:textId="4A7E9CEC" w:rsidR="00EC5699" w:rsidRPr="0034134A" w:rsidRDefault="00EC5699" w:rsidP="0018130B">
      <w:pPr>
        <w:rPr>
          <w:color w:val="001C38" w:themeColor="accent6" w:themeShade="BF"/>
        </w:rPr>
      </w:pPr>
      <w:r w:rsidRPr="0034134A">
        <w:t xml:space="preserve">In the </w:t>
      </w:r>
      <w:r>
        <w:t>d</w:t>
      </w:r>
      <w:r w:rsidRPr="0034134A">
        <w:t>efeasance scenario, additional debt is issued to cover the full CIP (rather than 60 percent), which frees the cash from rates to pay down outstanding higher</w:t>
      </w:r>
      <w:r>
        <w:t>-</w:t>
      </w:r>
      <w:r w:rsidRPr="0034134A">
        <w:t>interest</w:t>
      </w:r>
      <w:r>
        <w:t>-</w:t>
      </w:r>
      <w:r w:rsidRPr="0034134A">
        <w:t>rate debt. There is an effective exchange of higher</w:t>
      </w:r>
      <w:r>
        <w:t>-</w:t>
      </w:r>
      <w:r w:rsidRPr="0034134A">
        <w:t>interest</w:t>
      </w:r>
      <w:r>
        <w:t>-</w:t>
      </w:r>
      <w:r w:rsidRPr="0034134A">
        <w:t>rate debt on the books for lower</w:t>
      </w:r>
      <w:r>
        <w:t>-</w:t>
      </w:r>
      <w:r w:rsidRPr="0034134A">
        <w:t>interest</w:t>
      </w:r>
      <w:r>
        <w:t>-</w:t>
      </w:r>
      <w:r w:rsidRPr="0034134A">
        <w:t xml:space="preserve">rate debt available at current market conditions. The sample ending debt balance </w:t>
      </w:r>
      <w:r>
        <w:t>in this scenario is also</w:t>
      </w:r>
      <w:r w:rsidRPr="0034134A">
        <w:t xml:space="preserve"> $800.</w:t>
      </w:r>
    </w:p>
    <w:p w14:paraId="15EA879C" w14:textId="5D1EA049" w:rsidR="00EC5699" w:rsidRPr="00FA73F0" w:rsidRDefault="00EC5699" w:rsidP="00E37BB9">
      <w:pPr>
        <w:pStyle w:val="Caption"/>
      </w:pPr>
      <w:bookmarkStart w:id="86" w:name="_Ref161293101"/>
      <w:bookmarkStart w:id="87" w:name="_Ref128474282"/>
      <w:bookmarkStart w:id="88" w:name="_Toc129353073"/>
      <w:bookmarkStart w:id="89" w:name="_Toc226970654"/>
      <w:r>
        <w:lastRenderedPageBreak/>
        <w:t xml:space="preserve">Figure </w:t>
      </w:r>
      <w:r>
        <w:fldChar w:fldCharType="begin"/>
      </w:r>
      <w:r>
        <w:instrText xml:space="preserve"> SEQ Figure \* ARABIC </w:instrText>
      </w:r>
      <w:r>
        <w:fldChar w:fldCharType="separate"/>
      </w:r>
      <w:r w:rsidR="00677835">
        <w:rPr>
          <w:noProof/>
        </w:rPr>
        <w:t>16</w:t>
      </w:r>
      <w:r>
        <w:fldChar w:fldCharType="end"/>
      </w:r>
      <w:bookmarkEnd w:id="86"/>
      <w:r>
        <w:t xml:space="preserve"> </w:t>
      </w:r>
      <w:r w:rsidRPr="00DE6F05">
        <w:t>Sample Defeasance</w:t>
      </w:r>
      <w:bookmarkEnd w:id="87"/>
      <w:bookmarkEnd w:id="88"/>
      <w:bookmarkEnd w:id="89"/>
    </w:p>
    <w:p w14:paraId="6161272A" w14:textId="32AA146A" w:rsidR="00EC5699" w:rsidRDefault="00EC5699" w:rsidP="0018130B">
      <w:pPr>
        <w:jc w:val="center"/>
        <w:rPr>
          <w:color w:val="000000" w:themeColor="text1"/>
        </w:rPr>
      </w:pPr>
      <w:r>
        <w:rPr>
          <w:noProof/>
        </w:rPr>
        <w:t xml:space="preserve"> </w:t>
      </w:r>
      <w:r w:rsidRPr="005E4B45">
        <w:rPr>
          <w:noProof/>
        </w:rPr>
        <w:drawing>
          <wp:inline distT="0" distB="0" distL="0" distR="0" wp14:anchorId="698EBA8E" wp14:editId="0B5049B3">
            <wp:extent cx="5018062" cy="3816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23786" cy="3820703"/>
                    </a:xfrm>
                    <a:prstGeom prst="rect">
                      <a:avLst/>
                    </a:prstGeom>
                    <a:noFill/>
                    <a:ln>
                      <a:noFill/>
                    </a:ln>
                  </pic:spPr>
                </pic:pic>
              </a:graphicData>
            </a:graphic>
          </wp:inline>
        </w:drawing>
      </w:r>
    </w:p>
    <w:p w14:paraId="11DD5204" w14:textId="65BEB409" w:rsidR="00EC5699" w:rsidRPr="00D90BDE" w:rsidRDefault="00EC5699" w:rsidP="00DC3371">
      <w:pPr>
        <w:pStyle w:val="Heading1"/>
      </w:pPr>
      <w:bookmarkStart w:id="90" w:name="_Toc129353042"/>
      <w:r>
        <w:br w:type="page"/>
      </w:r>
      <w:bookmarkStart w:id="91" w:name="_Toc224573037"/>
      <w:r w:rsidRPr="00D90BDE">
        <w:lastRenderedPageBreak/>
        <w:t>Reserves Management</w:t>
      </w:r>
      <w:bookmarkEnd w:id="90"/>
      <w:bookmarkEnd w:id="91"/>
    </w:p>
    <w:p w14:paraId="72A00D09" w14:textId="22256CE4" w:rsidR="00EC5699" w:rsidRDefault="00EC5699" w:rsidP="0018130B">
      <w:pPr>
        <w:pStyle w:val="BodyText"/>
      </w:pPr>
      <w:r>
        <w:t xml:space="preserve">WTD maintains financial reserves that address minimums required by debt covenants (contracts), working capital targets, management of loan proceeds, and other capital resources, rate increase smoothing, and mitigation of revenue risk. This section describes those </w:t>
      </w:r>
      <w:bookmarkStart w:id="92" w:name="_Int_Wzmm1ldW"/>
      <w:r>
        <w:t>reserves</w:t>
      </w:r>
      <w:bookmarkEnd w:id="92"/>
      <w:r>
        <w:t xml:space="preserve"> and the reserve levels targeted in the financial forecast.</w:t>
      </w:r>
    </w:p>
    <w:p w14:paraId="6BB7AA52" w14:textId="089A4D7F" w:rsidR="00EC5699" w:rsidRDefault="00EC5699" w:rsidP="00E37BB9">
      <w:pPr>
        <w:pStyle w:val="Caption"/>
      </w:pPr>
      <w:bookmarkStart w:id="93" w:name="_Toc129353074"/>
      <w:bookmarkStart w:id="94" w:name="_Ref157001387"/>
      <w:bookmarkStart w:id="95" w:name="_Toc226970655"/>
      <w:r>
        <w:t xml:space="preserve">Figure </w:t>
      </w:r>
      <w:r>
        <w:fldChar w:fldCharType="begin"/>
      </w:r>
      <w:r>
        <w:instrText xml:space="preserve"> SEQ Figure \* ARABIC </w:instrText>
      </w:r>
      <w:r>
        <w:fldChar w:fldCharType="separate"/>
      </w:r>
      <w:r w:rsidR="00677835">
        <w:rPr>
          <w:noProof/>
        </w:rPr>
        <w:t>17</w:t>
      </w:r>
      <w:r>
        <w:fldChar w:fldCharType="end"/>
      </w:r>
      <w:r>
        <w:t xml:space="preserve"> </w:t>
      </w:r>
      <w:r w:rsidRPr="00FB7B73">
        <w:t>Summary of WTD Reserves</w:t>
      </w:r>
      <w:r w:rsidRPr="00456195">
        <w:rPr>
          <w:rStyle w:val="EndnoteReference"/>
        </w:rPr>
        <w:endnoteReference w:id="29"/>
      </w:r>
      <w:bookmarkEnd w:id="93"/>
      <w:bookmarkEnd w:id="94"/>
      <w:bookmarkEnd w:id="95"/>
      <w:r w:rsidRPr="008B3815">
        <w:t xml:space="preserve"> </w:t>
      </w:r>
    </w:p>
    <w:p w14:paraId="7B443FA8" w14:textId="7A21F397" w:rsidR="00EC5699" w:rsidRDefault="00EC5699" w:rsidP="001973BF">
      <w:r w:rsidRPr="00F9043E">
        <w:rPr>
          <w:noProof/>
        </w:rPr>
        <w:drawing>
          <wp:inline distT="0" distB="0" distL="0" distR="0" wp14:anchorId="1EA6C6F7" wp14:editId="32DFF6FF">
            <wp:extent cx="6858000" cy="4500880"/>
            <wp:effectExtent l="0" t="0" r="0" b="0"/>
            <wp:docPr id="2140376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858000" cy="4500880"/>
                    </a:xfrm>
                    <a:prstGeom prst="rect">
                      <a:avLst/>
                    </a:prstGeom>
                    <a:noFill/>
                    <a:ln>
                      <a:noFill/>
                    </a:ln>
                  </pic:spPr>
                </pic:pic>
              </a:graphicData>
            </a:graphic>
          </wp:inline>
        </w:drawing>
      </w:r>
    </w:p>
    <w:p w14:paraId="6931BF57" w14:textId="168BF1E9" w:rsidR="007A3C3B" w:rsidRPr="00185534" w:rsidRDefault="00185534" w:rsidP="001973BF">
      <w:pPr>
        <w:rPr>
          <w:sz w:val="14"/>
          <w:szCs w:val="14"/>
        </w:rPr>
      </w:pPr>
      <w:r w:rsidRPr="00185534">
        <w:rPr>
          <w:sz w:val="14"/>
          <w:szCs w:val="14"/>
        </w:rPr>
        <w:t>*Ecology eliminated this provision for loans awarded after 2018</w:t>
      </w:r>
    </w:p>
    <w:p w14:paraId="000E033B" w14:textId="4D155104" w:rsidR="00EC5699" w:rsidRPr="00D90BDE" w:rsidRDefault="00EC5699" w:rsidP="00EF6C0C">
      <w:pPr>
        <w:pStyle w:val="Heading2"/>
      </w:pPr>
      <w:bookmarkStart w:id="96" w:name="_Toc39566826"/>
      <w:bookmarkStart w:id="97" w:name="_Toc39586791"/>
      <w:bookmarkStart w:id="98" w:name="_Toc129353043"/>
      <w:bookmarkStart w:id="99" w:name="_Toc224573038"/>
      <w:r w:rsidRPr="00D90BDE">
        <w:t>W</w:t>
      </w:r>
      <w:r>
        <w:t>TD</w:t>
      </w:r>
      <w:r w:rsidRPr="00D90BDE">
        <w:t xml:space="preserve"> Operating Fund </w:t>
      </w:r>
      <w:bookmarkEnd w:id="96"/>
      <w:bookmarkEnd w:id="97"/>
      <w:r w:rsidRPr="00D90BDE">
        <w:t>4611</w:t>
      </w:r>
      <w:bookmarkEnd w:id="98"/>
      <w:bookmarkEnd w:id="99"/>
    </w:p>
    <w:p w14:paraId="7DEE9508" w14:textId="77777777" w:rsidR="00EC5699" w:rsidRPr="00FA7B28" w:rsidRDefault="00EC5699" w:rsidP="00324745">
      <w:pPr>
        <w:pStyle w:val="Heading3"/>
      </w:pPr>
      <w:r w:rsidRPr="00FA7B28">
        <w:t>Unrestricted Operating Balances</w:t>
      </w:r>
    </w:p>
    <w:p w14:paraId="44D83DA2" w14:textId="3464E98B" w:rsidR="00EC5699" w:rsidRPr="006F5121" w:rsidRDefault="00EC5699" w:rsidP="00324745">
      <w:r>
        <w:t>The Operating Fund is where WTD’s daily expenses, such as most personnel costs, supplies, and other costs associated with operating and maintaining the utility</w:t>
      </w:r>
      <w:r w:rsidR="001371AC">
        <w:t>,</w:t>
      </w:r>
      <w:r>
        <w:t xml:space="preserve"> are funded. </w:t>
      </w:r>
      <w:r w:rsidRPr="006F5121">
        <w:t xml:space="preserve">Funds </w:t>
      </w:r>
      <w:r>
        <w:t>exceeding</w:t>
      </w:r>
      <w:r w:rsidRPr="006F5121">
        <w:t xml:space="preserve"> minimum reserve levels in the Operating </w:t>
      </w:r>
      <w:r>
        <w:t>F</w:t>
      </w:r>
      <w:r w:rsidRPr="006F5121">
        <w:t xml:space="preserve">und at year-end are </w:t>
      </w:r>
      <w:r w:rsidRPr="46CB4CE5">
        <w:t xml:space="preserve">unrestricted and </w:t>
      </w:r>
      <w:r w:rsidRPr="006F5121">
        <w:t>evaluated for optimal use</w:t>
      </w:r>
      <w:r w:rsidRPr="46CB4CE5">
        <w:t>. Some uses for unrestricted funds include</w:t>
      </w:r>
      <w:r w:rsidRPr="006F5121">
        <w:t xml:space="preserve"> potential transfer to the Construction </w:t>
      </w:r>
      <w:r>
        <w:t>F</w:t>
      </w:r>
      <w:r w:rsidRPr="006F5121">
        <w:t>und or contribut</w:t>
      </w:r>
      <w:r w:rsidRPr="46CB4CE5">
        <w:t>ion</w:t>
      </w:r>
      <w:r w:rsidRPr="006F5121">
        <w:t xml:space="preserve"> to defeasance transactions.</w:t>
      </w:r>
    </w:p>
    <w:p w14:paraId="349E9B9E" w14:textId="77777777" w:rsidR="00EC5699" w:rsidRPr="00FA7B28" w:rsidRDefault="00EC5699" w:rsidP="0018130B">
      <w:pPr>
        <w:pStyle w:val="Heading3"/>
      </w:pPr>
      <w:r w:rsidRPr="00FA7B28">
        <w:lastRenderedPageBreak/>
        <w:t>Liquidity Reserve</w:t>
      </w:r>
    </w:p>
    <w:p w14:paraId="43C4C42E" w14:textId="6DD22CE1" w:rsidR="00EC5699" w:rsidRPr="00CA423A" w:rsidRDefault="00EC5699" w:rsidP="0018130B">
      <w:r>
        <w:t xml:space="preserve">The Liquidity Reserve is targeted to provide sufficient cash balances for variance of revenue and expenditure cycles throughout the year. The working capital target is established as 10 percent of operating expenditures in any given year. As a result, a reserve increase must be funded each year as operating expenditures increase. The proposed 2027-2046 financial </w:t>
      </w:r>
      <w:r w:rsidRPr="00303E22">
        <w:t>forecast includes $</w:t>
      </w:r>
      <w:r w:rsidRPr="007C22FB">
        <w:t>26.8</w:t>
      </w:r>
      <w:r w:rsidRPr="00303E22">
        <w:t xml:space="preserve"> million in Operating Liquidity Reserve</w:t>
      </w:r>
      <w:r>
        <w:t>,</w:t>
      </w:r>
      <w:r w:rsidRPr="00303E22">
        <w:t xml:space="preserve"> $</w:t>
      </w:r>
      <w:r w:rsidRPr="007C22FB">
        <w:t>5 million in the Capital Liquidity Reserve</w:t>
      </w:r>
      <w:r>
        <w:t>,</w:t>
      </w:r>
      <w:r w:rsidRPr="007C22FB">
        <w:t xml:space="preserve"> and $35 million </w:t>
      </w:r>
      <w:r w:rsidRPr="00303E22">
        <w:t>in</w:t>
      </w:r>
      <w:r w:rsidRPr="007C22FB">
        <w:t xml:space="preserve"> the</w:t>
      </w:r>
      <w:r w:rsidRPr="00303E22">
        <w:t xml:space="preserve"> Capital Liquidity </w:t>
      </w:r>
      <w:r w:rsidRPr="007C22FB">
        <w:t>Threshold</w:t>
      </w:r>
      <w:r w:rsidRPr="00303E22">
        <w:t xml:space="preserve"> for 202</w:t>
      </w:r>
      <w:r w:rsidRPr="007C22FB">
        <w:t>7</w:t>
      </w:r>
      <w:r w:rsidRPr="00303E22">
        <w:t>.</w:t>
      </w:r>
    </w:p>
    <w:p w14:paraId="572D4F6D" w14:textId="1E5672F7" w:rsidR="00EC5699" w:rsidRDefault="00EC5699" w:rsidP="0018130B">
      <w:pPr>
        <w:pStyle w:val="Heading3"/>
      </w:pPr>
      <w:bookmarkStart w:id="100" w:name="_Toc34589101"/>
      <w:bookmarkStart w:id="101" w:name="_Toc39566828"/>
      <w:bookmarkStart w:id="102" w:name="_Toc39586793"/>
      <w:r>
        <w:t>Voluntary Operating Reserve</w:t>
      </w:r>
    </w:p>
    <w:p w14:paraId="5D70A23F" w14:textId="46626D99" w:rsidR="00EC5699" w:rsidRDefault="00EC5699" w:rsidP="00864CDB">
      <w:r>
        <w:t xml:space="preserve">The Washington State Auditor’s Office publishes financial ratios for government agencies in its Financial Intelligence Tool (FIT). In mid-2024, the State Auditor began publishing ratios for King County’s major enterprise funds for the first time and WTD showed a </w:t>
      </w:r>
      <w:r w:rsidR="000A5F8D">
        <w:t>“</w:t>
      </w:r>
      <w:r>
        <w:t>concerning</w:t>
      </w:r>
      <w:r w:rsidR="000A5F8D">
        <w:t>”</w:t>
      </w:r>
      <w:r>
        <w:t xml:space="preserve"> indicator.</w:t>
      </w:r>
    </w:p>
    <w:p w14:paraId="10F10EC6" w14:textId="1FC6197A" w:rsidR="00EC5699" w:rsidRPr="007D5BC5" w:rsidRDefault="00EC5699" w:rsidP="007C22FB">
      <w:r>
        <w:t>One of those indicators is the current ratio (current assets divided by current liabilities), which should be at least 1.0. For 2023, WTD’s ratio was 1.05, only slightly above the minimum target. Given the current ratio concerns and the importance ratings agencies place on unrestricted liquidity, WTD is establishing a “voluntary reserve” in Fund 4611. These funds are not legally restricted by bond covenants but using those funds would likely result in negative consequences from bondholders and ratings agencies, including potentially higher future borrowing costs. The voluntary reserve currently consists of $103 million in the operating fund.</w:t>
      </w:r>
    </w:p>
    <w:p w14:paraId="6EA700A2" w14:textId="40D56FC2" w:rsidR="00EC5699" w:rsidRPr="00FA7B28" w:rsidRDefault="00EC5699" w:rsidP="0018130B">
      <w:pPr>
        <w:pStyle w:val="Heading3"/>
      </w:pPr>
      <w:r w:rsidRPr="00FA7B28">
        <w:t>Rate Stabilization Reserve</w:t>
      </w:r>
      <w:bookmarkEnd w:id="100"/>
      <w:bookmarkEnd w:id="101"/>
      <w:bookmarkEnd w:id="102"/>
    </w:p>
    <w:p w14:paraId="17D04496" w14:textId="560135E0" w:rsidR="00EC5699" w:rsidRPr="00CA423A" w:rsidRDefault="00EC5699" w:rsidP="0018130B">
      <w:r w:rsidRPr="46CB4CE5">
        <w:t xml:space="preserve">A </w:t>
      </w:r>
      <w:r>
        <w:t>R</w:t>
      </w:r>
      <w:r w:rsidRPr="46CB4CE5">
        <w:t xml:space="preserve">ate </w:t>
      </w:r>
      <w:r>
        <w:t>S</w:t>
      </w:r>
      <w:r w:rsidRPr="46CB4CE5">
        <w:t xml:space="preserve">tabilization </w:t>
      </w:r>
      <w:r>
        <w:t>R</w:t>
      </w:r>
      <w:r w:rsidRPr="46CB4CE5">
        <w:t xml:space="preserve">eserve (RSR) is unique in that bond covenants are written to allow that, in any given year, use of this reserve can be recognized as revenue eligible for inclusion in the bond coverage calculation. In years that WTD contributes to this reserve from </w:t>
      </w:r>
      <w:r>
        <w:t>WTD</w:t>
      </w:r>
      <w:r w:rsidRPr="46CB4CE5">
        <w:t xml:space="preserve"> Fund revenues, that portion of revenue is deducted from the revenue basis for calculating bond coverage. This allows WTD to use reserves to manage rate levels without compromising the ability to meet annual bond coverage targets. Funds in the RSR also enhance the liquidity metrics used by the rating agencies when they evaluate WTD’s credit quality.</w:t>
      </w:r>
      <w:r w:rsidRPr="5434B475">
        <w:rPr>
          <w:rStyle w:val="EndnoteReference"/>
        </w:rPr>
        <w:endnoteReference w:id="30"/>
      </w:r>
      <w:r>
        <w:t xml:space="preserve"> </w:t>
      </w:r>
    </w:p>
    <w:p w14:paraId="2BE3DA2D" w14:textId="5992FD26" w:rsidR="00EC5699" w:rsidRPr="005663DC" w:rsidRDefault="00EC5699" w:rsidP="0018130B">
      <w:r w:rsidRPr="4206D66E">
        <w:t xml:space="preserve">WTD considers the use of reserve balances in the context of Ordinance </w:t>
      </w:r>
      <w:r>
        <w:t>19782</w:t>
      </w:r>
      <w:r w:rsidRPr="4206D66E">
        <w:t>, which states th</w:t>
      </w:r>
      <w:r>
        <w:t xml:space="preserve">at </w:t>
      </w:r>
      <w:r w:rsidRPr="4206D66E">
        <w:t>the RSR is for the purpose of smoothing rates between years</w:t>
      </w:r>
      <w:r w:rsidRPr="006F7D9A">
        <w:t>.</w:t>
      </w:r>
      <w:r w:rsidRPr="006F7D9A">
        <w:rPr>
          <w:rStyle w:val="EndnoteReference"/>
        </w:rPr>
        <w:endnoteReference w:id="31"/>
      </w:r>
      <w:r w:rsidRPr="09816F2E">
        <w:t xml:space="preserve"> Use of reserves represents a one-time resource, and excess reserves should be applied to one-time expenditures. There is no planned use of the RSR </w:t>
      </w:r>
      <w:r>
        <w:t>($46.25 million)</w:t>
      </w:r>
      <w:r w:rsidRPr="09816F2E">
        <w:t xml:space="preserve"> in the proposed </w:t>
      </w:r>
      <w:r w:rsidRPr="005663DC">
        <w:t>202</w:t>
      </w:r>
      <w:r>
        <w:t>7</w:t>
      </w:r>
      <w:r w:rsidRPr="005663DC">
        <w:t>-203</w:t>
      </w:r>
      <w:r>
        <w:t>6</w:t>
      </w:r>
      <w:r w:rsidRPr="09816F2E">
        <w:t xml:space="preserve"> </w:t>
      </w:r>
      <w:r>
        <w:t xml:space="preserve">sewer </w:t>
      </w:r>
      <w:r w:rsidRPr="09816F2E">
        <w:t xml:space="preserve">rate </w:t>
      </w:r>
      <w:r w:rsidRPr="5BE29481">
        <w:t>forecast.</w:t>
      </w:r>
      <w:r w:rsidRPr="09816F2E">
        <w:t xml:space="preserve"> </w:t>
      </w:r>
      <w:r>
        <w:t>There has been interest from stakeholders in WTD transitioning to a multiyear rate proposal beginning in 2028. If implemented, the RSR could be used in the event of a revenue shortfall in later years of the rate cycle.</w:t>
      </w:r>
    </w:p>
    <w:p w14:paraId="4291D05B" w14:textId="571D96D2" w:rsidR="00EC5699" w:rsidRPr="00A62A09" w:rsidRDefault="00EC5699" w:rsidP="0018130B">
      <w:pPr>
        <w:pStyle w:val="Heading2"/>
      </w:pPr>
      <w:bookmarkStart w:id="103" w:name="_Toc34589102"/>
      <w:bookmarkStart w:id="104" w:name="_Toc39566829"/>
      <w:bookmarkStart w:id="105" w:name="_Toc39586794"/>
      <w:bookmarkStart w:id="106" w:name="_Toc129353044"/>
      <w:bookmarkStart w:id="107" w:name="_Toc224573039"/>
      <w:r>
        <w:t>WTD</w:t>
      </w:r>
      <w:r w:rsidRPr="00A62A09">
        <w:t xml:space="preserve"> Construction</w:t>
      </w:r>
      <w:bookmarkEnd w:id="103"/>
      <w:bookmarkEnd w:id="104"/>
      <w:bookmarkEnd w:id="105"/>
      <w:r w:rsidRPr="00A62A09">
        <w:t xml:space="preserve"> Fund 3611</w:t>
      </w:r>
      <w:bookmarkEnd w:id="106"/>
      <w:bookmarkEnd w:id="107"/>
    </w:p>
    <w:p w14:paraId="73F3EAC2" w14:textId="77777777" w:rsidR="00EC5699" w:rsidRPr="008D2B6B" w:rsidRDefault="00EC5699" w:rsidP="00324745">
      <w:pPr>
        <w:pStyle w:val="Heading3"/>
      </w:pPr>
      <w:r w:rsidRPr="008D2B6B">
        <w:t>Unrestricted Construction Fund Balances</w:t>
      </w:r>
    </w:p>
    <w:p w14:paraId="6F821CFE" w14:textId="0CB5ED70" w:rsidR="00EC5699" w:rsidRDefault="00EC5699" w:rsidP="00324745">
      <w:r w:rsidRPr="008D2B6B">
        <w:t>WTD’s Construction Fund is where capital project costs are charged</w:t>
      </w:r>
      <w:r>
        <w:t>,</w:t>
      </w:r>
      <w:r w:rsidRPr="008D2B6B">
        <w:t xml:space="preserve"> loan proceeds are reserved and spent</w:t>
      </w:r>
      <w:r>
        <w:t>,</w:t>
      </w:r>
      <w:r w:rsidRPr="008D2B6B">
        <w:t xml:space="preserve"> transfers are received for cash-funded capital from the Operating Fund</w:t>
      </w:r>
      <w:r>
        <w:t>,</w:t>
      </w:r>
      <w:r w:rsidRPr="008D2B6B">
        <w:t xml:space="preserve"> and capital reserves, such as the Asset Management Reserve, are maintained. Accumulated reserves above the policy</w:t>
      </w:r>
      <w:r>
        <w:t xml:space="preserve"> </w:t>
      </w:r>
      <w:r w:rsidRPr="008D2B6B">
        <w:t>minimum are used to fund projects</w:t>
      </w:r>
      <w:r w:rsidRPr="008D2B6B" w:rsidDel="006E227C">
        <w:t>.</w:t>
      </w:r>
    </w:p>
    <w:p w14:paraId="33FA458D" w14:textId="394027EC" w:rsidR="00EC5699" w:rsidRPr="008D2B6B" w:rsidRDefault="00EC5699" w:rsidP="007C22FB">
      <w:pPr>
        <w:pStyle w:val="Heading3"/>
      </w:pPr>
      <w:r>
        <w:t>Capital Liquidity Reserve and Threshold</w:t>
      </w:r>
    </w:p>
    <w:p w14:paraId="2217898E" w14:textId="2C515432" w:rsidR="00EC5699" w:rsidRPr="008D2B6B" w:rsidRDefault="00EC5699" w:rsidP="0018130B">
      <w:pPr>
        <w:pStyle w:val="BodyText"/>
      </w:pPr>
      <w:r>
        <w:t xml:space="preserve">In 2024, WTD established a minimum $35 million ending balance in the capital fund (Capital Liquidity Threshold) to complement its $5 million Capital Liquidity Reserve. This change reflects the increase in monthly capital spending since the inception of the policy. The Construction Fund balance is projected to end at the $40 million liquidity reserve ($5 million reserve + $35 million threshold) target in each year of the financial forecast. </w:t>
      </w:r>
    </w:p>
    <w:p w14:paraId="7C04BE8F" w14:textId="77777777" w:rsidR="00EC5699" w:rsidRPr="008965B9" w:rsidRDefault="00EC5699" w:rsidP="008965B9">
      <w:pPr>
        <w:pStyle w:val="Heading3"/>
      </w:pPr>
      <w:r w:rsidRPr="008965B9">
        <w:rPr>
          <w:rStyle w:val="Heading4Char"/>
          <w:b w:val="0"/>
          <w:iCs w:val="0"/>
        </w:rPr>
        <w:lastRenderedPageBreak/>
        <w:t>Asset Management Reserve</w:t>
      </w:r>
      <w:r w:rsidRPr="008965B9">
        <w:t xml:space="preserve"> </w:t>
      </w:r>
    </w:p>
    <w:p w14:paraId="5D0F7A12" w14:textId="50A11B5D" w:rsidR="00EC5699" w:rsidRDefault="00EC5699" w:rsidP="0018130B">
      <w:r w:rsidRPr="008D2B6B">
        <w:t>The Asset Management Reserve is maintained as an emergency reserve and</w:t>
      </w:r>
      <w:r>
        <w:t>,</w:t>
      </w:r>
      <w:r w:rsidRPr="008D2B6B">
        <w:t xml:space="preserve"> as such</w:t>
      </w:r>
      <w:r>
        <w:t>,</w:t>
      </w:r>
      <w:r w:rsidRPr="008D2B6B">
        <w:t xml:space="preserve"> is not forecast to deviate from the $15 million balance. This reserve could be an important resource if an asset failure should occur during a period of significant revenue constraint.</w:t>
      </w:r>
    </w:p>
    <w:p w14:paraId="67299642" w14:textId="394FE161" w:rsidR="00EC5699" w:rsidRPr="00C50A50" w:rsidRDefault="00EC5699" w:rsidP="0018130B">
      <w:pPr>
        <w:pStyle w:val="Heading2"/>
      </w:pPr>
      <w:bookmarkStart w:id="108" w:name="_Toc34589103"/>
      <w:bookmarkStart w:id="109" w:name="_Toc39566830"/>
      <w:bookmarkStart w:id="110" w:name="_Toc39586795"/>
      <w:bookmarkStart w:id="111" w:name="_Toc129353045"/>
      <w:bookmarkStart w:id="112" w:name="_Toc224573040"/>
      <w:r w:rsidRPr="00C50A50">
        <w:t>Debt Reserve</w:t>
      </w:r>
      <w:bookmarkEnd w:id="108"/>
      <w:bookmarkEnd w:id="109"/>
      <w:bookmarkEnd w:id="110"/>
      <w:r>
        <w:t xml:space="preserve"> Funds</w:t>
      </w:r>
      <w:r w:rsidRPr="00C50A50">
        <w:t xml:space="preserve"> 8921 and 8922</w:t>
      </w:r>
      <w:bookmarkEnd w:id="111"/>
      <w:bookmarkEnd w:id="112"/>
    </w:p>
    <w:p w14:paraId="54965447" w14:textId="5D036773" w:rsidR="00EC5699" w:rsidRDefault="00EC5699" w:rsidP="00D0735F">
      <w:r w:rsidRPr="00FF0CF5">
        <w:t>WTD’s debt reserve minimums were originally established as a requirement in bond covenants or by the loan-granting agency. However, with 51 percent of bondholders consenting to the “Springing Amendment” through their purchase of parity bonds, WTD is no longer required to maintain an amount equal to the maximum annual debt service on outstanding parity bonds in the Debt Service Reserve Fund (DSRF).</w:t>
      </w:r>
      <w:r w:rsidRPr="00FF0CF5">
        <w:rPr>
          <w:rStyle w:val="EndnoteReference"/>
        </w:rPr>
        <w:endnoteReference w:id="32"/>
      </w:r>
      <w:r w:rsidRPr="00FF0CF5">
        <w:rPr>
          <w:vertAlign w:val="superscript"/>
        </w:rPr>
        <w:t xml:space="preserve">, </w:t>
      </w:r>
      <w:r w:rsidRPr="00FF0CF5">
        <w:rPr>
          <w:rStyle w:val="EndnoteReference"/>
        </w:rPr>
        <w:endnoteReference w:id="33"/>
      </w:r>
      <w:r w:rsidRPr="00FF0CF5">
        <w:rPr>
          <w:vertAlign w:val="superscript"/>
        </w:rPr>
        <w:t xml:space="preserve">, </w:t>
      </w:r>
      <w:r w:rsidRPr="00FF0CF5">
        <w:rPr>
          <w:rStyle w:val="EndnoteReference"/>
        </w:rPr>
        <w:endnoteReference w:id="34"/>
      </w:r>
      <w:r w:rsidRPr="00FF0CF5">
        <w:t xml:space="preserve"> In June 2024, Council approved Ordinance 19785, which not only authorize</w:t>
      </w:r>
      <w:r>
        <w:t>d</w:t>
      </w:r>
      <w:r w:rsidRPr="00FF0CF5">
        <w:t xml:space="preserve"> the issuance of $1.2 billion in senior lien debt</w:t>
      </w:r>
      <w:r>
        <w:t xml:space="preserve"> through December 2026</w:t>
      </w:r>
      <w:r w:rsidRPr="00FF0CF5">
        <w:t>, but it also provide</w:t>
      </w:r>
      <w:r>
        <w:t>d</w:t>
      </w:r>
      <w:r w:rsidRPr="00FF0CF5">
        <w:t xml:space="preserve"> the framework for the</w:t>
      </w:r>
      <w:r>
        <w:t xml:space="preserve"> King County Finance Director</w:t>
      </w:r>
      <w:r w:rsidRPr="00FF0CF5">
        <w:t xml:space="preserve"> to change the definition of reserve requirement. This means the County can create different reserve requirements for different sets of parity bonds, including the bonds themselves. The County could also lower any reserve requirement, even down to zero, in any calendar year, as long as it is less than the maximum annual parity debt service. </w:t>
      </w:r>
      <w:r>
        <w:t>In 2025, WTD sprung the entire cash portion of the DSRF into a Redemption Account ($37.0 million) to fund future bond payments, a Voluntary Reserve ($83.2 million) to act as cash on hand to manage short-term liquidity, and into longer dated investments managed by the County ($10.6 million)</w:t>
      </w:r>
      <w:r w:rsidR="00AE76C9">
        <w:t>.</w:t>
      </w:r>
      <w:r>
        <w:rPr>
          <w:rStyle w:val="EndnoteReference"/>
        </w:rPr>
        <w:endnoteReference w:id="35"/>
      </w:r>
      <w:r>
        <w:t xml:space="preserve"> A Debt Redemption Account is a restricted account used to accumulate funds designated for the repayment, redemption, or defeasance of outstanding debt obligations. Amounts held in the account may be used to pay scheduled principal and interest or to retire debt prior to maturity in accordance with bond covenants or applicable financial policies. Currently, there are no funds in the DSRF. WTD has still maintained its investments of </w:t>
      </w:r>
      <w:r w:rsidRPr="007C22FB">
        <w:t>$29.6 million in surety bonds.</w:t>
      </w:r>
    </w:p>
    <w:p w14:paraId="63C2A5AC" w14:textId="0CF28A6E" w:rsidR="00EC5699" w:rsidRDefault="00EC5699" w:rsidP="0018130B">
      <w:r w:rsidRPr="005663DC">
        <w:t>Ecology had a reserve requirement but eliminated this provision for loans awarded after 2018</w:t>
      </w:r>
      <w:r w:rsidRPr="002E4E73">
        <w:t>. Reserves for pre-2018 Ecology loans decreased from $13.5 million to just $</w:t>
      </w:r>
      <w:r>
        <w:t xml:space="preserve">219,400 </w:t>
      </w:r>
      <w:r w:rsidRPr="002E4E73">
        <w:t xml:space="preserve">after the refunding of a group of loans in 2021 and </w:t>
      </w:r>
      <w:r>
        <w:t>the repayment of the Denny Way Elliott West Pipeline SRF loan</w:t>
      </w:r>
      <w:r w:rsidRPr="002E4E73">
        <w:t>.</w:t>
      </w:r>
      <w:r>
        <w:t xml:space="preserve"> The current balance is also $219,400 as of December 31, 2025.</w:t>
      </w:r>
    </w:p>
    <w:p w14:paraId="7EA44441" w14:textId="77777777" w:rsidR="00EC5699" w:rsidRDefault="00EC5699" w:rsidP="0018130B"/>
    <w:p w14:paraId="2B778C2A" w14:textId="042C3575" w:rsidR="00EC5699" w:rsidRDefault="00EC5699" w:rsidP="00FC5813">
      <w:pPr>
        <w:pStyle w:val="Caption"/>
      </w:pPr>
      <w:bookmarkStart w:id="113" w:name="_Toc129353075"/>
      <w:bookmarkStart w:id="114" w:name="_Toc226970656"/>
      <w:r>
        <w:t xml:space="preserve">Figure </w:t>
      </w:r>
      <w:r>
        <w:fldChar w:fldCharType="begin"/>
      </w:r>
      <w:r>
        <w:instrText xml:space="preserve"> SEQ Figure \* ARABIC </w:instrText>
      </w:r>
      <w:r>
        <w:fldChar w:fldCharType="separate"/>
      </w:r>
      <w:r w:rsidR="00677835">
        <w:rPr>
          <w:noProof/>
        </w:rPr>
        <w:t>18</w:t>
      </w:r>
      <w:r>
        <w:fldChar w:fldCharType="end"/>
      </w:r>
      <w:r>
        <w:t xml:space="preserve"> </w:t>
      </w:r>
      <w:r w:rsidRPr="00DE6F05">
        <w:t>Surety Bond Summary</w:t>
      </w:r>
      <w:bookmarkEnd w:id="113"/>
      <w:bookmarkEnd w:id="114"/>
    </w:p>
    <w:p w14:paraId="7379F308" w14:textId="6509465A" w:rsidR="00EC5699" w:rsidRDefault="00EC5699" w:rsidP="008F20AD">
      <w:pPr>
        <w:jc w:val="center"/>
      </w:pPr>
      <w:r w:rsidRPr="003413DE">
        <w:rPr>
          <w:noProof/>
        </w:rPr>
        <w:drawing>
          <wp:inline distT="0" distB="0" distL="0" distR="0" wp14:anchorId="1861FA58" wp14:editId="0699139F">
            <wp:extent cx="6732905" cy="1138792"/>
            <wp:effectExtent l="0" t="0" r="0" b="4445"/>
            <wp:docPr id="10596471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9">
                      <a:extLst>
                        <a:ext uri="{28A0092B-C50C-407E-A947-70E740481C1C}">
                          <a14:useLocalDpi xmlns:a14="http://schemas.microsoft.com/office/drawing/2010/main" val="0"/>
                        </a:ext>
                      </a:extLst>
                    </a:blip>
                    <a:srcRect b="38495"/>
                    <a:stretch>
                      <a:fillRect/>
                    </a:stretch>
                  </pic:blipFill>
                  <pic:spPr bwMode="auto">
                    <a:xfrm>
                      <a:off x="0" y="0"/>
                      <a:ext cx="6735360" cy="1139207"/>
                    </a:xfrm>
                    <a:prstGeom prst="rect">
                      <a:avLst/>
                    </a:prstGeom>
                    <a:noFill/>
                    <a:ln>
                      <a:noFill/>
                    </a:ln>
                    <a:extLst>
                      <a:ext uri="{53640926-AAD7-44D8-BBD7-CCE9431645EC}">
                        <a14:shadowObscured xmlns:a14="http://schemas.microsoft.com/office/drawing/2010/main"/>
                      </a:ext>
                    </a:extLst>
                  </pic:spPr>
                </pic:pic>
              </a:graphicData>
            </a:graphic>
          </wp:inline>
        </w:drawing>
      </w:r>
    </w:p>
    <w:p w14:paraId="2448EA19" w14:textId="751E4687" w:rsidR="00EC5699" w:rsidRPr="00CA423A" w:rsidRDefault="00EC5699" w:rsidP="0018130B">
      <w:pPr>
        <w:pStyle w:val="BodyText"/>
        <w:jc w:val="center"/>
        <w:rPr>
          <w:szCs w:val="22"/>
          <w:highlight w:val="yellow"/>
        </w:rPr>
      </w:pPr>
    </w:p>
    <w:p w14:paraId="1C497576" w14:textId="77777777" w:rsidR="00EC5699" w:rsidRPr="008C35F0" w:rsidRDefault="00EC5699" w:rsidP="0018130B">
      <w:pPr>
        <w:pStyle w:val="Heading1"/>
      </w:pPr>
      <w:bookmarkStart w:id="115" w:name="_Toc129353046"/>
      <w:bookmarkStart w:id="116" w:name="_Toc224573041"/>
      <w:r w:rsidRPr="6A34B74C">
        <w:t>Revenue</w:t>
      </w:r>
      <w:bookmarkEnd w:id="115"/>
      <w:bookmarkEnd w:id="116"/>
    </w:p>
    <w:p w14:paraId="492BE212" w14:textId="28C6A7CD" w:rsidR="00EC5699" w:rsidRDefault="00EC5699" w:rsidP="0018130B">
      <w:r>
        <w:t xml:space="preserve">Once WTD’s operating and capital obligations have been forecast, the </w:t>
      </w:r>
      <w:r w:rsidRPr="00DA19FE">
        <w:t>revenue requirement can</w:t>
      </w:r>
      <w:r>
        <w:t xml:space="preserve"> be calculated. </w:t>
      </w:r>
      <w:r w:rsidRPr="007C22FB">
        <w:t xml:space="preserve">The sewer rate and capacity charge, together, made up 92 percent of total operating revenues for 2025. </w:t>
      </w:r>
      <w:r w:rsidRPr="007821B4">
        <w:fldChar w:fldCharType="begin"/>
      </w:r>
      <w:r w:rsidRPr="007821B4">
        <w:instrText xml:space="preserve"> REF _Ref161293290 \h  \* MERGEFORMAT </w:instrText>
      </w:r>
      <w:r w:rsidRPr="007821B4">
        <w:fldChar w:fldCharType="separate"/>
      </w:r>
      <w:r w:rsidR="005120F9">
        <w:t>Figure 19</w:t>
      </w:r>
      <w:r w:rsidRPr="007821B4">
        <w:fldChar w:fldCharType="end"/>
      </w:r>
      <w:r w:rsidRPr="007C22FB">
        <w:t xml:space="preserve"> shows WTD’s 2025 revenue and projected 2026 and 2027 revenue by source.</w:t>
      </w:r>
    </w:p>
    <w:p w14:paraId="416275D3" w14:textId="22F8941E" w:rsidR="00EC5699" w:rsidRDefault="00EC5699" w:rsidP="00FC5813">
      <w:pPr>
        <w:pStyle w:val="Caption"/>
        <w:rPr>
          <w:rStyle w:val="Strong"/>
        </w:rPr>
      </w:pPr>
      <w:bookmarkStart w:id="117" w:name="_Ref161293290"/>
      <w:bookmarkStart w:id="118" w:name="_Ref128474312"/>
      <w:bookmarkStart w:id="119" w:name="_Toc129353076"/>
      <w:bookmarkStart w:id="120" w:name="_Toc226970657"/>
      <w:r>
        <w:lastRenderedPageBreak/>
        <w:t xml:space="preserve">Figure </w:t>
      </w:r>
      <w:r>
        <w:fldChar w:fldCharType="begin"/>
      </w:r>
      <w:r>
        <w:instrText xml:space="preserve"> SEQ Figure \* ARABIC </w:instrText>
      </w:r>
      <w:r>
        <w:fldChar w:fldCharType="separate"/>
      </w:r>
      <w:r w:rsidR="00677835">
        <w:rPr>
          <w:noProof/>
        </w:rPr>
        <w:t>19</w:t>
      </w:r>
      <w:r>
        <w:fldChar w:fldCharType="end"/>
      </w:r>
      <w:bookmarkEnd w:id="117"/>
      <w:r>
        <w:t xml:space="preserve"> </w:t>
      </w:r>
      <w:r w:rsidRPr="00FC5813">
        <w:t>Operating Revenue Components Sorted by Size</w:t>
      </w:r>
      <w:bookmarkEnd w:id="118"/>
      <w:bookmarkEnd w:id="119"/>
      <w:bookmarkEnd w:id="120"/>
    </w:p>
    <w:p w14:paraId="341CFCD4" w14:textId="2FE5F7A4" w:rsidR="00EC5699" w:rsidRDefault="00EC5699" w:rsidP="00371EEE">
      <w:pPr>
        <w:jc w:val="center"/>
      </w:pPr>
      <w:r>
        <w:rPr>
          <w:noProof/>
        </w:rPr>
        <w:drawing>
          <wp:inline distT="0" distB="0" distL="0" distR="0" wp14:anchorId="6BAB85FD" wp14:editId="1783C973">
            <wp:extent cx="5721754" cy="3812774"/>
            <wp:effectExtent l="0" t="0" r="0" b="0"/>
            <wp:docPr id="117965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3151" cy="3820368"/>
                    </a:xfrm>
                    <a:prstGeom prst="rect">
                      <a:avLst/>
                    </a:prstGeom>
                    <a:noFill/>
                  </pic:spPr>
                </pic:pic>
              </a:graphicData>
            </a:graphic>
          </wp:inline>
        </w:drawing>
      </w:r>
    </w:p>
    <w:p w14:paraId="571C18DF" w14:textId="77777777" w:rsidR="00EC5699" w:rsidRPr="00D90BDE" w:rsidRDefault="00EC5699" w:rsidP="0018130B">
      <w:pPr>
        <w:pStyle w:val="Heading2"/>
      </w:pPr>
      <w:bookmarkStart w:id="121" w:name="_Toc129353047"/>
      <w:bookmarkStart w:id="122" w:name="_Toc224573042"/>
      <w:r w:rsidRPr="00D90BDE">
        <w:t>Revenue Requirement</w:t>
      </w:r>
      <w:bookmarkEnd w:id="121"/>
      <w:bookmarkEnd w:id="122"/>
    </w:p>
    <w:p w14:paraId="6BF30444" w14:textId="77777777" w:rsidR="00EC5699" w:rsidRPr="006F5121" w:rsidRDefault="00EC5699" w:rsidP="0018130B">
      <w:r>
        <w:t>T</w:t>
      </w:r>
      <w:r w:rsidRPr="006F5121">
        <w:t>wo tests guide rate setting and determine a utility’s annual revenue requirement</w:t>
      </w:r>
      <w:r>
        <w:t xml:space="preserve">: </w:t>
      </w:r>
      <w:r w:rsidRPr="006F5121">
        <w:t>the cash test and the debt service coverage test.</w:t>
      </w:r>
    </w:p>
    <w:p w14:paraId="64F79C10" w14:textId="77777777" w:rsidR="00EC5699" w:rsidRPr="00D90BDE" w:rsidRDefault="00EC5699" w:rsidP="0018130B">
      <w:pPr>
        <w:pStyle w:val="Heading3"/>
      </w:pPr>
      <w:r w:rsidRPr="00D90BDE">
        <w:t>Cash Test</w:t>
      </w:r>
    </w:p>
    <w:p w14:paraId="0A2AF94B" w14:textId="2D2C3C8C" w:rsidR="00EC5699" w:rsidRPr="006F5121" w:rsidRDefault="00EC5699" w:rsidP="0018130B">
      <w:r w:rsidRPr="006F5121">
        <w:t xml:space="preserve">The utility must </w:t>
      </w:r>
      <w:r>
        <w:t>first ensure</w:t>
      </w:r>
      <w:r w:rsidRPr="006F5121">
        <w:t xml:space="preserve"> that </w:t>
      </w:r>
      <w:r>
        <w:t>it</w:t>
      </w:r>
      <w:r w:rsidRPr="006F5121">
        <w:t xml:space="preserve"> can support its cash obligations</w:t>
      </w:r>
      <w:r>
        <w:t>,</w:t>
      </w:r>
      <w:r w:rsidRPr="006F5121">
        <w:t xml:space="preserve"> including operating expenditures, debt service repayment</w:t>
      </w:r>
      <w:r>
        <w:t>,</w:t>
      </w:r>
      <w:r w:rsidRPr="006F5121">
        <w:t xml:space="preserve"> and any financial policy targets</w:t>
      </w:r>
      <w:r>
        <w:t>,</w:t>
      </w:r>
      <w:r w:rsidRPr="006F5121">
        <w:t xml:space="preserve"> such as cash to fund the capital program.</w:t>
      </w:r>
    </w:p>
    <w:p w14:paraId="2DAA5FCE" w14:textId="77777777" w:rsidR="00EC5699" w:rsidRDefault="00EC5699" w:rsidP="0018130B">
      <w:r w:rsidRPr="002702A7">
        <w:t>King County Code 28.86.160</w:t>
      </w:r>
      <w:r w:rsidRPr="00534C8A">
        <w:rPr>
          <w:rStyle w:val="Hyperlink"/>
          <w:u w:val="none"/>
        </w:rPr>
        <w:t xml:space="preserve"> </w:t>
      </w:r>
      <w:r w:rsidRPr="006F5121">
        <w:rPr>
          <w:rFonts w:cstheme="minorHAnsi"/>
        </w:rPr>
        <w:t>Financial Policies state</w:t>
      </w:r>
      <w:r>
        <w:rPr>
          <w:rFonts w:cstheme="minorHAnsi"/>
        </w:rPr>
        <w:t>:</w:t>
      </w:r>
      <w:r w:rsidRPr="006F5121">
        <w:rPr>
          <w:rFonts w:cstheme="minorHAnsi"/>
        </w:rPr>
        <w:t xml:space="preserve"> </w:t>
      </w:r>
    </w:p>
    <w:p w14:paraId="7C2A2618" w14:textId="77777777" w:rsidR="00EC5699" w:rsidRDefault="00EC5699" w:rsidP="0018130B">
      <w:pPr>
        <w:ind w:left="1440" w:right="1440"/>
      </w:pPr>
      <w:r w:rsidRPr="006F5121">
        <w:t>King County shall charge its customers sewer rates and capacity charges sufficient to cover the costs of constructing and operating its wastewater system. Revenues shall be sufficient to maintain capital assets in sound working condition, providing for maintenance and rehabilitation of facilities so that total system costs are minimized while continuing to provide reliable, high</w:t>
      </w:r>
      <w:r>
        <w:t>-</w:t>
      </w:r>
      <w:r w:rsidRPr="006F5121">
        <w:t>quality service and maintaining high water quality standards.</w:t>
      </w:r>
      <w:r>
        <w:rPr>
          <w:rStyle w:val="EndnoteReference"/>
        </w:rPr>
        <w:endnoteReference w:id="36"/>
      </w:r>
    </w:p>
    <w:p w14:paraId="780452C3" w14:textId="4BA4F38D" w:rsidR="00EC5699" w:rsidRPr="006F5121" w:rsidRDefault="00EC5699" w:rsidP="0018130B">
      <w:pPr>
        <w:rPr>
          <w:highlight w:val="yellow"/>
        </w:rPr>
      </w:pPr>
      <w:r w:rsidRPr="007821B4">
        <w:fldChar w:fldCharType="begin"/>
      </w:r>
      <w:r w:rsidRPr="007821B4">
        <w:instrText xml:space="preserve"> REF _Ref161293320 \h  \* MERGEFORMAT </w:instrText>
      </w:r>
      <w:r w:rsidRPr="007821B4">
        <w:fldChar w:fldCharType="separate"/>
      </w:r>
      <w:r w:rsidR="005120F9">
        <w:t>Figure 20</w:t>
      </w:r>
      <w:r w:rsidRPr="007821B4">
        <w:fldChar w:fldCharType="end"/>
      </w:r>
      <w:r>
        <w:t xml:space="preserve"> </w:t>
      </w:r>
      <w:r w:rsidRPr="006F5121">
        <w:t xml:space="preserve">shows the components that </w:t>
      </w:r>
      <w:r>
        <w:t>make up</w:t>
      </w:r>
      <w:r w:rsidRPr="006F5121">
        <w:t xml:space="preserve"> the total annual revenue requirement</w:t>
      </w:r>
      <w:r>
        <w:t>,</w:t>
      </w:r>
      <w:r w:rsidRPr="006F5121">
        <w:t xml:space="preserve"> compared </w:t>
      </w:r>
      <w:r>
        <w:t>with</w:t>
      </w:r>
      <w:r w:rsidRPr="006F5121">
        <w:t xml:space="preserve"> revenue under the existing sewer rate.</w:t>
      </w:r>
    </w:p>
    <w:p w14:paraId="58E80058" w14:textId="79B93405" w:rsidR="00EC5699" w:rsidRPr="00FB7B73" w:rsidRDefault="00EC5699" w:rsidP="00FC5813">
      <w:pPr>
        <w:pStyle w:val="Caption"/>
      </w:pPr>
      <w:bookmarkStart w:id="123" w:name="_Ref161293320"/>
      <w:bookmarkStart w:id="124" w:name="_Ref128474341"/>
      <w:bookmarkStart w:id="125" w:name="_Toc129353077"/>
      <w:bookmarkStart w:id="126" w:name="_Toc226970658"/>
      <w:r>
        <w:lastRenderedPageBreak/>
        <w:t xml:space="preserve">Figure </w:t>
      </w:r>
      <w:r>
        <w:fldChar w:fldCharType="begin"/>
      </w:r>
      <w:r>
        <w:instrText xml:space="preserve"> SEQ Figure \* ARABIC </w:instrText>
      </w:r>
      <w:r>
        <w:fldChar w:fldCharType="separate"/>
      </w:r>
      <w:r w:rsidR="00677835">
        <w:rPr>
          <w:noProof/>
        </w:rPr>
        <w:t>20</w:t>
      </w:r>
      <w:r>
        <w:fldChar w:fldCharType="end"/>
      </w:r>
      <w:bookmarkEnd w:id="123"/>
      <w:r w:rsidRPr="00EF6C0C">
        <w:t xml:space="preserve"> </w:t>
      </w:r>
      <w:r w:rsidRPr="009667C9">
        <w:t>202</w:t>
      </w:r>
      <w:r>
        <w:t>6</w:t>
      </w:r>
      <w:r w:rsidRPr="009667C9">
        <w:t xml:space="preserve"> - 204</w:t>
      </w:r>
      <w:r>
        <w:t>6</w:t>
      </w:r>
      <w:r w:rsidRPr="009667C9">
        <w:t xml:space="preserve"> Sewer Rate Forecast Revenue Requirement</w:t>
      </w:r>
      <w:bookmarkEnd w:id="124"/>
      <w:bookmarkEnd w:id="125"/>
      <w:bookmarkEnd w:id="126"/>
    </w:p>
    <w:p w14:paraId="57621366" w14:textId="622A80D0" w:rsidR="00EC5699" w:rsidRPr="00A149E0" w:rsidRDefault="00EC5699" w:rsidP="00860B9C">
      <w:pPr>
        <w:jc w:val="center"/>
        <w:rPr>
          <w:b/>
        </w:rPr>
      </w:pPr>
      <w:r>
        <w:rPr>
          <w:b/>
          <w:noProof/>
        </w:rPr>
        <w:drawing>
          <wp:inline distT="0" distB="0" distL="0" distR="0" wp14:anchorId="548395D7" wp14:editId="319340D2">
            <wp:extent cx="6748907" cy="3994811"/>
            <wp:effectExtent l="0" t="0" r="0" b="5715"/>
            <wp:docPr id="21473725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68894" cy="4006642"/>
                    </a:xfrm>
                    <a:prstGeom prst="rect">
                      <a:avLst/>
                    </a:prstGeom>
                    <a:noFill/>
                  </pic:spPr>
                </pic:pic>
              </a:graphicData>
            </a:graphic>
          </wp:inline>
        </w:drawing>
      </w:r>
    </w:p>
    <w:p w14:paraId="688F0B51" w14:textId="178B281D" w:rsidR="00EC5699" w:rsidRPr="000D248D" w:rsidRDefault="00EC5699" w:rsidP="0018130B">
      <w:r w:rsidRPr="4206D66E">
        <w:t>Beginning from the bottom</w:t>
      </w:r>
      <w:r>
        <w:t xml:space="preserve"> of </w:t>
      </w:r>
      <w:r w:rsidRPr="003D673E">
        <w:rPr>
          <w:b/>
          <w:bCs/>
        </w:rPr>
        <w:fldChar w:fldCharType="begin"/>
      </w:r>
      <w:r w:rsidRPr="003D673E">
        <w:rPr>
          <w:b/>
          <w:bCs/>
        </w:rPr>
        <w:instrText xml:space="preserve"> REF _Ref161293320 \h </w:instrText>
      </w:r>
      <w:r>
        <w:rPr>
          <w:b/>
          <w:bCs/>
        </w:rPr>
        <w:instrText xml:space="preserve"> \* MERGEFORMAT </w:instrText>
      </w:r>
      <w:r w:rsidRPr="003D673E">
        <w:rPr>
          <w:b/>
          <w:bCs/>
        </w:rPr>
      </w:r>
      <w:r w:rsidRPr="003D673E">
        <w:rPr>
          <w:b/>
          <w:bCs/>
        </w:rPr>
        <w:fldChar w:fldCharType="separate"/>
      </w:r>
      <w:r w:rsidR="005120F9">
        <w:t xml:space="preserve">Figure </w:t>
      </w:r>
      <w:r w:rsidR="005120F9">
        <w:rPr>
          <w:noProof/>
        </w:rPr>
        <w:t>20</w:t>
      </w:r>
      <w:r w:rsidRPr="003D673E">
        <w:rPr>
          <w:b/>
          <w:bCs/>
        </w:rPr>
        <w:fldChar w:fldCharType="end"/>
      </w:r>
      <w:r w:rsidRPr="4206D66E">
        <w:t>, the first stack</w:t>
      </w:r>
      <w:r>
        <w:t xml:space="preserve"> (dark blue)</w:t>
      </w:r>
      <w:r w:rsidRPr="4206D66E">
        <w:t xml:space="preserve"> in the bar represents the annual </w:t>
      </w:r>
      <w:r>
        <w:t>o</w:t>
      </w:r>
      <w:r w:rsidRPr="4206D66E">
        <w:t xml:space="preserve">perating and </w:t>
      </w:r>
      <w:r>
        <w:t>m</w:t>
      </w:r>
      <w:r w:rsidRPr="4206D66E">
        <w:t xml:space="preserve">aintenance (O&amp;M) </w:t>
      </w:r>
      <w:r>
        <w:t>e</w:t>
      </w:r>
      <w:r w:rsidRPr="4206D66E">
        <w:t>xpenses with projected inflation and growth. The second stack</w:t>
      </w:r>
      <w:r>
        <w:t xml:space="preserve"> (teal)</w:t>
      </w:r>
      <w:r w:rsidRPr="4206D66E">
        <w:t xml:space="preserve"> shows the debt service </w:t>
      </w:r>
      <w:r>
        <w:t>obligations</w:t>
      </w:r>
      <w:r w:rsidRPr="4206D66E">
        <w:t xml:space="preserve"> for existing outstanding WTD debt. The third stack</w:t>
      </w:r>
      <w:r>
        <w:t xml:space="preserve"> (gray)</w:t>
      </w:r>
      <w:r w:rsidRPr="4206D66E">
        <w:t xml:space="preserve"> represents new debt service </w:t>
      </w:r>
      <w:r>
        <w:t>repayments</w:t>
      </w:r>
      <w:r w:rsidRPr="4206D66E">
        <w:t xml:space="preserve"> generated by funding the capital program in this forecast. The top stack </w:t>
      </w:r>
      <w:r>
        <w:t xml:space="preserve">(yellow) </w:t>
      </w:r>
      <w:r w:rsidRPr="4206D66E">
        <w:t>represents the policy to cash-fund the capital program from revenue</w:t>
      </w:r>
      <w:r>
        <w:t>,</w:t>
      </w:r>
      <w:r w:rsidRPr="4206D66E">
        <w:t xml:space="preserve"> </w:t>
      </w:r>
      <w:r>
        <w:t xml:space="preserve">at an amount </w:t>
      </w:r>
      <w:r w:rsidRPr="4206D66E">
        <w:t xml:space="preserve">based on </w:t>
      </w:r>
      <w:r>
        <w:t>annual</w:t>
      </w:r>
      <w:r w:rsidRPr="4206D66E">
        <w:t xml:space="preserve"> depreciation.</w:t>
      </w:r>
    </w:p>
    <w:p w14:paraId="52B20568" w14:textId="07055337" w:rsidR="00EC5699" w:rsidRDefault="00EC5699" w:rsidP="0018130B">
      <w:r w:rsidRPr="4206D66E">
        <w:t>The dashed line shows the</w:t>
      </w:r>
      <w:r>
        <w:t xml:space="preserve"> forecasted</w:t>
      </w:r>
      <w:r w:rsidRPr="4206D66E">
        <w:t xml:space="preserve"> level of revenue generated if the sewer rate were to remain at the current </w:t>
      </w:r>
      <w:r w:rsidRPr="006C54CE">
        <w:t>202</w:t>
      </w:r>
      <w:r>
        <w:t>6 rate of</w:t>
      </w:r>
      <w:r w:rsidRPr="4206D66E">
        <w:t xml:space="preserve"> </w:t>
      </w:r>
      <w:r w:rsidRPr="006C54CE">
        <w:t>$</w:t>
      </w:r>
      <w:r>
        <w:t>62.66</w:t>
      </w:r>
      <w:r w:rsidRPr="4206D66E">
        <w:t xml:space="preserve"> for all years of the forecast, to demonstrate the </w:t>
      </w:r>
      <w:r>
        <w:t>utility’s funding gap at the</w:t>
      </w:r>
      <w:r w:rsidRPr="4206D66E">
        <w:t xml:space="preserve"> current rate. The solid line</w:t>
      </w:r>
      <w:r>
        <w:t xml:space="preserve"> at the top of the bars</w:t>
      </w:r>
      <w:r w:rsidRPr="4206D66E">
        <w:t xml:space="preserve"> shows the revenue meeting the annual requirement in each year based on the proposed rate forecast.</w:t>
      </w:r>
    </w:p>
    <w:p w14:paraId="431C48ED" w14:textId="19C094E5" w:rsidR="00EC5699" w:rsidRPr="009727B8" w:rsidRDefault="00EC5699" w:rsidP="00FC5813">
      <w:pPr>
        <w:pStyle w:val="Caption"/>
      </w:pPr>
      <w:bookmarkStart w:id="127" w:name="_Toc129353078"/>
      <w:bookmarkStart w:id="128" w:name="_Toc226970659"/>
      <w:r>
        <w:t xml:space="preserve">Figure </w:t>
      </w:r>
      <w:r>
        <w:fldChar w:fldCharType="begin"/>
      </w:r>
      <w:r>
        <w:instrText xml:space="preserve"> SEQ Figure \* ARABIC </w:instrText>
      </w:r>
      <w:r>
        <w:fldChar w:fldCharType="separate"/>
      </w:r>
      <w:r w:rsidR="00677835">
        <w:rPr>
          <w:noProof/>
        </w:rPr>
        <w:t>21</w:t>
      </w:r>
      <w:r>
        <w:fldChar w:fldCharType="end"/>
      </w:r>
      <w:r>
        <w:t xml:space="preserve"> </w:t>
      </w:r>
      <w:r w:rsidRPr="007F6115">
        <w:t>Proposed 2026 Sewer Rate and 202</w:t>
      </w:r>
      <w:r>
        <w:t>7</w:t>
      </w:r>
      <w:r w:rsidRPr="007F6115">
        <w:t>-2045 Forecast</w:t>
      </w:r>
      <w:r w:rsidRPr="009727B8">
        <w:t xml:space="preserve"> </w:t>
      </w:r>
      <w:r w:rsidRPr="009727B8">
        <w:rPr>
          <w:u w:val="single"/>
        </w:rPr>
        <w:t>[</w:t>
      </w:r>
      <w:r w:rsidRPr="009727B8">
        <w:t xml:space="preserve">also available on page </w:t>
      </w:r>
      <w:r w:rsidR="00CC6BF3">
        <w:t>6</w:t>
      </w:r>
      <w:r w:rsidRPr="009727B8">
        <w:t>]</w:t>
      </w:r>
      <w:bookmarkEnd w:id="127"/>
      <w:bookmarkEnd w:id="128"/>
    </w:p>
    <w:p w14:paraId="354A030D" w14:textId="2DF87E42" w:rsidR="00EC5699" w:rsidRDefault="00EC5699">
      <w:r w:rsidRPr="00815401">
        <w:rPr>
          <w:noProof/>
        </w:rPr>
        <w:drawing>
          <wp:inline distT="0" distB="0" distL="0" distR="0" wp14:anchorId="273DE4D2" wp14:editId="69826D72">
            <wp:extent cx="6803136" cy="1441887"/>
            <wp:effectExtent l="0" t="0" r="0" b="6350"/>
            <wp:docPr id="17395113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06907" cy="1442686"/>
                    </a:xfrm>
                    <a:prstGeom prst="rect">
                      <a:avLst/>
                    </a:prstGeom>
                    <a:noFill/>
                    <a:ln>
                      <a:noFill/>
                    </a:ln>
                  </pic:spPr>
                </pic:pic>
              </a:graphicData>
            </a:graphic>
          </wp:inline>
        </w:drawing>
      </w:r>
    </w:p>
    <w:p w14:paraId="5C58528B" w14:textId="77777777" w:rsidR="00EC5699" w:rsidRPr="009F3D28" w:rsidRDefault="00EC5699" w:rsidP="0018130B">
      <w:pPr>
        <w:pStyle w:val="Heading3"/>
      </w:pPr>
      <w:r w:rsidRPr="4206D66E">
        <w:lastRenderedPageBreak/>
        <w:t xml:space="preserve">Debt Service Coverage </w:t>
      </w:r>
      <w:r>
        <w:t xml:space="preserve">Ratio </w:t>
      </w:r>
      <w:r w:rsidRPr="4206D66E">
        <w:t>Test</w:t>
      </w:r>
    </w:p>
    <w:p w14:paraId="43637DBB" w14:textId="7FF035E8" w:rsidR="00EC5699" w:rsidRPr="00A43311" w:rsidRDefault="00EC5699" w:rsidP="0018130B">
      <w:r w:rsidRPr="4206D66E">
        <w:t xml:space="preserve">The second revenue requirement test is the debt service coverage </w:t>
      </w:r>
      <w:r>
        <w:t xml:space="preserve">ratio </w:t>
      </w:r>
      <w:r w:rsidRPr="4206D66E">
        <w:t xml:space="preserve">(DSC) </w:t>
      </w:r>
      <w:r>
        <w:t>t</w:t>
      </w:r>
      <w:r w:rsidRPr="4206D66E">
        <w:t xml:space="preserve">est. </w:t>
      </w:r>
      <w:r>
        <w:t xml:space="preserve">DSC </w:t>
      </w:r>
      <w:r w:rsidRPr="0016387C">
        <w:t>is a financial metric used to assess an entity's ability to generate enough cash to cover its debt service obligations</w:t>
      </w:r>
      <w:r>
        <w:t xml:space="preserve">. </w:t>
      </w:r>
      <w:r w:rsidRPr="4206D66E">
        <w:t xml:space="preserve">DSC </w:t>
      </w:r>
      <w:r>
        <w:t xml:space="preserve">is calculated by taking free cash flow, cash available after paying for operation and maintenance, and dividing it by current debt obligations. DSC </w:t>
      </w:r>
      <w:r w:rsidRPr="4206D66E">
        <w:t xml:space="preserve">is broadly used in the industry and is of particular interest to rating agencies. </w:t>
      </w:r>
      <w:r>
        <w:t xml:space="preserve">MWPAAC recommended WTD maintain a DSC ratio above 1.40 in 2017 and WTD must maintain a DSC above 1.15 per bond Ordinance. </w:t>
      </w:r>
      <w:r w:rsidRPr="4206D66E">
        <w:t xml:space="preserve">The </w:t>
      </w:r>
      <w:r>
        <w:t xml:space="preserve">sewer </w:t>
      </w:r>
      <w:r w:rsidRPr="4206D66E">
        <w:t xml:space="preserve">rate proposal </w:t>
      </w:r>
      <w:r>
        <w:t xml:space="preserve">and financial forecast </w:t>
      </w:r>
      <w:r w:rsidRPr="4206D66E">
        <w:t>produce</w:t>
      </w:r>
      <w:r>
        <w:t xml:space="preserve"> a DSC ratio of free cash flow to current debt obligations </w:t>
      </w:r>
      <w:r w:rsidRPr="4206D66E">
        <w:t xml:space="preserve">ranging from </w:t>
      </w:r>
      <w:r w:rsidRPr="0081638C">
        <w:t>1.4</w:t>
      </w:r>
      <w:r>
        <w:t>9</w:t>
      </w:r>
      <w:r w:rsidRPr="0081638C">
        <w:t xml:space="preserve"> to 1.7</w:t>
      </w:r>
      <w:r>
        <w:t>4</w:t>
      </w:r>
      <w:r w:rsidRPr="00B922EC">
        <w:t>.</w:t>
      </w:r>
      <w:r>
        <w:t xml:space="preserve"> </w:t>
      </w:r>
      <w:r w:rsidRPr="0081638C">
        <w:t xml:space="preserve">As shown in </w:t>
      </w:r>
      <w:r w:rsidRPr="007821B4">
        <w:fldChar w:fldCharType="begin"/>
      </w:r>
      <w:r w:rsidRPr="007821B4">
        <w:instrText xml:space="preserve"> REF _Ref161293378 \h  \* MERGEFORMAT </w:instrText>
      </w:r>
      <w:r w:rsidRPr="007821B4">
        <w:fldChar w:fldCharType="separate"/>
      </w:r>
      <w:r w:rsidR="005120F9">
        <w:t>Figure 22</w:t>
      </w:r>
      <w:r w:rsidRPr="007821B4">
        <w:fldChar w:fldCharType="end"/>
      </w:r>
      <w:r w:rsidRPr="0081638C">
        <w:t xml:space="preserve">, </w:t>
      </w:r>
      <w:r w:rsidRPr="00AA26B6">
        <w:t>WTD’s historical coverage performance has increased steadily since 2016 and achieved a record-high DSC in 2024.</w:t>
      </w:r>
      <w:r>
        <w:t xml:space="preserve"> WTD’s bond ratings did not change in 2025</w:t>
      </w:r>
      <w:r w:rsidR="002A29C0">
        <w:t>, although the DSC decreased slightly to 1.86</w:t>
      </w:r>
      <w:r>
        <w:t>.</w:t>
      </w:r>
    </w:p>
    <w:p w14:paraId="741CABC4" w14:textId="67AA2BC0" w:rsidR="00EC5699" w:rsidRDefault="00EC5699" w:rsidP="00AA26B6">
      <w:pPr>
        <w:pStyle w:val="Caption"/>
      </w:pPr>
      <w:bookmarkStart w:id="129" w:name="_Ref161293378"/>
      <w:bookmarkStart w:id="130" w:name="_Ref128474562"/>
      <w:bookmarkStart w:id="131" w:name="_Toc129353079"/>
      <w:bookmarkStart w:id="132" w:name="_Toc226970660"/>
      <w:r>
        <w:t xml:space="preserve">Figure </w:t>
      </w:r>
      <w:r>
        <w:fldChar w:fldCharType="begin"/>
      </w:r>
      <w:r>
        <w:instrText xml:space="preserve"> SEQ Figure \* ARABIC </w:instrText>
      </w:r>
      <w:r>
        <w:fldChar w:fldCharType="separate"/>
      </w:r>
      <w:r w:rsidR="00677835">
        <w:rPr>
          <w:noProof/>
        </w:rPr>
        <w:t>22</w:t>
      </w:r>
      <w:r>
        <w:fldChar w:fldCharType="end"/>
      </w:r>
      <w:bookmarkEnd w:id="129"/>
      <w:r>
        <w:t xml:space="preserve"> </w:t>
      </w:r>
      <w:r w:rsidRPr="00D83598">
        <w:t>History of WTD DSC and Ratings</w:t>
      </w:r>
      <w:bookmarkEnd w:id="130"/>
      <w:bookmarkEnd w:id="131"/>
      <w:r w:rsidRPr="009E2763">
        <w:t xml:space="preserve"> </w:t>
      </w:r>
      <w:bookmarkEnd w:id="132"/>
    </w:p>
    <w:p w14:paraId="3EC662B6" w14:textId="75685F66" w:rsidR="00EC5699" w:rsidRPr="00CA423A" w:rsidRDefault="00453B1D" w:rsidP="00AA26B6">
      <w:pPr>
        <w:pStyle w:val="Caption"/>
      </w:pPr>
      <w:r>
        <w:rPr>
          <w:noProof/>
        </w:rPr>
        <w:drawing>
          <wp:inline distT="0" distB="0" distL="0" distR="0" wp14:anchorId="4020D519" wp14:editId="3FB3398C">
            <wp:extent cx="6858000" cy="96139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58000" cy="961390"/>
                    </a:xfrm>
                    <a:prstGeom prst="rect">
                      <a:avLst/>
                    </a:prstGeom>
                    <a:noFill/>
                    <a:ln>
                      <a:noFill/>
                    </a:ln>
                  </pic:spPr>
                </pic:pic>
              </a:graphicData>
            </a:graphic>
          </wp:inline>
        </w:drawing>
      </w:r>
    </w:p>
    <w:p w14:paraId="15DD4CD7" w14:textId="77777777" w:rsidR="00EC5699" w:rsidRPr="00B924F6" w:rsidRDefault="00EC5699" w:rsidP="00F42E2B"/>
    <w:p w14:paraId="3CD3BF3B" w14:textId="77777777" w:rsidR="00EC5699" w:rsidRDefault="00EC5699" w:rsidP="00D95339">
      <w:pPr>
        <w:pStyle w:val="Heading2"/>
        <w:spacing w:before="0" w:after="0"/>
      </w:pPr>
      <w:bookmarkStart w:id="133" w:name="_Toc129353048"/>
      <w:bookmarkStart w:id="134" w:name="_Toc224573043"/>
      <w:r>
        <w:t>Sewer Rate</w:t>
      </w:r>
      <w:bookmarkEnd w:id="133"/>
      <w:bookmarkEnd w:id="134"/>
    </w:p>
    <w:p w14:paraId="225C0524" w14:textId="3B73035B" w:rsidR="00EC5699" w:rsidRPr="00CA423A" w:rsidRDefault="00EC5699" w:rsidP="0018130B">
      <w:r>
        <w:t xml:space="preserve">Sewer rate revenue is the largest component of WTD operating </w:t>
      </w:r>
      <w:r w:rsidRPr="004C50B9">
        <w:t xml:space="preserve">revenues at </w:t>
      </w:r>
      <w:r w:rsidRPr="007C22FB">
        <w:t>78 percent. S</w:t>
      </w:r>
      <w:r>
        <w:t>ingle-</w:t>
      </w:r>
      <w:r w:rsidRPr="007C22FB">
        <w:t>F</w:t>
      </w:r>
      <w:r>
        <w:t xml:space="preserve">amily </w:t>
      </w:r>
      <w:r w:rsidRPr="007C22FB">
        <w:t>R</w:t>
      </w:r>
      <w:r>
        <w:t>esidential (SFR)</w:t>
      </w:r>
      <w:r w:rsidRPr="007C22FB">
        <w:t xml:space="preserve"> customers make up 56 percent of the sewer rate customer base and are billed at one unit per household, regardless of water use. The remaining 44 percent of residential customer equivalents (RCEs) are compri</w:t>
      </w:r>
      <w:r w:rsidRPr="004C50B9">
        <w:t>sed</w:t>
      </w:r>
      <w:r>
        <w:t xml:space="preserve"> of commercial and multifamily customers in a combined rate class. An RCE is a unit used for billing purposes that converts reported water use (as a proxy for sewage flows) to the approximate equivalent of one SFR. As defined in the LSA contracts and King County Code 28.86.160, Financial Policy 15, one RCE is equal to 750 cubic feet of water usage per month. </w:t>
      </w:r>
    </w:p>
    <w:p w14:paraId="3F3DED3A" w14:textId="77777777" w:rsidR="00EC5699" w:rsidRPr="00C024FC" w:rsidRDefault="00EC5699" w:rsidP="0018130B">
      <w:pPr>
        <w:pStyle w:val="Heading3"/>
        <w:rPr>
          <w:rFonts w:asciiTheme="minorHAnsi" w:hAnsiTheme="minorHAnsi" w:cstheme="minorBidi"/>
          <w:color w:val="000000" w:themeColor="text1"/>
        </w:rPr>
      </w:pPr>
      <w:r w:rsidRPr="6A34B74C">
        <w:t>Billing Structure</w:t>
      </w:r>
    </w:p>
    <w:p w14:paraId="554B0802" w14:textId="7EB1FE27" w:rsidR="00EC5699" w:rsidRPr="004053BD" w:rsidRDefault="00EC5699" w:rsidP="0018130B">
      <w:r w:rsidRPr="004053BD">
        <w:t xml:space="preserve">In contrast to the retail agencies that read meters and bill </w:t>
      </w:r>
      <w:r>
        <w:t>customers,</w:t>
      </w:r>
      <w:r w:rsidRPr="004053BD">
        <w:t xml:space="preserve"> either monthly or bimonthly, RCE reporting and billing </w:t>
      </w:r>
      <w:r>
        <w:t>are</w:t>
      </w:r>
      <w:r w:rsidRPr="004053BD">
        <w:t xml:space="preserve"> </w:t>
      </w:r>
      <w:r>
        <w:t xml:space="preserve">performed </w:t>
      </w:r>
      <w:r w:rsidRPr="004053BD">
        <w:t xml:space="preserve">on a quarterly cycle. </w:t>
      </w:r>
      <w:r>
        <w:t xml:space="preserve">As shown in </w:t>
      </w:r>
      <w:r w:rsidRPr="007821B4">
        <w:fldChar w:fldCharType="begin"/>
      </w:r>
      <w:r w:rsidRPr="007821B4">
        <w:instrText xml:space="preserve"> REF _Ref161293430 \h  \* MERGEFORMAT </w:instrText>
      </w:r>
      <w:r w:rsidRPr="007821B4">
        <w:fldChar w:fldCharType="separate"/>
      </w:r>
      <w:r w:rsidR="005120F9">
        <w:t>Figure 23</w:t>
      </w:r>
      <w:r w:rsidRPr="007821B4">
        <w:fldChar w:fldCharType="end"/>
      </w:r>
      <w:r w:rsidRPr="007821B4">
        <w:fldChar w:fldCharType="begin"/>
      </w:r>
      <w:r w:rsidRPr="007821B4">
        <w:instrText xml:space="preserve"> REF _Ref128474610 \r \h  \* MERGEFORMAT </w:instrText>
      </w:r>
      <w:r w:rsidRPr="007821B4">
        <w:fldChar w:fldCharType="separate"/>
      </w:r>
      <w:r w:rsidRPr="007821B4">
        <w:fldChar w:fldCharType="end"/>
      </w:r>
      <w:r w:rsidRPr="00BF7065">
        <w:t>,</w:t>
      </w:r>
      <w:r>
        <w:t xml:space="preserve"> b</w:t>
      </w:r>
      <w:r w:rsidRPr="004053BD">
        <w:t xml:space="preserve">illings for the </w:t>
      </w:r>
      <w:r>
        <w:t>SFR</w:t>
      </w:r>
      <w:r w:rsidRPr="004053BD">
        <w:t xml:space="preserve"> class </w:t>
      </w:r>
      <w:r>
        <w:t xml:space="preserve">in a given quarter </w:t>
      </w:r>
      <w:r w:rsidRPr="004053BD">
        <w:t>are based on RCEs reported in the quarter before the previous one (e.g., Q2 billing is based on Q4 reported).</w:t>
      </w:r>
    </w:p>
    <w:p w14:paraId="3A7F154F" w14:textId="0FF8EDB0" w:rsidR="00EC5699" w:rsidRDefault="00EC5699" w:rsidP="0018130B">
      <w:r>
        <w:t xml:space="preserve">The commercial and multifamily billing structure includes additional delays because these billings are based on a quarterly rolling average of RCEs, with the intent of minimizing variability of billings to the agencies. </w:t>
      </w:r>
      <w:r w:rsidRPr="007821B4">
        <w:fldChar w:fldCharType="begin"/>
      </w:r>
      <w:r w:rsidRPr="007821B4">
        <w:instrText xml:space="preserve"> REF _Ref224220288 \h  \* MERGEFORMAT </w:instrText>
      </w:r>
      <w:r w:rsidRPr="007821B4">
        <w:fldChar w:fldCharType="separate"/>
      </w:r>
      <w:r w:rsidR="00741D60" w:rsidRPr="006C54CE">
        <w:t xml:space="preserve">Figure </w:t>
      </w:r>
      <w:r w:rsidR="00741D60">
        <w:t>24</w:t>
      </w:r>
      <w:r w:rsidRPr="007821B4">
        <w:fldChar w:fldCharType="end"/>
      </w:r>
      <w:r>
        <w:t xml:space="preserve"> </w:t>
      </w:r>
      <w:r w:rsidRPr="007C22FB">
        <w:t>shows</w:t>
      </w:r>
      <w:r>
        <w:rPr>
          <w:b/>
          <w:bCs/>
        </w:rPr>
        <w:t xml:space="preserve"> </w:t>
      </w:r>
      <w:r>
        <w:t>there is significant seasonal variability to flow, which the quarterly rolling average smooths. There was a significant drop in flow-based RCEs in 2020 as a result of the COVID-19 pandemic, but they have now recovered to pre-pandemic levels.</w:t>
      </w:r>
    </w:p>
    <w:p w14:paraId="4890C220" w14:textId="06B92073" w:rsidR="00EC5699" w:rsidRDefault="00EC5699" w:rsidP="00C2399D">
      <w:pPr>
        <w:pStyle w:val="Caption"/>
      </w:pPr>
      <w:bookmarkStart w:id="135" w:name="_Ref161293430"/>
      <w:bookmarkStart w:id="136" w:name="_Toc226970661"/>
      <w:bookmarkStart w:id="137" w:name="_Ref128474610"/>
      <w:bookmarkStart w:id="138" w:name="_Toc129353080"/>
      <w:r>
        <w:t xml:space="preserve">Figure </w:t>
      </w:r>
      <w:r>
        <w:fldChar w:fldCharType="begin"/>
      </w:r>
      <w:r>
        <w:instrText xml:space="preserve"> SEQ Figure \* ARABIC </w:instrText>
      </w:r>
      <w:r>
        <w:fldChar w:fldCharType="separate"/>
      </w:r>
      <w:r w:rsidR="00677835">
        <w:rPr>
          <w:noProof/>
        </w:rPr>
        <w:t>23</w:t>
      </w:r>
      <w:r>
        <w:fldChar w:fldCharType="end"/>
      </w:r>
      <w:bookmarkEnd w:id="135"/>
      <w:r w:rsidRPr="00FC5813">
        <w:t xml:space="preserve"> RCE Reporting to Sewer Rate Billing Lag</w:t>
      </w:r>
      <w:bookmarkEnd w:id="136"/>
    </w:p>
    <w:bookmarkEnd w:id="137"/>
    <w:bookmarkEnd w:id="138"/>
    <w:p w14:paraId="58D33020" w14:textId="77777777" w:rsidR="005562CF" w:rsidRDefault="00EC5699" w:rsidP="00334152">
      <w:pPr>
        <w:jc w:val="center"/>
        <w:rPr>
          <w:b/>
          <w:bCs/>
        </w:rPr>
      </w:pPr>
      <w:r w:rsidRPr="003A6D69">
        <w:rPr>
          <w:noProof/>
        </w:rPr>
        <w:drawing>
          <wp:inline distT="0" distB="0" distL="0" distR="0" wp14:anchorId="7A57FFEA" wp14:editId="72EA1E43">
            <wp:extent cx="5695315" cy="814705"/>
            <wp:effectExtent l="0" t="0" r="635" b="4445"/>
            <wp:docPr id="12745296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95315" cy="814705"/>
                    </a:xfrm>
                    <a:prstGeom prst="rect">
                      <a:avLst/>
                    </a:prstGeom>
                    <a:noFill/>
                    <a:ln>
                      <a:noFill/>
                    </a:ln>
                  </pic:spPr>
                </pic:pic>
              </a:graphicData>
            </a:graphic>
          </wp:inline>
        </w:drawing>
      </w:r>
    </w:p>
    <w:p w14:paraId="00B1D250" w14:textId="79E33F3B" w:rsidR="00EC5699" w:rsidRPr="00AC53B5" w:rsidRDefault="00EC5699" w:rsidP="0018130B">
      <w:r w:rsidRPr="00276A13">
        <w:rPr>
          <w:b/>
          <w:bCs/>
        </w:rPr>
        <w:fldChar w:fldCharType="begin"/>
      </w:r>
      <w:r w:rsidRPr="00276A13">
        <w:rPr>
          <w:b/>
          <w:bCs/>
        </w:rPr>
        <w:instrText xml:space="preserve"> REF _Ref129346729 \h  \* MERGEFORMAT </w:instrText>
      </w:r>
      <w:r w:rsidRPr="00276A13">
        <w:rPr>
          <w:b/>
          <w:bCs/>
        </w:rPr>
      </w:r>
      <w:r w:rsidRPr="00276A13">
        <w:rPr>
          <w:b/>
          <w:bCs/>
        </w:rPr>
        <w:fldChar w:fldCharType="separate"/>
      </w:r>
      <w:r w:rsidRPr="00276A13">
        <w:rPr>
          <w:b/>
          <w:bCs/>
        </w:rPr>
        <w:fldChar w:fldCharType="end"/>
      </w:r>
      <w:r w:rsidRPr="007821B4">
        <w:fldChar w:fldCharType="begin"/>
      </w:r>
      <w:r w:rsidRPr="007821B4">
        <w:instrText xml:space="preserve"> REF _Ref161293450 \h  \* MERGEFORMAT </w:instrText>
      </w:r>
      <w:r w:rsidRPr="007821B4">
        <w:fldChar w:fldCharType="separate"/>
      </w:r>
      <w:r w:rsidR="00741D60" w:rsidRPr="006C54CE">
        <w:t xml:space="preserve">Figure </w:t>
      </w:r>
      <w:r w:rsidR="00741D60">
        <w:t>24</w:t>
      </w:r>
      <w:r w:rsidRPr="007821B4">
        <w:fldChar w:fldCharType="end"/>
      </w:r>
      <w:r w:rsidRPr="007821B4">
        <w:t xml:space="preserve"> </w:t>
      </w:r>
      <w:r w:rsidRPr="007B0390">
        <w:t xml:space="preserve">shows the </w:t>
      </w:r>
      <w:r>
        <w:t>historical trend in total customers billed since 2011.</w:t>
      </w:r>
    </w:p>
    <w:p w14:paraId="5D5761E7" w14:textId="77777777" w:rsidR="00EC5699" w:rsidRDefault="00EC5699" w:rsidP="00FC5813">
      <w:pPr>
        <w:pStyle w:val="Caption"/>
      </w:pPr>
      <w:bookmarkStart w:id="139" w:name="_Ref161293450"/>
      <w:bookmarkStart w:id="140" w:name="_Ref128474903"/>
      <w:bookmarkStart w:id="141" w:name="_Toc129353081"/>
    </w:p>
    <w:p w14:paraId="40DDE974" w14:textId="5C0ECFC2" w:rsidR="00EC5699" w:rsidRPr="00FC5813" w:rsidRDefault="00EC5699" w:rsidP="00FC5813">
      <w:pPr>
        <w:pStyle w:val="Caption"/>
      </w:pPr>
      <w:bookmarkStart w:id="142" w:name="_Ref224220288"/>
      <w:bookmarkStart w:id="143" w:name="_Toc226970662"/>
      <w:r w:rsidRPr="006C54CE">
        <w:t xml:space="preserve">Figure </w:t>
      </w:r>
      <w:r>
        <w:fldChar w:fldCharType="begin"/>
      </w:r>
      <w:r>
        <w:instrText xml:space="preserve"> SEQ Figure \* ARABIC </w:instrText>
      </w:r>
      <w:r>
        <w:fldChar w:fldCharType="separate"/>
      </w:r>
      <w:r w:rsidR="00677835">
        <w:rPr>
          <w:noProof/>
        </w:rPr>
        <w:t>24</w:t>
      </w:r>
      <w:r>
        <w:fldChar w:fldCharType="end"/>
      </w:r>
      <w:bookmarkEnd w:id="139"/>
      <w:bookmarkEnd w:id="142"/>
      <w:r w:rsidRPr="006C54CE">
        <w:t xml:space="preserve"> Reported SFRs and Flow-Based RCEs by Quarter (2011-202</w:t>
      </w:r>
      <w:r>
        <w:t>5</w:t>
      </w:r>
      <w:r w:rsidRPr="006C54CE">
        <w:t>)</w:t>
      </w:r>
      <w:bookmarkEnd w:id="140"/>
      <w:bookmarkEnd w:id="141"/>
      <w:bookmarkEnd w:id="143"/>
    </w:p>
    <w:p w14:paraId="687B0C19" w14:textId="0BCF5705" w:rsidR="00EC5699" w:rsidRDefault="00EC5699" w:rsidP="0018130B">
      <w:pPr>
        <w:jc w:val="center"/>
      </w:pPr>
      <w:r>
        <w:rPr>
          <w:noProof/>
        </w:rPr>
        <w:drawing>
          <wp:inline distT="0" distB="0" distL="0" distR="0" wp14:anchorId="3B9B2478" wp14:editId="0A072FE5">
            <wp:extent cx="6298516" cy="3827758"/>
            <wp:effectExtent l="0" t="0" r="7620" b="1905"/>
            <wp:docPr id="17045311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08815" cy="3834017"/>
                    </a:xfrm>
                    <a:prstGeom prst="rect">
                      <a:avLst/>
                    </a:prstGeom>
                    <a:noFill/>
                  </pic:spPr>
                </pic:pic>
              </a:graphicData>
            </a:graphic>
          </wp:inline>
        </w:drawing>
      </w:r>
    </w:p>
    <w:p w14:paraId="0E55E19F" w14:textId="77777777" w:rsidR="00EC5699" w:rsidRPr="00AF6DD9" w:rsidRDefault="00EC5699" w:rsidP="0018130B">
      <w:pPr>
        <w:pStyle w:val="Heading3"/>
        <w:rPr>
          <w:i/>
        </w:rPr>
      </w:pPr>
      <w:r w:rsidRPr="00C024FC">
        <w:t>Historica</w:t>
      </w:r>
      <w:r w:rsidRPr="00AF6DD9">
        <w:t>l Sewer Rate Increases</w:t>
      </w:r>
    </w:p>
    <w:p w14:paraId="0FBD4E48" w14:textId="3FA1DBE2" w:rsidR="00EC5699" w:rsidRDefault="00EC5699" w:rsidP="0018130B">
      <w:pPr>
        <w:pStyle w:val="BodyText"/>
      </w:pPr>
      <w:r w:rsidRPr="006B7CBA">
        <w:t xml:space="preserve">To provide context for the historical rate of growth to the revenue needs of the utility, rate increases </w:t>
      </w:r>
      <w:r>
        <w:t>since</w:t>
      </w:r>
      <w:r w:rsidRPr="006B7CBA">
        <w:t xml:space="preserve"> 1990 are provided in</w:t>
      </w:r>
      <w:r>
        <w:t xml:space="preserve"> </w:t>
      </w:r>
      <w:r w:rsidRPr="007821B4">
        <w:fldChar w:fldCharType="begin"/>
      </w:r>
      <w:r w:rsidRPr="007821B4">
        <w:instrText xml:space="preserve"> REF _Ref161293473 \h  \* MERGEFORMAT </w:instrText>
      </w:r>
      <w:r w:rsidRPr="007821B4">
        <w:fldChar w:fldCharType="separate"/>
      </w:r>
      <w:r w:rsidR="00741D60">
        <w:t>Figure 25</w:t>
      </w:r>
      <w:r w:rsidRPr="007821B4">
        <w:fldChar w:fldCharType="end"/>
      </w:r>
      <w:r w:rsidRPr="006B7CBA">
        <w:t xml:space="preserve">. </w:t>
      </w:r>
      <w:r>
        <w:t>Since 1990, t</w:t>
      </w:r>
      <w:r w:rsidRPr="006B7CBA">
        <w:t>he average</w:t>
      </w:r>
      <w:r w:rsidRPr="006B7CBA" w:rsidDel="0032118D">
        <w:t xml:space="preserve"> </w:t>
      </w:r>
      <w:r w:rsidRPr="006B7CBA">
        <w:t xml:space="preserve">annual rate </w:t>
      </w:r>
      <w:r w:rsidRPr="007C6DB9">
        <w:t>increase is 4.7 percent.</w:t>
      </w:r>
    </w:p>
    <w:p w14:paraId="6C70D880" w14:textId="2B521E32" w:rsidR="00EC5699" w:rsidRPr="00FB7B73" w:rsidRDefault="00EC5699" w:rsidP="00FC5813">
      <w:pPr>
        <w:pStyle w:val="Caption"/>
      </w:pPr>
      <w:bookmarkStart w:id="144" w:name="_Ref161293473"/>
      <w:bookmarkStart w:id="145" w:name="_Ref128474936"/>
      <w:bookmarkStart w:id="146" w:name="_Toc129353082"/>
      <w:bookmarkStart w:id="147" w:name="_Toc226970663"/>
      <w:r>
        <w:lastRenderedPageBreak/>
        <w:t xml:space="preserve">Figure </w:t>
      </w:r>
      <w:r>
        <w:fldChar w:fldCharType="begin"/>
      </w:r>
      <w:r>
        <w:instrText xml:space="preserve"> SEQ Figure \* ARABIC </w:instrText>
      </w:r>
      <w:r>
        <w:fldChar w:fldCharType="separate"/>
      </w:r>
      <w:r w:rsidR="00677835">
        <w:rPr>
          <w:noProof/>
        </w:rPr>
        <w:t>25</w:t>
      </w:r>
      <w:r>
        <w:fldChar w:fldCharType="end"/>
      </w:r>
      <w:bookmarkEnd w:id="144"/>
      <w:r w:rsidRPr="00FC5813">
        <w:t xml:space="preserve"> </w:t>
      </w:r>
      <w:r w:rsidRPr="00EF6C0C">
        <w:t>Historical Sewer Rate Increases (1990-</w:t>
      </w:r>
      <w:r w:rsidRPr="0021765D">
        <w:t>202</w:t>
      </w:r>
      <w:r>
        <w:t>6</w:t>
      </w:r>
      <w:r w:rsidRPr="00EF6C0C">
        <w:t>)</w:t>
      </w:r>
      <w:bookmarkEnd w:id="145"/>
      <w:bookmarkEnd w:id="146"/>
      <w:bookmarkEnd w:id="147"/>
    </w:p>
    <w:p w14:paraId="055088CB" w14:textId="019A7D98" w:rsidR="00EC5699" w:rsidRDefault="00EC5699" w:rsidP="0018130B">
      <w:pPr>
        <w:jc w:val="center"/>
      </w:pPr>
      <w:r w:rsidRPr="007C6DB9">
        <w:rPr>
          <w:noProof/>
        </w:rPr>
        <w:drawing>
          <wp:inline distT="0" distB="0" distL="0" distR="0" wp14:anchorId="7826DBB0" wp14:editId="33814756">
            <wp:extent cx="3890645" cy="4511675"/>
            <wp:effectExtent l="0" t="0" r="0" b="3175"/>
            <wp:docPr id="19508706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90645" cy="4511675"/>
                    </a:xfrm>
                    <a:prstGeom prst="rect">
                      <a:avLst/>
                    </a:prstGeom>
                    <a:noFill/>
                    <a:ln>
                      <a:noFill/>
                    </a:ln>
                  </pic:spPr>
                </pic:pic>
              </a:graphicData>
            </a:graphic>
          </wp:inline>
        </w:drawing>
      </w:r>
    </w:p>
    <w:p w14:paraId="56683409" w14:textId="03FA79E4" w:rsidR="00EC5699" w:rsidRDefault="00EC5699" w:rsidP="0018130B">
      <w:pPr>
        <w:pStyle w:val="Heading3"/>
      </w:pPr>
      <w:r>
        <w:t>2027 Sewer Rate Proposal and 2027-204</w:t>
      </w:r>
      <w:r w:rsidR="006861CA">
        <w:t>6</w:t>
      </w:r>
      <w:r>
        <w:t xml:space="preserve"> Forecast</w:t>
      </w:r>
    </w:p>
    <w:p w14:paraId="2AF272B3" w14:textId="2840AF9B" w:rsidR="00EC5699" w:rsidRDefault="00EC5699" w:rsidP="0018130B">
      <w:r>
        <w:t>After determining revenue requirements and revenue generated from other sources, the sewer rate proposal is developed to meet both the cash test and the DSC te</w:t>
      </w:r>
      <w:r w:rsidRPr="00DE7340">
        <w:t>st. A monthly sewer rate of $70.65 in 2027, which is a 12.75 percent increase, is proposed in the Ordinance.</w:t>
      </w:r>
      <w:r>
        <w:t xml:space="preserve"> </w:t>
      </w:r>
    </w:p>
    <w:p w14:paraId="151A986F" w14:textId="36847E6A" w:rsidR="00EC5699" w:rsidRPr="009B3767" w:rsidRDefault="00EC5699" w:rsidP="0018130B">
      <w:r w:rsidRPr="009B3767">
        <w:t>While an increase in the rate forecast is proposed, the 202</w:t>
      </w:r>
      <w:r>
        <w:t>7</w:t>
      </w:r>
      <w:r w:rsidRPr="009B3767">
        <w:t xml:space="preserve"> proposed rate is </w:t>
      </w:r>
      <w:r>
        <w:t>the same as the 12.75 percent increase forecasted in the 2026 rate forecast.</w:t>
      </w:r>
      <w:r w:rsidRPr="009B3767">
        <w:t xml:space="preserve"> The 202</w:t>
      </w:r>
      <w:r>
        <w:t>7</w:t>
      </w:r>
      <w:r w:rsidRPr="009B3767">
        <w:t xml:space="preserve"> updated rate forecast beyond the 202</w:t>
      </w:r>
      <w:r>
        <w:t>7</w:t>
      </w:r>
      <w:r w:rsidRPr="009B3767">
        <w:t xml:space="preserve"> proposed rate include</w:t>
      </w:r>
      <w:r>
        <w:t>s</w:t>
      </w:r>
      <w:r w:rsidRPr="009B3767">
        <w:t xml:space="preserve"> higher rate increases as shown in </w:t>
      </w:r>
      <w:r w:rsidRPr="007821B4">
        <w:fldChar w:fldCharType="begin"/>
      </w:r>
      <w:r w:rsidRPr="007821B4">
        <w:instrText xml:space="preserve"> REF _Ref161293495 \h  \* MERGEFORMAT </w:instrText>
      </w:r>
      <w:r w:rsidRPr="007821B4">
        <w:fldChar w:fldCharType="separate"/>
      </w:r>
      <w:r w:rsidR="00741D60">
        <w:t>Figure 26</w:t>
      </w:r>
      <w:r w:rsidRPr="007821B4">
        <w:fldChar w:fldCharType="end"/>
      </w:r>
      <w:r w:rsidRPr="009B3767">
        <w:t xml:space="preserve"> and </w:t>
      </w:r>
      <w:r w:rsidRPr="007821B4">
        <w:fldChar w:fldCharType="begin"/>
      </w:r>
      <w:r w:rsidRPr="007821B4">
        <w:instrText xml:space="preserve"> REF _Ref161293512 \h  \* MERGEFORMAT </w:instrText>
      </w:r>
      <w:r w:rsidRPr="007821B4">
        <w:fldChar w:fldCharType="separate"/>
      </w:r>
      <w:r w:rsidR="00BC44C2">
        <w:t xml:space="preserve">Figure </w:t>
      </w:r>
      <w:r w:rsidR="00BC44C2">
        <w:rPr>
          <w:noProof/>
        </w:rPr>
        <w:t>27</w:t>
      </w:r>
      <w:r w:rsidRPr="007821B4">
        <w:fldChar w:fldCharType="end"/>
      </w:r>
      <w:r w:rsidRPr="009B3767">
        <w:t xml:space="preserve"> below. Highlighted changes between rate forecasts include:</w:t>
      </w:r>
    </w:p>
    <w:p w14:paraId="4C009EC3" w14:textId="3E232AED" w:rsidR="00EC5699" w:rsidRPr="00CF555C" w:rsidRDefault="00EC5699" w:rsidP="00E265A8">
      <w:pPr>
        <w:pStyle w:val="ListParagraph"/>
        <w:numPr>
          <w:ilvl w:val="0"/>
          <w:numId w:val="67"/>
        </w:numPr>
      </w:pPr>
      <w:r w:rsidRPr="000C71EF">
        <w:rPr>
          <w:b/>
          <w:bCs/>
        </w:rPr>
        <w:t>Multiple Scenarios</w:t>
      </w:r>
      <w:r w:rsidRPr="000C71EF">
        <w:t>—Per Council Budget</w:t>
      </w:r>
      <w:r>
        <w:t xml:space="preserve"> Ordinance 20023</w:t>
      </w:r>
      <w:r w:rsidR="00DE58DD">
        <w:t>,</w:t>
      </w:r>
      <w:r w:rsidRPr="000C71EF">
        <w:t xml:space="preserve"> Proviso </w:t>
      </w:r>
      <w:r w:rsidRPr="000E2CE1">
        <w:t>Section 115 P4</w:t>
      </w:r>
      <w:r w:rsidRPr="000C71EF">
        <w:t xml:space="preserve">, WTD is required to provide two alternative scenarios </w:t>
      </w:r>
      <w:r>
        <w:t xml:space="preserve">in addition </w:t>
      </w:r>
      <w:r w:rsidRPr="000C71EF">
        <w:t xml:space="preserve">to the Executive’s proposed rate, including at least one that is two percentage points lower than the Executive's proposed rate. These two scenarios are presented in detail later in this memorandum. Although both achieve some short-term rate relief within the next few years, neither result in a sustained lower rate path </w:t>
      </w:r>
      <w:r w:rsidRPr="00CF555C">
        <w:t>compared to the proposed rate.</w:t>
      </w:r>
    </w:p>
    <w:p w14:paraId="4A5150F3" w14:textId="72889F59" w:rsidR="00EC5699" w:rsidRPr="00CF555C" w:rsidRDefault="00EC5699" w:rsidP="001D3C44">
      <w:pPr>
        <w:pStyle w:val="ListParagraph"/>
        <w:numPr>
          <w:ilvl w:val="0"/>
          <w:numId w:val="67"/>
        </w:numPr>
      </w:pPr>
      <w:r w:rsidRPr="00CF555C">
        <w:rPr>
          <w:b/>
          <w:bCs/>
        </w:rPr>
        <w:t>Updated capital cost estimates and schedule</w:t>
      </w:r>
      <w:r w:rsidRPr="00CF555C">
        <w:t>—WTD received updated cost and schedule estimates for multiple projects (such as the Mouth of the Duwamish CSO control project) mandated by the federal CSO consent decree. These revised estimates resulted in higher capital costs, but also a slightly deferred schedule, resulting in a slight decrease in projected rate increases in the next five years compared to the 2026 forecast.</w:t>
      </w:r>
    </w:p>
    <w:p w14:paraId="2763EBD8" w14:textId="65FC76EF" w:rsidR="00EC5699" w:rsidRPr="00082899" w:rsidRDefault="00EC5699" w:rsidP="005B2A2F">
      <w:pPr>
        <w:pStyle w:val="ListParagraph"/>
        <w:numPr>
          <w:ilvl w:val="0"/>
          <w:numId w:val="67"/>
        </w:numPr>
      </w:pPr>
      <w:r w:rsidRPr="00082899">
        <w:rPr>
          <w:b/>
          <w:bCs/>
        </w:rPr>
        <w:lastRenderedPageBreak/>
        <w:t>Schedule Risk Adjustment</w:t>
      </w:r>
      <w:r w:rsidRPr="00082899">
        <w:t xml:space="preserve">—This is the </w:t>
      </w:r>
      <w:r>
        <w:t>second</w:t>
      </w:r>
      <w:r w:rsidR="00E217A5">
        <w:t xml:space="preserve"> </w:t>
      </w:r>
      <w:r w:rsidRPr="00082899">
        <w:t>year of WTD’s new capital forecasting approach. Previously</w:t>
      </w:r>
      <w:r w:rsidR="00D70CC4">
        <w:t>,</w:t>
      </w:r>
      <w:r w:rsidRPr="00082899">
        <w:t xml:space="preserve"> WTD applied an 85</w:t>
      </w:r>
      <w:r>
        <w:t xml:space="preserve"> percent</w:t>
      </w:r>
      <w:r w:rsidRPr="00082899">
        <w:t xml:space="preserve"> accomplishment rate, where rates were set to fund 85</w:t>
      </w:r>
      <w:r>
        <w:t xml:space="preserve"> percent</w:t>
      </w:r>
      <w:r w:rsidRPr="00082899">
        <w:t xml:space="preserve"> of the projected capital project</w:t>
      </w:r>
      <w:r>
        <w:t xml:space="preserve"> expenditures</w:t>
      </w:r>
      <w:r w:rsidRPr="00082899">
        <w:t xml:space="preserve"> in a given year based on WTD’s experience with how much capital spending could reasonably be accomplished. This had the effect of </w:t>
      </w:r>
      <w:r>
        <w:t>applying</w:t>
      </w:r>
      <w:r w:rsidRPr="00082899">
        <w:t xml:space="preserve"> a </w:t>
      </w:r>
      <w:r w:rsidR="00855B30">
        <w:t>“</w:t>
      </w:r>
      <w:r w:rsidRPr="00082899">
        <w:t>haircut</w:t>
      </w:r>
      <w:r w:rsidR="00855B30">
        <w:t>”</w:t>
      </w:r>
      <w:r w:rsidRPr="00082899">
        <w:t xml:space="preserve"> to the forecast, rather than showing the additional 15</w:t>
      </w:r>
      <w:r>
        <w:t xml:space="preserve"> percent</w:t>
      </w:r>
      <w:r w:rsidR="008F11BC">
        <w:t xml:space="preserve"> </w:t>
      </w:r>
      <w:r w:rsidRPr="00082899">
        <w:t xml:space="preserve">in future forecast years. WTD now implements a </w:t>
      </w:r>
      <w:r w:rsidR="00AC4FD7">
        <w:t>“</w:t>
      </w:r>
      <w:r w:rsidRPr="00082899">
        <w:t>schedule risk adjustment,</w:t>
      </w:r>
      <w:r w:rsidR="00AC4FD7">
        <w:t>”</w:t>
      </w:r>
      <w:r w:rsidRPr="00082899">
        <w:t xml:space="preserve"> where deferred costs </w:t>
      </w:r>
      <w:r>
        <w:t>(20 percent of early years)</w:t>
      </w:r>
      <w:r w:rsidRPr="00082899">
        <w:t xml:space="preserve"> are now shown in future years of the forecast.</w:t>
      </w:r>
    </w:p>
    <w:p w14:paraId="1FF45CD5" w14:textId="6687D2C1" w:rsidR="00EC5699" w:rsidRPr="00FB7B73" w:rsidRDefault="00EC5699" w:rsidP="00FC5813">
      <w:pPr>
        <w:pStyle w:val="Caption"/>
        <w:rPr>
          <w:rStyle w:val="Strong"/>
          <w:b/>
          <w:bCs w:val="0"/>
        </w:rPr>
      </w:pPr>
      <w:bookmarkStart w:id="148" w:name="_Ref161293495"/>
      <w:bookmarkStart w:id="149" w:name="_Ref161131316"/>
      <w:bookmarkStart w:id="150" w:name="_Toc226970664"/>
      <w:r>
        <w:t xml:space="preserve">Figure </w:t>
      </w:r>
      <w:r>
        <w:fldChar w:fldCharType="begin"/>
      </w:r>
      <w:r>
        <w:instrText xml:space="preserve"> SEQ Figure \* ARABIC </w:instrText>
      </w:r>
      <w:r>
        <w:fldChar w:fldCharType="separate"/>
      </w:r>
      <w:r w:rsidR="00677835">
        <w:rPr>
          <w:noProof/>
        </w:rPr>
        <w:t>26</w:t>
      </w:r>
      <w:r>
        <w:fldChar w:fldCharType="end"/>
      </w:r>
      <w:bookmarkEnd w:id="148"/>
      <w:r w:rsidRPr="00FC5813">
        <w:t xml:space="preserve"> </w:t>
      </w:r>
      <w:r w:rsidRPr="00EF6C0C">
        <w:t xml:space="preserve">Adopted </w:t>
      </w:r>
      <w:r w:rsidRPr="00893C77">
        <w:t>202</w:t>
      </w:r>
      <w:r>
        <w:t>6</w:t>
      </w:r>
      <w:r w:rsidRPr="00EF6C0C">
        <w:t xml:space="preserve"> Sewer Rate and </w:t>
      </w:r>
      <w:r w:rsidRPr="00893C77">
        <w:t>202</w:t>
      </w:r>
      <w:r>
        <w:t>6</w:t>
      </w:r>
      <w:r w:rsidRPr="00893C77">
        <w:t>-20</w:t>
      </w:r>
      <w:r>
        <w:t>45</w:t>
      </w:r>
      <w:r w:rsidRPr="00EF6C0C">
        <w:t xml:space="preserve"> Forecast</w:t>
      </w:r>
      <w:bookmarkEnd w:id="149"/>
      <w:bookmarkEnd w:id="150"/>
    </w:p>
    <w:p w14:paraId="7CA70746" w14:textId="4D71F38B" w:rsidR="00EC5699" w:rsidRDefault="00EC5699" w:rsidP="00B95B6C">
      <w:r w:rsidRPr="00986A2C">
        <w:rPr>
          <w:noProof/>
        </w:rPr>
        <w:drawing>
          <wp:inline distT="0" distB="0" distL="0" distR="0" wp14:anchorId="60AA0D3B" wp14:editId="7FB64E54">
            <wp:extent cx="6858000" cy="1446530"/>
            <wp:effectExtent l="0" t="0" r="0" b="1270"/>
            <wp:docPr id="18304869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58000" cy="1446530"/>
                    </a:xfrm>
                    <a:prstGeom prst="rect">
                      <a:avLst/>
                    </a:prstGeom>
                    <a:noFill/>
                    <a:ln>
                      <a:noFill/>
                    </a:ln>
                  </pic:spPr>
                </pic:pic>
              </a:graphicData>
            </a:graphic>
          </wp:inline>
        </w:drawing>
      </w:r>
    </w:p>
    <w:p w14:paraId="0C4A65CE" w14:textId="77777777" w:rsidR="00EC5699" w:rsidRDefault="00EC5699" w:rsidP="00FD3DD6">
      <w:pPr>
        <w:pStyle w:val="Caption"/>
      </w:pPr>
      <w:bookmarkStart w:id="151" w:name="_Ref161293512"/>
      <w:bookmarkStart w:id="152" w:name="_Ref161131329"/>
    </w:p>
    <w:p w14:paraId="3437D065" w14:textId="556E1846" w:rsidR="00EC5699" w:rsidRDefault="00EC5699" w:rsidP="00FD3DD6">
      <w:pPr>
        <w:pStyle w:val="Caption"/>
      </w:pPr>
      <w:bookmarkStart w:id="153" w:name="_Toc226970665"/>
      <w:r>
        <w:t xml:space="preserve">Figure </w:t>
      </w:r>
      <w:r>
        <w:fldChar w:fldCharType="begin"/>
      </w:r>
      <w:r>
        <w:instrText xml:space="preserve"> SEQ Figure \* ARABIC </w:instrText>
      </w:r>
      <w:r>
        <w:fldChar w:fldCharType="separate"/>
      </w:r>
      <w:r w:rsidR="00677835">
        <w:rPr>
          <w:noProof/>
        </w:rPr>
        <w:t>27</w:t>
      </w:r>
      <w:r>
        <w:fldChar w:fldCharType="end"/>
      </w:r>
      <w:bookmarkEnd w:id="151"/>
      <w:r>
        <w:t xml:space="preserve"> </w:t>
      </w:r>
      <w:r w:rsidRPr="00EF6C0C">
        <w:t xml:space="preserve">Proposed </w:t>
      </w:r>
      <w:r w:rsidRPr="00893C77">
        <w:t>202</w:t>
      </w:r>
      <w:r>
        <w:t>7</w:t>
      </w:r>
      <w:r w:rsidRPr="00EF6C0C">
        <w:t xml:space="preserve"> Sewer Rate and </w:t>
      </w:r>
      <w:r w:rsidRPr="00893C77">
        <w:t>202</w:t>
      </w:r>
      <w:r>
        <w:t>7</w:t>
      </w:r>
      <w:r w:rsidRPr="00893C77">
        <w:t>-20</w:t>
      </w:r>
      <w:r>
        <w:t>46</w:t>
      </w:r>
      <w:r w:rsidRPr="00EF6C0C">
        <w:t xml:space="preserve"> Forecast</w:t>
      </w:r>
      <w:bookmarkEnd w:id="152"/>
      <w:r>
        <w:t xml:space="preserve"> [also available on page </w:t>
      </w:r>
      <w:r w:rsidR="00CC6BF3">
        <w:t>6</w:t>
      </w:r>
      <w:r>
        <w:t>]</w:t>
      </w:r>
      <w:bookmarkEnd w:id="153"/>
    </w:p>
    <w:p w14:paraId="4ECCED11" w14:textId="4918F751" w:rsidR="00EC5699" w:rsidRDefault="00EC5699">
      <w:r w:rsidRPr="00AC3A04">
        <w:rPr>
          <w:noProof/>
        </w:rPr>
        <w:drawing>
          <wp:inline distT="0" distB="0" distL="0" distR="0" wp14:anchorId="454575EA" wp14:editId="62EFABFD">
            <wp:extent cx="6858000" cy="1453515"/>
            <wp:effectExtent l="0" t="0" r="0" b="0"/>
            <wp:docPr id="12801102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858000" cy="1453515"/>
                    </a:xfrm>
                    <a:prstGeom prst="rect">
                      <a:avLst/>
                    </a:prstGeom>
                    <a:noFill/>
                    <a:ln>
                      <a:noFill/>
                    </a:ln>
                  </pic:spPr>
                </pic:pic>
              </a:graphicData>
            </a:graphic>
          </wp:inline>
        </w:drawing>
      </w:r>
    </w:p>
    <w:p w14:paraId="57AD65CE" w14:textId="77777777" w:rsidR="00EC5699" w:rsidRDefault="00EC5699" w:rsidP="00907DAC">
      <w:pPr>
        <w:pStyle w:val="Heading1"/>
      </w:pPr>
      <w:bookmarkStart w:id="154" w:name="_Toc224573044"/>
      <w:r>
        <w:t>Legal Disclaimer</w:t>
      </w:r>
      <w:bookmarkEnd w:id="154"/>
    </w:p>
    <w:p w14:paraId="322780AE" w14:textId="56E65B8E" w:rsidR="00EC5699" w:rsidRDefault="00EC5699" w:rsidP="00907DAC">
      <w:r>
        <w:t xml:space="preserve">The </w:t>
      </w:r>
      <w:r w:rsidR="00C44871">
        <w:t>rate forecast above</w:t>
      </w:r>
      <w:r w:rsidR="00FA6751">
        <w:t xml:space="preserve"> projects</w:t>
      </w:r>
      <w:r>
        <w:t xml:space="preserve"> approximately $1</w:t>
      </w:r>
      <w:r w:rsidR="00FA6751">
        <w:t>4</w:t>
      </w:r>
      <w:r>
        <w:t xml:space="preserve"> billion over the next decade to meet state and federal regulations, serve the needs of new population growth, and maintain and modernize </w:t>
      </w:r>
      <w:r w:rsidR="00A12FFA">
        <w:t>King</w:t>
      </w:r>
      <w:r w:rsidR="00C83A83">
        <w:t xml:space="preserve"> County’s</w:t>
      </w:r>
      <w:r>
        <w:t xml:space="preserve"> aging infrastructure. Investments in </w:t>
      </w:r>
      <w:r w:rsidR="00F64B0A">
        <w:t>this</w:t>
      </w:r>
      <w:r>
        <w:t xml:space="preserve"> system are essential to protect water quality and public health for decades to come. </w:t>
      </w:r>
    </w:p>
    <w:p w14:paraId="30805BD1" w14:textId="5DAFF49B" w:rsidR="00EC5699" w:rsidRPr="00D22473" w:rsidRDefault="006F7B70" w:rsidP="00907DAC">
      <w:r>
        <w:t xml:space="preserve">The </w:t>
      </w:r>
      <w:r w:rsidR="00834A1A">
        <w:t>rate forecast proposes significantly higher rates beginning in 2027, and extending for several years</w:t>
      </w:r>
      <w:r w:rsidR="00EC5699">
        <w:t>. This increase is driven by multiple factors, the largest of which are capital projects required under federal and state clean water regulations.</w:t>
      </w:r>
    </w:p>
    <w:p w14:paraId="474F3B24" w14:textId="1B66167B" w:rsidR="00EC5699" w:rsidRDefault="00EC5699" w:rsidP="00907DAC">
      <w:r>
        <w:t>WTD regcognizes that higher sewer rates add to the already high cost of living in the Puget Sound region and have the greatest impact on lower-income households. As stewards of public dollars, WTD is committed to a rate-setting process that is transparent, fact-informed, and thorough, and exploring cost-effective ways to keep rates as affordable as possible for all King County families.</w:t>
      </w:r>
    </w:p>
    <w:p w14:paraId="459CA23A" w14:textId="77777777" w:rsidR="00EC5699" w:rsidRDefault="00EC5699" w:rsidP="00907DAC">
      <w:r>
        <w:t xml:space="preserve">As part of this work, the King County Council requested that WTD develop several rate scenarios outlining the benefits, risks, and other impacts associated with each approach. </w:t>
      </w:r>
    </w:p>
    <w:p w14:paraId="25087638" w14:textId="77777777" w:rsidR="00EC5699" w:rsidRPr="00A56F56" w:rsidRDefault="00EC5699" w:rsidP="00907DAC">
      <w:pPr>
        <w:rPr>
          <w:b/>
        </w:rPr>
      </w:pPr>
      <w:r>
        <w:t xml:space="preserve">While these scenarios show that deferring some current and planned capital projects may provide short-term rate relief, delaying capital investments can also introduce significant long-term risks that ultimately increase costs and operational challenges exponentially. </w:t>
      </w:r>
    </w:p>
    <w:p w14:paraId="50AC1271" w14:textId="03A07B5F" w:rsidR="00EC5699" w:rsidRDefault="00F30BC0" w:rsidP="00907DAC">
      <w:pPr>
        <w:rPr>
          <w:b/>
          <w:bCs/>
        </w:rPr>
      </w:pPr>
      <w:r>
        <w:lastRenderedPageBreak/>
        <w:t>The theoretical regulatory deadline extension scenario is</w:t>
      </w:r>
      <w:r w:rsidR="00EC5699">
        <w:t xml:space="preserve"> dependent on federal and state regulators agreeing to further modify the </w:t>
      </w:r>
      <w:hyperlink r:id="rId39">
        <w:r w:rsidR="00804529">
          <w:rPr>
            <w:rStyle w:val="Hyperlink"/>
          </w:rPr>
          <w:t>CSO</w:t>
        </w:r>
        <w:r w:rsidR="00EC5699" w:rsidRPr="30E8707A">
          <w:rPr>
            <w:rStyle w:val="Hyperlink"/>
          </w:rPr>
          <w:t xml:space="preserve"> consent decree</w:t>
        </w:r>
      </w:hyperlink>
      <w:r w:rsidR="00EC5699">
        <w:t xml:space="preserve">, which was recently modified and finalized in 2025 after a six-year negotiation process. Others may illustrate circumstances under which projects with specific federal or state requirements and/or funding agreements would be deferred. </w:t>
      </w:r>
      <w:r w:rsidR="00EC5699" w:rsidRPr="30E8707A">
        <w:rPr>
          <w:b/>
          <w:bCs/>
        </w:rPr>
        <w:t xml:space="preserve">The scenarios are purely intended to </w:t>
      </w:r>
      <w:r w:rsidR="00EC5699">
        <w:rPr>
          <w:b/>
          <w:bCs/>
        </w:rPr>
        <w:t>outline</w:t>
      </w:r>
      <w:r w:rsidR="00EC5699" w:rsidRPr="30E8707A">
        <w:rPr>
          <w:b/>
          <w:bCs/>
        </w:rPr>
        <w:t xml:space="preserve"> potential impacts over time</w:t>
      </w:r>
      <w:r w:rsidR="00EC5699">
        <w:rPr>
          <w:b/>
          <w:bCs/>
        </w:rPr>
        <w:t>. They</w:t>
      </w:r>
      <w:r w:rsidR="00EC5699" w:rsidRPr="30E8707A">
        <w:rPr>
          <w:b/>
          <w:bCs/>
        </w:rPr>
        <w:t xml:space="preserve"> do not represent, imply, or establish any plan, commitment, or intent by WTD</w:t>
      </w:r>
      <w:r w:rsidR="00EC5699">
        <w:rPr>
          <w:b/>
          <w:bCs/>
        </w:rPr>
        <w:t xml:space="preserve"> or the Department of Natural Resources and Parks</w:t>
      </w:r>
      <w:r w:rsidR="00EC5699" w:rsidRPr="30E8707A">
        <w:rPr>
          <w:b/>
          <w:bCs/>
        </w:rPr>
        <w:t>.</w:t>
      </w:r>
    </w:p>
    <w:p w14:paraId="2554A1A1" w14:textId="77777777" w:rsidR="00EC5699" w:rsidRDefault="00EC5699" w:rsidP="0043059E">
      <w:pPr>
        <w:pStyle w:val="Heading1"/>
      </w:pPr>
      <w:bookmarkStart w:id="155" w:name="_Toc224573045"/>
      <w:r>
        <w:t>Alternative Scenarios</w:t>
      </w:r>
      <w:bookmarkEnd w:id="155"/>
    </w:p>
    <w:p w14:paraId="27976B26" w14:textId="6119AFA5" w:rsidR="00EC5699" w:rsidRDefault="00EC5699" w:rsidP="0043059E">
      <w:r>
        <w:t xml:space="preserve">As part of the 2026-27 budget process, Council </w:t>
      </w:r>
      <w:r w:rsidR="00E87B0B">
        <w:t xml:space="preserve">developed </w:t>
      </w:r>
      <w:r>
        <w:t xml:space="preserve">a proviso requiring </w:t>
      </w:r>
      <w:r w:rsidRPr="00190860">
        <w:t xml:space="preserve">the Executive to transmit a </w:t>
      </w:r>
      <w:r>
        <w:t>p</w:t>
      </w:r>
      <w:r w:rsidRPr="00190860">
        <w:t xml:space="preserve">roposed </w:t>
      </w:r>
      <w:r>
        <w:t>s</w:t>
      </w:r>
      <w:r w:rsidRPr="00190860">
        <w:t xml:space="preserve">ewer </w:t>
      </w:r>
      <w:r w:rsidR="00E87B0B">
        <w:t>r</w:t>
      </w:r>
      <w:r w:rsidR="00E87B0B" w:rsidRPr="00190860">
        <w:t>ate</w:t>
      </w:r>
      <w:r w:rsidRPr="00190860">
        <w:t>, plus two additional scenarios, one of which must be two percent lower than the Executive Proposed Rate. WTD has developed the following rate scenarios</w:t>
      </w:r>
      <w:r>
        <w:t xml:space="preserve"> in addition to the proposed rate: </w:t>
      </w:r>
    </w:p>
    <w:p w14:paraId="35A1C1A4" w14:textId="359AE435" w:rsidR="00EC5699" w:rsidRDefault="00EC5699" w:rsidP="000E2943">
      <w:pPr>
        <w:pStyle w:val="ListParagraph"/>
        <w:numPr>
          <w:ilvl w:val="0"/>
          <w:numId w:val="90"/>
        </w:numPr>
      </w:pPr>
      <w:r>
        <w:t xml:space="preserve">The </w:t>
      </w:r>
      <w:r w:rsidR="00167E6A">
        <w:t>“</w:t>
      </w:r>
      <w:r>
        <w:t>Council Request Scenario</w:t>
      </w:r>
      <w:r w:rsidR="00167E6A">
        <w:t>”</w:t>
      </w:r>
      <w:r>
        <w:t xml:space="preserve"> was required to be at least two percent less than the Executive’s proposed rate. </w:t>
      </w:r>
    </w:p>
    <w:p w14:paraId="3AC953BD" w14:textId="4CE4A180" w:rsidR="00EC5699" w:rsidRPr="00E93F04" w:rsidRDefault="00EC5699" w:rsidP="000E2943">
      <w:pPr>
        <w:pStyle w:val="ListParagraph"/>
        <w:numPr>
          <w:ilvl w:val="0"/>
          <w:numId w:val="90"/>
        </w:numPr>
      </w:pPr>
      <w:r>
        <w:t xml:space="preserve">The </w:t>
      </w:r>
      <w:r w:rsidR="00BE4F07">
        <w:t>“</w:t>
      </w:r>
      <w:r>
        <w:t>Theoretical Regulatory Deadline Extension Scenario</w:t>
      </w:r>
      <w:r w:rsidR="008E18C4">
        <w:t>”</w:t>
      </w:r>
      <w:r>
        <w:t xml:space="preserve"> represents a hypothetical scenario where WTD has renegotiated its consent decree requirements related to C</w:t>
      </w:r>
      <w:r w:rsidR="00445343">
        <w:t>SOs</w:t>
      </w:r>
      <w:r>
        <w:t xml:space="preserve"> to allow for a longer implementation period. Successful negotiations with state and federal regulators would be needed to implement a similar scenario.</w:t>
      </w:r>
    </w:p>
    <w:p w14:paraId="589E409E" w14:textId="77777777" w:rsidR="00EC5699" w:rsidRDefault="00EC5699" w:rsidP="0043059E">
      <w:pPr>
        <w:pStyle w:val="Heading2"/>
      </w:pPr>
      <w:bookmarkStart w:id="156" w:name="_Toc224573046"/>
      <w:r>
        <w:t>Council Request Scenario</w:t>
      </w:r>
      <w:bookmarkEnd w:id="156"/>
    </w:p>
    <w:p w14:paraId="4A21C7C3" w14:textId="63FE30E3" w:rsidR="00EC5699" w:rsidRPr="004C4656" w:rsidRDefault="00EC5699" w:rsidP="0043059E">
      <w:r>
        <w:t>The Council Request Scenario accepts higher additional risk of asset failure and some financial risk compared to the proposed rate by deferring $1.4 billion of asset reliability and system capacity projects out of the first decade of the forecast to slightly mitigate rate increases in the near term.</w:t>
      </w:r>
      <w:r w:rsidRPr="00DC2D40">
        <w:t xml:space="preserve"> Deferrals in this scenario would impact asset replacement and capacity projects</w:t>
      </w:r>
      <w:r w:rsidR="005F1553">
        <w:t>,</w:t>
      </w:r>
      <w:r w:rsidRPr="00DC2D40">
        <w:t xml:space="preserve"> resulting in increased likelihood of detrimental impacts such as overflows, sinkholes, equipment damage, permit violations, and life-safety risks</w:t>
      </w:r>
      <w:r>
        <w:t xml:space="preserve">, as well as introducing additional risk of bond rating downgrades and higher costs of borrowing. This scenario does not achieve long-term rate relief, and the 20-year forecast rate is slightly higher than the proposed rate forecast. </w:t>
      </w:r>
      <w:r w:rsidRPr="007821B4">
        <w:fldChar w:fldCharType="begin"/>
      </w:r>
      <w:r w:rsidRPr="007821B4">
        <w:instrText xml:space="preserve"> REF _Ref224567909 \h  \* MERGEFORMAT </w:instrText>
      </w:r>
      <w:r w:rsidRPr="007821B4">
        <w:fldChar w:fldCharType="separate"/>
      </w:r>
      <w:r w:rsidR="00BC44C2">
        <w:t>Figure 28</w:t>
      </w:r>
      <w:r w:rsidRPr="007821B4">
        <w:fldChar w:fldCharType="end"/>
      </w:r>
      <w:r w:rsidRPr="000E6A4F">
        <w:rPr>
          <w:b/>
          <w:bCs/>
        </w:rPr>
        <w:fldChar w:fldCharType="begin"/>
      </w:r>
      <w:r w:rsidRPr="000E6A4F">
        <w:rPr>
          <w:b/>
          <w:bCs/>
        </w:rPr>
        <w:instrText xml:space="preserve"> REF _Ref223695082 \h </w:instrText>
      </w:r>
      <w:r>
        <w:rPr>
          <w:b/>
          <w:bCs/>
        </w:rPr>
        <w:instrText xml:space="preserve"> \* MERGEFORMAT </w:instrText>
      </w:r>
      <w:r w:rsidRPr="000E6A4F">
        <w:rPr>
          <w:b/>
          <w:bCs/>
        </w:rPr>
      </w:r>
      <w:r w:rsidRPr="000E6A4F">
        <w:rPr>
          <w:b/>
          <w:bCs/>
        </w:rPr>
        <w:fldChar w:fldCharType="separate"/>
      </w:r>
      <w:r w:rsidRPr="000E6A4F">
        <w:rPr>
          <w:b/>
          <w:bCs/>
        </w:rPr>
        <w:fldChar w:fldCharType="end"/>
      </w:r>
      <w:r>
        <w:rPr>
          <w:b/>
          <w:bCs/>
        </w:rPr>
        <w:t xml:space="preserve"> </w:t>
      </w:r>
      <w:r>
        <w:t>shows the 10-year capital forecast for this scenario, with the deferrals shown in gray.</w:t>
      </w:r>
    </w:p>
    <w:p w14:paraId="0CF95FEE" w14:textId="20A8EAC4" w:rsidR="00EC5699" w:rsidRDefault="00EC5699" w:rsidP="0043059E">
      <w:pPr>
        <w:pStyle w:val="Caption"/>
      </w:pPr>
      <w:bookmarkStart w:id="157" w:name="_Ref224567909"/>
      <w:bookmarkStart w:id="158" w:name="_Toc226970666"/>
      <w:r>
        <w:t xml:space="preserve">Figure </w:t>
      </w:r>
      <w:r>
        <w:fldChar w:fldCharType="begin"/>
      </w:r>
      <w:r>
        <w:instrText xml:space="preserve"> SEQ Figure \* ARABIC </w:instrText>
      </w:r>
      <w:r>
        <w:fldChar w:fldCharType="separate"/>
      </w:r>
      <w:r w:rsidR="00677835">
        <w:rPr>
          <w:noProof/>
        </w:rPr>
        <w:t>28</w:t>
      </w:r>
      <w:r>
        <w:fldChar w:fldCharType="end"/>
      </w:r>
      <w:bookmarkEnd w:id="157"/>
      <w:r>
        <w:t xml:space="preserve"> Capital Forecast—Council Requested Rate</w:t>
      </w:r>
      <w:bookmarkEnd w:id="158"/>
    </w:p>
    <w:p w14:paraId="55E1EA01" w14:textId="21A2B3D5" w:rsidR="00EC5699" w:rsidRDefault="00EC5699" w:rsidP="0043059E">
      <w:pPr>
        <w:jc w:val="center"/>
      </w:pPr>
      <w:r>
        <w:rPr>
          <w:noProof/>
        </w:rPr>
        <w:drawing>
          <wp:inline distT="0" distB="0" distL="0" distR="0" wp14:anchorId="00044323" wp14:editId="27ADF695">
            <wp:extent cx="6244569" cy="3276600"/>
            <wp:effectExtent l="0" t="0" r="4445" b="0"/>
            <wp:docPr id="1761043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91601" cy="3301278"/>
                    </a:xfrm>
                    <a:prstGeom prst="rect">
                      <a:avLst/>
                    </a:prstGeom>
                    <a:noFill/>
                  </pic:spPr>
                </pic:pic>
              </a:graphicData>
            </a:graphic>
          </wp:inline>
        </w:drawing>
      </w:r>
    </w:p>
    <w:p w14:paraId="56DAF936" w14:textId="77777777" w:rsidR="00EC5699" w:rsidRDefault="00EC5699" w:rsidP="0043059E">
      <w:pPr>
        <w:jc w:val="center"/>
      </w:pPr>
    </w:p>
    <w:p w14:paraId="29976615" w14:textId="085176FF" w:rsidR="00EC5699" w:rsidRDefault="00EC5699" w:rsidP="0043059E">
      <w:r w:rsidRPr="007821B4">
        <w:fldChar w:fldCharType="begin"/>
      </w:r>
      <w:r w:rsidRPr="007821B4">
        <w:instrText xml:space="preserve"> REF _Ref224567955 \h  \* MERGEFORMAT </w:instrText>
      </w:r>
      <w:r w:rsidRPr="007821B4">
        <w:fldChar w:fldCharType="separate"/>
      </w:r>
      <w:r w:rsidR="00BC44C2">
        <w:t>Figure 29</w:t>
      </w:r>
      <w:r w:rsidRPr="007821B4">
        <w:fldChar w:fldCharType="end"/>
      </w:r>
      <w:r>
        <w:t xml:space="preserve"> shows the Council Requested Rate and associated rate forecast.</w:t>
      </w:r>
    </w:p>
    <w:p w14:paraId="303408D3" w14:textId="19AC5958" w:rsidR="00EC5699" w:rsidRDefault="00EC5699" w:rsidP="0043059E">
      <w:pPr>
        <w:pStyle w:val="Caption"/>
      </w:pPr>
      <w:bookmarkStart w:id="159" w:name="_Ref224567955"/>
      <w:bookmarkStart w:id="160" w:name="_Toc226970667"/>
      <w:r>
        <w:t xml:space="preserve">Figure </w:t>
      </w:r>
      <w:r>
        <w:fldChar w:fldCharType="begin"/>
      </w:r>
      <w:r>
        <w:instrText xml:space="preserve"> SEQ Figure \* ARABIC </w:instrText>
      </w:r>
      <w:r>
        <w:fldChar w:fldCharType="separate"/>
      </w:r>
      <w:r w:rsidR="00677835">
        <w:rPr>
          <w:noProof/>
        </w:rPr>
        <w:t>29</w:t>
      </w:r>
      <w:r>
        <w:fldChar w:fldCharType="end"/>
      </w:r>
      <w:bookmarkEnd w:id="159"/>
      <w:r>
        <w:t xml:space="preserve"> 2027 Council Requested Rate and 2027-46 Rate Forecast</w:t>
      </w:r>
      <w:bookmarkEnd w:id="160"/>
    </w:p>
    <w:p w14:paraId="57434E48" w14:textId="77777777" w:rsidR="00EC5699" w:rsidRDefault="00EC5699" w:rsidP="0043059E">
      <w:r w:rsidRPr="00B61D8B">
        <w:rPr>
          <w:noProof/>
        </w:rPr>
        <w:drawing>
          <wp:inline distT="0" distB="0" distL="0" distR="0" wp14:anchorId="7572D1FB" wp14:editId="50EE8DC2">
            <wp:extent cx="6858000" cy="1429385"/>
            <wp:effectExtent l="0" t="0" r="0" b="0"/>
            <wp:docPr id="1209014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858000" cy="1429385"/>
                    </a:xfrm>
                    <a:prstGeom prst="rect">
                      <a:avLst/>
                    </a:prstGeom>
                    <a:noFill/>
                    <a:ln>
                      <a:noFill/>
                    </a:ln>
                  </pic:spPr>
                </pic:pic>
              </a:graphicData>
            </a:graphic>
          </wp:inline>
        </w:drawing>
      </w:r>
    </w:p>
    <w:p w14:paraId="4C1F12DF" w14:textId="77777777" w:rsidR="00EC5699" w:rsidRDefault="00EC5699" w:rsidP="0043059E">
      <w:pPr>
        <w:pStyle w:val="Heading2"/>
      </w:pPr>
      <w:bookmarkStart w:id="161" w:name="_Toc224573047"/>
      <w:r>
        <w:t>Theoretical Regulatory Deadline Extension Scenario</w:t>
      </w:r>
      <w:bookmarkEnd w:id="161"/>
    </w:p>
    <w:p w14:paraId="5F23D25F" w14:textId="36BA3268" w:rsidR="00EC5699" w:rsidRPr="000E6A4F" w:rsidRDefault="00EC5699" w:rsidP="0043059E">
      <w:r>
        <w:t xml:space="preserve">The Theoretical Regulatory Deadline Extension Scenario assumes successful renegotiation of </w:t>
      </w:r>
      <w:r w:rsidR="00734BE2">
        <w:t xml:space="preserve">the </w:t>
      </w:r>
      <w:r>
        <w:t>federal and state regulator</w:t>
      </w:r>
      <w:r w:rsidR="00E419B7">
        <w:t>y</w:t>
      </w:r>
      <w:r>
        <w:t xml:space="preserve"> </w:t>
      </w:r>
      <w:r w:rsidR="00E419B7">
        <w:t>consent decree</w:t>
      </w:r>
      <w:r>
        <w:t>, adds compliance and financial risk, and defers $1.8 billion of planned projects out of the first decade of the forecast. Although this scenario offers some near-term rate relief by deferring project costs, it results in a higher 20-year forecast rate than the proposed rate forecast. Asset reliability and safety risk, as well as system capacity risk remain the same as the proposed scenario, but regulatory compliance projects are no longer assumed to meet established deadlines, with additional potential risks including future borrowing costs, civil contempt sanctions, injunctive relief</w:t>
      </w:r>
      <w:r w:rsidR="001B57B8">
        <w:t>,</w:t>
      </w:r>
      <w:r>
        <w:t xml:space="preserve"> and criminal contempt proceedings. </w:t>
      </w:r>
      <w:r w:rsidRPr="007821B4">
        <w:fldChar w:fldCharType="begin"/>
      </w:r>
      <w:r w:rsidRPr="007821B4">
        <w:instrText xml:space="preserve"> REF _Ref223945061 \h  \* MERGEFORMAT </w:instrText>
      </w:r>
      <w:r w:rsidRPr="007821B4">
        <w:fldChar w:fldCharType="separate"/>
      </w:r>
      <w:r w:rsidRPr="007821B4">
        <w:t xml:space="preserve">Figure </w:t>
      </w:r>
      <w:r w:rsidRPr="007821B4">
        <w:fldChar w:fldCharType="end"/>
      </w:r>
      <w:r w:rsidR="00BC44C2">
        <w:t>30</w:t>
      </w:r>
      <w:r>
        <w:t xml:space="preserve"> shows the 10-year capital forecast for this scenario.</w:t>
      </w:r>
    </w:p>
    <w:p w14:paraId="7C4A6CC9" w14:textId="77777777" w:rsidR="00EC5699" w:rsidRDefault="00EC5699" w:rsidP="0043059E"/>
    <w:p w14:paraId="4E3C58E6" w14:textId="43F5ECBE" w:rsidR="00EC5699" w:rsidRDefault="00EC5699" w:rsidP="0043059E">
      <w:pPr>
        <w:pStyle w:val="Caption"/>
      </w:pPr>
      <w:bookmarkStart w:id="162" w:name="_Toc226970668"/>
      <w:r>
        <w:t xml:space="preserve">Figure </w:t>
      </w:r>
      <w:r>
        <w:fldChar w:fldCharType="begin"/>
      </w:r>
      <w:r>
        <w:instrText xml:space="preserve"> SEQ Figure \* ARABIC </w:instrText>
      </w:r>
      <w:r>
        <w:fldChar w:fldCharType="separate"/>
      </w:r>
      <w:r w:rsidR="00677835">
        <w:rPr>
          <w:noProof/>
        </w:rPr>
        <w:t>30</w:t>
      </w:r>
      <w:r>
        <w:fldChar w:fldCharType="end"/>
      </w:r>
      <w:r>
        <w:t xml:space="preserve"> Capital Forecast—Theoretical Regulatory Deadline Extension</w:t>
      </w:r>
      <w:bookmarkEnd w:id="162"/>
    </w:p>
    <w:p w14:paraId="7C2B4F62" w14:textId="77777777" w:rsidR="00EC5699" w:rsidRDefault="00EC5699" w:rsidP="0043059E">
      <w:pPr>
        <w:jc w:val="center"/>
      </w:pPr>
      <w:r>
        <w:rPr>
          <w:noProof/>
        </w:rPr>
        <w:drawing>
          <wp:inline distT="0" distB="0" distL="0" distR="0" wp14:anchorId="6AC123D1" wp14:editId="3FAB9E40">
            <wp:extent cx="5618963" cy="2907828"/>
            <wp:effectExtent l="0" t="0" r="0" b="0"/>
            <wp:docPr id="1153880481" name="Picture 19"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80481" name="Picture 19" descr="Chart&#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30146" cy="2913615"/>
                    </a:xfrm>
                    <a:prstGeom prst="rect">
                      <a:avLst/>
                    </a:prstGeom>
                    <a:noFill/>
                  </pic:spPr>
                </pic:pic>
              </a:graphicData>
            </a:graphic>
          </wp:inline>
        </w:drawing>
      </w:r>
    </w:p>
    <w:p w14:paraId="24916F05" w14:textId="1AEAEE1E" w:rsidR="00EC5699" w:rsidRDefault="00EC5699" w:rsidP="0043059E">
      <w:r w:rsidRPr="007821B4">
        <w:fldChar w:fldCharType="begin"/>
      </w:r>
      <w:r w:rsidRPr="007821B4">
        <w:instrText xml:space="preserve"> REF _Ref224568014 \h  \* MERGEFORMAT </w:instrText>
      </w:r>
      <w:r w:rsidRPr="007821B4">
        <w:fldChar w:fldCharType="separate"/>
      </w:r>
      <w:r w:rsidR="00BC44C2">
        <w:t>Figure 31</w:t>
      </w:r>
      <w:r w:rsidRPr="007821B4">
        <w:fldChar w:fldCharType="end"/>
      </w:r>
      <w:r w:rsidRPr="00E217A5">
        <w:t xml:space="preserve"> </w:t>
      </w:r>
      <w:r>
        <w:t>shows the Theoretical Regulatory Deadline Extension Rate and associated rate forecast.</w:t>
      </w:r>
    </w:p>
    <w:p w14:paraId="7A5CD593" w14:textId="40978DB6" w:rsidR="00EC5699" w:rsidRDefault="00EC5699" w:rsidP="0043059E">
      <w:pPr>
        <w:pStyle w:val="Caption"/>
      </w:pPr>
      <w:bookmarkStart w:id="163" w:name="_Ref224568014"/>
      <w:bookmarkStart w:id="164" w:name="_Toc226970669"/>
      <w:r>
        <w:lastRenderedPageBreak/>
        <w:t xml:space="preserve">Figure </w:t>
      </w:r>
      <w:r>
        <w:fldChar w:fldCharType="begin"/>
      </w:r>
      <w:r>
        <w:instrText xml:space="preserve"> SEQ Figure \* ARABIC </w:instrText>
      </w:r>
      <w:r>
        <w:fldChar w:fldCharType="separate"/>
      </w:r>
      <w:r w:rsidR="00677835">
        <w:rPr>
          <w:noProof/>
        </w:rPr>
        <w:t>31</w:t>
      </w:r>
      <w:r>
        <w:fldChar w:fldCharType="end"/>
      </w:r>
      <w:bookmarkEnd w:id="163"/>
      <w:r>
        <w:t xml:space="preserve"> 2027 Theoretical Regulatory Deadline Extension Rate and 2027-46 Rate Forecast</w:t>
      </w:r>
      <w:bookmarkEnd w:id="164"/>
    </w:p>
    <w:p w14:paraId="567A6289" w14:textId="77777777" w:rsidR="00EC5699" w:rsidRPr="003060F4" w:rsidRDefault="00EC5699" w:rsidP="0043059E">
      <w:r w:rsidRPr="00E63327">
        <w:rPr>
          <w:noProof/>
        </w:rPr>
        <w:drawing>
          <wp:inline distT="0" distB="0" distL="0" distR="0" wp14:anchorId="0EF660A9" wp14:editId="1CE6FA21">
            <wp:extent cx="6858000" cy="1441450"/>
            <wp:effectExtent l="0" t="0" r="0" b="6350"/>
            <wp:docPr id="17179601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858000" cy="1441450"/>
                    </a:xfrm>
                    <a:prstGeom prst="rect">
                      <a:avLst/>
                    </a:prstGeom>
                    <a:noFill/>
                    <a:ln>
                      <a:noFill/>
                    </a:ln>
                  </pic:spPr>
                </pic:pic>
              </a:graphicData>
            </a:graphic>
          </wp:inline>
        </w:drawing>
      </w:r>
    </w:p>
    <w:p w14:paraId="4CFC9564" w14:textId="77777777" w:rsidR="00EC5699" w:rsidRPr="008C35F0" w:rsidRDefault="00EC5699" w:rsidP="0018130B">
      <w:pPr>
        <w:pStyle w:val="Heading2"/>
      </w:pPr>
      <w:bookmarkStart w:id="165" w:name="_Toc129353049"/>
      <w:bookmarkStart w:id="166" w:name="_Toc224573048"/>
      <w:r w:rsidRPr="008C35F0">
        <w:t xml:space="preserve">Capacity </w:t>
      </w:r>
      <w:r w:rsidRPr="008422DC">
        <w:t>Charge</w:t>
      </w:r>
      <w:bookmarkEnd w:id="165"/>
      <w:bookmarkEnd w:id="166"/>
    </w:p>
    <w:p w14:paraId="2B93F1D3" w14:textId="512AD397" w:rsidR="00EC5699" w:rsidRPr="006F5121" w:rsidRDefault="00EC5699" w:rsidP="30F91E6F">
      <w:pPr>
        <w:rPr>
          <w:rStyle w:val="normaltextrun"/>
          <w:sz w:val="18"/>
          <w:szCs w:val="18"/>
        </w:rPr>
      </w:pPr>
      <w:r w:rsidRPr="1669E090">
        <w:rPr>
          <w:shd w:val="clear" w:color="auto" w:fill="FFFFFF"/>
        </w:rPr>
        <w:t xml:space="preserve">Since 1990, King County has levied a </w:t>
      </w:r>
      <w:r w:rsidRPr="00486DFF">
        <w:rPr>
          <w:shd w:val="clear" w:color="auto" w:fill="FFFFFF"/>
        </w:rPr>
        <w:t>capacity charge</w:t>
      </w:r>
      <w:r w:rsidRPr="1669E090">
        <w:rPr>
          <w:shd w:val="clear" w:color="auto" w:fill="FFFFFF"/>
        </w:rPr>
        <w:t xml:space="preserve"> on structures with new connections to the sanitary sewer </w:t>
      </w:r>
      <w:r>
        <w:rPr>
          <w:shd w:val="clear" w:color="auto" w:fill="FFFFFF"/>
        </w:rPr>
        <w:t xml:space="preserve">  </w:t>
      </w:r>
      <w:r w:rsidRPr="1669E090">
        <w:rPr>
          <w:shd w:val="clear" w:color="auto" w:fill="FFFFFF"/>
        </w:rPr>
        <w:t>system</w:t>
      </w:r>
      <w:r>
        <w:rPr>
          <w:shd w:val="clear" w:color="auto" w:fill="FFFFFF"/>
        </w:rPr>
        <w:t>.</w:t>
      </w:r>
      <w:r>
        <w:rPr>
          <w:rStyle w:val="EndnoteReference"/>
          <w:shd w:val="clear" w:color="auto" w:fill="FFFFFF"/>
        </w:rPr>
        <w:endnoteReference w:id="37"/>
      </w:r>
      <w:r w:rsidRPr="00553FB7">
        <w:rPr>
          <w:shd w:val="clear" w:color="auto" w:fill="FFFFFF"/>
          <w:vertAlign w:val="superscript"/>
        </w:rPr>
        <w:t>,</w:t>
      </w:r>
      <w:r>
        <w:rPr>
          <w:shd w:val="clear" w:color="auto" w:fill="FFFFFF"/>
          <w:vertAlign w:val="superscript"/>
        </w:rPr>
        <w:t xml:space="preserve"> </w:t>
      </w:r>
      <w:r w:rsidRPr="2B03F2C4">
        <w:rPr>
          <w:rStyle w:val="EndnoteReference"/>
          <w:color w:val="23221F"/>
          <w:shd w:val="clear" w:color="auto" w:fill="FFFFFF"/>
        </w:rPr>
        <w:endnoteReference w:id="38"/>
      </w:r>
      <w:r w:rsidRPr="00553FB7">
        <w:rPr>
          <w:shd w:val="clear" w:color="auto" w:fill="FFFFFF"/>
          <w:vertAlign w:val="superscript"/>
        </w:rPr>
        <w:t>,</w:t>
      </w:r>
      <w:r>
        <w:rPr>
          <w:shd w:val="clear" w:color="auto" w:fill="FFFFFF"/>
          <w:vertAlign w:val="superscript"/>
        </w:rPr>
        <w:t xml:space="preserve"> </w:t>
      </w:r>
      <w:r w:rsidRPr="2B03F2C4">
        <w:rPr>
          <w:rStyle w:val="EndnoteReference"/>
          <w:shd w:val="clear" w:color="auto" w:fill="FFFFFF"/>
        </w:rPr>
        <w:endnoteReference w:id="39"/>
      </w:r>
      <w:r>
        <w:rPr>
          <w:shd w:val="clear" w:color="auto" w:fill="FFFFFF"/>
        </w:rPr>
        <w:t xml:space="preserve"> </w:t>
      </w:r>
      <w:r w:rsidRPr="1669E090">
        <w:rPr>
          <w:shd w:val="clear" w:color="auto" w:fill="FFFFFF"/>
        </w:rPr>
        <w:t xml:space="preserve">This charge is paid </w:t>
      </w:r>
      <w:r w:rsidRPr="00893C77">
        <w:rPr>
          <w:shd w:val="clear" w:color="auto" w:fill="FFFFFF"/>
        </w:rPr>
        <w:t>over 15 years and is</w:t>
      </w:r>
      <w:r w:rsidRPr="1669E090">
        <w:rPr>
          <w:shd w:val="clear" w:color="auto" w:fill="FFFFFF"/>
        </w:rPr>
        <w:t xml:space="preserve"> in addition to the monthly sewer bill assessed by the </w:t>
      </w:r>
      <w:r>
        <w:rPr>
          <w:shd w:val="clear" w:color="auto" w:fill="FFFFFF"/>
        </w:rPr>
        <w:t>LSA</w:t>
      </w:r>
      <w:r w:rsidRPr="1669E090">
        <w:rPr>
          <w:shd w:val="clear" w:color="auto" w:fill="FFFFFF"/>
        </w:rPr>
        <w:t>. Newly connecting customers are directly billed by King County for the capacity charge.</w:t>
      </w:r>
      <w:r w:rsidRPr="1669E090">
        <w:rPr>
          <w:rStyle w:val="normaltextrun"/>
        </w:rPr>
        <w:t xml:space="preserve"> The </w:t>
      </w:r>
      <w:r w:rsidRPr="1669E090" w:rsidDel="00175F5B">
        <w:rPr>
          <w:rStyle w:val="normaltextrun"/>
        </w:rPr>
        <w:t>capacity charge</w:t>
      </w:r>
      <w:r w:rsidRPr="1669E090">
        <w:rPr>
          <w:rStyle w:val="normaltextrun"/>
        </w:rPr>
        <w:t xml:space="preserve"> rate is set annually by the County Council and is </w:t>
      </w:r>
      <w:r w:rsidRPr="00893C77">
        <w:rPr>
          <w:rStyle w:val="normaltextrun"/>
        </w:rPr>
        <w:t>$7</w:t>
      </w:r>
      <w:r>
        <w:rPr>
          <w:rStyle w:val="normaltextrun"/>
        </w:rPr>
        <w:t>7.99</w:t>
      </w:r>
      <w:r w:rsidRPr="1669E090">
        <w:rPr>
          <w:rStyle w:val="normaltextrun"/>
        </w:rPr>
        <w:t xml:space="preserve"> per </w:t>
      </w:r>
      <w:r w:rsidRPr="00893C77">
        <w:rPr>
          <w:rStyle w:val="normaltextrun"/>
        </w:rPr>
        <w:t>month over the 15-year payment period</w:t>
      </w:r>
      <w:r w:rsidRPr="1669E090">
        <w:rPr>
          <w:rStyle w:val="normaltextrun"/>
        </w:rPr>
        <w:t xml:space="preserve"> for properties connecting in </w:t>
      </w:r>
      <w:r w:rsidRPr="00893C77">
        <w:rPr>
          <w:rStyle w:val="normaltextrun"/>
        </w:rPr>
        <w:t>202</w:t>
      </w:r>
      <w:r>
        <w:rPr>
          <w:rStyle w:val="normaltextrun"/>
        </w:rPr>
        <w:t>6</w:t>
      </w:r>
      <w:r w:rsidRPr="1669E090">
        <w:rPr>
          <w:rStyle w:val="normaltextrun"/>
        </w:rPr>
        <w:t>.</w:t>
      </w:r>
      <w:r w:rsidRPr="2B03F2C4">
        <w:rPr>
          <w:shd w:val="clear" w:color="auto" w:fill="FFFFFF"/>
        </w:rPr>
        <w:t xml:space="preserve"> </w:t>
      </w:r>
    </w:p>
    <w:p w14:paraId="65B0E725" w14:textId="77777777" w:rsidR="00EC5699" w:rsidRPr="006F5121" w:rsidRDefault="00EC5699" w:rsidP="0018130B">
      <w:r w:rsidRPr="006F5121">
        <w:t xml:space="preserve">The Revised Code of Washington (RCW) </w:t>
      </w:r>
      <w:r w:rsidRPr="007075C4">
        <w:rPr>
          <w:rFonts w:cstheme="minorHAnsi"/>
        </w:rPr>
        <w:t>35.58.570</w:t>
      </w:r>
      <w:r w:rsidRPr="006F5121">
        <w:t xml:space="preserve"> authorizing the capacity charge states:</w:t>
      </w:r>
    </w:p>
    <w:p w14:paraId="4EA058D2" w14:textId="77777777" w:rsidR="00EC5699" w:rsidRPr="006F5121" w:rsidRDefault="00EC5699" w:rsidP="0018130B">
      <w:pPr>
        <w:ind w:left="1440" w:right="1440"/>
      </w:pPr>
      <w:r>
        <w:t xml:space="preserve">(1) </w:t>
      </w:r>
      <w:r w:rsidRPr="006F5121">
        <w:t>A metropolitan municipal corporation that is engaged in the transmission, treatment, and disposal of sewage may impose a capacity charge on users of the metropolitan municipal corporation's sewage facilities when the user connects, reconnects, or establishes a new service to sewer facilities of a city, county, or special district that discharges into the metropolitan facilities. The capacity charge shall be based upon the cost of the sewage facilities' excess capacity that is necessary to provide sewerage treatment for new users to the system.</w:t>
      </w:r>
    </w:p>
    <w:p w14:paraId="787C5D15" w14:textId="77777777" w:rsidR="00EC5699" w:rsidRDefault="00EC5699" w:rsidP="0018130B">
      <w:pPr>
        <w:ind w:left="1440" w:right="1440"/>
      </w:pPr>
      <w:r w:rsidRPr="006F5121">
        <w:t xml:space="preserve">(2) The capacity charge is a </w:t>
      </w:r>
      <w:r w:rsidRPr="30F91E6F">
        <w:rPr>
          <w:i/>
          <w:iCs/>
        </w:rPr>
        <w:t>monthly charge</w:t>
      </w:r>
      <w:r w:rsidRPr="006F5121">
        <w:t xml:space="preserve"> reviewed and approved annually by the metropolitan council.</w:t>
      </w:r>
      <w:r>
        <w:rPr>
          <w:rStyle w:val="EndnoteReference"/>
        </w:rPr>
        <w:endnoteReference w:id="40"/>
      </w:r>
    </w:p>
    <w:p w14:paraId="560BE4F1" w14:textId="68BF56B4" w:rsidR="00EC5699" w:rsidRPr="006F5121" w:rsidRDefault="00EC5699" w:rsidP="0018130B">
      <w:r w:rsidRPr="2B03F2C4">
        <w:t xml:space="preserve">Currently, </w:t>
      </w:r>
      <w:r>
        <w:t>state statute</w:t>
      </w:r>
      <w:r w:rsidRPr="2B03F2C4">
        <w:t xml:space="preserve"> does not allow the County to require up-front payment of the capacity charge, which is the most common industry approach to new development charges, such as impact fees and utility connection charges.</w:t>
      </w:r>
      <w:r w:rsidRPr="20D29ADB">
        <w:rPr>
          <w:rStyle w:val="EndnoteReference"/>
        </w:rPr>
        <w:endnoteReference w:id="41"/>
      </w:r>
      <w:r w:rsidRPr="2B03F2C4" w:rsidDel="00AA0F6C">
        <w:t xml:space="preserve"> </w:t>
      </w:r>
      <w:r w:rsidRPr="2B03F2C4">
        <w:t>The monthly charge reference is unique to the authorizing language for metropolitan municipal corporations and is not included in RCW authority for city and special</w:t>
      </w:r>
      <w:r>
        <w:t>-</w:t>
      </w:r>
      <w:r w:rsidRPr="2B03F2C4">
        <w:t>purpose district connection charges that share much of the same language.</w:t>
      </w:r>
      <w:r w:rsidRPr="20D29ADB">
        <w:rPr>
          <w:rStyle w:val="EndnoteReference"/>
        </w:rPr>
        <w:endnoteReference w:id="42"/>
      </w:r>
      <w:r>
        <w:t xml:space="preserve"> </w:t>
      </w:r>
    </w:p>
    <w:p w14:paraId="215AC433" w14:textId="3B8329F7" w:rsidR="00EC5699" w:rsidRPr="00FC367F" w:rsidRDefault="00EC5699" w:rsidP="0018130B">
      <w:r w:rsidRPr="00FF6991">
        <w:t>King County Code 28.86.160 Financial Policies state: “The capacity charge may be paid by new customers in a single payment or as a monthly charge at the rate established by the council…”</w:t>
      </w:r>
    </w:p>
    <w:p w14:paraId="3225996B" w14:textId="281016A2" w:rsidR="00EC5699" w:rsidRPr="006F5121" w:rsidRDefault="00EC5699" w:rsidP="0018130B">
      <w:r w:rsidRPr="761146B6">
        <w:rPr>
          <w:rStyle w:val="normaltextrun"/>
        </w:rPr>
        <w:t>Customers may elect to pay the capacity charge in one lump sum or be billed quarterly based on the monthly rate for 15 years. The charge is linked to the property, meaning that the charge transfers between owners of the property until the capacity charge is paid off</w:t>
      </w:r>
      <w:r>
        <w:t>.</w:t>
      </w:r>
    </w:p>
    <w:p w14:paraId="677B5CE2" w14:textId="77777777" w:rsidR="00EC5699" w:rsidRPr="008C35F0" w:rsidRDefault="00EC5699" w:rsidP="0018130B">
      <w:pPr>
        <w:pStyle w:val="Heading3"/>
      </w:pPr>
      <w:r w:rsidRPr="008C35F0">
        <w:t>Capacity Charge Rate Structure</w:t>
      </w:r>
    </w:p>
    <w:p w14:paraId="02A74117" w14:textId="6A7D8F7C" w:rsidR="00EC5699" w:rsidRPr="00990002" w:rsidRDefault="00EC5699" w:rsidP="0018130B">
      <w:r w:rsidRPr="412E6DAF">
        <w:t>In 2020, the County approved updates to the rate structure of the capacity charge.</w:t>
      </w:r>
      <w:r w:rsidRPr="412E6DAF">
        <w:rPr>
          <w:rStyle w:val="EndnoteReference"/>
        </w:rPr>
        <w:endnoteReference w:id="43"/>
      </w:r>
      <w:r w:rsidRPr="412E6DAF">
        <w:t xml:space="preserve"> As of January 1, 2021, the County began using small, medium, and large classes for newly connecting single-family residential properties. The classification differential is based on data that links the home size to average persons per household, and average persons per household to capacity demands from the connecting property. </w:t>
      </w:r>
    </w:p>
    <w:p w14:paraId="6578D3EA" w14:textId="056E3A7A" w:rsidR="00EC5699" w:rsidRPr="00990002" w:rsidRDefault="00EC5699" w:rsidP="0018130B">
      <w:pPr>
        <w:rPr>
          <w:lang w:val="en"/>
        </w:rPr>
      </w:pPr>
      <w:r w:rsidRPr="30F91E6F">
        <w:rPr>
          <w:lang w:val="en"/>
        </w:rPr>
        <w:t>The RCEs assigned to single-family homes is based on size: small (&lt;1,500 sq. ft. = 0.81 RCE), medium (1,500–2,999 sq. ft. = 1 RCE), and large (&gt;3,000 sq. ft. = 1.16 RCE).</w:t>
      </w:r>
    </w:p>
    <w:p w14:paraId="67669991" w14:textId="096ADFC4" w:rsidR="00EC5699" w:rsidRDefault="00EC5699" w:rsidP="0018130B">
      <w:r w:rsidRPr="412E6DAF">
        <w:lastRenderedPageBreak/>
        <w:t>Using persons-per-household data also resulted in an update to RCEs assigned to multifamily units. King County Code provides a permanent classification for accessory dwelling units, such as backyard cottages and basement apartments, set at 0.59 RCE per unit.</w:t>
      </w:r>
      <w:r w:rsidRPr="412E6DAF">
        <w:rPr>
          <w:rStyle w:val="EndnoteReference"/>
          <w:color w:val="23221F"/>
        </w:rPr>
        <w:endnoteReference w:id="44"/>
      </w:r>
      <w:r w:rsidRPr="412E6DAF">
        <w:t xml:space="preserve"> </w:t>
      </w:r>
    </w:p>
    <w:p w14:paraId="661E2D2F" w14:textId="32FE6D86" w:rsidR="00EC5699" w:rsidRDefault="00EC5699" w:rsidP="0018130B">
      <w:pPr>
        <w:rPr>
          <w:lang w:val="en"/>
        </w:rPr>
      </w:pPr>
      <w:r w:rsidRPr="30F91E6F">
        <w:rPr>
          <w:lang w:val="en"/>
        </w:rPr>
        <w:t xml:space="preserve">Multifamily structures are billed by unit at 0.81 RCEs for two to four units and 0.64 RCEs for five or more units. </w:t>
      </w:r>
    </w:p>
    <w:p w14:paraId="2EB8584A" w14:textId="77777777" w:rsidR="00EC5699" w:rsidRPr="00990002" w:rsidRDefault="00EC5699" w:rsidP="0018130B">
      <w:pPr>
        <w:rPr>
          <w:lang w:val="en"/>
        </w:rPr>
      </w:pPr>
      <w:r>
        <w:rPr>
          <w:lang w:val="en"/>
        </w:rPr>
        <w:t xml:space="preserve">Commercial structures are billed based on fixture counts and/or flows. </w:t>
      </w:r>
    </w:p>
    <w:p w14:paraId="711FDE27" w14:textId="0326BADF" w:rsidR="00EC5699" w:rsidRPr="00C438AD" w:rsidRDefault="00EC5699" w:rsidP="0018130B">
      <w:pPr>
        <w:rPr>
          <w:rStyle w:val="Strong"/>
          <w:rFonts w:cstheme="minorHAnsi"/>
          <w:u w:val="single"/>
        </w:rPr>
      </w:pPr>
      <w:r w:rsidRPr="006F5121">
        <w:t xml:space="preserve">A list of historical capacity charge </w:t>
      </w:r>
      <w:r>
        <w:t>rates from</w:t>
      </w:r>
      <w:r w:rsidRPr="006F5121">
        <w:t xml:space="preserve"> 2003 is provided in</w:t>
      </w:r>
      <w:r>
        <w:rPr>
          <w:b/>
          <w:bCs/>
        </w:rPr>
        <w:t xml:space="preserve"> </w:t>
      </w:r>
      <w:r w:rsidRPr="007821B4">
        <w:fldChar w:fldCharType="begin"/>
      </w:r>
      <w:r w:rsidRPr="007821B4">
        <w:instrText xml:space="preserve"> REF _Ref161293544 \h  \* MERGEFORMAT </w:instrText>
      </w:r>
      <w:r w:rsidRPr="007821B4">
        <w:fldChar w:fldCharType="separate"/>
      </w:r>
      <w:r w:rsidR="00BC44C2">
        <w:t>Figure 32</w:t>
      </w:r>
      <w:r w:rsidRPr="007821B4">
        <w:fldChar w:fldCharType="end"/>
      </w:r>
      <w:r>
        <w:rPr>
          <w:b/>
          <w:bCs/>
        </w:rPr>
        <w:t xml:space="preserve"> </w:t>
      </w:r>
      <w:r w:rsidRPr="000E098B">
        <w:t>below</w:t>
      </w:r>
      <w:r w:rsidRPr="00E83FE9">
        <w:rPr>
          <w:b/>
          <w:bCs/>
        </w:rPr>
        <w:t>.</w:t>
      </w:r>
    </w:p>
    <w:p w14:paraId="6E9A851C" w14:textId="7822C713" w:rsidR="00EC5699" w:rsidRPr="00FC5813" w:rsidRDefault="00EC5699" w:rsidP="00FC5813">
      <w:pPr>
        <w:pStyle w:val="Caption"/>
      </w:pPr>
      <w:bookmarkStart w:id="167" w:name="_Ref161293544"/>
      <w:bookmarkStart w:id="168" w:name="_Ref128634195"/>
      <w:bookmarkStart w:id="169" w:name="_Toc129353083"/>
      <w:bookmarkStart w:id="170" w:name="_Toc226970670"/>
      <w:r>
        <w:t xml:space="preserve">Figure </w:t>
      </w:r>
      <w:r>
        <w:fldChar w:fldCharType="begin"/>
      </w:r>
      <w:r>
        <w:instrText xml:space="preserve"> SEQ Figure \* ARABIC </w:instrText>
      </w:r>
      <w:r>
        <w:fldChar w:fldCharType="separate"/>
      </w:r>
      <w:r w:rsidR="00677835">
        <w:rPr>
          <w:noProof/>
        </w:rPr>
        <w:t>32</w:t>
      </w:r>
      <w:r>
        <w:fldChar w:fldCharType="end"/>
      </w:r>
      <w:bookmarkEnd w:id="167"/>
      <w:r>
        <w:t xml:space="preserve"> </w:t>
      </w:r>
      <w:r w:rsidRPr="00EF6C0C">
        <w:t>Historical Capacity Charge Increases (2003-202</w:t>
      </w:r>
      <w:r>
        <w:t>6</w:t>
      </w:r>
      <w:r w:rsidRPr="00EF6C0C">
        <w:t>)</w:t>
      </w:r>
      <w:bookmarkEnd w:id="168"/>
      <w:bookmarkEnd w:id="169"/>
      <w:bookmarkEnd w:id="170"/>
    </w:p>
    <w:p w14:paraId="38F1889F" w14:textId="11CF536A" w:rsidR="00EC5699" w:rsidRDefault="00EC5699" w:rsidP="0018130B">
      <w:pPr>
        <w:jc w:val="center"/>
      </w:pPr>
      <w:r w:rsidRPr="00DE6211">
        <w:rPr>
          <w:noProof/>
        </w:rPr>
        <w:drawing>
          <wp:inline distT="0" distB="0" distL="0" distR="0" wp14:anchorId="562FAE20" wp14:editId="69575324">
            <wp:extent cx="3072384" cy="4841176"/>
            <wp:effectExtent l="0" t="0" r="0" b="0"/>
            <wp:docPr id="11221942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76091" cy="4847017"/>
                    </a:xfrm>
                    <a:prstGeom prst="rect">
                      <a:avLst/>
                    </a:prstGeom>
                    <a:noFill/>
                    <a:ln>
                      <a:noFill/>
                    </a:ln>
                  </pic:spPr>
                </pic:pic>
              </a:graphicData>
            </a:graphic>
          </wp:inline>
        </w:drawing>
      </w:r>
    </w:p>
    <w:p w14:paraId="65566777" w14:textId="77777777" w:rsidR="00EC5699" w:rsidRPr="002A6C95" w:rsidRDefault="00EC5699" w:rsidP="0018130B">
      <w:pPr>
        <w:pStyle w:val="Heading3"/>
        <w:rPr>
          <w:rFonts w:asciiTheme="minorHAnsi" w:hAnsiTheme="minorHAnsi" w:cstheme="minorHAnsi"/>
        </w:rPr>
      </w:pPr>
      <w:r w:rsidRPr="002A6C95">
        <w:t>Capacity Charge Updates</w:t>
      </w:r>
    </w:p>
    <w:p w14:paraId="3ECC248F" w14:textId="03797E61" w:rsidR="00EC5699" w:rsidRPr="003C1819" w:rsidRDefault="00EC5699" w:rsidP="0018130B">
      <w:r w:rsidRPr="003C1819">
        <w:t xml:space="preserve">WTD’s regular updates to the underlying assumptions are guided by the </w:t>
      </w:r>
      <w:r w:rsidRPr="003C1819">
        <w:rPr>
          <w:rFonts w:cstheme="majorBidi"/>
        </w:rPr>
        <w:t>King County Code</w:t>
      </w:r>
      <w:r w:rsidRPr="003C1819">
        <w:t xml:space="preserve"> 28.86.160, Financial Policy 15, which states: “Customer growth and projected costs, including inflation, shall be updated every three years beginning in 2003. The county should periodically review the capacity charge to ensure that the actual costs of system expansion to serve new customers are reflected in the charge.”</w:t>
      </w:r>
      <w:r w:rsidRPr="003C1819">
        <w:rPr>
          <w:rStyle w:val="EndnoteReference"/>
        </w:rPr>
        <w:endnoteReference w:id="45"/>
      </w:r>
    </w:p>
    <w:p w14:paraId="384235D1" w14:textId="7107A84B" w:rsidR="00EC5699" w:rsidRDefault="00EC5699" w:rsidP="30F91E6F">
      <w:r w:rsidRPr="003C1819">
        <w:t>The 2023 capacity charge update was planned to be a transition from the County’s Regional Wastewater Service Plan (RWSP) to an updated comprehensive plan for the WTD system. The comprehensive plan for the utility serves as the basis for projecting the number of customers, capital projects needed for capacity, and financial assumptions.</w:t>
      </w:r>
      <w:r w:rsidRPr="003C1819">
        <w:rPr>
          <w:rStyle w:val="EndnoteReference"/>
          <w:rFonts w:cstheme="majorBidi"/>
        </w:rPr>
        <w:endnoteReference w:id="46"/>
      </w:r>
      <w:r w:rsidRPr="003C1819">
        <w:t xml:space="preserve"> The </w:t>
      </w:r>
      <w:r w:rsidRPr="003C1819">
        <w:lastRenderedPageBreak/>
        <w:t xml:space="preserve">timing of this transition depended on progress of the regional plan update. The plan update was paused in 2021 to consider feedback and </w:t>
      </w:r>
      <w:r w:rsidR="007A6FCE">
        <w:t>because</w:t>
      </w:r>
      <w:r w:rsidR="001F6D5D">
        <w:t xml:space="preserve"> of</w:t>
      </w:r>
      <w:r w:rsidRPr="003C1819">
        <w:t xml:space="preserve"> regulatory uncertainty for the Nutrients and Combined Sewer Overflow </w:t>
      </w:r>
      <w:r>
        <w:t>c</w:t>
      </w:r>
      <w:r w:rsidRPr="003C1819">
        <w:t xml:space="preserve">onsent </w:t>
      </w:r>
      <w:r>
        <w:t>d</w:t>
      </w:r>
      <w:r w:rsidRPr="003C1819">
        <w:t>ecree; the update resumed in 2024</w:t>
      </w:r>
      <w:r>
        <w:t>, concluded in 2025</w:t>
      </w:r>
      <w:r w:rsidRPr="003C1819">
        <w:t>,</w:t>
      </w:r>
      <w:r>
        <w:t xml:space="preserve"> allowing</w:t>
      </w:r>
      <w:r w:rsidRPr="003C1819">
        <w:t xml:space="preserve"> WTD</w:t>
      </w:r>
      <w:r>
        <w:t xml:space="preserve"> to</w:t>
      </w:r>
      <w:r w:rsidRPr="003C1819">
        <w:t xml:space="preserve"> propose a new methodology that would take effect in 2027</w:t>
      </w:r>
      <w:r>
        <w:t xml:space="preserve">, based on an industry-standard </w:t>
      </w:r>
      <w:r w:rsidR="00893DA9">
        <w:t>“</w:t>
      </w:r>
      <w:r>
        <w:t>average cost</w:t>
      </w:r>
      <w:r w:rsidR="00893DA9">
        <w:t>”</w:t>
      </w:r>
      <w:r>
        <w:t xml:space="preserve"> approach</w:t>
      </w:r>
      <w:r w:rsidRPr="003C1819">
        <w:t>.</w:t>
      </w:r>
      <w:r>
        <w:t xml:space="preserve"> The methodology was updated to comply with the 2016 KC Auditor’s report recommending a more transparent model, and aims to:</w:t>
      </w:r>
    </w:p>
    <w:p w14:paraId="11F852CC" w14:textId="772DDE71" w:rsidR="00EC5699" w:rsidRPr="0056166A" w:rsidRDefault="00EC5699" w:rsidP="000733A4">
      <w:pPr>
        <w:pStyle w:val="ListParagraph"/>
        <w:numPr>
          <w:ilvl w:val="0"/>
          <w:numId w:val="89"/>
        </w:numPr>
      </w:pPr>
      <w:r w:rsidRPr="0056166A">
        <w:t>Align with Revised Code of Washington (RCW) Requirements</w:t>
      </w:r>
      <w:r>
        <w:t xml:space="preserve">, including RCW 35.58.570’s </w:t>
      </w:r>
      <w:r w:rsidR="008B0AC9">
        <w:t>“</w:t>
      </w:r>
      <w:r>
        <w:t>equitable share</w:t>
      </w:r>
      <w:r w:rsidR="008B0AC9">
        <w:t>”</w:t>
      </w:r>
      <w:r>
        <w:t xml:space="preserve"> requirement</w:t>
      </w:r>
    </w:p>
    <w:p w14:paraId="7E8D23D0" w14:textId="4648D373" w:rsidR="00EC5699" w:rsidRPr="0056166A" w:rsidRDefault="00EC5699" w:rsidP="0056166A">
      <w:pPr>
        <w:pStyle w:val="ListParagraph"/>
        <w:numPr>
          <w:ilvl w:val="0"/>
          <w:numId w:val="89"/>
        </w:numPr>
      </w:pPr>
      <w:r w:rsidRPr="0056166A">
        <w:t>Account for current system investments and capacity, and future expanded capacity investments</w:t>
      </w:r>
    </w:p>
    <w:p w14:paraId="07A3DC40" w14:textId="669BB345" w:rsidR="00EC5699" w:rsidRPr="0056166A" w:rsidRDefault="00EC5699" w:rsidP="0056166A">
      <w:pPr>
        <w:pStyle w:val="ListParagraph"/>
        <w:numPr>
          <w:ilvl w:val="0"/>
          <w:numId w:val="89"/>
        </w:numPr>
      </w:pPr>
      <w:r>
        <w:t>A</w:t>
      </w:r>
      <w:r w:rsidR="004C6528">
        <w:t>pply a</w:t>
      </w:r>
      <w:r>
        <w:t xml:space="preserve"> cost-based approach based</w:t>
      </w:r>
      <w:r w:rsidRPr="0056166A">
        <w:t xml:space="preserve"> on the value of system assets (existing and future)</w:t>
      </w:r>
    </w:p>
    <w:p w14:paraId="34453621" w14:textId="2F7C45B2" w:rsidR="00EC5699" w:rsidRPr="0056166A" w:rsidRDefault="00EA567B" w:rsidP="0056166A">
      <w:pPr>
        <w:pStyle w:val="ListParagraph"/>
        <w:numPr>
          <w:ilvl w:val="0"/>
          <w:numId w:val="89"/>
        </w:numPr>
      </w:pPr>
      <w:r>
        <w:t>D</w:t>
      </w:r>
      <w:r w:rsidR="00EC5699" w:rsidRPr="0056166A">
        <w:t>etermine cost per Residential Customer Equivalent (RCE)</w:t>
      </w:r>
      <w:r w:rsidR="003041B8">
        <w:t xml:space="preserve"> based on existing and </w:t>
      </w:r>
      <w:r w:rsidR="0092162E">
        <w:t>future capacity</w:t>
      </w:r>
    </w:p>
    <w:p w14:paraId="7AF2EC81" w14:textId="25D076CB" w:rsidR="00EC5699" w:rsidRDefault="00EC5699" w:rsidP="0056166A">
      <w:pPr>
        <w:pStyle w:val="ListParagraph"/>
        <w:numPr>
          <w:ilvl w:val="0"/>
          <w:numId w:val="89"/>
        </w:numPr>
      </w:pPr>
      <w:r>
        <w:t>Achieve a m</w:t>
      </w:r>
      <w:r w:rsidRPr="0056166A">
        <w:t>ore transparent and predictable calculation</w:t>
      </w:r>
    </w:p>
    <w:p w14:paraId="38A3641B" w14:textId="1E19DB5B" w:rsidR="00EC5699" w:rsidRPr="003C1819" w:rsidRDefault="00EC5699" w:rsidP="30F91E6F">
      <w:pPr>
        <w:rPr>
          <w:rFonts w:cstheme="majorBidi"/>
        </w:rPr>
      </w:pPr>
      <w:r>
        <w:t>The updated methodology resulted in a 6.6 percent proposed increase in 2027 and will be indexed to the Construction Cost Index over time. The capacity charge will be re-evaluated as part of the RWSP planning process.</w:t>
      </w:r>
    </w:p>
    <w:p w14:paraId="1EA89D0E" w14:textId="3A6EE520" w:rsidR="00EC5699" w:rsidRPr="00B153E5" w:rsidRDefault="00EC5699" w:rsidP="30F91E6F">
      <w:pPr>
        <w:pStyle w:val="BodyText"/>
        <w:rPr>
          <w:lang w:bidi="ar-SA"/>
        </w:rPr>
      </w:pPr>
      <w:r w:rsidRPr="007821B4">
        <w:rPr>
          <w:lang w:bidi="ar-SA"/>
        </w:rPr>
        <w:fldChar w:fldCharType="begin"/>
      </w:r>
      <w:r w:rsidRPr="007821B4">
        <w:rPr>
          <w:lang w:bidi="ar-SA"/>
        </w:rPr>
        <w:instrText xml:space="preserve"> REF _Ref161293567 \h  \* MERGEFORMAT </w:instrText>
      </w:r>
      <w:r w:rsidRPr="007821B4">
        <w:rPr>
          <w:lang w:bidi="ar-SA"/>
        </w:rPr>
      </w:r>
      <w:r w:rsidRPr="007821B4">
        <w:rPr>
          <w:lang w:bidi="ar-SA"/>
        </w:rPr>
        <w:fldChar w:fldCharType="separate"/>
      </w:r>
      <w:r w:rsidR="00BC44C2">
        <w:t>Figure 33</w:t>
      </w:r>
      <w:r w:rsidRPr="007821B4">
        <w:rPr>
          <w:lang w:bidi="ar-SA"/>
        </w:rPr>
        <w:fldChar w:fldCharType="end"/>
      </w:r>
      <w:r w:rsidRPr="009D46A3">
        <w:rPr>
          <w:lang w:bidi="ar-SA"/>
        </w:rPr>
        <w:t xml:space="preserve"> shows the 2027 proposed capacity charge of $83.10 and projects the charge and related lump-sum elective payment option for the forecast period.</w:t>
      </w:r>
    </w:p>
    <w:p w14:paraId="459DE692" w14:textId="52197A5D" w:rsidR="00EC5699" w:rsidRPr="00EF6C0C" w:rsidRDefault="00EC5699" w:rsidP="008A4A00">
      <w:pPr>
        <w:pStyle w:val="Caption"/>
      </w:pPr>
      <w:bookmarkStart w:id="171" w:name="_Ref161293567"/>
      <w:bookmarkStart w:id="172" w:name="_Ref128475019"/>
      <w:bookmarkStart w:id="173" w:name="_Toc129353084"/>
      <w:bookmarkStart w:id="174" w:name="_Ref157000454"/>
      <w:bookmarkStart w:id="175" w:name="_Toc226970671"/>
      <w:r>
        <w:t xml:space="preserve">Figure </w:t>
      </w:r>
      <w:r>
        <w:fldChar w:fldCharType="begin"/>
      </w:r>
      <w:r>
        <w:instrText xml:space="preserve"> SEQ Figure \* ARABIC </w:instrText>
      </w:r>
      <w:r>
        <w:fldChar w:fldCharType="separate"/>
      </w:r>
      <w:r w:rsidR="00677835" w:rsidRPr="5F30696B">
        <w:rPr>
          <w:noProof/>
        </w:rPr>
        <w:t>33</w:t>
      </w:r>
      <w:r>
        <w:fldChar w:fldCharType="end"/>
      </w:r>
      <w:bookmarkEnd w:id="171"/>
      <w:r>
        <w:t xml:space="preserve"> Proposed 2027 Capacity Charge and 2028-2031 </w:t>
      </w:r>
      <w:bookmarkEnd w:id="172"/>
      <w:r>
        <w:t xml:space="preserve">Forecast [also available on page </w:t>
      </w:r>
      <w:r w:rsidR="00CC6BF3">
        <w:t>6</w:t>
      </w:r>
      <w:r>
        <w:t>]</w:t>
      </w:r>
      <w:bookmarkEnd w:id="173"/>
      <w:bookmarkEnd w:id="174"/>
      <w:bookmarkEnd w:id="175"/>
    </w:p>
    <w:p w14:paraId="55A349A0" w14:textId="13ECCB2D" w:rsidR="00EC5699" w:rsidRDefault="4CE4437A" w:rsidP="5F30696B">
      <w:pPr>
        <w:jc w:val="center"/>
      </w:pPr>
      <w:r>
        <w:rPr>
          <w:noProof/>
        </w:rPr>
        <w:drawing>
          <wp:inline distT="0" distB="0" distL="0" distR="0" wp14:anchorId="3EF9330C" wp14:editId="38981580">
            <wp:extent cx="5653874" cy="1463040"/>
            <wp:effectExtent l="0" t="0" r="0" b="0"/>
            <wp:docPr id="4412954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295499" name="Picture 441295499"/>
                    <pic:cNvPicPr/>
                  </pic:nvPicPr>
                  <pic:blipFill>
                    <a:blip r:embed="rId15">
                      <a:extLst>
                        <a:ext uri="{28A0092B-C50C-407E-A947-70E740481C1C}">
                          <a14:useLocalDpi xmlns:a14="http://schemas.microsoft.com/office/drawing/2010/main"/>
                        </a:ext>
                      </a:extLst>
                    </a:blip>
                    <a:stretch>
                      <a:fillRect/>
                    </a:stretch>
                  </pic:blipFill>
                  <pic:spPr>
                    <a:xfrm>
                      <a:off x="0" y="0"/>
                      <a:ext cx="5653874" cy="1463040"/>
                    </a:xfrm>
                    <a:prstGeom prst="rect">
                      <a:avLst/>
                    </a:prstGeom>
                  </pic:spPr>
                </pic:pic>
              </a:graphicData>
            </a:graphic>
          </wp:inline>
        </w:drawing>
      </w:r>
    </w:p>
    <w:p w14:paraId="744C701D" w14:textId="77777777" w:rsidR="00EC5699" w:rsidRPr="00C024FC" w:rsidRDefault="00EC5699" w:rsidP="0018130B">
      <w:pPr>
        <w:pStyle w:val="Heading3"/>
        <w:rPr>
          <w:rFonts w:asciiTheme="minorHAnsi" w:hAnsiTheme="minorHAnsi" w:cstheme="minorHAnsi"/>
        </w:rPr>
      </w:pPr>
      <w:r w:rsidRPr="00C024FC">
        <w:t>Capacity Charge Revenue Forecast</w:t>
      </w:r>
    </w:p>
    <w:p w14:paraId="33760571" w14:textId="77777777" w:rsidR="00EC5699" w:rsidRPr="00FA0F55" w:rsidRDefault="00EC5699" w:rsidP="0018130B">
      <w:r w:rsidRPr="00FA0F55">
        <w:t>The majority of capacity charge revenue comes from regular capacity charge customer billings, with the rest coming from elective pre-payments. Ongoing payments are stable, while pre-payments vary significantly from year to year and are difficult to forecast.</w:t>
      </w:r>
    </w:p>
    <w:p w14:paraId="51BB9219" w14:textId="05ED90E6" w:rsidR="00EC5699" w:rsidRDefault="00EC5699" w:rsidP="0018130B">
      <w:r w:rsidRPr="007821B4">
        <w:fldChar w:fldCharType="begin"/>
      </w:r>
      <w:r w:rsidRPr="007821B4">
        <w:instrText xml:space="preserve"> REF _Ref161293584 \h  \* MERGEFORMAT </w:instrText>
      </w:r>
      <w:r w:rsidRPr="007821B4">
        <w:fldChar w:fldCharType="separate"/>
      </w:r>
      <w:r w:rsidR="00BC44C2">
        <w:t>Figure 34</w:t>
      </w:r>
      <w:r w:rsidRPr="007821B4">
        <w:fldChar w:fldCharType="end"/>
      </w:r>
      <w:r w:rsidRPr="00F7616E">
        <w:t xml:space="preserve"> shows the historical split between ongoing payments and elective pre-payments for the last 13 years (2012-2025). Until 2019, ongoing capacity charge pre-payment revenues grew at an average annual rate of more than </w:t>
      </w:r>
      <w:r>
        <w:t>nine</w:t>
      </w:r>
      <w:r w:rsidRPr="00F7616E">
        <w:t xml:space="preserve"> percent, driven by a regional construction boom that added large numbers of </w:t>
      </w:r>
      <w:r w:rsidRPr="00F303E0">
        <w:t>new connections every year. The growth rate slowed significantly during 2020-23, before increasing again in 2024 and 2025. Capacity charge pre-payments have ranged between 14 to 31 percent of total capacity charge revenues, without a clear, discernible pattern from one year to the next. Pre-payments in the global COVID-19 pandemic-impacted years of 2020 and 2021 decreased to levels close to the averages seen before the record-high years of 2017, 2018, and 2019. The full capacity charge revenue forecast can be found in the Appendix.</w:t>
      </w:r>
    </w:p>
    <w:p w14:paraId="23E09EF4" w14:textId="07A9B259" w:rsidR="00EC5699" w:rsidRPr="00CA423A" w:rsidRDefault="00EC5699" w:rsidP="008A4A00">
      <w:pPr>
        <w:pStyle w:val="Caption"/>
      </w:pPr>
      <w:bookmarkStart w:id="176" w:name="_Ref161293584"/>
      <w:bookmarkStart w:id="177" w:name="_Ref128475092"/>
      <w:bookmarkStart w:id="178" w:name="_Ref128606687"/>
      <w:bookmarkStart w:id="179" w:name="_Toc129353085"/>
      <w:bookmarkStart w:id="180" w:name="_Toc226970672"/>
      <w:r>
        <w:lastRenderedPageBreak/>
        <w:t xml:space="preserve">Figure </w:t>
      </w:r>
      <w:r>
        <w:fldChar w:fldCharType="begin"/>
      </w:r>
      <w:r>
        <w:instrText xml:space="preserve"> SEQ Figure \* ARABIC </w:instrText>
      </w:r>
      <w:r>
        <w:fldChar w:fldCharType="separate"/>
      </w:r>
      <w:r w:rsidR="00677835">
        <w:rPr>
          <w:noProof/>
        </w:rPr>
        <w:t>34</w:t>
      </w:r>
      <w:r>
        <w:fldChar w:fldCharType="end"/>
      </w:r>
      <w:bookmarkEnd w:id="176"/>
      <w:r>
        <w:t xml:space="preserve"> </w:t>
      </w:r>
      <w:r w:rsidRPr="009017C2">
        <w:t>Historical Capacity Charge Ongoing Payments</w:t>
      </w:r>
      <w:bookmarkEnd w:id="177"/>
      <w:r w:rsidRPr="0065294A">
        <w:rPr>
          <w:rStyle w:val="Strong"/>
        </w:rPr>
        <w:t xml:space="preserve"> </w:t>
      </w:r>
      <w:r w:rsidRPr="009017C2">
        <w:t>and Prepayments (2012-</w:t>
      </w:r>
      <w:r w:rsidRPr="00893C77">
        <w:t>202</w:t>
      </w:r>
      <w:r>
        <w:t>5</w:t>
      </w:r>
      <w:r w:rsidRPr="009017C2">
        <w:t>)</w:t>
      </w:r>
      <w:bookmarkEnd w:id="178"/>
      <w:bookmarkEnd w:id="179"/>
      <w:r w:rsidRPr="007075C4">
        <w:rPr>
          <w:rStyle w:val="EndnoteReference"/>
        </w:rPr>
        <w:endnoteReference w:id="47"/>
      </w:r>
      <w:bookmarkEnd w:id="180"/>
    </w:p>
    <w:p w14:paraId="15D36EAE" w14:textId="039DD1D4" w:rsidR="00EC5699" w:rsidRDefault="00EC5699" w:rsidP="0018130B">
      <w:pPr>
        <w:jc w:val="center"/>
      </w:pPr>
      <w:r>
        <w:rPr>
          <w:noProof/>
        </w:rPr>
        <w:drawing>
          <wp:inline distT="0" distB="0" distL="0" distR="0" wp14:anchorId="2C8ED0A0" wp14:editId="7B5CB6C6">
            <wp:extent cx="6308522" cy="3522484"/>
            <wp:effectExtent l="0" t="0" r="0" b="1905"/>
            <wp:docPr id="10188283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16231" cy="3526788"/>
                    </a:xfrm>
                    <a:prstGeom prst="rect">
                      <a:avLst/>
                    </a:prstGeom>
                    <a:noFill/>
                  </pic:spPr>
                </pic:pic>
              </a:graphicData>
            </a:graphic>
          </wp:inline>
        </w:drawing>
      </w:r>
    </w:p>
    <w:p w14:paraId="2EFCC7F8" w14:textId="423B4C05" w:rsidR="00EC5699" w:rsidRPr="00D90BDE" w:rsidRDefault="00EC5699" w:rsidP="002C6430">
      <w:r w:rsidRPr="00893C77">
        <w:t xml:space="preserve">Capacity charge revenues are forecasted based on an analysis of connection growth and the percentage of pre-payments in any given year. This results in an overall capacity charge revenue increase of </w:t>
      </w:r>
      <w:r>
        <w:t>three</w:t>
      </w:r>
      <w:r w:rsidRPr="00893C77">
        <w:t xml:space="preserve"> to </w:t>
      </w:r>
      <w:r>
        <w:t>seven</w:t>
      </w:r>
      <w:r w:rsidRPr="00893C77">
        <w:t xml:space="preserve"> percent per year throughout the forecast period, as shown </w:t>
      </w:r>
      <w:r w:rsidRPr="00FA7EF0">
        <w:t xml:space="preserve">in </w:t>
      </w:r>
      <w:fldSimple w:instr="REF _Ref161292755  \* MERGEFORMAT">
        <w:r w:rsidR="00BC44C2" w:rsidRPr="00694351">
          <w:t xml:space="preserve">Figure </w:t>
        </w:r>
        <w:r w:rsidR="00BC44C2">
          <w:t>36</w:t>
        </w:r>
      </w:fldSimple>
      <w:r w:rsidRPr="007821B4">
        <w:fldChar w:fldCharType="begin"/>
      </w:r>
      <w:r w:rsidRPr="007821B4">
        <w:instrText xml:space="preserve"> REF _Ref161292755 \h  \* MERGEFORMAT </w:instrText>
      </w:r>
      <w:r w:rsidRPr="007821B4">
        <w:fldChar w:fldCharType="separate"/>
      </w:r>
      <w:r w:rsidRPr="007821B4">
        <w:fldChar w:fldCharType="end"/>
      </w:r>
      <w:r w:rsidRPr="006C6C63">
        <w:t>.</w:t>
      </w:r>
      <w:bookmarkStart w:id="181" w:name="_Toc129353050"/>
    </w:p>
    <w:p w14:paraId="32902F77" w14:textId="1449B225" w:rsidR="00EC5699" w:rsidRPr="00D90BDE" w:rsidRDefault="00EC5699" w:rsidP="0018130B">
      <w:pPr>
        <w:pStyle w:val="Heading2"/>
      </w:pPr>
      <w:bookmarkStart w:id="182" w:name="_Toc224573049"/>
      <w:r>
        <w:t xml:space="preserve">Other </w:t>
      </w:r>
      <w:r w:rsidRPr="00D90BDE">
        <w:t>Revenue</w:t>
      </w:r>
      <w:bookmarkEnd w:id="181"/>
      <w:r>
        <w:t>s</w:t>
      </w:r>
      <w:bookmarkEnd w:id="182"/>
    </w:p>
    <w:p w14:paraId="6079AED0" w14:textId="77777777" w:rsidR="00EC5699" w:rsidRPr="00E2157F" w:rsidRDefault="00EC5699" w:rsidP="0018130B">
      <w:pPr>
        <w:pStyle w:val="Heading3"/>
        <w:rPr>
          <w:rFonts w:asciiTheme="minorHAnsi" w:hAnsiTheme="minorHAnsi" w:cstheme="minorHAnsi"/>
        </w:rPr>
      </w:pPr>
      <w:r w:rsidRPr="00E2157F">
        <w:t>Interest earnings</w:t>
      </w:r>
    </w:p>
    <w:p w14:paraId="37343F73" w14:textId="4DDAFA58" w:rsidR="00EC5699" w:rsidRPr="00163EE3" w:rsidRDefault="00EC5699" w:rsidP="0018130B">
      <w:pPr>
        <w:rPr>
          <w:u w:val="single"/>
        </w:rPr>
      </w:pPr>
      <w:r w:rsidRPr="056E9825">
        <w:t xml:space="preserve">Interest earnings, also known as investment income, is revenue </w:t>
      </w:r>
      <w:r>
        <w:t>obtained by the County’s Water Quality Fund through investments of</w:t>
      </w:r>
      <w:r w:rsidRPr="056E9825">
        <w:t xml:space="preserve"> its cash balances in the King County Investment Pool (</w:t>
      </w:r>
      <w:r>
        <w:t>P</w:t>
      </w:r>
      <w:r w:rsidRPr="056E9825">
        <w:t xml:space="preserve">ool). The </w:t>
      </w:r>
      <w:r>
        <w:t>P</w:t>
      </w:r>
      <w:r w:rsidRPr="056E9825">
        <w:t>ool pursues a low-risk investment strategy that prioritizes the availability of funds for its participating agencies to meet daily cash</w:t>
      </w:r>
      <w:r>
        <w:t>-</w:t>
      </w:r>
      <w:r w:rsidRPr="056E9825">
        <w:t>flow requirements</w:t>
      </w:r>
      <w:r w:rsidRPr="00163EE3">
        <w:t>. In 202</w:t>
      </w:r>
      <w:r>
        <w:t>5</w:t>
      </w:r>
      <w:r w:rsidRPr="00163EE3">
        <w:t>, WTD cash balances averaged approximately $</w:t>
      </w:r>
      <w:r>
        <w:t>793</w:t>
      </w:r>
      <w:r w:rsidRPr="00163EE3">
        <w:t xml:space="preserve"> million throughout the year, which included cash balances for all WTD reserve accounts.</w:t>
      </w:r>
    </w:p>
    <w:p w14:paraId="6A72E91B" w14:textId="26E4F6C4" w:rsidR="00EC5699" w:rsidRPr="006D5018" w:rsidRDefault="00EC5699" w:rsidP="0018130B">
      <w:r w:rsidRPr="13959112">
        <w:t>I</w:t>
      </w:r>
      <w:r w:rsidRPr="006D5018">
        <w:t xml:space="preserve">nterest-rate forecasts for the </w:t>
      </w:r>
      <w:r>
        <w:t>P</w:t>
      </w:r>
      <w:r w:rsidRPr="006D5018">
        <w:t xml:space="preserve">ool come </w:t>
      </w:r>
      <w:r w:rsidRPr="00F92773">
        <w:t xml:space="preserve">from King County’s Office of Economic and Financial Analysis. The </w:t>
      </w:r>
      <w:r w:rsidRPr="00893C77">
        <w:t>202</w:t>
      </w:r>
      <w:r>
        <w:t>6</w:t>
      </w:r>
      <w:r w:rsidRPr="00F92773">
        <w:t xml:space="preserve"> interest rate is estimated to be </w:t>
      </w:r>
      <w:r>
        <w:t>four</w:t>
      </w:r>
      <w:r w:rsidRPr="00F92773">
        <w:t xml:space="preserve"> percent.</w:t>
      </w:r>
      <w:r w:rsidRPr="00F92773">
        <w:rPr>
          <w:rStyle w:val="EndnoteReference"/>
        </w:rPr>
        <w:endnoteReference w:id="48"/>
      </w:r>
      <w:r w:rsidRPr="00F92773">
        <w:t xml:space="preserve"> </w:t>
      </w:r>
      <w:r>
        <w:t>Changes to</w:t>
      </w:r>
      <w:r w:rsidRPr="001D71A2">
        <w:t xml:space="preserve"> interest rates have a limited impact on WTD revenues, representing less than </w:t>
      </w:r>
      <w:r>
        <w:t>one</w:t>
      </w:r>
      <w:r w:rsidRPr="001D71A2">
        <w:t xml:space="preserve"> percent of total revenue. Any reduction of interest earnings is significantly offset by savings from a lower cost of debt.</w:t>
      </w:r>
    </w:p>
    <w:p w14:paraId="556591D7" w14:textId="77777777" w:rsidR="00EC5699" w:rsidRPr="000E098B" w:rsidRDefault="00EC5699" w:rsidP="0018130B">
      <w:pPr>
        <w:pStyle w:val="Heading3"/>
      </w:pPr>
      <w:r>
        <w:t>High-Strength</w:t>
      </w:r>
      <w:r w:rsidRPr="6DD39BD8">
        <w:t xml:space="preserve"> </w:t>
      </w:r>
      <w:r>
        <w:t>S</w:t>
      </w:r>
      <w:r w:rsidRPr="6DD39BD8">
        <w:t>urcharge</w:t>
      </w:r>
      <w:r w:rsidRPr="000E44F7">
        <w:t>, Septage</w:t>
      </w:r>
      <w:r w:rsidRPr="000E098B">
        <w:t>, Resource Recovery</w:t>
      </w:r>
    </w:p>
    <w:p w14:paraId="3498C790" w14:textId="06AD5D3D" w:rsidR="00EC5699" w:rsidRDefault="00EC5699" w:rsidP="0018130B">
      <w:r w:rsidRPr="00A40DBD">
        <w:t>Other WTD income</w:t>
      </w:r>
      <w:r w:rsidRPr="00A40DBD" w:rsidDel="0043736D">
        <w:t xml:space="preserve"> i</w:t>
      </w:r>
      <w:r w:rsidRPr="00A40DBD">
        <w:t>s</w:t>
      </w:r>
      <w:r w:rsidRPr="00A40DBD" w:rsidDel="0043736D">
        <w:t xml:space="preserve"> generated</w:t>
      </w:r>
      <w:r w:rsidRPr="00A40DBD">
        <w:t xml:space="preserve"> from more than 25 separate revenue sources. The largest of these sources come from the high-strength </w:t>
      </w:r>
      <w:r w:rsidRPr="006569B8">
        <w:t xml:space="preserve">surcharge, </w:t>
      </w:r>
      <w:r>
        <w:t>r</w:t>
      </w:r>
      <w:r w:rsidRPr="006569B8">
        <w:t>esource recovery activities (methane sales with renewable identification numbers, or RINs), and septic hauler fees.</w:t>
      </w:r>
      <w:r w:rsidRPr="006569B8">
        <w:rPr>
          <w:rStyle w:val="EndnoteReference"/>
        </w:rPr>
        <w:endnoteReference w:id="49"/>
      </w:r>
      <w:r w:rsidRPr="006569B8">
        <w:t xml:space="preserve"> </w:t>
      </w:r>
      <w:r>
        <w:t>The high-strength surcharge recovers the additional operating costs imposed by treating high-strength wastewater and is defined by King County Code</w:t>
      </w:r>
      <w:r w:rsidR="00662CF8">
        <w:t>.</w:t>
      </w:r>
      <w:r>
        <w:rPr>
          <w:rStyle w:val="EndnoteReference"/>
        </w:rPr>
        <w:endnoteReference w:id="50"/>
      </w:r>
      <w:r>
        <w:t xml:space="preserve"> In 2026, the rate is $0.4890 per pound of biological oxygen demand, and $0.5675 per pound of total suspended solids. </w:t>
      </w:r>
      <w:r w:rsidRPr="006569B8">
        <w:t xml:space="preserve">WTD conservatively assumes that RINs revenue will decrease from over $7 million in the last </w:t>
      </w:r>
      <w:r w:rsidRPr="00351FE0">
        <w:t xml:space="preserve">few years to $4 million </w:t>
      </w:r>
      <w:r>
        <w:t>in 2026</w:t>
      </w:r>
      <w:r w:rsidRPr="00351FE0">
        <w:t xml:space="preserve">, due to the risk of changes to existing regulatory </w:t>
      </w:r>
      <w:r w:rsidRPr="00351FE0">
        <w:lastRenderedPageBreak/>
        <w:t xml:space="preserve">framework under a new federal administration. </w:t>
      </w:r>
      <w:r>
        <w:t xml:space="preserve">Septic hauler fees had declined by about 25 percent since 2022, from $4 million to $3 million, but increased to $3.6 million in 2025. Per conversations with septic haulers, this is related to the opening of a private facility in Sumner that opened at that time and diverted some of the septage typically treated at WTD facilities. Due to this uncertainty, septage revenues are not forecast to increase. </w:t>
      </w:r>
      <w:r w:rsidRPr="00351FE0">
        <w:t xml:space="preserve">Most of the other revenue components are forecast at </w:t>
      </w:r>
      <w:r>
        <w:t>three</w:t>
      </w:r>
      <w:r w:rsidRPr="00351FE0">
        <w:t xml:space="preserve"> percent annual growth</w:t>
      </w:r>
      <w:r w:rsidRPr="00186DEE">
        <w:t>.</w:t>
      </w:r>
    </w:p>
    <w:p w14:paraId="642CACB6" w14:textId="3A943C0D" w:rsidR="00EC5699" w:rsidRDefault="00EC5699" w:rsidP="0018130B">
      <w:pPr>
        <w:pStyle w:val="Heading1"/>
      </w:pPr>
      <w:bookmarkStart w:id="183" w:name="_Toc129353051"/>
      <w:bookmarkStart w:id="184" w:name="_Toc224573050"/>
      <w:r w:rsidRPr="00A62A09">
        <w:t>Reference</w:t>
      </w:r>
      <w:bookmarkEnd w:id="183"/>
      <w:r>
        <w:t xml:space="preserve"> and Additional Information</w:t>
      </w:r>
      <w:bookmarkEnd w:id="184"/>
    </w:p>
    <w:p w14:paraId="55F0535C" w14:textId="19253FD5" w:rsidR="00EC5699" w:rsidRPr="00972F95" w:rsidRDefault="00EC5699" w:rsidP="00972F95">
      <w:r>
        <w:t>This section contains additional reference information about WTD’s funding strategies, forecast assumptions, historical financial performance, and costs of contaminants of emerging concern.</w:t>
      </w:r>
    </w:p>
    <w:p w14:paraId="20EAB44F" w14:textId="77777777" w:rsidR="00EC5699" w:rsidRPr="00A62A09" w:rsidRDefault="00EC5699" w:rsidP="0018130B">
      <w:pPr>
        <w:pStyle w:val="Heading2"/>
      </w:pPr>
      <w:bookmarkStart w:id="185" w:name="_Toc129353052"/>
      <w:bookmarkStart w:id="186" w:name="_Toc224573051"/>
      <w:r w:rsidRPr="00A62A09">
        <w:t>Supplemental WTD Debt Information</w:t>
      </w:r>
      <w:bookmarkEnd w:id="185"/>
      <w:bookmarkEnd w:id="186"/>
    </w:p>
    <w:p w14:paraId="67140DA5" w14:textId="3254F5E8" w:rsidR="00EC5699" w:rsidRPr="007558FB" w:rsidRDefault="00EC5699" w:rsidP="008A4A00">
      <w:pPr>
        <w:pStyle w:val="Caption"/>
      </w:pPr>
      <w:bookmarkStart w:id="187" w:name="_Toc129353086"/>
      <w:bookmarkStart w:id="188" w:name="_Toc226970673"/>
      <w:r>
        <w:t xml:space="preserve">Figure </w:t>
      </w:r>
      <w:r>
        <w:fldChar w:fldCharType="begin"/>
      </w:r>
      <w:r>
        <w:instrText xml:space="preserve"> SEQ Figure \* ARABIC </w:instrText>
      </w:r>
      <w:r>
        <w:fldChar w:fldCharType="separate"/>
      </w:r>
      <w:r w:rsidR="00677835">
        <w:rPr>
          <w:noProof/>
        </w:rPr>
        <w:t>35</w:t>
      </w:r>
      <w:r>
        <w:fldChar w:fldCharType="end"/>
      </w:r>
      <w:r>
        <w:t xml:space="preserve"> </w:t>
      </w:r>
      <w:r w:rsidRPr="00893C77">
        <w:t>202</w:t>
      </w:r>
      <w:r>
        <w:t>5</w:t>
      </w:r>
      <w:r w:rsidRPr="00C723D3">
        <w:t xml:space="preserve"> Year-End Outstanding Debt Balances</w:t>
      </w:r>
      <w:r w:rsidRPr="00C723D3">
        <w:rPr>
          <w:rStyle w:val="EndnoteReference"/>
        </w:rPr>
        <w:endnoteReference w:id="51"/>
      </w:r>
      <w:bookmarkEnd w:id="187"/>
      <w:bookmarkEnd w:id="188"/>
    </w:p>
    <w:p w14:paraId="6158C15B" w14:textId="512D05E5" w:rsidR="00EC5699" w:rsidRPr="007C22FB" w:rsidRDefault="00EC5699" w:rsidP="0018130B">
      <w:pPr>
        <w:pStyle w:val="BodyText"/>
        <w:jc w:val="center"/>
        <w:rPr>
          <w:b/>
          <w:bCs/>
        </w:rPr>
      </w:pPr>
      <w:r w:rsidRPr="00AB0A2F">
        <w:rPr>
          <w:noProof/>
        </w:rPr>
        <w:drawing>
          <wp:inline distT="0" distB="0" distL="0" distR="0" wp14:anchorId="5E5F9B29" wp14:editId="05617968">
            <wp:extent cx="5998464" cy="1188585"/>
            <wp:effectExtent l="0" t="0" r="2540" b="0"/>
            <wp:docPr id="12810597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98464" cy="1188585"/>
                    </a:xfrm>
                    <a:prstGeom prst="rect">
                      <a:avLst/>
                    </a:prstGeom>
                    <a:noFill/>
                    <a:ln>
                      <a:noFill/>
                    </a:ln>
                  </pic:spPr>
                </pic:pic>
              </a:graphicData>
            </a:graphic>
          </wp:inline>
        </w:drawing>
      </w:r>
    </w:p>
    <w:p w14:paraId="7B6A8148" w14:textId="77777777" w:rsidR="00EC5699" w:rsidRPr="00FA7B28" w:rsidRDefault="00EC5699" w:rsidP="0018130B">
      <w:pPr>
        <w:pStyle w:val="Heading2"/>
      </w:pPr>
      <w:bookmarkStart w:id="189" w:name="_Toc129353053"/>
      <w:bookmarkStart w:id="190" w:name="_Toc224573052"/>
      <w:r w:rsidRPr="00FA7B28">
        <w:t>Types of WTD Financing</w:t>
      </w:r>
      <w:bookmarkEnd w:id="189"/>
      <w:bookmarkEnd w:id="190"/>
      <w:r w:rsidRPr="00FA7B28">
        <w:t xml:space="preserve"> </w:t>
      </w:r>
    </w:p>
    <w:p w14:paraId="3FEE9FA4" w14:textId="77777777" w:rsidR="00EC5699" w:rsidRPr="00C32775" w:rsidRDefault="00EC5699" w:rsidP="00C32775">
      <w:pPr>
        <w:pStyle w:val="Heading3"/>
      </w:pPr>
      <w:r w:rsidRPr="00C32775">
        <w:rPr>
          <w:rStyle w:val="Heading5Char"/>
          <w:rFonts w:ascii="Calibri" w:hAnsi="Calibri"/>
          <w:color w:val="2F5496"/>
          <w:szCs w:val="24"/>
        </w:rPr>
        <w:t>Bonds</w:t>
      </w:r>
    </w:p>
    <w:p w14:paraId="406F336A" w14:textId="06419163" w:rsidR="00EC5699" w:rsidRPr="00DA335A" w:rsidRDefault="00EC5699" w:rsidP="0018130B">
      <w:pPr>
        <w:rPr>
          <w:color w:val="000000" w:themeColor="text1"/>
        </w:rPr>
      </w:pPr>
      <w:r w:rsidRPr="00F309A2">
        <w:t xml:space="preserve">Sewer </w:t>
      </w:r>
      <w:r>
        <w:t>r</w:t>
      </w:r>
      <w:r w:rsidRPr="00F309A2">
        <w:t>evenue bonds</w:t>
      </w:r>
      <w:r>
        <w:t xml:space="preserve"> </w:t>
      </w:r>
      <w:r w:rsidRPr="00F309A2">
        <w:t xml:space="preserve">are secured by a pledge of revenue of the sewer system, subject to payment of all operating and maintenance expenses of the sewer system. When revenue bonds are additionally backed by a pledge of </w:t>
      </w:r>
      <w:r w:rsidRPr="00AF6DD9">
        <w:t xml:space="preserve">the </w:t>
      </w:r>
      <w:hyperlink r:id="rId47" w:history="1">
        <w:r w:rsidRPr="00AF6DD9">
          <w:t>full faith and credit</w:t>
        </w:r>
      </w:hyperlink>
      <w:r w:rsidRPr="00AF6DD9">
        <w:t xml:space="preserve"> </w:t>
      </w:r>
      <w:r w:rsidRPr="002F68DE">
        <w:rPr>
          <w:rFonts w:cs="Arial"/>
          <w:color w:val="111111"/>
          <w:shd w:val="clear" w:color="auto" w:fill="FFFFFF"/>
        </w:rPr>
        <w:t>of the issuer</w:t>
      </w:r>
      <w:r>
        <w:rPr>
          <w:rFonts w:cs="Arial"/>
          <w:color w:val="111111"/>
          <w:shd w:val="clear" w:color="auto" w:fill="FFFFFF"/>
        </w:rPr>
        <w:t xml:space="preserve"> (meaning the County’s General Fund revenue and taxing power), </w:t>
      </w:r>
      <w:r w:rsidRPr="00AF6DD9">
        <w:rPr>
          <w:rFonts w:cs="Arial"/>
          <w:color w:val="111111"/>
          <w:shd w:val="clear" w:color="auto" w:fill="FFFFFF"/>
        </w:rPr>
        <w:t xml:space="preserve">the bonds are referred to as limited tax general obligation (LTGO) bonds. </w:t>
      </w:r>
      <w:r>
        <w:rPr>
          <w:rFonts w:cs="Arial"/>
          <w:color w:val="111111"/>
          <w:shd w:val="clear" w:color="auto" w:fill="FFFFFF"/>
        </w:rPr>
        <w:t>Sewer revenue bonds can also be issued at the junior lien, which is subordinate to both senior lien sewer revenue bonds and LTGO bonds.</w:t>
      </w:r>
    </w:p>
    <w:p w14:paraId="05144560" w14:textId="0FB0DE9F" w:rsidR="00EC5699" w:rsidRPr="00C32775" w:rsidRDefault="00EC5699" w:rsidP="00C32775">
      <w:pPr>
        <w:pStyle w:val="Heading3"/>
        <w:rPr>
          <w:rStyle w:val="Heading5Char"/>
          <w:rFonts w:ascii="Calibri" w:hAnsi="Calibri"/>
          <w:color w:val="2F5496"/>
          <w:szCs w:val="24"/>
        </w:rPr>
      </w:pPr>
      <w:r w:rsidRPr="00C32775">
        <w:rPr>
          <w:rStyle w:val="Heading5Char"/>
          <w:rFonts w:ascii="Calibri" w:hAnsi="Calibri"/>
          <w:color w:val="2F5496"/>
          <w:szCs w:val="24"/>
        </w:rPr>
        <w:t xml:space="preserve">State </w:t>
      </w:r>
      <w:r>
        <w:rPr>
          <w:rStyle w:val="Heading5Char"/>
          <w:rFonts w:ascii="Calibri" w:hAnsi="Calibri"/>
          <w:color w:val="2F5496"/>
          <w:szCs w:val="24"/>
        </w:rPr>
        <w:t>L</w:t>
      </w:r>
      <w:r w:rsidRPr="00C32775">
        <w:rPr>
          <w:rStyle w:val="Heading5Char"/>
          <w:rFonts w:ascii="Calibri" w:hAnsi="Calibri"/>
          <w:color w:val="2F5496"/>
          <w:szCs w:val="24"/>
        </w:rPr>
        <w:t>oans</w:t>
      </w:r>
    </w:p>
    <w:p w14:paraId="75B61B82" w14:textId="3A53A268" w:rsidR="00EC5699" w:rsidRPr="00CA423A" w:rsidRDefault="00EC5699" w:rsidP="30F91E6F">
      <w:r w:rsidRPr="2B03F2C4">
        <w:t>WTD receive</w:t>
      </w:r>
      <w:r>
        <w:t>s</w:t>
      </w:r>
      <w:r w:rsidRPr="2B03F2C4">
        <w:t xml:space="preserve"> loans from Ecology under the </w:t>
      </w:r>
      <w:r>
        <w:t>SRF</w:t>
      </w:r>
      <w:r w:rsidRPr="00893C77">
        <w:t xml:space="preserve"> </w:t>
      </w:r>
      <w:r w:rsidRPr="2B03F2C4">
        <w:t xml:space="preserve">Loan Program and </w:t>
      </w:r>
      <w:r w:rsidRPr="00893C77">
        <w:t>from</w:t>
      </w:r>
      <w:r>
        <w:t xml:space="preserve"> </w:t>
      </w:r>
      <w:r w:rsidRPr="2B03F2C4">
        <w:t>the Washingto</w:t>
      </w:r>
      <w:r w:rsidRPr="009B6547">
        <w:t>n State Department of Commerce’s</w:t>
      </w:r>
      <w:r>
        <w:t xml:space="preserve"> Public Works Board.</w:t>
      </w:r>
      <w:r>
        <w:rPr>
          <w:rStyle w:val="EndnoteReference"/>
        </w:rPr>
        <w:endnoteReference w:id="52"/>
      </w:r>
      <w:r w:rsidRPr="2B03F2C4">
        <w:t xml:space="preserve"> The loans require either semi-annual or annual payments of principal and interest from </w:t>
      </w:r>
      <w:r w:rsidRPr="00893C77">
        <w:t>202</w:t>
      </w:r>
      <w:r>
        <w:t>5</w:t>
      </w:r>
      <w:r w:rsidRPr="00893C77">
        <w:t xml:space="preserve"> through 205</w:t>
      </w:r>
      <w:r>
        <w:t>6,</w:t>
      </w:r>
      <w:r w:rsidRPr="2B03F2C4">
        <w:t xml:space="preserve"> and bear interest at stated rates from 0.</w:t>
      </w:r>
      <w:r>
        <w:t>5</w:t>
      </w:r>
      <w:r w:rsidRPr="2B03F2C4">
        <w:t xml:space="preserve"> percent to </w:t>
      </w:r>
      <w:r w:rsidRPr="00893C77">
        <w:t>2.7</w:t>
      </w:r>
      <w:r w:rsidRPr="2B03F2C4">
        <w:t xml:space="preserve"> percent. As of December 31, </w:t>
      </w:r>
      <w:r w:rsidRPr="00893C77">
        <w:t>202</w:t>
      </w:r>
      <w:r>
        <w:t>5</w:t>
      </w:r>
      <w:r w:rsidRPr="2B03F2C4">
        <w:t>, the balance due on all state loans is $</w:t>
      </w:r>
      <w:r>
        <w:t>339.9</w:t>
      </w:r>
      <w:r w:rsidRPr="2B03F2C4">
        <w:t xml:space="preserve"> million. State loans are secured by a subordinate lien on the net revenues of the system.</w:t>
      </w:r>
      <w:r w:rsidRPr="2B03F2C4">
        <w:rPr>
          <w:rStyle w:val="EndnoteReference"/>
        </w:rPr>
        <w:endnoteReference w:id="53"/>
      </w:r>
    </w:p>
    <w:p w14:paraId="664A4DCC" w14:textId="77777777" w:rsidR="00EC5699" w:rsidRPr="00C32775" w:rsidRDefault="00EC5699" w:rsidP="00C32775">
      <w:pPr>
        <w:pStyle w:val="Heading3"/>
        <w:rPr>
          <w:rStyle w:val="Heading5Char"/>
          <w:rFonts w:ascii="Calibri" w:hAnsi="Calibri"/>
          <w:color w:val="2F5496"/>
          <w:szCs w:val="24"/>
        </w:rPr>
      </w:pPr>
      <w:r w:rsidRPr="00C32775">
        <w:rPr>
          <w:rStyle w:val="Heading5Char"/>
          <w:rFonts w:ascii="Calibri" w:hAnsi="Calibri"/>
          <w:color w:val="2F5496"/>
          <w:szCs w:val="24"/>
        </w:rPr>
        <w:t>WIFIA Loans</w:t>
      </w:r>
    </w:p>
    <w:p w14:paraId="4B9789D0" w14:textId="20AAE1C3" w:rsidR="00EC5699" w:rsidRPr="00CA423A" w:rsidRDefault="00EC5699" w:rsidP="0018130B">
      <w:r w:rsidRPr="30F91E6F">
        <w:rPr>
          <w:rStyle w:val="Heading5Char"/>
          <w:rFonts w:asciiTheme="minorHAnsi" w:hAnsiTheme="minorHAnsi" w:cstheme="minorBidi"/>
          <w:color w:val="auto"/>
          <w:sz w:val="22"/>
          <w:szCs w:val="22"/>
        </w:rPr>
        <w:t>WIFIA is an</w:t>
      </w:r>
      <w:r w:rsidRPr="30F91E6F">
        <w:rPr>
          <w:rStyle w:val="Heading5Char"/>
          <w:rFonts w:ascii="Palatino Linotype" w:hAnsi="Palatino Linotype" w:cstheme="minorBidi"/>
          <w:color w:val="auto"/>
        </w:rPr>
        <w:t xml:space="preserve"> </w:t>
      </w:r>
      <w:r w:rsidRPr="056E9825">
        <w:rPr>
          <w:shd w:val="clear" w:color="auto" w:fill="FFFFFF"/>
        </w:rPr>
        <w:t xml:space="preserve">established federal </w:t>
      </w:r>
      <w:r>
        <w:rPr>
          <w:shd w:val="clear" w:color="auto" w:fill="FFFFFF"/>
        </w:rPr>
        <w:t>loan</w:t>
      </w:r>
      <w:r w:rsidRPr="056E9825">
        <w:rPr>
          <w:shd w:val="clear" w:color="auto" w:fill="FFFFFF"/>
        </w:rPr>
        <w:t xml:space="preserve"> program administered by the EPA for eligible water and wastewater infrastructure projects. </w:t>
      </w:r>
      <w:r w:rsidRPr="056E9825">
        <w:t xml:space="preserve">The WIFIA program accelerates investment in the nation's water infrastructure by providing long-term, low-cost supplemental loans for regionally and nationally significant projects at </w:t>
      </w:r>
      <w:r w:rsidRPr="00893C77">
        <w:t>a maturity similar to the U.S. Treasury rates</w:t>
      </w:r>
      <w:r w:rsidRPr="00893C77">
        <w:rPr>
          <w:sz w:val="26"/>
          <w:szCs w:val="26"/>
        </w:rPr>
        <w:t>.</w:t>
      </w:r>
      <w:r w:rsidRPr="056E9825">
        <w:rPr>
          <w:sz w:val="26"/>
          <w:szCs w:val="26"/>
        </w:rPr>
        <w:t xml:space="preserve"> </w:t>
      </w:r>
      <w:r w:rsidRPr="056E9825">
        <w:t>The WIFIA loans, after draws are made, are secured by a pledge of revenue from the sewer system</w:t>
      </w:r>
      <w:r>
        <w:t>,</w:t>
      </w:r>
      <w:r w:rsidRPr="056E9825">
        <w:t xml:space="preserve"> subject to payment of all operating and maintenance expenses of the sewer system. </w:t>
      </w:r>
      <w:r>
        <w:t>As of December 31, 2025,</w:t>
      </w:r>
      <w:r w:rsidRPr="056E9825">
        <w:t xml:space="preserve"> WTD has successfully </w:t>
      </w:r>
      <w:r>
        <w:t>secured</w:t>
      </w:r>
      <w:r w:rsidRPr="056E9825">
        <w:t xml:space="preserve"> and received </w:t>
      </w:r>
      <w:r>
        <w:t>five</w:t>
      </w:r>
      <w:r w:rsidRPr="056E9825">
        <w:t xml:space="preserve"> federal WIFIA loan</w:t>
      </w:r>
      <w:r>
        <w:t xml:space="preserve"> agreements</w:t>
      </w:r>
      <w:r w:rsidRPr="056E9825">
        <w:t xml:space="preserve">, totaling </w:t>
      </w:r>
      <w:r w:rsidRPr="00893C77">
        <w:t>$</w:t>
      </w:r>
      <w:r>
        <w:t>463.5</w:t>
      </w:r>
      <w:r w:rsidRPr="056E9825">
        <w:t xml:space="preserve"> million.</w:t>
      </w:r>
      <w:r>
        <w:rPr>
          <w:rStyle w:val="EndnoteReference"/>
        </w:rPr>
        <w:endnoteReference w:id="54"/>
      </w:r>
      <w:r>
        <w:t xml:space="preserve"> These loans bear interest rates ranging from 1.69 percent to 4.79 percent. The most recent WIFIA loan, signed in January 2026, carries an interest rate of 4.79 </w:t>
      </w:r>
      <w:r>
        <w:lastRenderedPageBreak/>
        <w:t>percent signed</w:t>
      </w:r>
      <w:r w:rsidR="00E7166F">
        <w:t>,</w:t>
      </w:r>
      <w:r>
        <w:t xml:space="preserve"> compared to WTD’s most recent bond interest rate of 4.14 percent issued in November 2025. WIFIA allows an interest rate reset prior to spending 50 percent of the project cost</w:t>
      </w:r>
      <w:r w:rsidR="00AB30FD">
        <w:t>,</w:t>
      </w:r>
      <w:r>
        <w:t xml:space="preserve"> and WTD is hoping to utilize this on the Tranche 3 loan and lower the interest rate in the future before drawing on the loan.</w:t>
      </w:r>
    </w:p>
    <w:p w14:paraId="0F8ED053" w14:textId="77777777" w:rsidR="00EC5699" w:rsidRPr="00C32775" w:rsidRDefault="00EC5699" w:rsidP="00C32775">
      <w:pPr>
        <w:pStyle w:val="Heading3"/>
      </w:pPr>
      <w:r w:rsidRPr="00C32775">
        <w:rPr>
          <w:rStyle w:val="Heading5Char"/>
          <w:rFonts w:ascii="Calibri" w:hAnsi="Calibri"/>
          <w:color w:val="2F5496"/>
          <w:szCs w:val="24"/>
        </w:rPr>
        <w:t>Commercial Paper</w:t>
      </w:r>
    </w:p>
    <w:p w14:paraId="74DAB8DF" w14:textId="1DD215A8" w:rsidR="00EC5699" w:rsidRPr="005E1E2F" w:rsidRDefault="00EC5699" w:rsidP="0018130B">
      <w:r>
        <w:t>The Commercial Paper (CP) program provides low-cost, flexible, interim financing for WTD capital projects. Its main purpose is to provide interim financing to pay for WTD’s capital projects pending permanent financing from state and federal loans. CP has also been utilized to refund high-interest outstanding debt and serve as a permanent element of WTD’s variable-rate debt portfolio. As of December 31, 2025, WTD has $183.9 million in outstanding commercial paper debt.</w:t>
      </w:r>
    </w:p>
    <w:p w14:paraId="5D8967A1" w14:textId="77777777" w:rsidR="00EC5699" w:rsidRPr="00C32775" w:rsidRDefault="00EC5699" w:rsidP="00C32775">
      <w:pPr>
        <w:pStyle w:val="Heading3"/>
      </w:pPr>
      <w:r w:rsidRPr="00C32775">
        <w:rPr>
          <w:rStyle w:val="Heading5Char"/>
          <w:rFonts w:ascii="Calibri" w:hAnsi="Calibri"/>
          <w:color w:val="2F5496"/>
          <w:szCs w:val="24"/>
        </w:rPr>
        <w:t>Variable-Rate Debt</w:t>
      </w:r>
    </w:p>
    <w:p w14:paraId="7B5973EF" w14:textId="48BAC78B" w:rsidR="00EC5699" w:rsidRPr="00516903" w:rsidRDefault="00EC5699" w:rsidP="0018130B">
      <w:r w:rsidRPr="00893C77">
        <w:t>King County Code 28.86.160, Financial Policy 14,</w:t>
      </w:r>
      <w:r w:rsidRPr="00516903">
        <w:t xml:space="preserve"> limits the utility’s variable</w:t>
      </w:r>
      <w:r>
        <w:t>-</w:t>
      </w:r>
      <w:r w:rsidRPr="00516903">
        <w:t>rate debt exposure to a maximum amount equal to 20 percent of all outstanding debt</w:t>
      </w:r>
      <w:r>
        <w:t xml:space="preserve"> and,</w:t>
      </w:r>
      <w:r w:rsidRPr="00516903">
        <w:t xml:space="preserve"> currently, </w:t>
      </w:r>
      <w:r w:rsidRPr="00893C77">
        <w:t>WTD uses</w:t>
      </w:r>
      <w:r>
        <w:t xml:space="preserve"> </w:t>
      </w:r>
      <w:r w:rsidRPr="00516903">
        <w:t xml:space="preserve">a target of 15 percent in the </w:t>
      </w:r>
      <w:r>
        <w:t xml:space="preserve">financial </w:t>
      </w:r>
      <w:r w:rsidRPr="00516903">
        <w:t xml:space="preserve">forecast. </w:t>
      </w:r>
      <w:r>
        <w:t>This limits WTD’s interest rate risk on its outstanding debt</w:t>
      </w:r>
      <w:r w:rsidR="00537330">
        <w:t>,</w:t>
      </w:r>
      <w:r>
        <w:t xml:space="preserve"> i.e., increased borrowing cost in case of increase in interest rates. Also, t</w:t>
      </w:r>
      <w:r w:rsidRPr="00516903">
        <w:t>ypically an investor can sell variable</w:t>
      </w:r>
      <w:r>
        <w:t>-</w:t>
      </w:r>
      <w:r w:rsidRPr="00516903">
        <w:t>rate bonds back with just a week’s notice</w:t>
      </w:r>
      <w:r>
        <w:t>.</w:t>
      </w:r>
      <w:r w:rsidRPr="00516903">
        <w:t xml:space="preserve"> </w:t>
      </w:r>
      <w:r w:rsidRPr="00A058CD">
        <w:t>Variable</w:t>
      </w:r>
      <w:r>
        <w:t>-</w:t>
      </w:r>
      <w:r w:rsidRPr="00516903">
        <w:t>rate debt allows WTD to achieve a borrowing cost that historically has been much lower than traditional fixed</w:t>
      </w:r>
      <w:r>
        <w:t>-</w:t>
      </w:r>
      <w:r w:rsidRPr="00516903">
        <w:t xml:space="preserve">rate debt. </w:t>
      </w:r>
      <w:r>
        <w:t>T</w:t>
      </w:r>
      <w:r w:rsidRPr="00516903">
        <w:t>his type of investment warrants the lowest borrowing cost in any given interest rate environment.</w:t>
      </w:r>
      <w:r>
        <w:t xml:space="preserve"> Variable-rate debt is issued on the junior lien level, which is subordinate to parity bonds (senior lien sewer revenue bonds) and parity bond lien obligations (LTGO). </w:t>
      </w:r>
      <w:r w:rsidRPr="007E72E9">
        <w:t xml:space="preserve"> </w:t>
      </w:r>
      <w:r w:rsidRPr="00516903">
        <w:t>WTD’s initial variable</w:t>
      </w:r>
      <w:r>
        <w:t>-</w:t>
      </w:r>
      <w:r w:rsidRPr="00516903">
        <w:t>rate issuance was its $100</w:t>
      </w:r>
      <w:r>
        <w:t>.0</w:t>
      </w:r>
      <w:r w:rsidRPr="00516903">
        <w:t xml:space="preserve"> million </w:t>
      </w:r>
      <w:r w:rsidRPr="00893C77">
        <w:t>CP</w:t>
      </w:r>
      <w:r w:rsidRPr="00516903">
        <w:t xml:space="preserve"> program in 1996. </w:t>
      </w:r>
      <w:r>
        <w:t>As of December 31, 2025</w:t>
      </w:r>
      <w:r w:rsidRPr="00516903">
        <w:t xml:space="preserve">, WTD </w:t>
      </w:r>
      <w:r>
        <w:t xml:space="preserve">has </w:t>
      </w:r>
      <w:r w:rsidRPr="00516903">
        <w:t>expanded its variable</w:t>
      </w:r>
      <w:r>
        <w:t>-</w:t>
      </w:r>
      <w:r w:rsidRPr="00516903">
        <w:t xml:space="preserve">rate </w:t>
      </w:r>
      <w:r w:rsidRPr="00A058CD">
        <w:t>portfolio to $</w:t>
      </w:r>
      <w:r>
        <w:t>556.6</w:t>
      </w:r>
      <w:r w:rsidRPr="00A058CD">
        <w:t xml:space="preserve"> million.</w:t>
      </w:r>
      <w:r w:rsidRPr="00A058CD">
        <w:rPr>
          <w:rStyle w:val="EndnoteReference"/>
        </w:rPr>
        <w:endnoteReference w:id="55"/>
      </w:r>
    </w:p>
    <w:p w14:paraId="31C19FF8" w14:textId="77777777" w:rsidR="00EC5699" w:rsidRPr="00FA7B28" w:rsidRDefault="00EC5699" w:rsidP="0018130B">
      <w:pPr>
        <w:pStyle w:val="Heading2"/>
      </w:pPr>
      <w:bookmarkStart w:id="191" w:name="_Toc129353054"/>
      <w:bookmarkStart w:id="192" w:name="_Toc224573053"/>
      <w:r w:rsidRPr="00FA7B28">
        <w:t>Forecast Assumptions</w:t>
      </w:r>
      <w:bookmarkEnd w:id="191"/>
      <w:bookmarkEnd w:id="192"/>
    </w:p>
    <w:p w14:paraId="6C22C894" w14:textId="04CCECD5" w:rsidR="00EC5699" w:rsidRDefault="00EC5699" w:rsidP="0018130B">
      <w:r w:rsidRPr="00D737BB">
        <w:rPr>
          <w:b/>
          <w:bCs/>
        </w:rPr>
        <w:fldChar w:fldCharType="begin"/>
      </w:r>
      <w:r w:rsidRPr="00D737BB">
        <w:rPr>
          <w:b/>
          <w:bCs/>
        </w:rPr>
        <w:instrText xml:space="preserve"> REF _Ref161292755 </w:instrText>
      </w:r>
      <w:r>
        <w:rPr>
          <w:b/>
          <w:bCs/>
        </w:rPr>
        <w:instrText xml:space="preserve"> \* MERGEFORMAT </w:instrText>
      </w:r>
      <w:r w:rsidRPr="00D737BB">
        <w:rPr>
          <w:b/>
          <w:bCs/>
        </w:rPr>
        <w:fldChar w:fldCharType="separate"/>
      </w:r>
      <w:r w:rsidR="00BC44C2" w:rsidRPr="00694351">
        <w:t xml:space="preserve">Figure </w:t>
      </w:r>
      <w:r w:rsidR="00BC44C2">
        <w:t>36</w:t>
      </w:r>
      <w:r w:rsidRPr="00D737BB">
        <w:rPr>
          <w:b/>
          <w:bCs/>
        </w:rPr>
        <w:fldChar w:fldCharType="end"/>
      </w:r>
      <w:r>
        <w:t xml:space="preserve"> </w:t>
      </w:r>
      <w:r w:rsidRPr="002B38EB">
        <w:t xml:space="preserve">summarizes the assumptions used to forecast revenues and expenditures in the </w:t>
      </w:r>
      <w:r>
        <w:t>20-year financial forecast (</w:t>
      </w:r>
      <w:r w:rsidRPr="00893C77">
        <w:t>202</w:t>
      </w:r>
      <w:r>
        <w:t>7</w:t>
      </w:r>
      <w:r w:rsidRPr="00893C77">
        <w:t>-20</w:t>
      </w:r>
      <w:r>
        <w:t>46)</w:t>
      </w:r>
      <w:r w:rsidRPr="002B38EB">
        <w:t xml:space="preserve">. </w:t>
      </w:r>
    </w:p>
    <w:p w14:paraId="0D75CDA8" w14:textId="5600C678" w:rsidR="00EC5699" w:rsidRPr="009017C2" w:rsidRDefault="00EC5699" w:rsidP="008A4A00">
      <w:pPr>
        <w:pStyle w:val="Caption"/>
      </w:pPr>
      <w:bookmarkStart w:id="193" w:name="_Ref161292755"/>
      <w:bookmarkStart w:id="194" w:name="_Ref128473609"/>
      <w:bookmarkStart w:id="195" w:name="_Toc129353087"/>
      <w:bookmarkStart w:id="196" w:name="_Ref162522665"/>
      <w:bookmarkStart w:id="197" w:name="_Toc226970674"/>
      <w:r w:rsidRPr="00694351">
        <w:t xml:space="preserve">Figure </w:t>
      </w:r>
      <w:r>
        <w:fldChar w:fldCharType="begin"/>
      </w:r>
      <w:r>
        <w:instrText xml:space="preserve"> SEQ Figure \* ARABIC </w:instrText>
      </w:r>
      <w:r>
        <w:fldChar w:fldCharType="separate"/>
      </w:r>
      <w:r w:rsidR="00677835">
        <w:rPr>
          <w:noProof/>
        </w:rPr>
        <w:t>36</w:t>
      </w:r>
      <w:r>
        <w:fldChar w:fldCharType="end"/>
      </w:r>
      <w:bookmarkEnd w:id="193"/>
      <w:r w:rsidRPr="00694351">
        <w:t xml:space="preserve"> Forecast Assumptions Used in Financial Forecast</w:t>
      </w:r>
      <w:bookmarkEnd w:id="194"/>
      <w:bookmarkEnd w:id="195"/>
      <w:bookmarkEnd w:id="196"/>
      <w:bookmarkEnd w:id="197"/>
    </w:p>
    <w:p w14:paraId="5CD80DA6" w14:textId="3C11208F" w:rsidR="00EC5699" w:rsidRDefault="00EC5699" w:rsidP="0018130B">
      <w:r w:rsidRPr="001F2200">
        <w:rPr>
          <w:noProof/>
        </w:rPr>
        <w:drawing>
          <wp:inline distT="0" distB="0" distL="0" distR="0" wp14:anchorId="24671594" wp14:editId="0131D682">
            <wp:extent cx="6858000" cy="2668905"/>
            <wp:effectExtent l="0" t="0" r="0" b="0"/>
            <wp:docPr id="73636549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858000" cy="2668905"/>
                    </a:xfrm>
                    <a:prstGeom prst="rect">
                      <a:avLst/>
                    </a:prstGeom>
                    <a:noFill/>
                    <a:ln>
                      <a:noFill/>
                    </a:ln>
                  </pic:spPr>
                </pic:pic>
              </a:graphicData>
            </a:graphic>
          </wp:inline>
        </w:drawing>
      </w:r>
    </w:p>
    <w:p w14:paraId="3D6C77A6" w14:textId="2DF9E760" w:rsidR="00EC5699" w:rsidRPr="000E5046" w:rsidRDefault="00EC5699" w:rsidP="0018130B">
      <w:pPr>
        <w:pStyle w:val="Heading2"/>
      </w:pPr>
      <w:bookmarkStart w:id="198" w:name="_Toc129353056"/>
      <w:bookmarkStart w:id="199" w:name="_Toc224573054"/>
      <w:r w:rsidRPr="00B5390B">
        <w:lastRenderedPageBreak/>
        <w:t>202</w:t>
      </w:r>
      <w:r>
        <w:t>5</w:t>
      </w:r>
      <w:r w:rsidRPr="00B5390B">
        <w:t xml:space="preserve"> Wastewater Treatment Division Financial Performance</w:t>
      </w:r>
      <w:bookmarkEnd w:id="198"/>
      <w:bookmarkEnd w:id="199"/>
    </w:p>
    <w:p w14:paraId="2325F997" w14:textId="77777777" w:rsidR="00EC5699" w:rsidRPr="00AF6DD9" w:rsidRDefault="00EC5699" w:rsidP="00F126DE">
      <w:pPr>
        <w:pStyle w:val="Heading3"/>
      </w:pPr>
      <w:bookmarkStart w:id="200" w:name="_Ref161293704"/>
      <w:bookmarkStart w:id="201" w:name="_Ref128475592"/>
      <w:bookmarkStart w:id="202" w:name="_Toc129353088"/>
      <w:r w:rsidRPr="00AF6DD9">
        <w:t>Revenue</w:t>
      </w:r>
    </w:p>
    <w:p w14:paraId="02E4EAE7" w14:textId="563DA050" w:rsidR="00EC5699" w:rsidRPr="00AF6DD9" w:rsidRDefault="00EC5699" w:rsidP="00F126DE">
      <w:r w:rsidRPr="007821B4">
        <w:fldChar w:fldCharType="begin"/>
      </w:r>
      <w:r w:rsidRPr="007821B4">
        <w:instrText xml:space="preserve"> REF _Ref193202134 \h  \* MERGEFORMAT </w:instrText>
      </w:r>
      <w:r w:rsidRPr="007821B4">
        <w:fldChar w:fldCharType="separate"/>
      </w:r>
      <w:r w:rsidR="00BC44C2">
        <w:t>Figure 37</w:t>
      </w:r>
      <w:r w:rsidRPr="007821B4">
        <w:fldChar w:fldCharType="end"/>
      </w:r>
      <w:r w:rsidRPr="007821B4">
        <w:t xml:space="preserve"> </w:t>
      </w:r>
      <w:r w:rsidRPr="00AF6DD9">
        <w:t xml:space="preserve">shows </w:t>
      </w:r>
      <w:r w:rsidRPr="00616157">
        <w:t>that total RCEs were 0.</w:t>
      </w:r>
      <w:r w:rsidRPr="001463E5">
        <w:t>2</w:t>
      </w:r>
      <w:r w:rsidRPr="00616157">
        <w:t xml:space="preserve"> percent </w:t>
      </w:r>
      <w:r>
        <w:t>high</w:t>
      </w:r>
      <w:r w:rsidRPr="00616157">
        <w:t>er than projected and related sewer rate revenues were 0.</w:t>
      </w:r>
      <w:r>
        <w:t>1</w:t>
      </w:r>
      <w:r w:rsidRPr="00616157">
        <w:t xml:space="preserve"> percent higher in 202</w:t>
      </w:r>
      <w:r>
        <w:t>5</w:t>
      </w:r>
      <w:r w:rsidRPr="00616157">
        <w:t>.</w:t>
      </w:r>
      <w:r w:rsidRPr="00AF6DD9">
        <w:t xml:space="preserve"> </w:t>
      </w:r>
    </w:p>
    <w:p w14:paraId="2314599D" w14:textId="2F099114" w:rsidR="00EC5699" w:rsidRPr="00B134C2" w:rsidRDefault="00EC5699" w:rsidP="00F126DE">
      <w:r w:rsidRPr="00AF6DD9">
        <w:t xml:space="preserve">Capacity charge revenues were </w:t>
      </w:r>
      <w:r w:rsidRPr="00B134C2">
        <w:t>$</w:t>
      </w:r>
      <w:r>
        <w:t>6</w:t>
      </w:r>
      <w:r w:rsidRPr="00B134C2">
        <w:t>.</w:t>
      </w:r>
      <w:r>
        <w:t>2</w:t>
      </w:r>
      <w:r w:rsidRPr="00AF6DD9">
        <w:t xml:space="preserve"> million </w:t>
      </w:r>
      <w:r>
        <w:t>high</w:t>
      </w:r>
      <w:r w:rsidRPr="00AF6DD9">
        <w:t xml:space="preserve">er than previously forecast, due to </w:t>
      </w:r>
      <w:r>
        <w:t>higher</w:t>
      </w:r>
      <w:r w:rsidRPr="4649B68A">
        <w:t>-</w:t>
      </w:r>
      <w:r w:rsidRPr="00AF6DD9">
        <w:t>than</w:t>
      </w:r>
      <w:r w:rsidRPr="4649B68A">
        <w:t>-</w:t>
      </w:r>
      <w:r w:rsidRPr="00AF6DD9">
        <w:t>expected elective early payoff activity</w:t>
      </w:r>
      <w:r w:rsidRPr="00341998">
        <w:t xml:space="preserve">. </w:t>
      </w:r>
    </w:p>
    <w:p w14:paraId="5EBEB0A1" w14:textId="1031BFD6" w:rsidR="00EC5699" w:rsidRPr="00AF6DD9" w:rsidRDefault="00EC5699" w:rsidP="00F126DE">
      <w:r>
        <w:t>Other operating revenues presented better-than-forecast results, mostly due to increased septage revenues, although high-strength surcharge revenue decreased.</w:t>
      </w:r>
    </w:p>
    <w:p w14:paraId="548B041A" w14:textId="64251520" w:rsidR="00EC5699" w:rsidRDefault="00EC5699" w:rsidP="00F126DE">
      <w:r w:rsidRPr="00AF6DD9">
        <w:t>Investment inco</w:t>
      </w:r>
      <w:r w:rsidRPr="00481679">
        <w:t xml:space="preserve">me exceeded the forecast, with interest rates from the King County Investment Pool averaging </w:t>
      </w:r>
      <w:r>
        <w:t>4.15</w:t>
      </w:r>
      <w:r w:rsidRPr="00481679">
        <w:t xml:space="preserve"> percent in </w:t>
      </w:r>
      <w:r w:rsidRPr="00B134C2">
        <w:t>202</w:t>
      </w:r>
      <w:r>
        <w:t>5</w:t>
      </w:r>
      <w:r w:rsidRPr="00AF6DD9">
        <w:t>.</w:t>
      </w:r>
    </w:p>
    <w:p w14:paraId="57325701" w14:textId="2D34B005" w:rsidR="00EC5699" w:rsidRPr="00AF6DD9" w:rsidRDefault="00EC5699" w:rsidP="00F126DE">
      <w:r>
        <w:t xml:space="preserve">Overall, revenues exceeded the 2025 forecast by 1.8 percent, 88 percent of which was driven by investment returns and early payoffs of the capacity charge. </w:t>
      </w:r>
    </w:p>
    <w:p w14:paraId="0536E650" w14:textId="07CD3710" w:rsidR="00EC5699" w:rsidRPr="009017C2" w:rsidRDefault="00EC5699" w:rsidP="008A4A00">
      <w:pPr>
        <w:pStyle w:val="Caption"/>
        <w:rPr>
          <w:rStyle w:val="Strong"/>
          <w:b/>
          <w:bCs w:val="0"/>
        </w:rPr>
      </w:pPr>
      <w:bookmarkStart w:id="203" w:name="_Ref193202134"/>
      <w:bookmarkStart w:id="204" w:name="_Toc226970675"/>
      <w:r>
        <w:lastRenderedPageBreak/>
        <w:t xml:space="preserve">Figure </w:t>
      </w:r>
      <w:r>
        <w:fldChar w:fldCharType="begin"/>
      </w:r>
      <w:r>
        <w:instrText xml:space="preserve"> SEQ Figure \* ARABIC </w:instrText>
      </w:r>
      <w:r>
        <w:fldChar w:fldCharType="separate"/>
      </w:r>
      <w:r w:rsidR="00677835">
        <w:rPr>
          <w:noProof/>
        </w:rPr>
        <w:t>37</w:t>
      </w:r>
      <w:r>
        <w:fldChar w:fldCharType="end"/>
      </w:r>
      <w:bookmarkEnd w:id="200"/>
      <w:bookmarkEnd w:id="203"/>
      <w:r w:rsidRPr="008A4A00">
        <w:t xml:space="preserve"> </w:t>
      </w:r>
      <w:r w:rsidRPr="00EF6C0C">
        <w:t>Wastewater Treatment 202</w:t>
      </w:r>
      <w:r>
        <w:t>5</w:t>
      </w:r>
      <w:r w:rsidRPr="00EF6C0C">
        <w:t xml:space="preserve"> Forecast vs. Preliminary 202</w:t>
      </w:r>
      <w:r>
        <w:t>5</w:t>
      </w:r>
      <w:r w:rsidRPr="00EF6C0C">
        <w:t xml:space="preserve"> Actuals</w:t>
      </w:r>
      <w:bookmarkEnd w:id="201"/>
      <w:bookmarkEnd w:id="202"/>
      <w:r>
        <w:rPr>
          <w:rStyle w:val="EndnoteReference"/>
        </w:rPr>
        <w:endnoteReference w:id="56"/>
      </w:r>
      <w:bookmarkEnd w:id="204"/>
    </w:p>
    <w:p w14:paraId="262E37B9" w14:textId="55D197DC" w:rsidR="00EC5699" w:rsidRPr="00CA423A" w:rsidRDefault="00EC5699" w:rsidP="00D21783">
      <w:pPr>
        <w:jc w:val="center"/>
      </w:pPr>
      <w:r w:rsidRPr="00014C78">
        <w:rPr>
          <w:noProof/>
        </w:rPr>
        <w:drawing>
          <wp:inline distT="0" distB="0" distL="0" distR="0" wp14:anchorId="24DBFAA9" wp14:editId="2046FEE9">
            <wp:extent cx="6700723" cy="6569190"/>
            <wp:effectExtent l="0" t="0" r="5080" b="3175"/>
            <wp:docPr id="4296960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702769" cy="6571196"/>
                    </a:xfrm>
                    <a:prstGeom prst="rect">
                      <a:avLst/>
                    </a:prstGeom>
                    <a:noFill/>
                    <a:ln>
                      <a:noFill/>
                    </a:ln>
                  </pic:spPr>
                </pic:pic>
              </a:graphicData>
            </a:graphic>
          </wp:inline>
        </w:drawing>
      </w:r>
    </w:p>
    <w:p w14:paraId="2E78F5AB" w14:textId="77777777" w:rsidR="00EC5699" w:rsidRPr="00E15A54" w:rsidRDefault="00EC5699" w:rsidP="0018130B">
      <w:pPr>
        <w:pStyle w:val="Heading3"/>
      </w:pPr>
      <w:r w:rsidRPr="00E15A54">
        <w:t>Expenditures</w:t>
      </w:r>
    </w:p>
    <w:p w14:paraId="71756CDF" w14:textId="3FA14DD2" w:rsidR="00EC5699" w:rsidRDefault="00EC5699" w:rsidP="00E42BF5">
      <w:r w:rsidRPr="00022320">
        <w:t xml:space="preserve">In 2025, WTD realized operating expenditure savings of $18 million below </w:t>
      </w:r>
      <w:r>
        <w:t xml:space="preserve">the revised </w:t>
      </w:r>
      <w:r w:rsidRPr="00022320">
        <w:t>budget</w:t>
      </w:r>
      <w:r>
        <w:t>, and $8.9 million below the 2026 sewer rate forecast.</w:t>
      </w:r>
      <w:r w:rsidRPr="00022320">
        <w:t xml:space="preserve"> The largest contributors to underspend were staffing vacancies</w:t>
      </w:r>
      <w:r>
        <w:t xml:space="preserve"> </w:t>
      </w:r>
      <w:r w:rsidRPr="00022320">
        <w:t>and delays in the WaterWorks Grant Program</w:t>
      </w:r>
      <w:r>
        <w:t>, the latter of which was due to a change in the King County budget schedule.</w:t>
      </w:r>
      <w:r w:rsidRPr="00022320">
        <w:t xml:space="preserve"> </w:t>
      </w:r>
      <w:r>
        <w:t xml:space="preserve">The remainder is made up of lower-than-expected purchases of supplies and services. Vacancy savings are those related to supplies and services </w:t>
      </w:r>
      <w:r w:rsidR="00B01F41">
        <w:t xml:space="preserve">that </w:t>
      </w:r>
      <w:r>
        <w:t xml:space="preserve">are not expected to continue as WTD has aggressively filled vacancies throughout 2025 and into early 2026, </w:t>
      </w:r>
      <w:r>
        <w:lastRenderedPageBreak/>
        <w:t>and prices of the affected supplies and services are projected to increase. WaterWorks savings are designated by ordinance to their specific use and may not be repurposed. This underspend will either be utilized by the grantees over their contract period or could be rolled into future granting cycles.</w:t>
      </w:r>
    </w:p>
    <w:p w14:paraId="40DE995A" w14:textId="77777777" w:rsidR="00EC5699" w:rsidRPr="00C50549" w:rsidRDefault="00EC5699" w:rsidP="0018130B">
      <w:pPr>
        <w:pStyle w:val="Heading3"/>
        <w:rPr>
          <w:rFonts w:eastAsia="Times New Roman"/>
          <w:szCs w:val="22"/>
        </w:rPr>
      </w:pPr>
      <w:r w:rsidRPr="00C50549">
        <w:t xml:space="preserve">Debt </w:t>
      </w:r>
    </w:p>
    <w:p w14:paraId="0A9CC6F5" w14:textId="1C3BE187" w:rsidR="00EC5699" w:rsidRDefault="00EC5699" w:rsidP="00DF0A5C">
      <w:r w:rsidRPr="007874A3">
        <w:t>On February 26, 2025, W</w:t>
      </w:r>
      <w:r>
        <w:t>TD</w:t>
      </w:r>
      <w:r w:rsidRPr="007874A3">
        <w:t xml:space="preserve"> issued $64.0 million in commercial paper</w:t>
      </w:r>
      <w:r>
        <w:t xml:space="preserve"> and on July 2, 2025, WTD issued $62.0 million in commercial paper to provide interim funding for its WIFIA and Joint Ship Canal projects. This financing will be redeemed when WTD gets reimbursements from the respective SRF/WIFIA projects, financing for which has already been signed through respective loan agreements.</w:t>
      </w:r>
    </w:p>
    <w:p w14:paraId="11D8FC45" w14:textId="7059AF78" w:rsidR="00EC5699" w:rsidRDefault="00EC5699" w:rsidP="00DF0A5C">
      <w:r w:rsidRPr="006845E1">
        <w:t>On July 31, 2025, W</w:t>
      </w:r>
      <w:r>
        <w:t>TD</w:t>
      </w:r>
      <w:r w:rsidRPr="006845E1">
        <w:t xml:space="preserve"> issued $200</w:t>
      </w:r>
      <w:r>
        <w:t>.0</w:t>
      </w:r>
      <w:r w:rsidRPr="006845E1">
        <w:t xml:space="preserve"> million of Junior Lien Variable Rate Sewer Revenue Bonds, for which liquidity support will be provided by a Standby Purchase Agreement. The proceeds will provide financing for various capital projects.</w:t>
      </w:r>
    </w:p>
    <w:p w14:paraId="0846CF40" w14:textId="6D340036" w:rsidR="00EC5699" w:rsidRDefault="00EC5699" w:rsidP="00DF0A5C">
      <w:r>
        <w:t xml:space="preserve">On October 23, 2025, WTD issued $101.0 million of </w:t>
      </w:r>
      <w:r w:rsidRPr="008F0939">
        <w:t>Junior Lien Variable Rate Sewer Revenue Bonds</w:t>
      </w:r>
      <w:r w:rsidRPr="006845E1">
        <w:t>, for which liquidity support will be provided by a Standby Purchase Agreement</w:t>
      </w:r>
      <w:r>
        <w:t xml:space="preserve">. The issuance refunded RV2020B Variable Rate Sewer Bonds, which were due January 1, 2026. </w:t>
      </w:r>
    </w:p>
    <w:p w14:paraId="4E432996" w14:textId="1E79FDE6" w:rsidR="00EC5699" w:rsidRDefault="00EC5699" w:rsidP="00DF0A5C">
      <w:r w:rsidRPr="0072493B">
        <w:t>On November 25, 2025, W</w:t>
      </w:r>
      <w:r>
        <w:t>TD</w:t>
      </w:r>
      <w:r w:rsidRPr="0072493B">
        <w:t xml:space="preserve"> issued $264</w:t>
      </w:r>
      <w:r>
        <w:t>.0</w:t>
      </w:r>
      <w:r w:rsidRPr="0072493B">
        <w:t xml:space="preserve"> million of Sewer Revenue Bonds at par amount of $264</w:t>
      </w:r>
      <w:r>
        <w:t>.0</w:t>
      </w:r>
      <w:r w:rsidRPr="0072493B">
        <w:t xml:space="preserve"> million</w:t>
      </w:r>
      <w:r w:rsidR="007F0E0C">
        <w:t>,</w:t>
      </w:r>
      <w:r w:rsidRPr="0072493B">
        <w:t xml:space="preserve"> plus a premium of $24</w:t>
      </w:r>
      <w:r>
        <w:t>.1</w:t>
      </w:r>
      <w:r w:rsidRPr="0072493B">
        <w:t xml:space="preserve"> million. The proceeds were used for refunding $9.5 million of RF2015B, refunding $78</w:t>
      </w:r>
      <w:r>
        <w:t>.1</w:t>
      </w:r>
      <w:r w:rsidRPr="0072493B">
        <w:t xml:space="preserve"> million of RF2016A, and $200</w:t>
      </w:r>
      <w:r>
        <w:t>.0</w:t>
      </w:r>
      <w:r w:rsidRPr="0072493B">
        <w:t xml:space="preserve"> million of new money for financing various capital projects</w:t>
      </w:r>
      <w:r>
        <w:t xml:space="preserve"> through H1 2026</w:t>
      </w:r>
      <w:r w:rsidRPr="0072493B">
        <w:t>.</w:t>
      </w:r>
      <w:r>
        <w:t xml:space="preserve"> Refunding RF2015B and RF2016A produced $4.8 million in total savings and $4.6 million in present value savings.</w:t>
      </w:r>
    </w:p>
    <w:p w14:paraId="0BC19832" w14:textId="63BDF4EC" w:rsidR="00EC5699" w:rsidRDefault="00EC5699" w:rsidP="006A4737">
      <w:r w:rsidRPr="005663DC">
        <w:t>Due to the higher net revenue, WTD projects that</w:t>
      </w:r>
      <w:r>
        <w:t>, despite slightly higher debt,</w:t>
      </w:r>
      <w:r w:rsidRPr="005663DC">
        <w:t xml:space="preserve"> it will comfortably exceed each of its key coverage targets in 202</w:t>
      </w:r>
      <w:r>
        <w:t>5</w:t>
      </w:r>
      <w:r w:rsidRPr="005663DC">
        <w:t>, namely 1.25 times senior lien debt service and 1.15 times total debt service.</w:t>
      </w:r>
    </w:p>
    <w:p w14:paraId="6DE555F1" w14:textId="77777777" w:rsidR="00EC5699" w:rsidRPr="00661962" w:rsidRDefault="00EC5699" w:rsidP="0018130B">
      <w:pPr>
        <w:pStyle w:val="Heading3"/>
        <w:rPr>
          <w:rFonts w:eastAsia="Times New Roman"/>
          <w:szCs w:val="22"/>
        </w:rPr>
      </w:pPr>
      <w:r w:rsidRPr="00661962">
        <w:t>Cash Funding and Defeasance</w:t>
      </w:r>
    </w:p>
    <w:p w14:paraId="121EF0BF" w14:textId="0C8B15FC" w:rsidR="00EC5699" w:rsidRPr="00661962" w:rsidRDefault="00EC5699" w:rsidP="0018130B">
      <w:r>
        <w:t xml:space="preserve">A new money par issuance of $85.9 million of senior lien 2024A Sewer Revenue Bonds was sold in August 2024. The net proceeds, in the amount of $98.1 million, were deposited into the construction fund, freeing up the same amount of operating cash that was subsequently used in February 2025 to defease outstanding high-coupon bonds. This transaction produced $8.6 million in total savings and $7.2 million in present value savings.  </w:t>
      </w:r>
    </w:p>
    <w:p w14:paraId="48067BF8" w14:textId="77777777" w:rsidR="00EC5699" w:rsidRPr="00165A3E" w:rsidRDefault="00EC5699" w:rsidP="0018130B">
      <w:pPr>
        <w:pStyle w:val="Heading3"/>
        <w:rPr>
          <w:rFonts w:eastAsia="Times New Roman"/>
          <w:szCs w:val="22"/>
        </w:rPr>
      </w:pPr>
      <w:r w:rsidRPr="00165A3E">
        <w:t>Net Cash Flow</w:t>
      </w:r>
    </w:p>
    <w:p w14:paraId="5DB1DE75" w14:textId="0F20259A" w:rsidR="00EC5699" w:rsidRDefault="00EC5699" w:rsidP="001330A6">
      <w:r>
        <w:t xml:space="preserve">WTD transferred $170 million of operating revenue to the capital fund at year-end, in addition to a $20.5 million transfer to the new Voluntary Operating Reserve from the </w:t>
      </w:r>
      <w:r w:rsidR="00447FD2">
        <w:t>DSRF</w:t>
      </w:r>
      <w:r>
        <w:t>. This left an ending fund balance of about $11 million in unrestricted cash in the operating fund.</w:t>
      </w:r>
    </w:p>
    <w:p w14:paraId="3D195457" w14:textId="0FC56BF2" w:rsidR="00EC5699" w:rsidRPr="001330A6" w:rsidRDefault="00EC5699" w:rsidP="00125551">
      <w:pPr>
        <w:spacing w:after="0"/>
      </w:pPr>
    </w:p>
    <w:p w14:paraId="2761033F" w14:textId="77777777" w:rsidR="00504F70" w:rsidRDefault="00504F70">
      <w:pPr>
        <w:spacing w:after="160" w:line="259" w:lineRule="auto"/>
        <w:rPr>
          <w:rFonts w:ascii="Calibri" w:eastAsiaTheme="majorEastAsia" w:hAnsi="Calibri" w:cstheme="majorBidi"/>
          <w:b/>
          <w:sz w:val="24"/>
          <w:szCs w:val="26"/>
        </w:rPr>
      </w:pPr>
      <w:bookmarkStart w:id="205" w:name="_Toc224573055"/>
      <w:r>
        <w:br w:type="page"/>
      </w:r>
    </w:p>
    <w:p w14:paraId="3A0587F6" w14:textId="357D6A3A" w:rsidR="00EC5699" w:rsidRDefault="00EC5699" w:rsidP="00125551">
      <w:pPr>
        <w:pStyle w:val="Heading2"/>
        <w:spacing w:before="0" w:after="0"/>
      </w:pPr>
      <w:r w:rsidRPr="005663DC">
        <w:lastRenderedPageBreak/>
        <w:t>Contaminants of Emerging Concern (e.g., PFAS) – Cost Tracking</w:t>
      </w:r>
      <w:bookmarkEnd w:id="205"/>
    </w:p>
    <w:p w14:paraId="375653B0" w14:textId="1102136D" w:rsidR="00EC5699" w:rsidRPr="005663DC" w:rsidRDefault="00EC5699" w:rsidP="00482305">
      <w:r w:rsidRPr="005663DC">
        <w:t xml:space="preserve">Per </w:t>
      </w:r>
      <w:r>
        <w:t xml:space="preserve">Council </w:t>
      </w:r>
      <w:r w:rsidRPr="005663DC">
        <w:t>Motion 16434: “Beginning with the 2025 sewer rate forecast, the wastewater treatment division shall include in its</w:t>
      </w:r>
      <w:r w:rsidRPr="00C02415">
        <w:t xml:space="preserve"> </w:t>
      </w:r>
      <w:r w:rsidRPr="005663DC">
        <w:t xml:space="preserve">technical memorandum submitted with the annual </w:t>
      </w:r>
      <w:r w:rsidDel="001371A9">
        <w:t>s</w:t>
      </w:r>
      <w:r w:rsidRPr="005663DC">
        <w:t xml:space="preserve">ewer </w:t>
      </w:r>
      <w:r w:rsidDel="001371A9">
        <w:t>r</w:t>
      </w:r>
      <w:r w:rsidRPr="005663DC">
        <w:t xml:space="preserve">ate </w:t>
      </w:r>
      <w:r>
        <w:t>O</w:t>
      </w:r>
      <w:r w:rsidRPr="005663DC">
        <w:t>rdinance a section identifying the cost of activities it has undertaken and plans to undertake to address contaminants of emerging concern, including PFAS.”</w:t>
      </w:r>
      <w:r w:rsidRPr="005663DC">
        <w:rPr>
          <w:rStyle w:val="EndnoteReference"/>
        </w:rPr>
        <w:endnoteReference w:id="57"/>
      </w:r>
    </w:p>
    <w:p w14:paraId="20F713B2" w14:textId="3ACD11FF" w:rsidR="00EC5699" w:rsidRPr="005663DC" w:rsidRDefault="00EC5699" w:rsidP="00A63657">
      <w:pPr>
        <w:pStyle w:val="Heading3"/>
        <w:rPr>
          <w:rFonts w:eastAsia="Times New Roman"/>
          <w:szCs w:val="22"/>
        </w:rPr>
      </w:pPr>
      <w:r w:rsidRPr="005663DC">
        <w:t>PFAS Costs to Date</w:t>
      </w:r>
    </w:p>
    <w:p w14:paraId="40E3251E" w14:textId="3B3556A4" w:rsidR="00EC5699" w:rsidRPr="00585C8B" w:rsidRDefault="00EC5699" w:rsidP="00482305">
      <w:r w:rsidRPr="00585C8B">
        <w:t xml:space="preserve">Between 2019 and 2021, King County evaluated the use of </w:t>
      </w:r>
      <w:r>
        <w:t>recycled</w:t>
      </w:r>
      <w:r w:rsidRPr="00585C8B">
        <w:t xml:space="preserve"> water from the Brightwater Treatment Plant and its effects on soil, groundwater, and plant tissue. Samples were analyzed for PFAS and other chemicals of emerging concern. PFAS compounds were detected in river water, </w:t>
      </w:r>
      <w:r>
        <w:t>recycled</w:t>
      </w:r>
      <w:r w:rsidRPr="00585C8B">
        <w:t xml:space="preserve"> (reuse) water, soils, and in plants that were grown in this soil and irrigated with either river water or reuse water. These actions total an estimated $93,750 in costs, to date, for the PFAS-portion of this work.</w:t>
      </w:r>
    </w:p>
    <w:p w14:paraId="45352443" w14:textId="0D018F85" w:rsidR="001B34E0" w:rsidRPr="00585C8B" w:rsidRDefault="00EC5699" w:rsidP="00482305">
      <w:r w:rsidRPr="00585C8B">
        <w:t>Between 2021-2022, King County conducted an investigation and published a report on Toxics in King County Wastewater Effluent, Evaluating the Presence of Toxic Elements in the Effluent of Treatment Plants.</w:t>
      </w:r>
      <w:r w:rsidRPr="00585C8B">
        <w:rPr>
          <w:rStyle w:val="EndnoteReference"/>
        </w:rPr>
        <w:endnoteReference w:id="58"/>
      </w:r>
      <w:r w:rsidRPr="00585C8B">
        <w:t xml:space="preserve"> </w:t>
      </w:r>
      <w:r w:rsidR="001B34E0" w:rsidRPr="00585C8B">
        <w:t xml:space="preserve">This investigation included the sampling of wastewater effluent for PFAS compounds at three County </w:t>
      </w:r>
      <w:r w:rsidR="3F1CB350" w:rsidRPr="00585C8B">
        <w:t>w</w:t>
      </w:r>
      <w:r w:rsidR="001B34E0" w:rsidRPr="00585C8B">
        <w:t xml:space="preserve">astewater </w:t>
      </w:r>
      <w:r w:rsidR="784CEC19" w:rsidRPr="00585C8B">
        <w:t>t</w:t>
      </w:r>
      <w:r w:rsidR="001B34E0" w:rsidRPr="00585C8B">
        <w:t xml:space="preserve">reatment </w:t>
      </w:r>
      <w:r w:rsidR="5AC6F3A4" w:rsidRPr="00585C8B">
        <w:t>p</w:t>
      </w:r>
      <w:r w:rsidR="001B34E0" w:rsidRPr="00585C8B">
        <w:t xml:space="preserve">lants. Estimated </w:t>
      </w:r>
      <w:r w:rsidR="00691436" w:rsidRPr="00585C8B">
        <w:t xml:space="preserve">out-of-pocket costs </w:t>
      </w:r>
      <w:r w:rsidR="0004081F" w:rsidRPr="00585C8B">
        <w:t>connected to this project totaled</w:t>
      </w:r>
      <w:r w:rsidR="001B34E0" w:rsidRPr="00585C8B">
        <w:t xml:space="preserve"> $24,990</w:t>
      </w:r>
      <w:r w:rsidR="003D50C6" w:rsidRPr="00585C8B">
        <w:t>,</w:t>
      </w:r>
      <w:r w:rsidR="001B34E0" w:rsidRPr="00585C8B">
        <w:t xml:space="preserve"> related specifically to PFAS. </w:t>
      </w:r>
    </w:p>
    <w:p w14:paraId="22BCFBA1" w14:textId="59E1C11C" w:rsidR="001B34E0" w:rsidRPr="000814F3" w:rsidRDefault="001B34E0" w:rsidP="00482305">
      <w:r>
        <w:t xml:space="preserve">In 2023, King County allocated approximately $421,000 for a further investigation of PFAS in King County wastewater facilities and landfill leachate, anticipated to be completed by mid-2025. </w:t>
      </w:r>
      <w:r w:rsidR="00DB1D9C">
        <w:t>In</w:t>
      </w:r>
      <w:r w:rsidR="00C37318">
        <w:t xml:space="preserve"> mid-</w:t>
      </w:r>
      <w:r w:rsidR="00DB1D9C">
        <w:t>2024, King County began tracking staff hours</w:t>
      </w:r>
      <w:r w:rsidR="00C37318">
        <w:t xml:space="preserve"> associated with PFAS</w:t>
      </w:r>
      <w:r w:rsidR="00815C75">
        <w:t xml:space="preserve"> on a regular basis</w:t>
      </w:r>
      <w:r w:rsidR="6EE5FFB3">
        <w:t>;</w:t>
      </w:r>
      <w:r w:rsidR="00C37318">
        <w:t xml:space="preserve"> 2024 </w:t>
      </w:r>
      <w:r w:rsidR="3D8F6697">
        <w:t xml:space="preserve">data </w:t>
      </w:r>
      <w:r w:rsidR="00C37318">
        <w:t xml:space="preserve">estimates that </w:t>
      </w:r>
      <w:r w:rsidR="009E0D8D">
        <w:t>300</w:t>
      </w:r>
      <w:r w:rsidR="00C37318">
        <w:t xml:space="preserve"> hours and </w:t>
      </w:r>
      <w:r w:rsidR="000F48FE">
        <w:t>$27,300 in costs were spent.</w:t>
      </w:r>
      <w:r w:rsidR="00B552F4">
        <w:t xml:space="preserve"> About $30,000</w:t>
      </w:r>
      <w:r w:rsidR="00E6135D">
        <w:t xml:space="preserve"> was spent on PFAS testing in 2025.</w:t>
      </w:r>
    </w:p>
    <w:p w14:paraId="3EB21CFE" w14:textId="41757297" w:rsidR="001330A6" w:rsidRPr="000814F3" w:rsidRDefault="001B34E0" w:rsidP="00482305">
      <w:r w:rsidRPr="000814F3">
        <w:t xml:space="preserve">Costs associated with </w:t>
      </w:r>
      <w:r w:rsidR="00FB15BE" w:rsidRPr="000814F3">
        <w:t>the Nutrient Reduction Evaluation</w:t>
      </w:r>
      <w:r w:rsidRPr="000814F3">
        <w:t xml:space="preserve"> </w:t>
      </w:r>
      <w:r w:rsidR="00FB15BE" w:rsidRPr="000814F3" w:rsidDel="00815CD4">
        <w:t>(</w:t>
      </w:r>
      <w:r w:rsidR="000E40DE" w:rsidRPr="000814F3">
        <w:t xml:space="preserve">total estimate of </w:t>
      </w:r>
      <w:r w:rsidR="00A5746D" w:rsidRPr="000814F3">
        <w:t xml:space="preserve">approximately </w:t>
      </w:r>
      <w:r w:rsidR="00902F1C" w:rsidRPr="000814F3">
        <w:t>$8 million)</w:t>
      </w:r>
      <w:r w:rsidRPr="000814F3">
        <w:t xml:space="preserve"> </w:t>
      </w:r>
      <w:r w:rsidR="00587C88" w:rsidRPr="000814F3">
        <w:t>include</w:t>
      </w:r>
      <w:r w:rsidRPr="000814F3">
        <w:t xml:space="preserve"> hiring an external consultant to conduct analyses of nitrogen removal but also with potential compounds of emerging concern and toxics removal, including PFAS chemicals</w:t>
      </w:r>
      <w:r w:rsidR="00815CD4" w:rsidRPr="000814F3">
        <w:t>. To</w:t>
      </w:r>
      <w:r w:rsidRPr="000814F3">
        <w:t xml:space="preserve"> date</w:t>
      </w:r>
      <w:r w:rsidR="006135B8" w:rsidRPr="000814F3">
        <w:t>,</w:t>
      </w:r>
      <w:r w:rsidRPr="000814F3">
        <w:t xml:space="preserve"> an estimated $63,500 </w:t>
      </w:r>
      <w:r w:rsidR="00CD15BB" w:rsidRPr="000814F3">
        <w:t>h</w:t>
      </w:r>
      <w:r w:rsidR="00901D18" w:rsidRPr="000814F3">
        <w:t>a</w:t>
      </w:r>
      <w:r w:rsidR="00CD15BB" w:rsidRPr="000814F3">
        <w:t>s been spen</w:t>
      </w:r>
      <w:r w:rsidR="00FA5640" w:rsidRPr="000814F3">
        <w:t>t</w:t>
      </w:r>
      <w:r w:rsidR="00CD15BB" w:rsidRPr="000814F3">
        <w:t xml:space="preserve"> on work</w:t>
      </w:r>
      <w:r w:rsidR="00815CD4" w:rsidRPr="000814F3">
        <w:t xml:space="preserve"> </w:t>
      </w:r>
      <w:r w:rsidRPr="000814F3">
        <w:t xml:space="preserve">attributable </w:t>
      </w:r>
      <w:r w:rsidRPr="000814F3" w:rsidDel="00CD15BB">
        <w:t xml:space="preserve">to </w:t>
      </w:r>
      <w:r w:rsidRPr="000814F3">
        <w:t>PFAS chemicals.</w:t>
      </w:r>
    </w:p>
    <w:p w14:paraId="28881FEF" w14:textId="5FB6BCCD" w:rsidR="001330A6" w:rsidRPr="005663DC" w:rsidRDefault="00A40AA9" w:rsidP="00482305">
      <w:r w:rsidRPr="00A40AA9">
        <w:t>Between 2023</w:t>
      </w:r>
      <w:r w:rsidR="0072665F">
        <w:t xml:space="preserve"> and 20</w:t>
      </w:r>
      <w:r w:rsidRPr="00A40AA9">
        <w:t>25, King County spent approximately $717,000 to sample monthly for PFAS in influent, effluent, and biosolids from WTD’s three major treatment plants, as well as Cedar Hills Landfill leachate</w:t>
      </w:r>
      <w:r w:rsidR="00AB1153">
        <w:t>.</w:t>
      </w:r>
    </w:p>
    <w:p w14:paraId="5A863A16" w14:textId="5D6FC113" w:rsidR="005E3958" w:rsidRPr="005663DC" w:rsidRDefault="00947732" w:rsidP="005E3958">
      <w:pPr>
        <w:pStyle w:val="Heading3"/>
        <w:rPr>
          <w:rFonts w:eastAsia="Times New Roman"/>
          <w:szCs w:val="22"/>
        </w:rPr>
      </w:pPr>
      <w:r w:rsidRPr="005663DC">
        <w:t>Future Costs</w:t>
      </w:r>
    </w:p>
    <w:p w14:paraId="22BA5F25" w14:textId="1D640E01" w:rsidR="001330A6" w:rsidRPr="005663DC" w:rsidRDefault="00AD54B2" w:rsidP="001330A6">
      <w:r>
        <w:t>WTD incur</w:t>
      </w:r>
      <w:r w:rsidR="009B46DF">
        <w:t>red</w:t>
      </w:r>
      <w:r>
        <w:t xml:space="preserve"> costs to comply with Ecology’s draft NPDES permit for the West Point Treatment Plant, which </w:t>
      </w:r>
      <w:r w:rsidR="007B3768">
        <w:t xml:space="preserve">required </w:t>
      </w:r>
      <w:r>
        <w:t>the County to update its industrial user survey by April 30, 2025</w:t>
      </w:r>
      <w:r w:rsidR="00885A10">
        <w:t>,</w:t>
      </w:r>
      <w:r>
        <w:t xml:space="preserve"> and begin to include requirements for industries to complete PFAS pollution prevention</w:t>
      </w:r>
      <w:r w:rsidR="00B14133">
        <w:t xml:space="preserve"> and </w:t>
      </w:r>
      <w:r>
        <w:t xml:space="preserve">source reduction evaluations starting in July 2025. The draft permit also requires the County to include best management practices and pollution prevention strategies in its permits to industries beginning </w:t>
      </w:r>
      <w:r w:rsidR="4F897565">
        <w:t xml:space="preserve">in </w:t>
      </w:r>
      <w:r>
        <w:t xml:space="preserve">July 2025. </w:t>
      </w:r>
      <w:r w:rsidR="00EE30A8">
        <w:t>The cost e</w:t>
      </w:r>
      <w:r>
        <w:t xml:space="preserve">stimate </w:t>
      </w:r>
      <w:r w:rsidR="00EE30A8">
        <w:t>for this work is</w:t>
      </w:r>
      <w:r>
        <w:t xml:space="preserve"> $1 million over </w:t>
      </w:r>
      <w:r w:rsidR="007D3540">
        <w:t>five</w:t>
      </w:r>
      <w:r>
        <w:t xml:space="preserve"> years</w:t>
      </w:r>
      <w:r w:rsidR="00363E18">
        <w:t>.</w:t>
      </w:r>
    </w:p>
    <w:p w14:paraId="3A7C53DA" w14:textId="21DBC2A8" w:rsidR="003B79BB" w:rsidRDefault="00363E18" w:rsidP="001330A6">
      <w:pPr>
        <w:sectPr w:rsidR="003B79BB" w:rsidSect="00B7014B">
          <w:footerReference w:type="default" r:id="rId50"/>
          <w:endnotePr>
            <w:numFmt w:val="decimal"/>
          </w:endnotePr>
          <w:type w:val="continuous"/>
          <w:pgSz w:w="12240" w:h="15840"/>
          <w:pgMar w:top="1008" w:right="720" w:bottom="1008" w:left="720" w:header="720" w:footer="720" w:gutter="0"/>
          <w:cols w:space="720"/>
          <w:titlePg/>
          <w:docGrid w:linePitch="360"/>
        </w:sectPr>
      </w:pPr>
      <w:r w:rsidRPr="005663DC">
        <w:t>Other future unknown costs include m</w:t>
      </w:r>
      <w:r w:rsidR="00CB3708" w:rsidRPr="005663DC">
        <w:t xml:space="preserve">onitoring for PFAS in stormwater, wastewater treatment plant influent </w:t>
      </w:r>
      <w:r w:rsidR="001939CB" w:rsidRPr="005663DC">
        <w:t xml:space="preserve">and </w:t>
      </w:r>
      <w:r w:rsidR="00CB3708" w:rsidRPr="005663DC">
        <w:t xml:space="preserve">effluent, biosolids, </w:t>
      </w:r>
      <w:r w:rsidR="001939CB" w:rsidRPr="005663DC">
        <w:t xml:space="preserve">and </w:t>
      </w:r>
      <w:r w:rsidR="00CB3708" w:rsidRPr="005663DC">
        <w:t>industrial waste</w:t>
      </w:r>
      <w:r w:rsidR="00CB3708" w:rsidRPr="005869CB">
        <w:t>.</w:t>
      </w:r>
    </w:p>
    <w:p w14:paraId="48D9BCB7" w14:textId="3797E977" w:rsidR="00A92AA3" w:rsidRDefault="00A92AA3" w:rsidP="006A5FD8">
      <w:pPr>
        <w:pStyle w:val="Heading1"/>
        <w:ind w:left="360"/>
      </w:pPr>
      <w:bookmarkStart w:id="208" w:name="_Toc224573056"/>
      <w:r>
        <w:lastRenderedPageBreak/>
        <w:t>Appendix</w:t>
      </w:r>
      <w:r w:rsidR="00C43897">
        <w:t xml:space="preserve">. </w:t>
      </w:r>
      <w:r w:rsidR="00C43897" w:rsidDel="00FE6B67">
        <w:t>Attachment</w:t>
      </w:r>
      <w:r w:rsidR="007115DD">
        <w:t xml:space="preserve"> </w:t>
      </w:r>
      <w:r w:rsidR="00C43897">
        <w:t>A</w:t>
      </w:r>
      <w:bookmarkEnd w:id="208"/>
    </w:p>
    <w:p w14:paraId="7024E9B1" w14:textId="77777777" w:rsidR="007C4898" w:rsidRDefault="00B262C4" w:rsidP="007266BA">
      <w:pPr>
        <w:jc w:val="center"/>
        <w:sectPr w:rsidR="007C4898" w:rsidSect="00B7014B">
          <w:endnotePr>
            <w:numFmt w:val="decimal"/>
          </w:endnotePr>
          <w:pgSz w:w="15840" w:h="12240" w:orient="landscape" w:code="1"/>
          <w:pgMar w:top="1008" w:right="720" w:bottom="1008" w:left="720" w:header="720" w:footer="720" w:gutter="0"/>
          <w:cols w:space="720"/>
          <w:titlePg/>
          <w:docGrid w:linePitch="360"/>
        </w:sectPr>
      </w:pPr>
      <w:r w:rsidRPr="00B262C4">
        <w:rPr>
          <w:noProof/>
        </w:rPr>
        <w:drawing>
          <wp:inline distT="0" distB="0" distL="0" distR="0" wp14:anchorId="10FB880B" wp14:editId="6A968BDE">
            <wp:extent cx="8858707" cy="5863972"/>
            <wp:effectExtent l="0" t="0" r="0" b="3810"/>
            <wp:docPr id="16015181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860372" cy="5865074"/>
                    </a:xfrm>
                    <a:prstGeom prst="rect">
                      <a:avLst/>
                    </a:prstGeom>
                    <a:noFill/>
                    <a:ln>
                      <a:noFill/>
                    </a:ln>
                  </pic:spPr>
                </pic:pic>
              </a:graphicData>
            </a:graphic>
          </wp:inline>
        </w:drawing>
      </w:r>
    </w:p>
    <w:p w14:paraId="74C35BC0" w14:textId="5F256ED9" w:rsidR="001330A6" w:rsidRPr="001330A6" w:rsidRDefault="007C4898" w:rsidP="007C4898">
      <w:pPr>
        <w:pStyle w:val="Heading1"/>
      </w:pPr>
      <w:bookmarkStart w:id="209" w:name="_Toc224573057"/>
      <w:r>
        <w:lastRenderedPageBreak/>
        <w:t>Endnotes</w:t>
      </w:r>
      <w:bookmarkEnd w:id="209"/>
    </w:p>
    <w:sectPr w:rsidR="001330A6" w:rsidRPr="001330A6" w:rsidSect="007C4898">
      <w:endnotePr>
        <w:numFmt w:val="decimal"/>
      </w:endnotePr>
      <w:pgSz w:w="12240" w:h="15840" w:code="1"/>
      <w:pgMar w:top="720" w:right="1008" w:bottom="720"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43002" w14:textId="77777777" w:rsidR="00CC0788" w:rsidRDefault="00CC0788" w:rsidP="00B9394F">
      <w:r>
        <w:separator/>
      </w:r>
    </w:p>
  </w:endnote>
  <w:endnote w:type="continuationSeparator" w:id="0">
    <w:p w14:paraId="380B39FF" w14:textId="77777777" w:rsidR="00CC0788" w:rsidRDefault="00CC0788" w:rsidP="00B9394F">
      <w:r>
        <w:continuationSeparator/>
      </w:r>
    </w:p>
  </w:endnote>
  <w:endnote w:type="continuationNotice" w:id="1">
    <w:p w14:paraId="61DC8BE5" w14:textId="77777777" w:rsidR="00CC0788" w:rsidRDefault="00CC0788" w:rsidP="00B9394F"/>
  </w:endnote>
  <w:endnote w:id="2">
    <w:p w14:paraId="280079EC" w14:textId="43CA94B9" w:rsidR="00EC5699" w:rsidRDefault="00EC5699" w:rsidP="00E217A5">
      <w:pPr>
        <w:pStyle w:val="EndnoteText"/>
        <w:spacing w:after="0"/>
      </w:pPr>
      <w:r>
        <w:rPr>
          <w:rStyle w:val="EndnoteReference"/>
        </w:rPr>
        <w:endnoteRef/>
      </w:r>
      <w:r>
        <w:t xml:space="preserve"> Motion 16449 can be found </w:t>
      </w:r>
      <w:hyperlink r:id="rId1" w:history="1">
        <w:r w:rsidRPr="00CB39FC">
          <w:rPr>
            <w:rStyle w:val="Hyperlink"/>
          </w:rPr>
          <w:t>here</w:t>
        </w:r>
      </w:hyperlink>
      <w:r>
        <w:t>.</w:t>
      </w:r>
    </w:p>
  </w:endnote>
  <w:endnote w:id="3">
    <w:p w14:paraId="69EB0101" w14:textId="5F465220" w:rsidR="00EC5699" w:rsidRDefault="00EC5699" w:rsidP="00E217A5">
      <w:pPr>
        <w:pStyle w:val="EndnoteText"/>
        <w:spacing w:after="0"/>
      </w:pPr>
      <w:r>
        <w:rPr>
          <w:rStyle w:val="EndnoteReference"/>
        </w:rPr>
        <w:endnoteRef/>
      </w:r>
      <w:r>
        <w:t xml:space="preserve"> The modified consent decree schedule can be found </w:t>
      </w:r>
      <w:hyperlink r:id="rId2" w:history="1">
        <w:r w:rsidRPr="003C2C3D">
          <w:rPr>
            <w:rStyle w:val="Hyperlink"/>
          </w:rPr>
          <w:t>here</w:t>
        </w:r>
      </w:hyperlink>
      <w:r>
        <w:t>.</w:t>
      </w:r>
    </w:p>
  </w:endnote>
  <w:endnote w:id="4">
    <w:p w14:paraId="36507DF7" w14:textId="3F26BE68" w:rsidR="00EC5699" w:rsidRDefault="00EC5699" w:rsidP="00E217A5">
      <w:pPr>
        <w:pStyle w:val="EndnoteText"/>
        <w:spacing w:after="0"/>
      </w:pPr>
      <w:r>
        <w:rPr>
          <w:rStyle w:val="EndnoteReference"/>
        </w:rPr>
        <w:endnoteRef/>
      </w:r>
      <w:r>
        <w:t xml:space="preserve"> More information on WTD’s CSO program can be found </w:t>
      </w:r>
      <w:hyperlink r:id="rId3" w:history="1">
        <w:r w:rsidRPr="000F1CCC">
          <w:rPr>
            <w:rStyle w:val="Hyperlink"/>
          </w:rPr>
          <w:t>here</w:t>
        </w:r>
      </w:hyperlink>
      <w:r>
        <w:t>.</w:t>
      </w:r>
    </w:p>
  </w:endnote>
  <w:endnote w:id="5">
    <w:p w14:paraId="420CB635" w14:textId="1BB214B5" w:rsidR="00EC5699" w:rsidRDefault="00EC5699" w:rsidP="00E217A5">
      <w:pPr>
        <w:pStyle w:val="EndnoteText"/>
        <w:spacing w:after="0"/>
      </w:pPr>
      <w:r>
        <w:rPr>
          <w:rStyle w:val="EndnoteReference"/>
        </w:rPr>
        <w:endnoteRef/>
      </w:r>
      <w:r>
        <w:t xml:space="preserve"> WTD’s 2026-27 budget book can be found </w:t>
      </w:r>
      <w:hyperlink r:id="rId4" w:history="1">
        <w:r w:rsidRPr="003F1C3A">
          <w:rPr>
            <w:rStyle w:val="Hyperlink"/>
          </w:rPr>
          <w:t>here</w:t>
        </w:r>
      </w:hyperlink>
      <w:r>
        <w:t>.</w:t>
      </w:r>
    </w:p>
  </w:endnote>
  <w:endnote w:id="6">
    <w:p w14:paraId="61BD6EC9" w14:textId="0FBCD527" w:rsidR="00EC5699" w:rsidRDefault="00EC5699" w:rsidP="00E217A5">
      <w:pPr>
        <w:pStyle w:val="EndnoteText"/>
        <w:spacing w:after="0"/>
      </w:pPr>
      <w:r>
        <w:rPr>
          <w:rStyle w:val="EndnoteReference"/>
        </w:rPr>
        <w:endnoteRef/>
      </w:r>
      <w:r>
        <w:t xml:space="preserve"> More information on the case is available </w:t>
      </w:r>
      <w:hyperlink r:id="rId5" w:history="1">
        <w:r w:rsidRPr="00001156">
          <w:rPr>
            <w:rStyle w:val="Hyperlink"/>
          </w:rPr>
          <w:t>here</w:t>
        </w:r>
      </w:hyperlink>
      <w:r>
        <w:t>.</w:t>
      </w:r>
    </w:p>
  </w:endnote>
  <w:endnote w:id="7">
    <w:p w14:paraId="31275DE5" w14:textId="77777777" w:rsidR="00EC5699" w:rsidRDefault="00EC5699" w:rsidP="007C4898">
      <w:pPr>
        <w:pStyle w:val="EndnoteText"/>
        <w:spacing w:after="0"/>
      </w:pPr>
      <w:r>
        <w:rPr>
          <w:rStyle w:val="EndnoteReference"/>
        </w:rPr>
        <w:endnoteRef/>
      </w:r>
      <w:r>
        <w:t xml:space="preserve"> In this context “smoothed annual increases” refers to avoidance of year-to-year volatility in the sewer rate. </w:t>
      </w:r>
    </w:p>
  </w:endnote>
  <w:endnote w:id="8">
    <w:p w14:paraId="24FE137F" w14:textId="77777777"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w:t>
      </w:r>
      <w:r w:rsidRPr="00837C83">
        <w:rPr>
          <w:sz w:val="20"/>
          <w:szCs w:val="20"/>
          <w:shd w:val="clear" w:color="auto" w:fill="FFFFFF"/>
        </w:rPr>
        <w:t>Secondary treatment includes aeration, settling, disinfection, and discharge through an outfall. Secondary treatment in conjunction with primary treatment removes about 85 to 90 percent of suspended solids in wastewater.</w:t>
      </w:r>
    </w:p>
  </w:endnote>
  <w:endnote w:id="9">
    <w:p w14:paraId="423EAD8D" w14:textId="77777777"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w:t>
      </w:r>
      <w:r w:rsidRPr="00837C83">
        <w:rPr>
          <w:rStyle w:val="Strong"/>
          <w:rFonts w:cstheme="minorHAnsi"/>
          <w:b w:val="0"/>
          <w:bCs w:val="0"/>
          <w:color w:val="23221F"/>
          <w:sz w:val="20"/>
          <w:szCs w:val="20"/>
          <w:shd w:val="clear" w:color="auto" w:fill="FFFFFF"/>
        </w:rPr>
        <w:t>Combined sewer overflows (CSOs) are relief points in sewer systems that carry sewage and stormwater in the same pipe. </w:t>
      </w:r>
      <w:r w:rsidRPr="00837C83">
        <w:rPr>
          <w:sz w:val="20"/>
          <w:szCs w:val="20"/>
          <w:shd w:val="clear" w:color="auto" w:fill="FFFFFF"/>
        </w:rPr>
        <w:t>When heavy rains fill the pipes, CSOs release sewage and stormwater into rivers, lakes, or Puget Sound</w:t>
      </w:r>
      <w:r w:rsidRPr="00837C83">
        <w:rPr>
          <w:rStyle w:val="Strong"/>
          <w:rFonts w:cstheme="minorHAnsi"/>
          <w:b w:val="0"/>
          <w:bCs w:val="0"/>
          <w:color w:val="23221F"/>
          <w:sz w:val="20"/>
          <w:szCs w:val="20"/>
          <w:shd w:val="clear" w:color="auto" w:fill="FFFFFF"/>
        </w:rPr>
        <w:t>.</w:t>
      </w:r>
      <w:r w:rsidRPr="00837C83">
        <w:rPr>
          <w:sz w:val="20"/>
          <w:szCs w:val="20"/>
          <w:shd w:val="clear" w:color="auto" w:fill="FFFFFF"/>
        </w:rPr>
        <w:t> They prevent sewage backups into homes and businesses but can harm people and animals living in the water because they carry chemicals and germs.</w:t>
      </w:r>
    </w:p>
  </w:endnote>
  <w:endnote w:id="10">
    <w:p w14:paraId="7994DFD2" w14:textId="7E751094"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“High strength” refers to more concentrated waste. The surcharge covers the additional </w:t>
      </w:r>
      <w:r>
        <w:rPr>
          <w:sz w:val="20"/>
          <w:szCs w:val="20"/>
        </w:rPr>
        <w:t xml:space="preserve">operating </w:t>
      </w:r>
      <w:r w:rsidRPr="00837C83">
        <w:rPr>
          <w:sz w:val="20"/>
          <w:szCs w:val="20"/>
        </w:rPr>
        <w:t>cost of treating this waste at the treatment plant.</w:t>
      </w:r>
    </w:p>
  </w:endnote>
  <w:endnote w:id="11">
    <w:p w14:paraId="5F5B872E" w14:textId="5BC7F913"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The </w:t>
      </w:r>
      <w:hyperlink r:id="rId6" w:history="1">
        <w:r w:rsidRPr="00837C83">
          <w:rPr>
            <w:rStyle w:val="Hyperlink"/>
            <w:sz w:val="20"/>
            <w:szCs w:val="20"/>
          </w:rPr>
          <w:t>capacity charge</w:t>
        </w:r>
      </w:hyperlink>
      <w:r w:rsidRPr="00837C83">
        <w:rPr>
          <w:sz w:val="20"/>
          <w:szCs w:val="20"/>
        </w:rPr>
        <w:t xml:space="preserve"> is billed to </w:t>
      </w:r>
      <w:r>
        <w:rPr>
          <w:sz w:val="20"/>
          <w:szCs w:val="20"/>
        </w:rPr>
        <w:t>new connections</w:t>
      </w:r>
      <w:r w:rsidRPr="00837C83">
        <w:rPr>
          <w:sz w:val="20"/>
          <w:szCs w:val="20"/>
        </w:rPr>
        <w:t xml:space="preserve"> to the system</w:t>
      </w:r>
      <w:r>
        <w:rPr>
          <w:sz w:val="20"/>
          <w:szCs w:val="20"/>
        </w:rPr>
        <w:t>.</w:t>
      </w:r>
      <w:r w:rsidRPr="00837C83">
        <w:rPr>
          <w:sz w:val="20"/>
          <w:szCs w:val="20"/>
        </w:rPr>
        <w:t xml:space="preserve"> The charge is assessed monthly for a term of 15 years from the date the new service is established and is based on the cost of system capacity necessary to serve a new connection.</w:t>
      </w:r>
    </w:p>
  </w:endnote>
  <w:endnote w:id="12">
    <w:p w14:paraId="290A932F" w14:textId="77777777" w:rsidR="00EC5699" w:rsidRDefault="00EC5699" w:rsidP="007C4898">
      <w:pPr>
        <w:pStyle w:val="EndnoteText"/>
        <w:spacing w:after="0"/>
      </w:pPr>
      <w:r>
        <w:rPr>
          <w:rStyle w:val="EndnoteReference"/>
        </w:rPr>
        <w:endnoteRef/>
      </w:r>
      <w:r>
        <w:t xml:space="preserve"> More information on compliance and monitoring fees can be found </w:t>
      </w:r>
      <w:hyperlink r:id="rId7" w:history="1">
        <w:r w:rsidRPr="00F62C59">
          <w:rPr>
            <w:rStyle w:val="Hyperlink"/>
          </w:rPr>
          <w:t>here</w:t>
        </w:r>
      </w:hyperlink>
      <w:r>
        <w:t>.</w:t>
      </w:r>
    </w:p>
  </w:endnote>
  <w:endnote w:id="13">
    <w:p w14:paraId="4821FC74" w14:textId="77777777" w:rsidR="00EC5699" w:rsidRDefault="00EC5699" w:rsidP="007C4898">
      <w:pPr>
        <w:pStyle w:val="EndnoteText"/>
        <w:spacing w:after="0"/>
      </w:pPr>
      <w:r>
        <w:rPr>
          <w:rStyle w:val="EndnoteReference"/>
        </w:rPr>
        <w:endnoteRef/>
      </w:r>
      <w:r>
        <w:t xml:space="preserve"> More information on enterprise funds can be found in the </w:t>
      </w:r>
      <w:hyperlink r:id="rId8" w:history="1">
        <w:r>
          <w:rPr>
            <w:rStyle w:val="Hyperlink"/>
          </w:rPr>
          <w:t>WA State Administrative and Accounting Manual</w:t>
        </w:r>
      </w:hyperlink>
      <w:r>
        <w:t>.</w:t>
      </w:r>
    </w:p>
  </w:endnote>
  <w:endnote w:id="14">
    <w:p w14:paraId="42CE77C9" w14:textId="77777777" w:rsidR="00EC5699" w:rsidRDefault="00EC5699" w:rsidP="007C4898">
      <w:pPr>
        <w:pStyle w:val="EndnoteText"/>
        <w:spacing w:after="0"/>
      </w:pPr>
      <w:r>
        <w:rPr>
          <w:rStyle w:val="EndnoteReference"/>
        </w:rPr>
        <w:endnoteRef/>
      </w:r>
      <w:r>
        <w:t xml:space="preserve"> A combined sewer system collects rainwater runoff and domestic wastewater into a single pipe and conveys it to a wastewater treatment plant. During heavy rain events, the amount of runoff can exceed the capacity of the system, resulting in a combined sewer overflow (CSO), where untreated wastewater and stormwater flows into nearby receiving waters. More information on WTD’s CSO control program can be found </w:t>
      </w:r>
      <w:hyperlink r:id="rId9" w:history="1">
        <w:r w:rsidRPr="002D4F04">
          <w:rPr>
            <w:rStyle w:val="Hyperlink"/>
          </w:rPr>
          <w:t>here</w:t>
        </w:r>
      </w:hyperlink>
      <w:r>
        <w:t>.</w:t>
      </w:r>
    </w:p>
  </w:endnote>
  <w:endnote w:id="15">
    <w:p w14:paraId="4FEB88C6" w14:textId="3B494708" w:rsidR="00EC5699" w:rsidRDefault="00EC5699" w:rsidP="007C4898">
      <w:pPr>
        <w:pStyle w:val="EndnoteText"/>
        <w:spacing w:after="0"/>
      </w:pPr>
      <w:r>
        <w:rPr>
          <w:rStyle w:val="EndnoteReference"/>
        </w:rPr>
        <w:endnoteRef/>
      </w:r>
      <w:r>
        <w:t xml:space="preserve"> More information on CSO regulations and requirements can be found </w:t>
      </w:r>
      <w:hyperlink r:id="rId10" w:history="1">
        <w:r w:rsidRPr="0020737B">
          <w:rPr>
            <w:rStyle w:val="Hyperlink"/>
          </w:rPr>
          <w:t>here.</w:t>
        </w:r>
      </w:hyperlink>
    </w:p>
  </w:endnote>
  <w:endnote w:id="16">
    <w:p w14:paraId="1BC60A9A" w14:textId="4CE00EFA" w:rsidR="00EC5699" w:rsidRDefault="00EC5699" w:rsidP="007C4898">
      <w:pPr>
        <w:pStyle w:val="EndnoteText"/>
        <w:spacing w:after="0"/>
      </w:pPr>
      <w:r>
        <w:rPr>
          <w:rStyle w:val="EndnoteReference"/>
        </w:rPr>
        <w:endnoteRef/>
      </w:r>
      <w:r>
        <w:t xml:space="preserve"> </w:t>
      </w:r>
      <w:r w:rsidRPr="00C540A1">
        <w:t>Depreciation is an accounting concept that divides an asset’s cost by its estimated useful life</w:t>
      </w:r>
      <w:r>
        <w:t>, representing how much that</w:t>
      </w:r>
      <w:r w:rsidRPr="00C540A1">
        <w:t xml:space="preserve"> asset </w:t>
      </w:r>
      <w:r>
        <w:t>is expected to wear out or lose value every year. Original cost refers to the actual cost of an asset, rather than the cost adjusted for inflation.</w:t>
      </w:r>
    </w:p>
  </w:endnote>
  <w:endnote w:id="17">
    <w:p w14:paraId="6807C3BD" w14:textId="4CC95B23" w:rsidR="00EC5699" w:rsidRDefault="00EC5699" w:rsidP="007C4898">
      <w:pPr>
        <w:pStyle w:val="EndnoteText"/>
        <w:spacing w:after="0"/>
      </w:pPr>
      <w:r>
        <w:rPr>
          <w:rStyle w:val="EndnoteReference"/>
        </w:rPr>
        <w:endnoteRef/>
      </w:r>
      <w:r>
        <w:t xml:space="preserve"> </w:t>
      </w:r>
      <w:r w:rsidRPr="00A91091">
        <w:rPr>
          <w:shd w:val="clear" w:color="auto" w:fill="FFFFFF"/>
        </w:rPr>
        <w:t>Debt financing</w:t>
      </w:r>
      <w:r>
        <w:rPr>
          <w:shd w:val="clear" w:color="auto" w:fill="FFFFFF"/>
        </w:rPr>
        <w:t xml:space="preserve"> </w:t>
      </w:r>
      <w:r w:rsidRPr="00A91091">
        <w:rPr>
          <w:shd w:val="clear" w:color="auto" w:fill="FFFFFF"/>
        </w:rPr>
        <w:t xml:space="preserve">occurs when </w:t>
      </w:r>
      <w:r>
        <w:rPr>
          <w:shd w:val="clear" w:color="auto" w:fill="FFFFFF"/>
        </w:rPr>
        <w:t>WTD borrows from investors in the municipal bond capital markets, or financial institutions directly, or avails financing from state and federal agencies.</w:t>
      </w:r>
    </w:p>
  </w:endnote>
  <w:endnote w:id="18">
    <w:p w14:paraId="70C6B293" w14:textId="799B4FCA" w:rsidR="00EC5699" w:rsidRDefault="00EC5699" w:rsidP="007C4898">
      <w:pPr>
        <w:pStyle w:val="EndnoteText"/>
        <w:spacing w:after="0"/>
      </w:pPr>
      <w:r>
        <w:rPr>
          <w:rStyle w:val="EndnoteReference"/>
        </w:rPr>
        <w:endnoteRef/>
      </w:r>
      <w:r>
        <w:t xml:space="preserve"> </w:t>
      </w:r>
      <w:r w:rsidRPr="00744F55">
        <w:t xml:space="preserve">The State and Local Government Series securities program was established in 1972 </w:t>
      </w:r>
      <w:r>
        <w:t>to</w:t>
      </w:r>
      <w:r w:rsidRPr="00744F55">
        <w:t xml:space="preserve"> restricted state and local governments from earning arbitrage profits by investing bond proceeds in higher yielding investments</w:t>
      </w:r>
      <w:r>
        <w:t xml:space="preserve">. More information is available </w:t>
      </w:r>
      <w:hyperlink r:id="rId11" w:history="1">
        <w:r w:rsidRPr="005C795B">
          <w:rPr>
            <w:rStyle w:val="Hyperlink"/>
          </w:rPr>
          <w:t>here</w:t>
        </w:r>
      </w:hyperlink>
      <w:r>
        <w:t>.</w:t>
      </w:r>
    </w:p>
  </w:endnote>
  <w:endnote w:id="19">
    <w:p w14:paraId="5B50F038" w14:textId="77777777" w:rsidR="00EC5699" w:rsidRDefault="00EC5699" w:rsidP="007C4898">
      <w:pPr>
        <w:pStyle w:val="EndnoteText"/>
        <w:spacing w:after="0"/>
      </w:pPr>
      <w:r>
        <w:rPr>
          <w:rStyle w:val="EndnoteReference"/>
        </w:rPr>
        <w:endnoteRef/>
      </w:r>
      <w:r>
        <w:t xml:space="preserve"> Ordinance 19575 can be found </w:t>
      </w:r>
      <w:hyperlink r:id="rId12" w:history="1">
        <w:r w:rsidRPr="00357579">
          <w:rPr>
            <w:rStyle w:val="Hyperlink"/>
          </w:rPr>
          <w:t>here</w:t>
        </w:r>
      </w:hyperlink>
      <w:r>
        <w:t>.</w:t>
      </w:r>
    </w:p>
  </w:endnote>
  <w:endnote w:id="20">
    <w:p w14:paraId="026A4B74" w14:textId="7E12AC7E" w:rsidR="00EC5699" w:rsidRDefault="00EC5699" w:rsidP="007C4898">
      <w:pPr>
        <w:pStyle w:val="EndnoteText"/>
        <w:spacing w:after="0"/>
      </w:pPr>
      <w:r>
        <w:rPr>
          <w:rStyle w:val="EndnoteReference"/>
        </w:rPr>
        <w:endnoteRef/>
      </w:r>
      <w:r>
        <w:t xml:space="preserve"> Ordinance 19739 can be found </w:t>
      </w:r>
      <w:hyperlink r:id="rId13" w:history="1">
        <w:r w:rsidRPr="00A47B3A">
          <w:rPr>
            <w:rStyle w:val="Hyperlink"/>
          </w:rPr>
          <w:t>here</w:t>
        </w:r>
      </w:hyperlink>
      <w:r>
        <w:t>.</w:t>
      </w:r>
    </w:p>
  </w:endnote>
  <w:endnote w:id="21">
    <w:p w14:paraId="22F0128E" w14:textId="138AE65A" w:rsidR="00EC5699" w:rsidRDefault="00EC5699" w:rsidP="007C4898">
      <w:pPr>
        <w:pStyle w:val="EndnoteText"/>
        <w:spacing w:after="0"/>
      </w:pPr>
      <w:r>
        <w:rPr>
          <w:rStyle w:val="EndnoteReference"/>
        </w:rPr>
        <w:endnoteRef/>
      </w:r>
      <w:r>
        <w:t xml:space="preserve"> Ordinance 19821 can be found </w:t>
      </w:r>
      <w:hyperlink r:id="rId14" w:history="1">
        <w:r w:rsidRPr="009376D3">
          <w:rPr>
            <w:rStyle w:val="Hyperlink"/>
          </w:rPr>
          <w:t>here</w:t>
        </w:r>
      </w:hyperlink>
      <w:r>
        <w:t xml:space="preserve"> and Ordinance 19822 </w:t>
      </w:r>
      <w:hyperlink r:id="rId15" w:history="1">
        <w:r w:rsidRPr="004574BB">
          <w:rPr>
            <w:rStyle w:val="Hyperlink"/>
          </w:rPr>
          <w:t>here</w:t>
        </w:r>
      </w:hyperlink>
      <w:r>
        <w:t>.</w:t>
      </w:r>
    </w:p>
  </w:endnote>
  <w:endnote w:id="22">
    <w:p w14:paraId="0475A801" w14:textId="4A7CB5F2" w:rsidR="00EC5699" w:rsidRDefault="00EC5699" w:rsidP="007C4898">
      <w:pPr>
        <w:pStyle w:val="EndnoteText"/>
        <w:spacing w:after="0"/>
      </w:pPr>
      <w:r>
        <w:rPr>
          <w:rStyle w:val="EndnoteReference"/>
        </w:rPr>
        <w:endnoteRef/>
      </w:r>
      <w:r>
        <w:t xml:space="preserve"> Ordinance 19876 can be found </w:t>
      </w:r>
      <w:hyperlink r:id="rId16" w:history="1">
        <w:r w:rsidRPr="00906DDB">
          <w:rPr>
            <w:rStyle w:val="Hyperlink"/>
          </w:rPr>
          <w:t>here</w:t>
        </w:r>
      </w:hyperlink>
      <w:r>
        <w:t xml:space="preserve"> and Ordinance 19874 </w:t>
      </w:r>
      <w:hyperlink r:id="rId17" w:history="1">
        <w:r w:rsidRPr="00524577">
          <w:rPr>
            <w:rStyle w:val="Hyperlink"/>
          </w:rPr>
          <w:t>here</w:t>
        </w:r>
      </w:hyperlink>
      <w:r>
        <w:t>.</w:t>
      </w:r>
    </w:p>
  </w:endnote>
  <w:endnote w:id="23">
    <w:p w14:paraId="64F65DAD" w14:textId="0E755CF8" w:rsidR="00EC5699" w:rsidRDefault="00EC5699" w:rsidP="007C4898">
      <w:pPr>
        <w:pStyle w:val="EndnoteText"/>
        <w:spacing w:after="0"/>
      </w:pPr>
      <w:r w:rsidRPr="00A9A51A">
        <w:rPr>
          <w:rStyle w:val="EndnoteReference"/>
        </w:rPr>
        <w:endnoteRef/>
      </w:r>
      <w:r>
        <w:t xml:space="preserve"> Commercial p</w:t>
      </w:r>
      <w:r w:rsidRPr="00C41417">
        <w:t xml:space="preserve">aper </w:t>
      </w:r>
      <w:r w:rsidRPr="00091FA1">
        <w:rPr>
          <w:shd w:val="clear" w:color="auto" w:fill="FFFFFF"/>
        </w:rPr>
        <w:t xml:space="preserve">is a commonly used type of unsecured, short-term debt typically used </w:t>
      </w:r>
      <w:r>
        <w:rPr>
          <w:shd w:val="clear" w:color="auto" w:fill="FFFFFF"/>
        </w:rPr>
        <w:t>for interim financing purposes</w:t>
      </w:r>
      <w:r w:rsidRPr="00091FA1">
        <w:rPr>
          <w:shd w:val="clear" w:color="auto" w:fill="FFFFFF"/>
        </w:rPr>
        <w:t xml:space="preserve"> </w:t>
      </w:r>
      <w:r>
        <w:rPr>
          <w:shd w:val="clear" w:color="auto" w:fill="FFFFFF"/>
        </w:rPr>
        <w:t>with m</w:t>
      </w:r>
      <w:r w:rsidRPr="00091FA1">
        <w:rPr>
          <w:shd w:val="clear" w:color="auto" w:fill="FFFFFF"/>
        </w:rPr>
        <w:t xml:space="preserve">aturities </w:t>
      </w:r>
      <w:r>
        <w:rPr>
          <w:shd w:val="clear" w:color="auto" w:fill="FFFFFF"/>
        </w:rPr>
        <w:t xml:space="preserve">ranging between one and </w:t>
      </w:r>
      <w:r w:rsidRPr="00091FA1">
        <w:rPr>
          <w:shd w:val="clear" w:color="auto" w:fill="FFFFFF"/>
        </w:rPr>
        <w:t>270 days.</w:t>
      </w:r>
      <w:r>
        <w:rPr>
          <w:shd w:val="clear" w:color="auto" w:fill="FFFFFF"/>
        </w:rPr>
        <w:t xml:space="preserve"> WTD can issue up to $250 million in commercial paper in aggregate for both new money interim financing and refunding purposes per </w:t>
      </w:r>
      <w:hyperlink r:id="rId18" w:history="1">
        <w:r w:rsidRPr="007E4091">
          <w:rPr>
            <w:rStyle w:val="Hyperlink"/>
            <w:shd w:val="clear" w:color="auto" w:fill="FFFFFF"/>
          </w:rPr>
          <w:t xml:space="preserve">Ordinance </w:t>
        </w:r>
        <w:r w:rsidRPr="007E4091">
          <w:rPr>
            <w:rStyle w:val="Hyperlink"/>
            <w:rFonts w:cstheme="minorHAnsi"/>
          </w:rPr>
          <w:t>19</w:t>
        </w:r>
        <w:r>
          <w:rPr>
            <w:rStyle w:val="Hyperlink"/>
            <w:rFonts w:cstheme="minorHAnsi"/>
          </w:rPr>
          <w:t>955</w:t>
        </w:r>
      </w:hyperlink>
      <w:r>
        <w:rPr>
          <w:shd w:val="clear" w:color="auto" w:fill="FFFFFF"/>
        </w:rPr>
        <w:t>.</w:t>
      </w:r>
    </w:p>
  </w:endnote>
  <w:endnote w:id="24">
    <w:p w14:paraId="502ACF8D" w14:textId="77777777" w:rsidR="00EC5699" w:rsidRDefault="00EC5699" w:rsidP="007C4898">
      <w:pPr>
        <w:pStyle w:val="EndnoteText"/>
        <w:spacing w:after="0"/>
      </w:pPr>
      <w:r>
        <w:rPr>
          <w:rStyle w:val="EndnoteReference"/>
        </w:rPr>
        <w:endnoteRef/>
      </w:r>
      <w:r>
        <w:t xml:space="preserve"> The Tax Cuts and Jobs Act can be found </w:t>
      </w:r>
      <w:hyperlink r:id="rId19" w:history="1">
        <w:r w:rsidRPr="00A178AC">
          <w:rPr>
            <w:rStyle w:val="Hyperlink"/>
          </w:rPr>
          <w:t>here</w:t>
        </w:r>
      </w:hyperlink>
      <w:r>
        <w:t>.</w:t>
      </w:r>
    </w:p>
  </w:endnote>
  <w:endnote w:id="25">
    <w:p w14:paraId="1DB0D16B" w14:textId="574E5EB1" w:rsidR="00EC5699" w:rsidRDefault="00EC5699" w:rsidP="007C4898">
      <w:pPr>
        <w:pStyle w:val="EndnoteText"/>
        <w:spacing w:after="0"/>
      </w:pPr>
      <w:r>
        <w:rPr>
          <w:rStyle w:val="EndnoteReference"/>
        </w:rPr>
        <w:endnoteRef/>
      </w:r>
      <w:r>
        <w:t xml:space="preserve">The </w:t>
      </w:r>
      <w:r w:rsidRPr="00FC1D8D">
        <w:t>LOCAL Infrastructure Act</w:t>
      </w:r>
      <w:r>
        <w:t xml:space="preserve"> - </w:t>
      </w:r>
      <w:r w:rsidRPr="00FC1D8D">
        <w:t>Lifting Our Communities through Advance Liquidity for Infrastructure</w:t>
      </w:r>
      <w:r>
        <w:t xml:space="preserve"> Act - can be found </w:t>
      </w:r>
      <w:hyperlink r:id="rId20" w:history="1">
        <w:r w:rsidRPr="004462BF">
          <w:rPr>
            <w:rStyle w:val="Hyperlink"/>
          </w:rPr>
          <w:t>here</w:t>
        </w:r>
      </w:hyperlink>
      <w:r>
        <w:t>.</w:t>
      </w:r>
    </w:p>
  </w:endnote>
  <w:endnote w:id="26">
    <w:p w14:paraId="13B0ADCE" w14:textId="77777777" w:rsidR="00EC5699" w:rsidRDefault="00EC5699" w:rsidP="007C4898">
      <w:pPr>
        <w:pStyle w:val="EndnoteText"/>
        <w:spacing w:after="0"/>
      </w:pPr>
      <w:r>
        <w:rPr>
          <w:rStyle w:val="EndnoteReference"/>
        </w:rPr>
        <w:endnoteRef/>
      </w:r>
      <w:r>
        <w:t xml:space="preserve"> The Financial Data Transparency Act can be found </w:t>
      </w:r>
      <w:hyperlink r:id="rId21" w:history="1">
        <w:r w:rsidRPr="005E0240">
          <w:rPr>
            <w:rStyle w:val="Hyperlink"/>
          </w:rPr>
          <w:t>here</w:t>
        </w:r>
      </w:hyperlink>
      <w:r>
        <w:t>.</w:t>
      </w:r>
    </w:p>
  </w:endnote>
  <w:endnote w:id="27">
    <w:p w14:paraId="7C086EE8" w14:textId="77777777" w:rsidR="00EC5699" w:rsidRDefault="00EC5699" w:rsidP="007C4898">
      <w:pPr>
        <w:pStyle w:val="EndnoteText"/>
        <w:spacing w:after="0"/>
      </w:pPr>
      <w:r>
        <w:rPr>
          <w:rStyle w:val="EndnoteReference"/>
        </w:rPr>
        <w:endnoteRef/>
      </w:r>
      <w:r>
        <w:t xml:space="preserve"> Par value</w:t>
      </w:r>
      <w:r w:rsidRPr="00CC3D51">
        <w:t xml:space="preserve"> is the amount that the issuer agrees to pay the bondholder upon maturity of the bond. It is also used to calculate the interest payments on the bond</w:t>
      </w:r>
      <w:r>
        <w:t>.</w:t>
      </w:r>
    </w:p>
  </w:endnote>
  <w:endnote w:id="28">
    <w:p w14:paraId="4DF8544C" w14:textId="68D04CA3" w:rsidR="00EC5699" w:rsidRDefault="00EC5699" w:rsidP="007C4898">
      <w:pPr>
        <w:pStyle w:val="EndnoteText"/>
        <w:spacing w:after="0"/>
      </w:pPr>
      <w:r>
        <w:rPr>
          <w:rStyle w:val="EndnoteReference"/>
        </w:rPr>
        <w:endnoteRef/>
      </w:r>
      <w:r>
        <w:t xml:space="preserve"> “Present-value savings” assists in analyzing the current worth of future savings by taking the time value of money and interest rates into account. This can change based on interest rates and the year savings are realized. </w:t>
      </w:r>
    </w:p>
  </w:endnote>
  <w:endnote w:id="29">
    <w:p w14:paraId="6A93B307" w14:textId="1C4E443A" w:rsidR="00EC5699" w:rsidRDefault="00EC5699" w:rsidP="007C4898">
      <w:pPr>
        <w:pStyle w:val="EndnoteText"/>
        <w:spacing w:after="0"/>
      </w:pPr>
      <w:r>
        <w:rPr>
          <w:rStyle w:val="EndnoteReference"/>
        </w:rPr>
        <w:endnoteRef/>
      </w:r>
      <w:r>
        <w:t xml:space="preserve"> </w:t>
      </w:r>
      <w:r w:rsidRPr="00273BF4">
        <w:t xml:space="preserve">The following legislation is available on the King County Council website: </w:t>
      </w:r>
      <w:hyperlink r:id="rId22" w:history="1">
        <w:r w:rsidRPr="00273BF4">
          <w:rPr>
            <w:rStyle w:val="Hyperlink"/>
          </w:rPr>
          <w:t>Motion 13798</w:t>
        </w:r>
      </w:hyperlink>
      <w:r w:rsidRPr="00273BF4">
        <w:t xml:space="preserve">, </w:t>
      </w:r>
      <w:hyperlink r:id="rId23" w:history="1">
        <w:r w:rsidRPr="00273BF4">
          <w:rPr>
            <w:rStyle w:val="Hyperlink"/>
          </w:rPr>
          <w:t>Ordinance 13680</w:t>
        </w:r>
      </w:hyperlink>
      <w:r w:rsidRPr="00273BF4">
        <w:t>, and</w:t>
      </w:r>
      <w:r w:rsidRPr="00C80ED4">
        <w:t xml:space="preserve"> </w:t>
      </w:r>
      <w:hyperlink r:id="rId24" w:history="1">
        <w:r w:rsidRPr="00A27EE6">
          <w:rPr>
            <w:rStyle w:val="Hyperlink"/>
          </w:rPr>
          <w:t>Ordinance 19785</w:t>
        </w:r>
      </w:hyperlink>
    </w:p>
  </w:endnote>
  <w:endnote w:id="30">
    <w:p w14:paraId="3F47F5A0" w14:textId="1D93F772" w:rsidR="00EC5699" w:rsidRDefault="00EC5699" w:rsidP="007C4898">
      <w:pPr>
        <w:pStyle w:val="EndnoteText"/>
        <w:spacing w:after="0"/>
      </w:pPr>
      <w:r>
        <w:rPr>
          <w:rStyle w:val="EndnoteReference"/>
        </w:rPr>
        <w:endnoteRef/>
      </w:r>
      <w:r>
        <w:t xml:space="preserve"> Liquidity metrics refer to quantitative measures that evaluate an agency’s ability to meet its financial obligations by assessing the availability of liquid assets (cash).</w:t>
      </w:r>
    </w:p>
  </w:endnote>
  <w:endnote w:id="31">
    <w:p w14:paraId="46A6CC0C" w14:textId="2E88842B" w:rsidR="00EC5699" w:rsidRDefault="00EC5699" w:rsidP="007C4898">
      <w:pPr>
        <w:pStyle w:val="EndnoteText"/>
        <w:spacing w:after="0"/>
      </w:pPr>
      <w:r>
        <w:rPr>
          <w:rStyle w:val="EndnoteReference"/>
        </w:rPr>
        <w:endnoteRef/>
      </w:r>
      <w:r>
        <w:t xml:space="preserve"> </w:t>
      </w:r>
      <w:hyperlink r:id="rId25" w:history="1">
        <w:r w:rsidRPr="001B36B7">
          <w:rPr>
            <w:rStyle w:val="Hyperlink"/>
          </w:rPr>
          <w:t>Ordinance 19782</w:t>
        </w:r>
      </w:hyperlink>
      <w:r>
        <w:t xml:space="preserve"> is available on the King County website.</w:t>
      </w:r>
    </w:p>
  </w:endnote>
  <w:endnote w:id="32">
    <w:p w14:paraId="7D578C84" w14:textId="5ED48C5E" w:rsidR="00EC5699" w:rsidRDefault="00EC5699" w:rsidP="007C4898">
      <w:pPr>
        <w:pStyle w:val="EndnoteText"/>
        <w:spacing w:after="0"/>
      </w:pPr>
      <w:r>
        <w:rPr>
          <w:rStyle w:val="EndnoteReference"/>
        </w:rPr>
        <w:endnoteRef/>
      </w:r>
      <w:r>
        <w:t xml:space="preserve"> </w:t>
      </w:r>
      <w:hyperlink r:id="rId26" w:history="1">
        <w:r w:rsidRPr="008646D1">
          <w:rPr>
            <w:rStyle w:val="Hyperlink"/>
          </w:rPr>
          <w:t>Ordinance 19</w:t>
        </w:r>
        <w:r>
          <w:rPr>
            <w:rStyle w:val="Hyperlink"/>
          </w:rPr>
          <w:t>785</w:t>
        </w:r>
      </w:hyperlink>
      <w:r>
        <w:t xml:space="preserve"> is available on the King County website.</w:t>
      </w:r>
    </w:p>
  </w:endnote>
  <w:endnote w:id="33">
    <w:p w14:paraId="4137BE54" w14:textId="3891AE28" w:rsidR="00EC5699" w:rsidRDefault="00EC5699" w:rsidP="007C4898">
      <w:pPr>
        <w:pStyle w:val="EndnoteText"/>
        <w:spacing w:after="0"/>
      </w:pPr>
      <w:r>
        <w:rPr>
          <w:rStyle w:val="EndnoteReference"/>
        </w:rPr>
        <w:endnoteRef/>
      </w:r>
      <w:r>
        <w:t xml:space="preserve"> Parity Bonds are secured by a lien on sewer revenue and hold a priority in payment second only to operating and maintenance expenses.</w:t>
      </w:r>
    </w:p>
  </w:endnote>
  <w:endnote w:id="34">
    <w:p w14:paraId="15905396" w14:textId="77777777" w:rsidR="00EC5699" w:rsidRDefault="00EC5699" w:rsidP="007C4898">
      <w:pPr>
        <w:pStyle w:val="EndnoteText"/>
        <w:spacing w:after="0"/>
      </w:pPr>
      <w:r>
        <w:rPr>
          <w:rStyle w:val="EndnoteReference"/>
        </w:rPr>
        <w:endnoteRef/>
      </w:r>
      <w:r>
        <w:t xml:space="preserve"> “Springing” refers to a provision within an Ordinance that activates certain conditions or changes to the current terms or requirements.</w:t>
      </w:r>
    </w:p>
  </w:endnote>
  <w:endnote w:id="35">
    <w:p w14:paraId="76181D64" w14:textId="77777777" w:rsidR="00EC5699" w:rsidRDefault="00EC5699" w:rsidP="007C4898">
      <w:pPr>
        <w:pStyle w:val="EndnoteText"/>
        <w:spacing w:after="0"/>
      </w:pPr>
      <w:r>
        <w:rPr>
          <w:rStyle w:val="EndnoteReference"/>
        </w:rPr>
        <w:endnoteRef/>
      </w:r>
      <w:r>
        <w:t xml:space="preserve"> The remainder of the Voluntary Operating Reserve was funded from the Operating Fund</w:t>
      </w:r>
    </w:p>
  </w:endnote>
  <w:endnote w:id="36">
    <w:p w14:paraId="6E99E4D1" w14:textId="46852F93" w:rsidR="00EC5699" w:rsidRDefault="00EC5699" w:rsidP="007C4898">
      <w:pPr>
        <w:pStyle w:val="EndnoteText"/>
        <w:spacing w:after="0"/>
      </w:pPr>
      <w:r>
        <w:rPr>
          <w:rStyle w:val="EndnoteReference"/>
        </w:rPr>
        <w:endnoteRef/>
      </w:r>
      <w:r>
        <w:t xml:space="preserve"> The King County Code Title 28 can be found </w:t>
      </w:r>
      <w:hyperlink r:id="rId27" w:history="1">
        <w:r w:rsidRPr="00B458FE">
          <w:rPr>
            <w:rStyle w:val="Hyperlink"/>
          </w:rPr>
          <w:t>here</w:t>
        </w:r>
      </w:hyperlink>
      <w:r>
        <w:t>.</w:t>
      </w:r>
    </w:p>
  </w:endnote>
  <w:endnote w:id="37">
    <w:p w14:paraId="20EC144C" w14:textId="77777777" w:rsidR="00EC5699" w:rsidRDefault="00EC5699" w:rsidP="007C4898">
      <w:pPr>
        <w:pStyle w:val="EndnoteText"/>
        <w:spacing w:after="0"/>
      </w:pPr>
      <w:r>
        <w:rPr>
          <w:rStyle w:val="EndnoteReference"/>
        </w:rPr>
        <w:endnoteRef/>
      </w:r>
      <w:r>
        <w:t xml:space="preserve"> More information on the King County Capacity Charge can be found </w:t>
      </w:r>
      <w:hyperlink r:id="rId28" w:history="1">
        <w:r w:rsidRPr="00945A19">
          <w:rPr>
            <w:rStyle w:val="Hyperlink"/>
          </w:rPr>
          <w:t>here</w:t>
        </w:r>
      </w:hyperlink>
      <w:r>
        <w:t>.</w:t>
      </w:r>
    </w:p>
  </w:endnote>
  <w:endnote w:id="38">
    <w:p w14:paraId="53D363EE" w14:textId="77777777" w:rsidR="00EC5699" w:rsidRDefault="00EC5699" w:rsidP="007C4898">
      <w:pPr>
        <w:pStyle w:val="EndnoteText"/>
        <w:spacing w:after="0"/>
      </w:pPr>
      <w:r>
        <w:rPr>
          <w:rStyle w:val="EndnoteReference"/>
        </w:rPr>
        <w:endnoteRef/>
      </w:r>
      <w:r>
        <w:t xml:space="preserve"> </w:t>
      </w:r>
      <w:r w:rsidRPr="2B03F2C4">
        <w:rPr>
          <w:shd w:val="clear" w:color="auto" w:fill="FFFFFF"/>
        </w:rPr>
        <w:t>In 1992, voters approved an amendment to the County's charter that authorized the merger of King County with the Municipality of Metropolitan Seattle (Metro), with the phased merger effective in 1994.</w:t>
      </w:r>
      <w:r w:rsidRPr="002F0406">
        <w:rPr>
          <w:shd w:val="clear" w:color="auto" w:fill="FFFFFF"/>
        </w:rPr>
        <w:t xml:space="preserve"> </w:t>
      </w:r>
      <w:hyperlink r:id="rId29" w:history="1">
        <w:r w:rsidRPr="002F0406">
          <w:rPr>
            <w:rStyle w:val="Hyperlink"/>
            <w:color w:val="auto"/>
            <w:u w:val="none"/>
          </w:rPr>
          <w:t>More</w:t>
        </w:r>
      </w:hyperlink>
      <w:r w:rsidRPr="002F0406">
        <w:rPr>
          <w:rStyle w:val="Hyperlink"/>
          <w:color w:val="auto"/>
          <w:u w:val="none"/>
        </w:rPr>
        <w:t xml:space="preserve"> information on the merger is available </w:t>
      </w:r>
      <w:hyperlink r:id="rId30" w:history="1">
        <w:r w:rsidRPr="004B1782">
          <w:rPr>
            <w:rStyle w:val="Hyperlink"/>
          </w:rPr>
          <w:t>here</w:t>
        </w:r>
      </w:hyperlink>
      <w:r>
        <w:rPr>
          <w:rStyle w:val="Hyperlink"/>
        </w:rPr>
        <w:t>.</w:t>
      </w:r>
      <w:r>
        <w:t xml:space="preserve"> </w:t>
      </w:r>
      <w:r w:rsidRPr="2B03F2C4">
        <w:rPr>
          <w:shd w:val="clear" w:color="auto" w:fill="FFFFFF"/>
        </w:rPr>
        <w:t>As</w:t>
      </w:r>
      <w:r w:rsidRPr="2B03F2C4" w:rsidDel="00760A9B">
        <w:rPr>
          <w:shd w:val="clear" w:color="auto" w:fill="FFFFFF"/>
        </w:rPr>
        <w:t xml:space="preserve"> </w:t>
      </w:r>
      <w:r w:rsidRPr="2B03F2C4">
        <w:rPr>
          <w:shd w:val="clear" w:color="auto" w:fill="FFFFFF"/>
        </w:rPr>
        <w:t>successor to Metro, the County assumed Metro’s rights and obligations, including authority to impose the capacity charge.</w:t>
      </w:r>
    </w:p>
  </w:endnote>
  <w:endnote w:id="39">
    <w:p w14:paraId="3375684E" w14:textId="46433EF0" w:rsidR="00EC5699" w:rsidRDefault="00EC5699" w:rsidP="007C4898">
      <w:pPr>
        <w:pStyle w:val="EndnoteText"/>
        <w:spacing w:after="0"/>
      </w:pPr>
      <w:r>
        <w:rPr>
          <w:rStyle w:val="EndnoteReference"/>
        </w:rPr>
        <w:endnoteRef/>
      </w:r>
      <w:r>
        <w:t xml:space="preserve"> </w:t>
      </w:r>
      <w:r w:rsidRPr="00152E45">
        <w:rPr>
          <w:rFonts w:cstheme="minorHAnsi"/>
          <w:shd w:val="clear" w:color="auto" w:fill="FFFFFF"/>
        </w:rPr>
        <w:t xml:space="preserve">Revised Code of Washington </w:t>
      </w:r>
      <w:hyperlink r:id="rId31" w:history="1">
        <w:r w:rsidRPr="00527137">
          <w:rPr>
            <w:rStyle w:val="Hyperlink"/>
            <w:rFonts w:cstheme="minorHAnsi"/>
            <w:shd w:val="clear" w:color="auto" w:fill="FFFFFF"/>
          </w:rPr>
          <w:t>35.58.3</w:t>
        </w:r>
        <w:r>
          <w:rPr>
            <w:rStyle w:val="Hyperlink"/>
            <w:rFonts w:cstheme="minorHAnsi"/>
            <w:shd w:val="clear" w:color="auto" w:fill="FFFFFF"/>
          </w:rPr>
          <w:t>5</w:t>
        </w:r>
        <w:r w:rsidRPr="00527137">
          <w:rPr>
            <w:rStyle w:val="Hyperlink"/>
            <w:rFonts w:cstheme="minorHAnsi"/>
            <w:shd w:val="clear" w:color="auto" w:fill="FFFFFF"/>
          </w:rPr>
          <w:t>0</w:t>
        </w:r>
      </w:hyperlink>
      <w:r>
        <w:rPr>
          <w:rFonts w:cstheme="minorHAnsi"/>
          <w:shd w:val="clear" w:color="auto" w:fill="FFFFFF"/>
        </w:rPr>
        <w:t xml:space="preserve"> </w:t>
      </w:r>
    </w:p>
  </w:endnote>
  <w:endnote w:id="40">
    <w:p w14:paraId="4F1A9BE0" w14:textId="694914E7" w:rsidR="00EC5699" w:rsidRDefault="00EC5699" w:rsidP="007C4898">
      <w:pPr>
        <w:pStyle w:val="EndnoteText"/>
        <w:spacing w:after="0"/>
      </w:pPr>
      <w:r>
        <w:rPr>
          <w:rStyle w:val="EndnoteReference"/>
        </w:rPr>
        <w:endnoteRef/>
      </w:r>
      <w:r>
        <w:t xml:space="preserve"> Revised Code of Washington </w:t>
      </w:r>
      <w:hyperlink r:id="rId32" w:history="1">
        <w:r w:rsidRPr="00DF1F52">
          <w:rPr>
            <w:rStyle w:val="Hyperlink"/>
          </w:rPr>
          <w:t>35.58.570</w:t>
        </w:r>
      </w:hyperlink>
    </w:p>
  </w:endnote>
  <w:endnote w:id="41">
    <w:p w14:paraId="4ADACD05" w14:textId="77777777" w:rsidR="00EC5699" w:rsidRDefault="00EC5699" w:rsidP="007C4898">
      <w:pPr>
        <w:pStyle w:val="EndnoteText"/>
        <w:spacing w:after="0"/>
      </w:pPr>
      <w:r>
        <w:rPr>
          <w:rStyle w:val="EndnoteReference"/>
        </w:rPr>
        <w:endnoteRef/>
      </w:r>
      <w:r>
        <w:t xml:space="preserve"> </w:t>
      </w:r>
      <w:r w:rsidRPr="00762A66">
        <w:t>A 2015</w:t>
      </w:r>
      <w:r w:rsidRPr="00F16EB2">
        <w:t xml:space="preserve"> </w:t>
      </w:r>
      <w:r>
        <w:t xml:space="preserve">internal </w:t>
      </w:r>
      <w:r w:rsidRPr="00F16EB2">
        <w:t xml:space="preserve">WTD survey of utility connection charges for </w:t>
      </w:r>
      <w:r>
        <w:t xml:space="preserve">18 </w:t>
      </w:r>
      <w:r w:rsidRPr="00F16EB2">
        <w:t>comparable agencies nationwide</w:t>
      </w:r>
      <w:r>
        <w:t xml:space="preserve"> included data on when the charge is assessed to new connections for 13 of the 18 agencies</w:t>
      </w:r>
      <w:r w:rsidRPr="00F16EB2">
        <w:t>. Of th</w:t>
      </w:r>
      <w:r>
        <w:t xml:space="preserve">e </w:t>
      </w:r>
      <w:r w:rsidRPr="00F16EB2">
        <w:t>13, 100</w:t>
      </w:r>
      <w:r>
        <w:t xml:space="preserve"> percent</w:t>
      </w:r>
      <w:r w:rsidRPr="00F16EB2">
        <w:t xml:space="preserve"> </w:t>
      </w:r>
      <w:r>
        <w:t>required</w:t>
      </w:r>
      <w:r w:rsidRPr="00F16EB2">
        <w:t xml:space="preserve"> payment at the time of permitting or service application. Only WTD did not require payment as a condition of development through the permitting/service application process.</w:t>
      </w:r>
    </w:p>
  </w:endnote>
  <w:endnote w:id="42">
    <w:p w14:paraId="791071EA" w14:textId="77777777" w:rsidR="00CD4735" w:rsidRPr="00762A66" w:rsidRDefault="00EC5699" w:rsidP="00CD4735">
      <w:pPr>
        <w:pStyle w:val="EndnoteText"/>
        <w:spacing w:after="0"/>
        <w:rPr>
          <w:rFonts w:cstheme="minorHAnsi"/>
        </w:rPr>
      </w:pPr>
      <w:r w:rsidRPr="00762A66">
        <w:rPr>
          <w:rStyle w:val="EndnoteReference"/>
          <w:rFonts w:cstheme="minorHAnsi"/>
        </w:rPr>
        <w:endnoteRef/>
      </w:r>
      <w:r w:rsidRPr="00762A66">
        <w:t xml:space="preserve"> </w:t>
      </w:r>
      <w:hyperlink r:id="rId33" w:history="1">
        <w:r w:rsidRPr="00BC2B2F">
          <w:rPr>
            <w:rStyle w:val="Hyperlink"/>
          </w:rPr>
          <w:t>RCW 35.92.025</w:t>
        </w:r>
      </w:hyperlink>
      <w:r>
        <w:t xml:space="preserve"> for </w:t>
      </w:r>
      <w:r w:rsidRPr="00762A66">
        <w:t>Cities and Towns</w:t>
      </w:r>
      <w:r>
        <w:t xml:space="preserve">, and </w:t>
      </w:r>
      <w:hyperlink r:id="rId34" w:history="1">
        <w:r w:rsidRPr="00791D2A">
          <w:rPr>
            <w:rStyle w:val="Hyperlink"/>
          </w:rPr>
          <w:t>RCW 57.08.005</w:t>
        </w:r>
      </w:hyperlink>
      <w:r>
        <w:t xml:space="preserve"> for</w:t>
      </w:r>
      <w:r w:rsidR="00CD4735">
        <w:rPr>
          <w:rFonts w:cstheme="minorHAnsi"/>
        </w:rPr>
        <w:t xml:space="preserve"> </w:t>
      </w:r>
      <w:r w:rsidR="00CD4735" w:rsidRPr="00762A66">
        <w:rPr>
          <w:rFonts w:cstheme="minorHAnsi"/>
        </w:rPr>
        <w:t>Districts</w:t>
      </w:r>
      <w:r w:rsidR="00CD4735">
        <w:rPr>
          <w:rFonts w:cstheme="minorHAnsi"/>
        </w:rPr>
        <w:t>.</w:t>
      </w:r>
    </w:p>
    <w:p w14:paraId="381E2F9D" w14:textId="13DCB575" w:rsidR="00EC5699" w:rsidRPr="00762A66" w:rsidRDefault="00EC5699" w:rsidP="007C4898">
      <w:pPr>
        <w:pStyle w:val="EndnoteText"/>
        <w:spacing w:after="0"/>
        <w:rPr>
          <w:rFonts w:cstheme="minorHAnsi"/>
        </w:rPr>
      </w:pPr>
    </w:p>
  </w:endnote>
  <w:endnote w:id="43">
    <w:p w14:paraId="6092DBDB" w14:textId="77777777" w:rsidR="00EC5699" w:rsidRDefault="00EC5699" w:rsidP="007C4898">
      <w:pPr>
        <w:pStyle w:val="EndnoteText"/>
        <w:spacing w:after="0"/>
      </w:pPr>
      <w:r>
        <w:rPr>
          <w:rStyle w:val="EndnoteReference"/>
        </w:rPr>
        <w:endnoteRef/>
      </w:r>
      <w:r>
        <w:t xml:space="preserve"> More information on the capacity charge review study can be found </w:t>
      </w:r>
      <w:hyperlink r:id="rId35" w:history="1">
        <w:r w:rsidRPr="001C2581">
          <w:rPr>
            <w:rStyle w:val="Hyperlink"/>
          </w:rPr>
          <w:t>here</w:t>
        </w:r>
      </w:hyperlink>
      <w:r>
        <w:t>.</w:t>
      </w:r>
    </w:p>
  </w:endnote>
  <w:endnote w:id="44">
    <w:p w14:paraId="47E5A038" w14:textId="1A6DE399" w:rsidR="00EC5699" w:rsidRDefault="00EC5699" w:rsidP="007C4898">
      <w:pPr>
        <w:pStyle w:val="EndnoteText"/>
        <w:spacing w:after="0"/>
      </w:pPr>
      <w:r>
        <w:rPr>
          <w:rStyle w:val="EndnoteReference"/>
        </w:rPr>
        <w:endnoteRef/>
      </w:r>
      <w:r>
        <w:t xml:space="preserve"> </w:t>
      </w:r>
      <w:hyperlink r:id="rId36" w:history="1">
        <w:r w:rsidRPr="00660CB4">
          <w:rPr>
            <w:rStyle w:val="Hyperlink"/>
          </w:rPr>
          <w:t>King County Code 28.84.050 O.3</w:t>
        </w:r>
      </w:hyperlink>
      <w:r w:rsidRPr="005B47EA">
        <w:t>.</w:t>
      </w:r>
      <w:r>
        <w:t xml:space="preserve"> </w:t>
      </w:r>
    </w:p>
  </w:endnote>
  <w:endnote w:id="45">
    <w:p w14:paraId="7DB58AFB" w14:textId="4DD9A339" w:rsidR="00EC5699" w:rsidRDefault="00EC5699" w:rsidP="007C4898">
      <w:pPr>
        <w:pStyle w:val="EndnoteText"/>
        <w:spacing w:after="0"/>
      </w:pPr>
      <w:r>
        <w:rPr>
          <w:rStyle w:val="EndnoteReference"/>
        </w:rPr>
        <w:endnoteRef/>
      </w:r>
      <w:r>
        <w:t xml:space="preserve"> </w:t>
      </w:r>
      <w:r w:rsidRPr="0013383B">
        <w:t xml:space="preserve">The King County Code Title 28 can be found </w:t>
      </w:r>
      <w:hyperlink r:id="rId37" w:history="1">
        <w:r w:rsidRPr="0013383B">
          <w:rPr>
            <w:rStyle w:val="Hyperlink"/>
          </w:rPr>
          <w:t>here</w:t>
        </w:r>
      </w:hyperlink>
      <w:r>
        <w:t>.</w:t>
      </w:r>
    </w:p>
  </w:endnote>
  <w:endnote w:id="46">
    <w:p w14:paraId="4F405797" w14:textId="77777777" w:rsidR="00EC5699" w:rsidRDefault="00EC5699" w:rsidP="007C4898">
      <w:pPr>
        <w:pStyle w:val="EndnoteText"/>
        <w:spacing w:after="0"/>
      </w:pPr>
      <w:r>
        <w:rPr>
          <w:rStyle w:val="EndnoteReference"/>
        </w:rPr>
        <w:endnoteRef/>
      </w:r>
      <w:r>
        <w:t xml:space="preserve"> Information on the RWSP is available </w:t>
      </w:r>
      <w:hyperlink r:id="rId38" w:history="1">
        <w:r w:rsidRPr="00234052">
          <w:rPr>
            <w:rStyle w:val="Hyperlink"/>
          </w:rPr>
          <w:t>here</w:t>
        </w:r>
      </w:hyperlink>
      <w:r>
        <w:t>.</w:t>
      </w:r>
    </w:p>
  </w:endnote>
  <w:endnote w:id="47">
    <w:p w14:paraId="51DB84FF" w14:textId="2A428783" w:rsidR="00EC5699" w:rsidRDefault="00EC5699" w:rsidP="007C4898">
      <w:pPr>
        <w:pStyle w:val="EndnoteText"/>
        <w:spacing w:after="0"/>
      </w:pPr>
      <w:r>
        <w:rPr>
          <w:rStyle w:val="EndnoteReference"/>
        </w:rPr>
        <w:endnoteRef/>
      </w:r>
      <w:r>
        <w:t xml:space="preserve"> Ongoing payments include penalty fees that have </w:t>
      </w:r>
      <w:r w:rsidRPr="004A266F">
        <w:t>ranged between $4</w:t>
      </w:r>
      <w:r w:rsidR="00A62150">
        <w:t>00,000</w:t>
      </w:r>
      <w:r w:rsidRPr="004A266F">
        <w:t xml:space="preserve"> and $1.3 million a year</w:t>
      </w:r>
      <w:r>
        <w:t>.</w:t>
      </w:r>
    </w:p>
  </w:endnote>
  <w:endnote w:id="48">
    <w:p w14:paraId="5E8538C0" w14:textId="259FD1B8" w:rsidR="00EC5699" w:rsidRDefault="00EC5699" w:rsidP="007C4898">
      <w:pPr>
        <w:pStyle w:val="EndnoteText"/>
        <w:spacing w:after="0"/>
      </w:pPr>
      <w:r>
        <w:rPr>
          <w:rStyle w:val="EndnoteReference"/>
        </w:rPr>
        <w:endnoteRef/>
      </w:r>
      <w:r>
        <w:t xml:space="preserve"> The August</w:t>
      </w:r>
      <w:r w:rsidDel="00E6003A">
        <w:t xml:space="preserve"> </w:t>
      </w:r>
      <w:r>
        <w:t xml:space="preserve">2025 </w:t>
      </w:r>
      <w:r w:rsidRPr="00C95593">
        <w:t>forecast is available</w:t>
      </w:r>
      <w:r>
        <w:t xml:space="preserve"> </w:t>
      </w:r>
      <w:hyperlink r:id="rId39" w:history="1">
        <w:r w:rsidRPr="00262EEF">
          <w:rPr>
            <w:rStyle w:val="Hyperlink"/>
          </w:rPr>
          <w:t>here</w:t>
        </w:r>
      </w:hyperlink>
      <w:r>
        <w:t>.</w:t>
      </w:r>
    </w:p>
  </w:endnote>
  <w:endnote w:id="49">
    <w:p w14:paraId="7F2F14A3" w14:textId="1F5FC48E" w:rsidR="00EC5699" w:rsidRDefault="00EC5699" w:rsidP="007C4898">
      <w:pPr>
        <w:pStyle w:val="EndnoteText"/>
        <w:spacing w:after="0"/>
      </w:pPr>
      <w:r>
        <w:rPr>
          <w:rStyle w:val="EndnoteReference"/>
        </w:rPr>
        <w:endnoteRef/>
      </w:r>
      <w:r>
        <w:t xml:space="preserve"> A RIN is a</w:t>
      </w:r>
      <w:r w:rsidRPr="009E0D34">
        <w:rPr>
          <w:shd w:val="clear" w:color="auto" w:fill="FFFFFF"/>
        </w:rPr>
        <w:t xml:space="preserve"> is a serial number assigned to a batch of</w:t>
      </w:r>
      <w:r>
        <w:rPr>
          <w:shd w:val="clear" w:color="auto" w:fill="FFFFFF"/>
        </w:rPr>
        <w:t xml:space="preserve"> </w:t>
      </w:r>
      <w:hyperlink r:id="rId40" w:tooltip="Biofuel" w:history="1">
        <w:r w:rsidRPr="009E0D34">
          <w:rPr>
            <w:rStyle w:val="Hyperlink"/>
            <w:rFonts w:cstheme="minorHAnsi"/>
            <w:color w:val="0645AD"/>
            <w:shd w:val="clear" w:color="auto" w:fill="FFFFFF"/>
          </w:rPr>
          <w:t>biofuel</w:t>
        </w:r>
      </w:hyperlink>
      <w:r>
        <w:rPr>
          <w:shd w:val="clear" w:color="auto" w:fill="FFFFFF"/>
        </w:rPr>
        <w:t xml:space="preserve"> </w:t>
      </w:r>
      <w:r w:rsidRPr="009E0D34">
        <w:rPr>
          <w:shd w:val="clear" w:color="auto" w:fill="FFFFFF"/>
        </w:rPr>
        <w:t>for the purpose of tracking its production, use, and trading</w:t>
      </w:r>
      <w:r>
        <w:rPr>
          <w:shd w:val="clear" w:color="auto" w:fill="FFFFFF"/>
        </w:rPr>
        <w:t>.</w:t>
      </w:r>
    </w:p>
  </w:endnote>
  <w:endnote w:id="50">
    <w:p w14:paraId="35D7A2BF" w14:textId="42930A2E" w:rsidR="00EC5699" w:rsidRDefault="00EC5699" w:rsidP="00E217A5">
      <w:pPr>
        <w:pStyle w:val="EndnoteText"/>
        <w:spacing w:after="0"/>
      </w:pPr>
      <w:r>
        <w:rPr>
          <w:rStyle w:val="EndnoteReference"/>
        </w:rPr>
        <w:endnoteRef/>
      </w:r>
      <w:r>
        <w:t xml:space="preserve"> The relevant section of the King County Code (KCC 28.84.060 (M</w:t>
      </w:r>
      <w:r>
        <w:rPr>
          <w:rStyle w:val="CommentReference"/>
        </w:rPr>
        <w:t/>
      </w:r>
      <w:r>
        <w:t>) (3</w:t>
      </w:r>
      <w:r w:rsidRPr="002F63A7">
        <w:t>))</w:t>
      </w:r>
      <w:r>
        <w:t xml:space="preserve"> can be found </w:t>
      </w:r>
      <w:hyperlink r:id="rId41" w:anchor="_Toc468864545" w:history="1">
        <w:r w:rsidRPr="00A27A34">
          <w:rPr>
            <w:rStyle w:val="Hyperlink"/>
          </w:rPr>
          <w:t>here</w:t>
        </w:r>
      </w:hyperlink>
      <w:r>
        <w:t>.</w:t>
      </w:r>
    </w:p>
  </w:endnote>
  <w:endnote w:id="51">
    <w:p w14:paraId="4C37AD72" w14:textId="61155D14" w:rsidR="00EC5699" w:rsidRDefault="00EC5699" w:rsidP="007C4898">
      <w:pPr>
        <w:pStyle w:val="EndnoteText"/>
        <w:spacing w:after="0"/>
      </w:pPr>
      <w:r>
        <w:rPr>
          <w:rStyle w:val="EndnoteReference"/>
        </w:rPr>
        <w:endnoteRef/>
      </w:r>
      <w:r>
        <w:t xml:space="preserve"> Excludes principal payments from January 1, 2026, that had already been transferred to the debt service fund in December 2025.</w:t>
      </w:r>
    </w:p>
  </w:endnote>
  <w:endnote w:id="52">
    <w:p w14:paraId="0F05CE8D" w14:textId="68B7212C" w:rsidR="00EC5699" w:rsidRDefault="00EC5699" w:rsidP="007C4898">
      <w:pPr>
        <w:pStyle w:val="EndnoteText"/>
        <w:spacing w:after="0"/>
      </w:pPr>
      <w:r>
        <w:rPr>
          <w:rStyle w:val="EndnoteReference"/>
        </w:rPr>
        <w:endnoteRef/>
      </w:r>
      <w:r>
        <w:t xml:space="preserve"> More information on the Public Works Board can be found </w:t>
      </w:r>
      <w:hyperlink r:id="rId42" w:history="1">
        <w:r w:rsidRPr="00E407A2">
          <w:rPr>
            <w:rStyle w:val="Hyperlink"/>
          </w:rPr>
          <w:t>here</w:t>
        </w:r>
      </w:hyperlink>
      <w:r>
        <w:t>.</w:t>
      </w:r>
    </w:p>
  </w:endnote>
  <w:endnote w:id="53">
    <w:p w14:paraId="6CD1AC6B" w14:textId="77777777" w:rsidR="00EC5699" w:rsidRDefault="00EC5699" w:rsidP="007C4898">
      <w:pPr>
        <w:pStyle w:val="EndnoteText"/>
        <w:spacing w:after="0"/>
      </w:pPr>
      <w:r>
        <w:rPr>
          <w:rStyle w:val="EndnoteReference"/>
        </w:rPr>
        <w:endnoteRef/>
      </w:r>
      <w:r>
        <w:t xml:space="preserve"> </w:t>
      </w:r>
      <w:r w:rsidRPr="00CD2E4E">
        <w:rPr>
          <w:shd w:val="clear" w:color="auto" w:fill="FFFFFF"/>
        </w:rPr>
        <w:t>"</w:t>
      </w:r>
      <w:r>
        <w:rPr>
          <w:shd w:val="clear" w:color="auto" w:fill="FFFFFF"/>
        </w:rPr>
        <w:t>S</w:t>
      </w:r>
      <w:r w:rsidRPr="00CD2E4E">
        <w:rPr>
          <w:shd w:val="clear" w:color="auto" w:fill="FFFFFF"/>
        </w:rPr>
        <w:t>ubordinate"</w:t>
      </w:r>
      <w:r>
        <w:rPr>
          <w:shd w:val="clear" w:color="auto" w:fill="FFFFFF"/>
        </w:rPr>
        <w:t xml:space="preserve"> liens are those that c</w:t>
      </w:r>
      <w:r w:rsidRPr="00CD2E4E">
        <w:rPr>
          <w:shd w:val="clear" w:color="auto" w:fill="FFFFFF"/>
        </w:rPr>
        <w:t xml:space="preserve">an </w:t>
      </w:r>
      <w:r>
        <w:rPr>
          <w:shd w:val="clear" w:color="auto" w:fill="FFFFFF"/>
        </w:rPr>
        <w:t xml:space="preserve">only </w:t>
      </w:r>
      <w:r w:rsidRPr="00CD2E4E">
        <w:rPr>
          <w:shd w:val="clear" w:color="auto" w:fill="FFFFFF"/>
        </w:rPr>
        <w:t>be paid after more senior</w:t>
      </w:r>
      <w:r>
        <w:rPr>
          <w:shd w:val="clear" w:color="auto" w:fill="FFFFFF"/>
        </w:rPr>
        <w:t xml:space="preserve"> </w:t>
      </w:r>
      <w:r w:rsidRPr="00CD2E4E">
        <w:rPr>
          <w:shd w:val="clear" w:color="auto" w:fill="FFFFFF"/>
        </w:rPr>
        <w:t>liens</w:t>
      </w:r>
      <w:r>
        <w:rPr>
          <w:shd w:val="clear" w:color="auto" w:fill="FFFFFF"/>
        </w:rPr>
        <w:t xml:space="preserve"> </w:t>
      </w:r>
      <w:r w:rsidRPr="00CD2E4E">
        <w:rPr>
          <w:shd w:val="clear" w:color="auto" w:fill="FFFFFF"/>
        </w:rPr>
        <w:t>are released</w:t>
      </w:r>
      <w:r>
        <w:rPr>
          <w:shd w:val="clear" w:color="auto" w:fill="FFFFFF"/>
        </w:rPr>
        <w:t>.</w:t>
      </w:r>
    </w:p>
  </w:endnote>
  <w:endnote w:id="54">
    <w:p w14:paraId="6EC22A26" w14:textId="0BA0A0AF" w:rsidR="00EC5699" w:rsidRDefault="00EC5699" w:rsidP="007C4898">
      <w:pPr>
        <w:pStyle w:val="EndnoteText"/>
        <w:spacing w:after="0"/>
      </w:pPr>
      <w:r>
        <w:rPr>
          <w:rStyle w:val="EndnoteReference"/>
        </w:rPr>
        <w:endnoteRef/>
      </w:r>
      <w:r>
        <w:t xml:space="preserve"> Includes the following loan agreements: $17.7 million for Georgetown Wet Weather Treatment Station, $96.8 million for Joint Ship Canal, $194.1 million for Tranche 1 Projects, $89.9 million for Tranche 2 Projects, and $65.0 million for Tranche 3 Project. </w:t>
      </w:r>
    </w:p>
  </w:endnote>
  <w:endnote w:id="55">
    <w:p w14:paraId="6E618419" w14:textId="77777777" w:rsidR="00EC5699" w:rsidRDefault="00EC5699" w:rsidP="007C4898">
      <w:pPr>
        <w:pStyle w:val="EndnoteText"/>
        <w:spacing w:after="0"/>
      </w:pPr>
      <w:r>
        <w:rPr>
          <w:rStyle w:val="EndnoteReference"/>
        </w:rPr>
        <w:endnoteRef/>
      </w:r>
      <w:r>
        <w:t xml:space="preserve"> Excludes commercial paper used for interim financing and the refunding of the 2013B Sewer Revenue Bonds.</w:t>
      </w:r>
    </w:p>
  </w:endnote>
  <w:endnote w:id="56">
    <w:p w14:paraId="7058F122" w14:textId="3F7ECC8F" w:rsidR="00EC5699" w:rsidRDefault="00EC5699" w:rsidP="007C4898">
      <w:pPr>
        <w:pStyle w:val="EndnoteText"/>
        <w:spacing w:after="0"/>
      </w:pPr>
      <w:r>
        <w:rPr>
          <w:rStyle w:val="EndnoteReference"/>
        </w:rPr>
        <w:endnoteRef/>
      </w:r>
      <w:r>
        <w:t xml:space="preserve"> Audited 2025 financial information will be available in May 2026. Preliminary (unaudited) year-end financial data is presented for comparison to the 2025 forecast from the 2026-2045 Financial Forecast</w:t>
      </w:r>
      <w:r w:rsidRPr="00391730">
        <w:rPr>
          <w:color w:val="000000" w:themeColor="text1"/>
        </w:rPr>
        <w:t>.</w:t>
      </w:r>
    </w:p>
  </w:endnote>
  <w:endnote w:id="57">
    <w:p w14:paraId="7076EF6C" w14:textId="1CD24472" w:rsidR="00EC5699" w:rsidRDefault="00EC5699" w:rsidP="00E217A5">
      <w:pPr>
        <w:pStyle w:val="EndnoteText"/>
        <w:spacing w:after="0"/>
      </w:pPr>
      <w:r>
        <w:rPr>
          <w:rStyle w:val="EndnoteReference"/>
        </w:rPr>
        <w:endnoteRef/>
      </w:r>
      <w:r>
        <w:t xml:space="preserve"> Per- and Polyfluoroalkyl Substances. PFAS are a group of chemicals used to make fluoropolymer coatings and products that are widely used in consumer products. PFAS are a concern because they do not break down in the environment, are able to move through soils and water sources, and build up in fish and wildlife. More information about PFAS can be found </w:t>
      </w:r>
      <w:hyperlink r:id="rId43" w:history="1">
        <w:r w:rsidRPr="00BB54EF">
          <w:rPr>
            <w:rStyle w:val="Hyperlink"/>
          </w:rPr>
          <w:t>h</w:t>
        </w:r>
        <w:bookmarkStart w:id="206" w:name="_Hlt162520802"/>
        <w:bookmarkStart w:id="207" w:name="_Hlt162520803"/>
        <w:r w:rsidRPr="00BB54EF">
          <w:rPr>
            <w:rStyle w:val="Hyperlink"/>
          </w:rPr>
          <w:t>e</w:t>
        </w:r>
        <w:bookmarkEnd w:id="206"/>
        <w:bookmarkEnd w:id="207"/>
        <w:r w:rsidRPr="00BB54EF">
          <w:rPr>
            <w:rStyle w:val="Hyperlink"/>
          </w:rPr>
          <w:t>re</w:t>
        </w:r>
      </w:hyperlink>
      <w:r w:rsidRPr="00BB54EF">
        <w:t>.</w:t>
      </w:r>
    </w:p>
  </w:endnote>
  <w:endnote w:id="58">
    <w:p w14:paraId="2F16B7C1" w14:textId="690C3DCA" w:rsidR="00EC5699" w:rsidRDefault="00EC5699" w:rsidP="00E217A5">
      <w:pPr>
        <w:pStyle w:val="EndnoteText"/>
        <w:spacing w:after="0"/>
      </w:pPr>
      <w:r>
        <w:rPr>
          <w:rStyle w:val="EndnoteReference"/>
        </w:rPr>
        <w:endnoteRef/>
      </w:r>
      <w:r>
        <w:t xml:space="preserve"> Report submitted as part of Motion 16384 can be found </w:t>
      </w:r>
      <w:hyperlink r:id="rId44" w:history="1">
        <w:r w:rsidRPr="00681DF6">
          <w:rPr>
            <w:rStyle w:val="Hyperlink"/>
          </w:rPr>
          <w:t>here</w:t>
        </w:r>
      </w:hyperlink>
      <w:r w:rsidR="00C71928">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EFF8F" w14:textId="77777777" w:rsidR="00EC5699" w:rsidRPr="00C76ED6" w:rsidRDefault="00EC5699" w:rsidP="00225E85">
    <w:pPr>
      <w:pStyle w:val="Footer"/>
      <w:rPr>
        <w:rFonts w:ascii="Arial" w:hAnsi="Arial" w:cs="Arial"/>
        <w:color w:val="2F5496"/>
      </w:rPr>
    </w:pPr>
    <w:r w:rsidRPr="00C76ED6">
      <w:rPr>
        <w:rFonts w:ascii="Arial" w:hAnsi="Arial" w:cs="Arial"/>
        <w:color w:val="2F5496"/>
      </w:rPr>
      <w:t>202</w:t>
    </w:r>
    <w:r>
      <w:rPr>
        <w:rFonts w:ascii="Arial" w:hAnsi="Arial" w:cs="Arial"/>
        <w:color w:val="2F5496"/>
      </w:rPr>
      <w:t>7</w:t>
    </w:r>
    <w:r w:rsidRPr="00C76ED6">
      <w:rPr>
        <w:rFonts w:ascii="Arial" w:hAnsi="Arial" w:cs="Arial"/>
        <w:color w:val="2F5496"/>
      </w:rPr>
      <w:t xml:space="preserve"> Sewer Rate Technical Memorandum</w:t>
    </w:r>
  </w:p>
  <w:p w14:paraId="424EE9D0" w14:textId="77777777" w:rsidR="00EC5699" w:rsidRPr="00AD2087" w:rsidRDefault="00EC5699" w:rsidP="00225E85">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Pr>
        <w:rFonts w:ascii="Arial" w:hAnsi="Arial" w:cs="Arial"/>
        <w:sz w:val="20"/>
      </w:rPr>
      <w:t>2</w:t>
    </w:r>
    <w:r w:rsidRPr="00AD2087">
      <w:rPr>
        <w:rFonts w:ascii="Arial" w:hAnsi="Arial" w:cs="Arial"/>
        <w:b/>
        <w:bCs/>
        <w:noProof/>
        <w:sz w:val="20"/>
      </w:rPr>
      <w:fldChar w:fldCharType="end"/>
    </w:r>
  </w:p>
  <w:p w14:paraId="686CBABC" w14:textId="77777777" w:rsidR="00EC5699" w:rsidRDefault="00EC5699" w:rsidP="00AF6D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C1FC1" w14:textId="71EA9968" w:rsidR="00D252AF" w:rsidRPr="00C76ED6" w:rsidRDefault="00D252AF" w:rsidP="00225E85">
    <w:pPr>
      <w:pStyle w:val="Footer"/>
      <w:rPr>
        <w:rFonts w:ascii="Arial" w:hAnsi="Arial" w:cs="Arial"/>
        <w:color w:val="2F5496"/>
      </w:rPr>
    </w:pPr>
    <w:r w:rsidRPr="00C76ED6">
      <w:rPr>
        <w:rFonts w:ascii="Arial" w:hAnsi="Arial" w:cs="Arial"/>
        <w:color w:val="2F5496"/>
      </w:rPr>
      <w:t>202</w:t>
    </w:r>
    <w:r w:rsidR="00481BD5">
      <w:rPr>
        <w:rFonts w:ascii="Arial" w:hAnsi="Arial" w:cs="Arial"/>
        <w:color w:val="2F5496"/>
      </w:rPr>
      <w:t>7</w:t>
    </w:r>
    <w:r w:rsidRPr="00C76ED6">
      <w:rPr>
        <w:rFonts w:ascii="Arial" w:hAnsi="Arial" w:cs="Arial"/>
        <w:color w:val="2F5496"/>
      </w:rPr>
      <w:t xml:space="preserve"> Sewer Rate Technical Memorandum</w:t>
    </w:r>
  </w:p>
  <w:p w14:paraId="226AF10D" w14:textId="77777777" w:rsidR="00D252AF" w:rsidRPr="00AD2087" w:rsidRDefault="00D252AF" w:rsidP="00225E85">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Pr>
        <w:rFonts w:ascii="Arial" w:hAnsi="Arial" w:cs="Arial"/>
        <w:sz w:val="20"/>
      </w:rPr>
      <w:t>2</w:t>
    </w:r>
    <w:r w:rsidRPr="00AD2087">
      <w:rPr>
        <w:rFonts w:ascii="Arial" w:hAnsi="Arial" w:cs="Arial"/>
        <w:b/>
        <w:bCs/>
        <w:noProof/>
        <w:sz w:val="20"/>
      </w:rPr>
      <w:fldChar w:fldCharType="end"/>
    </w:r>
  </w:p>
  <w:p w14:paraId="7BAE5390" w14:textId="77777777" w:rsidR="00D252AF" w:rsidRDefault="00D252AF" w:rsidP="00AF6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9308B" w14:textId="77777777" w:rsidR="00CC0788" w:rsidRDefault="00CC0788" w:rsidP="00B9394F">
      <w:r>
        <w:separator/>
      </w:r>
    </w:p>
  </w:footnote>
  <w:footnote w:type="continuationSeparator" w:id="0">
    <w:p w14:paraId="5B218945" w14:textId="77777777" w:rsidR="00CC0788" w:rsidRDefault="00CC0788" w:rsidP="00B9394F">
      <w:r>
        <w:continuationSeparator/>
      </w:r>
    </w:p>
  </w:footnote>
  <w:footnote w:type="continuationNotice" w:id="1">
    <w:p w14:paraId="69B43CC5" w14:textId="77777777" w:rsidR="00CC0788" w:rsidRDefault="00CC0788" w:rsidP="00B9394F"/>
  </w:footnote>
</w:footnotes>
</file>

<file path=word/intelligence2.xml><?xml version="1.0" encoding="utf-8"?>
<int2:intelligence xmlns:int2="http://schemas.microsoft.com/office/intelligence/2020/intelligence" xmlns:oel="http://schemas.microsoft.com/office/2019/extlst">
  <int2:observations>
    <int2:bookmark int2:bookmarkName="_Int_Wzmm1ldW" int2:invalidationBookmarkName="" int2:hashCode="BSJwRnQx0x3hCf" int2:id="ZagvxML7">
      <int2:state int2:value="Rejected" int2:type="AugLoop_Text_Critique"/>
    </int2:bookmark>
    <int2:bookmark int2:bookmarkName="_Int_1rtWrjHS" int2:invalidationBookmarkName="" int2:hashCode="AYxJ+EvRu3vfu5" int2:id="zZYl8P3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B565DA4"/>
    <w:lvl w:ilvl="0">
      <w:numFmt w:val="bullet"/>
      <w:lvlText w:val="*"/>
      <w:lvlJc w:val="left"/>
    </w:lvl>
  </w:abstractNum>
  <w:abstractNum w:abstractNumId="1" w15:restartNumberingAfterBreak="0">
    <w:nsid w:val="029079DA"/>
    <w:multiLevelType w:val="multilevel"/>
    <w:tmpl w:val="DD4E85A6"/>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2" w15:restartNumberingAfterBreak="0">
    <w:nsid w:val="02F36650"/>
    <w:multiLevelType w:val="hybridMultilevel"/>
    <w:tmpl w:val="8570A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7703F"/>
    <w:multiLevelType w:val="hybridMultilevel"/>
    <w:tmpl w:val="EB02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6449FF"/>
    <w:multiLevelType w:val="hybridMultilevel"/>
    <w:tmpl w:val="123AB8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50079C"/>
    <w:multiLevelType w:val="hybridMultilevel"/>
    <w:tmpl w:val="43965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562728"/>
    <w:multiLevelType w:val="hybridMultilevel"/>
    <w:tmpl w:val="A85412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9F10809"/>
    <w:multiLevelType w:val="hybridMultilevel"/>
    <w:tmpl w:val="02F4852A"/>
    <w:lvl w:ilvl="0" w:tplc="09AA17CC">
      <w:start w:val="1"/>
      <w:numFmt w:val="bullet"/>
      <w:lvlText w:val=""/>
      <w:lvlJc w:val="left"/>
      <w:pPr>
        <w:tabs>
          <w:tab w:val="num" w:pos="720"/>
        </w:tabs>
        <w:ind w:left="720" w:hanging="360"/>
      </w:pPr>
      <w:rPr>
        <w:rFonts w:ascii="Wingdings" w:hAnsi="Wingdings" w:hint="default"/>
      </w:rPr>
    </w:lvl>
    <w:lvl w:ilvl="1" w:tplc="30B4B538">
      <w:start w:val="1"/>
      <w:numFmt w:val="bullet"/>
      <w:lvlText w:val=""/>
      <w:lvlJc w:val="left"/>
      <w:pPr>
        <w:tabs>
          <w:tab w:val="num" w:pos="1440"/>
        </w:tabs>
        <w:ind w:left="1440" w:hanging="360"/>
      </w:pPr>
      <w:rPr>
        <w:rFonts w:ascii="Wingdings" w:hAnsi="Wingdings" w:hint="default"/>
      </w:rPr>
    </w:lvl>
    <w:lvl w:ilvl="2" w:tplc="AE4E7330" w:tentative="1">
      <w:start w:val="1"/>
      <w:numFmt w:val="bullet"/>
      <w:lvlText w:val=""/>
      <w:lvlJc w:val="left"/>
      <w:pPr>
        <w:tabs>
          <w:tab w:val="num" w:pos="2160"/>
        </w:tabs>
        <w:ind w:left="2160" w:hanging="360"/>
      </w:pPr>
      <w:rPr>
        <w:rFonts w:ascii="Wingdings" w:hAnsi="Wingdings" w:hint="default"/>
      </w:rPr>
    </w:lvl>
    <w:lvl w:ilvl="3" w:tplc="8ED04D98" w:tentative="1">
      <w:start w:val="1"/>
      <w:numFmt w:val="bullet"/>
      <w:lvlText w:val=""/>
      <w:lvlJc w:val="left"/>
      <w:pPr>
        <w:tabs>
          <w:tab w:val="num" w:pos="2880"/>
        </w:tabs>
        <w:ind w:left="2880" w:hanging="360"/>
      </w:pPr>
      <w:rPr>
        <w:rFonts w:ascii="Wingdings" w:hAnsi="Wingdings" w:hint="default"/>
      </w:rPr>
    </w:lvl>
    <w:lvl w:ilvl="4" w:tplc="1BE0B6BC" w:tentative="1">
      <w:start w:val="1"/>
      <w:numFmt w:val="bullet"/>
      <w:lvlText w:val=""/>
      <w:lvlJc w:val="left"/>
      <w:pPr>
        <w:tabs>
          <w:tab w:val="num" w:pos="3600"/>
        </w:tabs>
        <w:ind w:left="3600" w:hanging="360"/>
      </w:pPr>
      <w:rPr>
        <w:rFonts w:ascii="Wingdings" w:hAnsi="Wingdings" w:hint="default"/>
      </w:rPr>
    </w:lvl>
    <w:lvl w:ilvl="5" w:tplc="CF3CA68C" w:tentative="1">
      <w:start w:val="1"/>
      <w:numFmt w:val="bullet"/>
      <w:lvlText w:val=""/>
      <w:lvlJc w:val="left"/>
      <w:pPr>
        <w:tabs>
          <w:tab w:val="num" w:pos="4320"/>
        </w:tabs>
        <w:ind w:left="4320" w:hanging="360"/>
      </w:pPr>
      <w:rPr>
        <w:rFonts w:ascii="Wingdings" w:hAnsi="Wingdings" w:hint="default"/>
      </w:rPr>
    </w:lvl>
    <w:lvl w:ilvl="6" w:tplc="C4F0E5FC" w:tentative="1">
      <w:start w:val="1"/>
      <w:numFmt w:val="bullet"/>
      <w:lvlText w:val=""/>
      <w:lvlJc w:val="left"/>
      <w:pPr>
        <w:tabs>
          <w:tab w:val="num" w:pos="5040"/>
        </w:tabs>
        <w:ind w:left="5040" w:hanging="360"/>
      </w:pPr>
      <w:rPr>
        <w:rFonts w:ascii="Wingdings" w:hAnsi="Wingdings" w:hint="default"/>
      </w:rPr>
    </w:lvl>
    <w:lvl w:ilvl="7" w:tplc="951AA13E" w:tentative="1">
      <w:start w:val="1"/>
      <w:numFmt w:val="bullet"/>
      <w:lvlText w:val=""/>
      <w:lvlJc w:val="left"/>
      <w:pPr>
        <w:tabs>
          <w:tab w:val="num" w:pos="5760"/>
        </w:tabs>
        <w:ind w:left="5760" w:hanging="360"/>
      </w:pPr>
      <w:rPr>
        <w:rFonts w:ascii="Wingdings" w:hAnsi="Wingdings" w:hint="default"/>
      </w:rPr>
    </w:lvl>
    <w:lvl w:ilvl="8" w:tplc="5896F27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630C8B"/>
    <w:multiLevelType w:val="hybridMultilevel"/>
    <w:tmpl w:val="5B6C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7764DE"/>
    <w:multiLevelType w:val="hybridMultilevel"/>
    <w:tmpl w:val="92E83F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2F3172C"/>
    <w:multiLevelType w:val="hybridMultilevel"/>
    <w:tmpl w:val="F8628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150B13"/>
    <w:multiLevelType w:val="hybridMultilevel"/>
    <w:tmpl w:val="2CA4D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553869"/>
    <w:multiLevelType w:val="hybridMultilevel"/>
    <w:tmpl w:val="2D628CE4"/>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A71CDF"/>
    <w:multiLevelType w:val="hybridMultilevel"/>
    <w:tmpl w:val="BA5845D6"/>
    <w:lvl w:ilvl="0" w:tplc="70A8748A">
      <w:start w:val="1"/>
      <w:numFmt w:val="bullet"/>
      <w:lvlText w:val=""/>
      <w:lvlJc w:val="left"/>
      <w:pPr>
        <w:tabs>
          <w:tab w:val="num" w:pos="720"/>
        </w:tabs>
        <w:ind w:left="720" w:hanging="360"/>
      </w:pPr>
      <w:rPr>
        <w:rFonts w:ascii="Wingdings" w:hAnsi="Wingdings" w:hint="default"/>
      </w:rPr>
    </w:lvl>
    <w:lvl w:ilvl="1" w:tplc="521A1E70">
      <w:start w:val="1"/>
      <w:numFmt w:val="bullet"/>
      <w:lvlText w:val=""/>
      <w:lvlJc w:val="left"/>
      <w:pPr>
        <w:tabs>
          <w:tab w:val="num" w:pos="1440"/>
        </w:tabs>
        <w:ind w:left="1440" w:hanging="360"/>
      </w:pPr>
      <w:rPr>
        <w:rFonts w:ascii="Wingdings" w:hAnsi="Wingdings" w:hint="default"/>
      </w:rPr>
    </w:lvl>
    <w:lvl w:ilvl="2" w:tplc="F200AF60">
      <w:numFmt w:val="bullet"/>
      <w:lvlText w:val=""/>
      <w:lvlJc w:val="left"/>
      <w:pPr>
        <w:tabs>
          <w:tab w:val="num" w:pos="2160"/>
        </w:tabs>
        <w:ind w:left="2160" w:hanging="360"/>
      </w:pPr>
      <w:rPr>
        <w:rFonts w:ascii="Wingdings" w:hAnsi="Wingdings" w:hint="default"/>
      </w:rPr>
    </w:lvl>
    <w:lvl w:ilvl="3" w:tplc="A73C1D36" w:tentative="1">
      <w:start w:val="1"/>
      <w:numFmt w:val="bullet"/>
      <w:lvlText w:val=""/>
      <w:lvlJc w:val="left"/>
      <w:pPr>
        <w:tabs>
          <w:tab w:val="num" w:pos="2880"/>
        </w:tabs>
        <w:ind w:left="2880" w:hanging="360"/>
      </w:pPr>
      <w:rPr>
        <w:rFonts w:ascii="Wingdings" w:hAnsi="Wingdings" w:hint="default"/>
      </w:rPr>
    </w:lvl>
    <w:lvl w:ilvl="4" w:tplc="0B1CB590" w:tentative="1">
      <w:start w:val="1"/>
      <w:numFmt w:val="bullet"/>
      <w:lvlText w:val=""/>
      <w:lvlJc w:val="left"/>
      <w:pPr>
        <w:tabs>
          <w:tab w:val="num" w:pos="3600"/>
        </w:tabs>
        <w:ind w:left="3600" w:hanging="360"/>
      </w:pPr>
      <w:rPr>
        <w:rFonts w:ascii="Wingdings" w:hAnsi="Wingdings" w:hint="default"/>
      </w:rPr>
    </w:lvl>
    <w:lvl w:ilvl="5" w:tplc="04661EAA" w:tentative="1">
      <w:start w:val="1"/>
      <w:numFmt w:val="bullet"/>
      <w:lvlText w:val=""/>
      <w:lvlJc w:val="left"/>
      <w:pPr>
        <w:tabs>
          <w:tab w:val="num" w:pos="4320"/>
        </w:tabs>
        <w:ind w:left="4320" w:hanging="360"/>
      </w:pPr>
      <w:rPr>
        <w:rFonts w:ascii="Wingdings" w:hAnsi="Wingdings" w:hint="default"/>
      </w:rPr>
    </w:lvl>
    <w:lvl w:ilvl="6" w:tplc="D8A4C19C" w:tentative="1">
      <w:start w:val="1"/>
      <w:numFmt w:val="bullet"/>
      <w:lvlText w:val=""/>
      <w:lvlJc w:val="left"/>
      <w:pPr>
        <w:tabs>
          <w:tab w:val="num" w:pos="5040"/>
        </w:tabs>
        <w:ind w:left="5040" w:hanging="360"/>
      </w:pPr>
      <w:rPr>
        <w:rFonts w:ascii="Wingdings" w:hAnsi="Wingdings" w:hint="default"/>
      </w:rPr>
    </w:lvl>
    <w:lvl w:ilvl="7" w:tplc="EE9A15B2" w:tentative="1">
      <w:start w:val="1"/>
      <w:numFmt w:val="bullet"/>
      <w:lvlText w:val=""/>
      <w:lvlJc w:val="left"/>
      <w:pPr>
        <w:tabs>
          <w:tab w:val="num" w:pos="5760"/>
        </w:tabs>
        <w:ind w:left="5760" w:hanging="360"/>
      </w:pPr>
      <w:rPr>
        <w:rFonts w:ascii="Wingdings" w:hAnsi="Wingdings" w:hint="default"/>
      </w:rPr>
    </w:lvl>
    <w:lvl w:ilvl="8" w:tplc="A5A0658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2D0EA6"/>
    <w:multiLevelType w:val="hybridMultilevel"/>
    <w:tmpl w:val="76749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8F2724"/>
    <w:multiLevelType w:val="hybridMultilevel"/>
    <w:tmpl w:val="BC523C1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BA073E2"/>
    <w:multiLevelType w:val="hybridMultilevel"/>
    <w:tmpl w:val="4B02E062"/>
    <w:lvl w:ilvl="0" w:tplc="70781CC0">
      <w:start w:val="2"/>
      <w:numFmt w:val="bullet"/>
      <w:lvlText w:val="-"/>
      <w:lvlJc w:val="left"/>
      <w:pPr>
        <w:ind w:left="405" w:hanging="360"/>
      </w:pPr>
      <w:rPr>
        <w:rFonts w:ascii="Calibri" w:eastAsia="Times New Roman"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1D3D5941"/>
    <w:multiLevelType w:val="hybridMultilevel"/>
    <w:tmpl w:val="7A0E0748"/>
    <w:lvl w:ilvl="0" w:tplc="6F28EF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6C5E74"/>
    <w:multiLevelType w:val="multilevel"/>
    <w:tmpl w:val="0664827A"/>
    <w:lvl w:ilvl="0">
      <w:start w:val="1"/>
      <w:numFmt w:val="lowerRoman"/>
      <w:lvlText w:val="%1."/>
      <w:lvlJc w:val="right"/>
      <w:pPr>
        <w:ind w:left="720" w:hanging="360"/>
      </w:pPr>
      <w:rPr>
        <w:rFonts w:hint="default"/>
      </w:rPr>
    </w:lvl>
    <w:lvl w:ilvl="1">
      <w:start w:val="1"/>
      <w:numFmt w:val="lowerRoman"/>
      <w:lvlText w:val="%2%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DB01FDD"/>
    <w:multiLevelType w:val="hybridMultilevel"/>
    <w:tmpl w:val="55505D24"/>
    <w:lvl w:ilvl="0" w:tplc="8076CAF2">
      <w:start w:val="1"/>
      <w:numFmt w:val="decimal"/>
      <w:lvlText w:val="%1."/>
      <w:lvlJc w:val="left"/>
      <w:pPr>
        <w:tabs>
          <w:tab w:val="num" w:pos="720"/>
        </w:tabs>
        <w:ind w:left="720" w:hanging="360"/>
      </w:pPr>
    </w:lvl>
    <w:lvl w:ilvl="1" w:tplc="3948ECB6">
      <w:numFmt w:val="bullet"/>
      <w:lvlText w:val="•"/>
      <w:lvlJc w:val="left"/>
      <w:pPr>
        <w:tabs>
          <w:tab w:val="num" w:pos="1440"/>
        </w:tabs>
        <w:ind w:left="1440" w:hanging="360"/>
      </w:pPr>
      <w:rPr>
        <w:rFonts w:ascii="Arial" w:hAnsi="Arial" w:hint="default"/>
      </w:rPr>
    </w:lvl>
    <w:lvl w:ilvl="2" w:tplc="92FE9020">
      <w:numFmt w:val="bullet"/>
      <w:lvlText w:val="•"/>
      <w:lvlJc w:val="left"/>
      <w:pPr>
        <w:tabs>
          <w:tab w:val="num" w:pos="2160"/>
        </w:tabs>
        <w:ind w:left="2160" w:hanging="360"/>
      </w:pPr>
      <w:rPr>
        <w:rFonts w:ascii="Arial" w:hAnsi="Arial" w:hint="default"/>
      </w:rPr>
    </w:lvl>
    <w:lvl w:ilvl="3" w:tplc="B87AB0EA" w:tentative="1">
      <w:start w:val="1"/>
      <w:numFmt w:val="decimal"/>
      <w:lvlText w:val="%4."/>
      <w:lvlJc w:val="left"/>
      <w:pPr>
        <w:tabs>
          <w:tab w:val="num" w:pos="2880"/>
        </w:tabs>
        <w:ind w:left="2880" w:hanging="360"/>
      </w:pPr>
    </w:lvl>
    <w:lvl w:ilvl="4" w:tplc="7D0EE51C" w:tentative="1">
      <w:start w:val="1"/>
      <w:numFmt w:val="decimal"/>
      <w:lvlText w:val="%5."/>
      <w:lvlJc w:val="left"/>
      <w:pPr>
        <w:tabs>
          <w:tab w:val="num" w:pos="3600"/>
        </w:tabs>
        <w:ind w:left="3600" w:hanging="360"/>
      </w:pPr>
    </w:lvl>
    <w:lvl w:ilvl="5" w:tplc="F0D011D2" w:tentative="1">
      <w:start w:val="1"/>
      <w:numFmt w:val="decimal"/>
      <w:lvlText w:val="%6."/>
      <w:lvlJc w:val="left"/>
      <w:pPr>
        <w:tabs>
          <w:tab w:val="num" w:pos="4320"/>
        </w:tabs>
        <w:ind w:left="4320" w:hanging="360"/>
      </w:pPr>
    </w:lvl>
    <w:lvl w:ilvl="6" w:tplc="E15E6942" w:tentative="1">
      <w:start w:val="1"/>
      <w:numFmt w:val="decimal"/>
      <w:lvlText w:val="%7."/>
      <w:lvlJc w:val="left"/>
      <w:pPr>
        <w:tabs>
          <w:tab w:val="num" w:pos="5040"/>
        </w:tabs>
        <w:ind w:left="5040" w:hanging="360"/>
      </w:pPr>
    </w:lvl>
    <w:lvl w:ilvl="7" w:tplc="6A8CFFFC" w:tentative="1">
      <w:start w:val="1"/>
      <w:numFmt w:val="decimal"/>
      <w:lvlText w:val="%8."/>
      <w:lvlJc w:val="left"/>
      <w:pPr>
        <w:tabs>
          <w:tab w:val="num" w:pos="5760"/>
        </w:tabs>
        <w:ind w:left="5760" w:hanging="360"/>
      </w:pPr>
    </w:lvl>
    <w:lvl w:ilvl="8" w:tplc="0B4A5858" w:tentative="1">
      <w:start w:val="1"/>
      <w:numFmt w:val="decimal"/>
      <w:lvlText w:val="%9."/>
      <w:lvlJc w:val="left"/>
      <w:pPr>
        <w:tabs>
          <w:tab w:val="num" w:pos="6480"/>
        </w:tabs>
        <w:ind w:left="6480" w:hanging="360"/>
      </w:pPr>
    </w:lvl>
  </w:abstractNum>
  <w:abstractNum w:abstractNumId="20" w15:restartNumberingAfterBreak="0">
    <w:nsid w:val="1F610FCB"/>
    <w:multiLevelType w:val="hybridMultilevel"/>
    <w:tmpl w:val="BC1AE84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19F7951"/>
    <w:multiLevelType w:val="hybridMultilevel"/>
    <w:tmpl w:val="CFB60E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3552FF7"/>
    <w:multiLevelType w:val="hybridMultilevel"/>
    <w:tmpl w:val="C2DC0B1E"/>
    <w:lvl w:ilvl="0" w:tplc="BE8A6510">
      <w:start w:val="1"/>
      <w:numFmt w:val="decimal"/>
      <w:lvlText w:val="Figure %1 "/>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FD2662"/>
    <w:multiLevelType w:val="hybridMultilevel"/>
    <w:tmpl w:val="2D6858B2"/>
    <w:lvl w:ilvl="0" w:tplc="04090001">
      <w:start w:val="1"/>
      <w:numFmt w:val="bullet"/>
      <w:lvlText w:val=""/>
      <w:lvlJc w:val="left"/>
      <w:pPr>
        <w:ind w:left="740" w:hanging="360"/>
      </w:pPr>
      <w:rPr>
        <w:rFonts w:ascii="Symbol" w:hAnsi="Symbol"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4" w15:restartNumberingAfterBreak="0">
    <w:nsid w:val="29317399"/>
    <w:multiLevelType w:val="hybridMultilevel"/>
    <w:tmpl w:val="15AE2A38"/>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299E3B94"/>
    <w:multiLevelType w:val="hybridMultilevel"/>
    <w:tmpl w:val="ABFEC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5007EA"/>
    <w:multiLevelType w:val="hybridMultilevel"/>
    <w:tmpl w:val="C4B88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206898"/>
    <w:multiLevelType w:val="hybridMultilevel"/>
    <w:tmpl w:val="CABE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4E3653"/>
    <w:multiLevelType w:val="hybridMultilevel"/>
    <w:tmpl w:val="8C2E69E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8E2069"/>
    <w:multiLevelType w:val="hybridMultilevel"/>
    <w:tmpl w:val="21AC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1B40B2"/>
    <w:multiLevelType w:val="hybridMultilevel"/>
    <w:tmpl w:val="563A403C"/>
    <w:lvl w:ilvl="0" w:tplc="A67C82CA">
      <w:start w:val="1"/>
      <w:numFmt w:val="bullet"/>
      <w:lvlText w:val="•"/>
      <w:lvlJc w:val="left"/>
      <w:pPr>
        <w:tabs>
          <w:tab w:val="num" w:pos="720"/>
        </w:tabs>
        <w:ind w:left="720" w:hanging="360"/>
      </w:pPr>
      <w:rPr>
        <w:rFonts w:ascii="Arial Unicode MS" w:hAnsi="Arial Unicode MS" w:hint="default"/>
      </w:rPr>
    </w:lvl>
    <w:lvl w:ilvl="1" w:tplc="F236C4B8" w:tentative="1">
      <w:start w:val="1"/>
      <w:numFmt w:val="bullet"/>
      <w:lvlText w:val="•"/>
      <w:lvlJc w:val="left"/>
      <w:pPr>
        <w:tabs>
          <w:tab w:val="num" w:pos="1440"/>
        </w:tabs>
        <w:ind w:left="1440" w:hanging="360"/>
      </w:pPr>
      <w:rPr>
        <w:rFonts w:ascii="Arial Unicode MS" w:hAnsi="Arial Unicode MS" w:hint="default"/>
      </w:rPr>
    </w:lvl>
    <w:lvl w:ilvl="2" w:tplc="68AE452E" w:tentative="1">
      <w:start w:val="1"/>
      <w:numFmt w:val="bullet"/>
      <w:lvlText w:val="•"/>
      <w:lvlJc w:val="left"/>
      <w:pPr>
        <w:tabs>
          <w:tab w:val="num" w:pos="2160"/>
        </w:tabs>
        <w:ind w:left="2160" w:hanging="360"/>
      </w:pPr>
      <w:rPr>
        <w:rFonts w:ascii="Arial Unicode MS" w:hAnsi="Arial Unicode MS" w:hint="default"/>
      </w:rPr>
    </w:lvl>
    <w:lvl w:ilvl="3" w:tplc="631807E6" w:tentative="1">
      <w:start w:val="1"/>
      <w:numFmt w:val="bullet"/>
      <w:lvlText w:val="•"/>
      <w:lvlJc w:val="left"/>
      <w:pPr>
        <w:tabs>
          <w:tab w:val="num" w:pos="2880"/>
        </w:tabs>
        <w:ind w:left="2880" w:hanging="360"/>
      </w:pPr>
      <w:rPr>
        <w:rFonts w:ascii="Arial Unicode MS" w:hAnsi="Arial Unicode MS" w:hint="default"/>
      </w:rPr>
    </w:lvl>
    <w:lvl w:ilvl="4" w:tplc="5DC0E638" w:tentative="1">
      <w:start w:val="1"/>
      <w:numFmt w:val="bullet"/>
      <w:lvlText w:val="•"/>
      <w:lvlJc w:val="left"/>
      <w:pPr>
        <w:tabs>
          <w:tab w:val="num" w:pos="3600"/>
        </w:tabs>
        <w:ind w:left="3600" w:hanging="360"/>
      </w:pPr>
      <w:rPr>
        <w:rFonts w:ascii="Arial Unicode MS" w:hAnsi="Arial Unicode MS" w:hint="default"/>
      </w:rPr>
    </w:lvl>
    <w:lvl w:ilvl="5" w:tplc="7BCA6E86" w:tentative="1">
      <w:start w:val="1"/>
      <w:numFmt w:val="bullet"/>
      <w:lvlText w:val="•"/>
      <w:lvlJc w:val="left"/>
      <w:pPr>
        <w:tabs>
          <w:tab w:val="num" w:pos="4320"/>
        </w:tabs>
        <w:ind w:left="4320" w:hanging="360"/>
      </w:pPr>
      <w:rPr>
        <w:rFonts w:ascii="Arial Unicode MS" w:hAnsi="Arial Unicode MS" w:hint="default"/>
      </w:rPr>
    </w:lvl>
    <w:lvl w:ilvl="6" w:tplc="9A1CC672" w:tentative="1">
      <w:start w:val="1"/>
      <w:numFmt w:val="bullet"/>
      <w:lvlText w:val="•"/>
      <w:lvlJc w:val="left"/>
      <w:pPr>
        <w:tabs>
          <w:tab w:val="num" w:pos="5040"/>
        </w:tabs>
        <w:ind w:left="5040" w:hanging="360"/>
      </w:pPr>
      <w:rPr>
        <w:rFonts w:ascii="Arial Unicode MS" w:hAnsi="Arial Unicode MS" w:hint="default"/>
      </w:rPr>
    </w:lvl>
    <w:lvl w:ilvl="7" w:tplc="9B3E4540" w:tentative="1">
      <w:start w:val="1"/>
      <w:numFmt w:val="bullet"/>
      <w:lvlText w:val="•"/>
      <w:lvlJc w:val="left"/>
      <w:pPr>
        <w:tabs>
          <w:tab w:val="num" w:pos="5760"/>
        </w:tabs>
        <w:ind w:left="5760" w:hanging="360"/>
      </w:pPr>
      <w:rPr>
        <w:rFonts w:ascii="Arial Unicode MS" w:hAnsi="Arial Unicode MS" w:hint="default"/>
      </w:rPr>
    </w:lvl>
    <w:lvl w:ilvl="8" w:tplc="FA74D544" w:tentative="1">
      <w:start w:val="1"/>
      <w:numFmt w:val="bullet"/>
      <w:lvlText w:val="•"/>
      <w:lvlJc w:val="left"/>
      <w:pPr>
        <w:tabs>
          <w:tab w:val="num" w:pos="6480"/>
        </w:tabs>
        <w:ind w:left="6480" w:hanging="360"/>
      </w:pPr>
      <w:rPr>
        <w:rFonts w:ascii="Arial Unicode MS" w:hAnsi="Arial Unicode MS" w:hint="default"/>
      </w:rPr>
    </w:lvl>
  </w:abstractNum>
  <w:abstractNum w:abstractNumId="31" w15:restartNumberingAfterBreak="0">
    <w:nsid w:val="34C8118C"/>
    <w:multiLevelType w:val="hybridMultilevel"/>
    <w:tmpl w:val="9A402440"/>
    <w:lvl w:ilvl="0" w:tplc="08F8512E">
      <w:start w:val="1"/>
      <w:numFmt w:val="decimal"/>
      <w:lvlText w:val="Figure %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1C198F"/>
    <w:multiLevelType w:val="hybridMultilevel"/>
    <w:tmpl w:val="7CBE1358"/>
    <w:lvl w:ilvl="0" w:tplc="125236F4">
      <w:start w:val="1"/>
      <w:numFmt w:val="upp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F05F9F"/>
    <w:multiLevelType w:val="hybridMultilevel"/>
    <w:tmpl w:val="6108F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7E5ED0"/>
    <w:multiLevelType w:val="hybridMultilevel"/>
    <w:tmpl w:val="966E8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AB6BA4"/>
    <w:multiLevelType w:val="hybridMultilevel"/>
    <w:tmpl w:val="7182F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9C0432"/>
    <w:multiLevelType w:val="hybridMultilevel"/>
    <w:tmpl w:val="08FE3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C03ED6"/>
    <w:multiLevelType w:val="hybridMultilevel"/>
    <w:tmpl w:val="9FFE4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E103862"/>
    <w:multiLevelType w:val="hybridMultilevel"/>
    <w:tmpl w:val="9230B77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EFF0419"/>
    <w:multiLevelType w:val="hybridMultilevel"/>
    <w:tmpl w:val="C156B7D8"/>
    <w:lvl w:ilvl="0" w:tplc="6DB073DE">
      <w:start w:val="1"/>
      <w:numFmt w:val="bullet"/>
      <w:lvlText w:val="•"/>
      <w:lvlJc w:val="left"/>
      <w:pPr>
        <w:tabs>
          <w:tab w:val="num" w:pos="720"/>
        </w:tabs>
        <w:ind w:left="720" w:hanging="360"/>
      </w:pPr>
      <w:rPr>
        <w:rFonts w:ascii="Arial Unicode MS" w:hAnsi="Arial Unicode MS" w:hint="default"/>
      </w:rPr>
    </w:lvl>
    <w:lvl w:ilvl="1" w:tplc="97F88096" w:tentative="1">
      <w:start w:val="1"/>
      <w:numFmt w:val="bullet"/>
      <w:lvlText w:val="•"/>
      <w:lvlJc w:val="left"/>
      <w:pPr>
        <w:tabs>
          <w:tab w:val="num" w:pos="1440"/>
        </w:tabs>
        <w:ind w:left="1440" w:hanging="360"/>
      </w:pPr>
      <w:rPr>
        <w:rFonts w:ascii="Arial Unicode MS" w:hAnsi="Arial Unicode MS" w:hint="default"/>
      </w:rPr>
    </w:lvl>
    <w:lvl w:ilvl="2" w:tplc="713A36CC" w:tentative="1">
      <w:start w:val="1"/>
      <w:numFmt w:val="bullet"/>
      <w:lvlText w:val="•"/>
      <w:lvlJc w:val="left"/>
      <w:pPr>
        <w:tabs>
          <w:tab w:val="num" w:pos="2160"/>
        </w:tabs>
        <w:ind w:left="2160" w:hanging="360"/>
      </w:pPr>
      <w:rPr>
        <w:rFonts w:ascii="Arial Unicode MS" w:hAnsi="Arial Unicode MS" w:hint="default"/>
      </w:rPr>
    </w:lvl>
    <w:lvl w:ilvl="3" w:tplc="92B0F272" w:tentative="1">
      <w:start w:val="1"/>
      <w:numFmt w:val="bullet"/>
      <w:lvlText w:val="•"/>
      <w:lvlJc w:val="left"/>
      <w:pPr>
        <w:tabs>
          <w:tab w:val="num" w:pos="2880"/>
        </w:tabs>
        <w:ind w:left="2880" w:hanging="360"/>
      </w:pPr>
      <w:rPr>
        <w:rFonts w:ascii="Arial Unicode MS" w:hAnsi="Arial Unicode MS" w:hint="default"/>
      </w:rPr>
    </w:lvl>
    <w:lvl w:ilvl="4" w:tplc="858029D2" w:tentative="1">
      <w:start w:val="1"/>
      <w:numFmt w:val="bullet"/>
      <w:lvlText w:val="•"/>
      <w:lvlJc w:val="left"/>
      <w:pPr>
        <w:tabs>
          <w:tab w:val="num" w:pos="3600"/>
        </w:tabs>
        <w:ind w:left="3600" w:hanging="360"/>
      </w:pPr>
      <w:rPr>
        <w:rFonts w:ascii="Arial Unicode MS" w:hAnsi="Arial Unicode MS" w:hint="default"/>
      </w:rPr>
    </w:lvl>
    <w:lvl w:ilvl="5" w:tplc="B0D8D4A6" w:tentative="1">
      <w:start w:val="1"/>
      <w:numFmt w:val="bullet"/>
      <w:lvlText w:val="•"/>
      <w:lvlJc w:val="left"/>
      <w:pPr>
        <w:tabs>
          <w:tab w:val="num" w:pos="4320"/>
        </w:tabs>
        <w:ind w:left="4320" w:hanging="360"/>
      </w:pPr>
      <w:rPr>
        <w:rFonts w:ascii="Arial Unicode MS" w:hAnsi="Arial Unicode MS" w:hint="default"/>
      </w:rPr>
    </w:lvl>
    <w:lvl w:ilvl="6" w:tplc="886AEEC6" w:tentative="1">
      <w:start w:val="1"/>
      <w:numFmt w:val="bullet"/>
      <w:lvlText w:val="•"/>
      <w:lvlJc w:val="left"/>
      <w:pPr>
        <w:tabs>
          <w:tab w:val="num" w:pos="5040"/>
        </w:tabs>
        <w:ind w:left="5040" w:hanging="360"/>
      </w:pPr>
      <w:rPr>
        <w:rFonts w:ascii="Arial Unicode MS" w:hAnsi="Arial Unicode MS" w:hint="default"/>
      </w:rPr>
    </w:lvl>
    <w:lvl w:ilvl="7" w:tplc="DFC66F10" w:tentative="1">
      <w:start w:val="1"/>
      <w:numFmt w:val="bullet"/>
      <w:lvlText w:val="•"/>
      <w:lvlJc w:val="left"/>
      <w:pPr>
        <w:tabs>
          <w:tab w:val="num" w:pos="5760"/>
        </w:tabs>
        <w:ind w:left="5760" w:hanging="360"/>
      </w:pPr>
      <w:rPr>
        <w:rFonts w:ascii="Arial Unicode MS" w:hAnsi="Arial Unicode MS" w:hint="default"/>
      </w:rPr>
    </w:lvl>
    <w:lvl w:ilvl="8" w:tplc="12909B72" w:tentative="1">
      <w:start w:val="1"/>
      <w:numFmt w:val="bullet"/>
      <w:lvlText w:val="•"/>
      <w:lvlJc w:val="left"/>
      <w:pPr>
        <w:tabs>
          <w:tab w:val="num" w:pos="6480"/>
        </w:tabs>
        <w:ind w:left="6480" w:hanging="360"/>
      </w:pPr>
      <w:rPr>
        <w:rFonts w:ascii="Arial Unicode MS" w:hAnsi="Arial Unicode MS" w:hint="default"/>
      </w:rPr>
    </w:lvl>
  </w:abstractNum>
  <w:abstractNum w:abstractNumId="40" w15:restartNumberingAfterBreak="0">
    <w:nsid w:val="400F3725"/>
    <w:multiLevelType w:val="hybridMultilevel"/>
    <w:tmpl w:val="7722A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780838"/>
    <w:multiLevelType w:val="hybridMultilevel"/>
    <w:tmpl w:val="F5D81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3CD5D37"/>
    <w:multiLevelType w:val="hybridMultilevel"/>
    <w:tmpl w:val="C0483940"/>
    <w:lvl w:ilvl="0" w:tplc="DDACD120">
      <w:start w:val="1"/>
      <w:numFmt w:val="bullet"/>
      <w:lvlText w:val="•"/>
      <w:lvlJc w:val="left"/>
      <w:pPr>
        <w:tabs>
          <w:tab w:val="num" w:pos="720"/>
        </w:tabs>
        <w:ind w:left="720" w:hanging="360"/>
      </w:pPr>
      <w:rPr>
        <w:rFonts w:ascii="Arial Unicode MS" w:hAnsi="Arial Unicode MS" w:hint="default"/>
      </w:rPr>
    </w:lvl>
    <w:lvl w:ilvl="1" w:tplc="70562508" w:tentative="1">
      <w:start w:val="1"/>
      <w:numFmt w:val="bullet"/>
      <w:lvlText w:val="•"/>
      <w:lvlJc w:val="left"/>
      <w:pPr>
        <w:tabs>
          <w:tab w:val="num" w:pos="1440"/>
        </w:tabs>
        <w:ind w:left="1440" w:hanging="360"/>
      </w:pPr>
      <w:rPr>
        <w:rFonts w:ascii="Arial Unicode MS" w:hAnsi="Arial Unicode MS" w:hint="default"/>
      </w:rPr>
    </w:lvl>
    <w:lvl w:ilvl="2" w:tplc="F0186ED2" w:tentative="1">
      <w:start w:val="1"/>
      <w:numFmt w:val="bullet"/>
      <w:lvlText w:val="•"/>
      <w:lvlJc w:val="left"/>
      <w:pPr>
        <w:tabs>
          <w:tab w:val="num" w:pos="2160"/>
        </w:tabs>
        <w:ind w:left="2160" w:hanging="360"/>
      </w:pPr>
      <w:rPr>
        <w:rFonts w:ascii="Arial Unicode MS" w:hAnsi="Arial Unicode MS" w:hint="default"/>
      </w:rPr>
    </w:lvl>
    <w:lvl w:ilvl="3" w:tplc="C742CB74" w:tentative="1">
      <w:start w:val="1"/>
      <w:numFmt w:val="bullet"/>
      <w:lvlText w:val="•"/>
      <w:lvlJc w:val="left"/>
      <w:pPr>
        <w:tabs>
          <w:tab w:val="num" w:pos="2880"/>
        </w:tabs>
        <w:ind w:left="2880" w:hanging="360"/>
      </w:pPr>
      <w:rPr>
        <w:rFonts w:ascii="Arial Unicode MS" w:hAnsi="Arial Unicode MS" w:hint="default"/>
      </w:rPr>
    </w:lvl>
    <w:lvl w:ilvl="4" w:tplc="D9180D3C" w:tentative="1">
      <w:start w:val="1"/>
      <w:numFmt w:val="bullet"/>
      <w:lvlText w:val="•"/>
      <w:lvlJc w:val="left"/>
      <w:pPr>
        <w:tabs>
          <w:tab w:val="num" w:pos="3600"/>
        </w:tabs>
        <w:ind w:left="3600" w:hanging="360"/>
      </w:pPr>
      <w:rPr>
        <w:rFonts w:ascii="Arial Unicode MS" w:hAnsi="Arial Unicode MS" w:hint="default"/>
      </w:rPr>
    </w:lvl>
    <w:lvl w:ilvl="5" w:tplc="246463F0" w:tentative="1">
      <w:start w:val="1"/>
      <w:numFmt w:val="bullet"/>
      <w:lvlText w:val="•"/>
      <w:lvlJc w:val="left"/>
      <w:pPr>
        <w:tabs>
          <w:tab w:val="num" w:pos="4320"/>
        </w:tabs>
        <w:ind w:left="4320" w:hanging="360"/>
      </w:pPr>
      <w:rPr>
        <w:rFonts w:ascii="Arial Unicode MS" w:hAnsi="Arial Unicode MS" w:hint="default"/>
      </w:rPr>
    </w:lvl>
    <w:lvl w:ilvl="6" w:tplc="80ACCF12" w:tentative="1">
      <w:start w:val="1"/>
      <w:numFmt w:val="bullet"/>
      <w:lvlText w:val="•"/>
      <w:lvlJc w:val="left"/>
      <w:pPr>
        <w:tabs>
          <w:tab w:val="num" w:pos="5040"/>
        </w:tabs>
        <w:ind w:left="5040" w:hanging="360"/>
      </w:pPr>
      <w:rPr>
        <w:rFonts w:ascii="Arial Unicode MS" w:hAnsi="Arial Unicode MS" w:hint="default"/>
      </w:rPr>
    </w:lvl>
    <w:lvl w:ilvl="7" w:tplc="975AE5BC" w:tentative="1">
      <w:start w:val="1"/>
      <w:numFmt w:val="bullet"/>
      <w:lvlText w:val="•"/>
      <w:lvlJc w:val="left"/>
      <w:pPr>
        <w:tabs>
          <w:tab w:val="num" w:pos="5760"/>
        </w:tabs>
        <w:ind w:left="5760" w:hanging="360"/>
      </w:pPr>
      <w:rPr>
        <w:rFonts w:ascii="Arial Unicode MS" w:hAnsi="Arial Unicode MS" w:hint="default"/>
      </w:rPr>
    </w:lvl>
    <w:lvl w:ilvl="8" w:tplc="E0048C74" w:tentative="1">
      <w:start w:val="1"/>
      <w:numFmt w:val="bullet"/>
      <w:lvlText w:val="•"/>
      <w:lvlJc w:val="left"/>
      <w:pPr>
        <w:tabs>
          <w:tab w:val="num" w:pos="6480"/>
        </w:tabs>
        <w:ind w:left="6480" w:hanging="360"/>
      </w:pPr>
      <w:rPr>
        <w:rFonts w:ascii="Arial Unicode MS" w:hAnsi="Arial Unicode MS" w:hint="default"/>
      </w:rPr>
    </w:lvl>
  </w:abstractNum>
  <w:abstractNum w:abstractNumId="43" w15:restartNumberingAfterBreak="0">
    <w:nsid w:val="48093D87"/>
    <w:multiLevelType w:val="hybridMultilevel"/>
    <w:tmpl w:val="26E69B72"/>
    <w:lvl w:ilvl="0" w:tplc="04090001">
      <w:start w:val="1"/>
      <w:numFmt w:val="bullet"/>
      <w:lvlText w:val=""/>
      <w:lvlJc w:val="left"/>
      <w:pPr>
        <w:ind w:left="405" w:hanging="360"/>
      </w:pPr>
      <w:rPr>
        <w:rFonts w:ascii="Symbol" w:hAnsi="Symbol" w:hint="default"/>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44" w15:restartNumberingAfterBreak="0">
    <w:nsid w:val="4BBA5ADC"/>
    <w:multiLevelType w:val="hybridMultilevel"/>
    <w:tmpl w:val="02861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800F9A"/>
    <w:multiLevelType w:val="hybridMultilevel"/>
    <w:tmpl w:val="9424C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A63CDF"/>
    <w:multiLevelType w:val="hybridMultilevel"/>
    <w:tmpl w:val="D2103246"/>
    <w:lvl w:ilvl="0" w:tplc="2CDEA82E">
      <w:start w:val="1"/>
      <w:numFmt w:val="decimal"/>
      <w:lvlText w:val="Figure %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5D5A87"/>
    <w:multiLevelType w:val="hybridMultilevel"/>
    <w:tmpl w:val="89748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143322F"/>
    <w:multiLevelType w:val="hybridMultilevel"/>
    <w:tmpl w:val="E44CB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4882C5A"/>
    <w:multiLevelType w:val="hybridMultilevel"/>
    <w:tmpl w:val="425643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7005FFE"/>
    <w:multiLevelType w:val="hybridMultilevel"/>
    <w:tmpl w:val="45228662"/>
    <w:lvl w:ilvl="0" w:tplc="04090001">
      <w:start w:val="1"/>
      <w:numFmt w:val="bullet"/>
      <w:lvlText w:val=""/>
      <w:lvlJc w:val="left"/>
      <w:pPr>
        <w:tabs>
          <w:tab w:val="num" w:pos="720"/>
        </w:tabs>
        <w:ind w:left="720" w:hanging="360"/>
      </w:pPr>
      <w:rPr>
        <w:rFonts w:ascii="Symbol" w:hAnsi="Symbol" w:hint="default"/>
      </w:rPr>
    </w:lvl>
    <w:lvl w:ilvl="1" w:tplc="FFFFFFFF">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8CA10B8"/>
    <w:multiLevelType w:val="hybridMultilevel"/>
    <w:tmpl w:val="0C9C2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211D0E"/>
    <w:multiLevelType w:val="hybridMultilevel"/>
    <w:tmpl w:val="D86E9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C2A082D"/>
    <w:multiLevelType w:val="hybridMultilevel"/>
    <w:tmpl w:val="BCD6F06A"/>
    <w:lvl w:ilvl="0" w:tplc="D49CDDAE">
      <w:start w:val="1"/>
      <w:numFmt w:val="bullet"/>
      <w:lvlText w:val=""/>
      <w:lvlJc w:val="left"/>
      <w:pPr>
        <w:tabs>
          <w:tab w:val="num" w:pos="720"/>
        </w:tabs>
        <w:ind w:left="720" w:hanging="360"/>
      </w:pPr>
      <w:rPr>
        <w:rFonts w:ascii="Symbol" w:hAnsi="Symbol" w:hint="default"/>
        <w:sz w:val="20"/>
      </w:rPr>
    </w:lvl>
    <w:lvl w:ilvl="1" w:tplc="14D6A8D2" w:tentative="1">
      <w:start w:val="1"/>
      <w:numFmt w:val="bullet"/>
      <w:lvlText w:val="o"/>
      <w:lvlJc w:val="left"/>
      <w:pPr>
        <w:tabs>
          <w:tab w:val="num" w:pos="1440"/>
        </w:tabs>
        <w:ind w:left="1440" w:hanging="360"/>
      </w:pPr>
      <w:rPr>
        <w:rFonts w:ascii="Courier New" w:hAnsi="Courier New" w:hint="default"/>
        <w:sz w:val="20"/>
      </w:rPr>
    </w:lvl>
    <w:lvl w:ilvl="2" w:tplc="03AEA5EE" w:tentative="1">
      <w:start w:val="1"/>
      <w:numFmt w:val="bullet"/>
      <w:lvlText w:val=""/>
      <w:lvlJc w:val="left"/>
      <w:pPr>
        <w:tabs>
          <w:tab w:val="num" w:pos="2160"/>
        </w:tabs>
        <w:ind w:left="2160" w:hanging="360"/>
      </w:pPr>
      <w:rPr>
        <w:rFonts w:ascii="Wingdings" w:hAnsi="Wingdings" w:hint="default"/>
        <w:sz w:val="20"/>
      </w:rPr>
    </w:lvl>
    <w:lvl w:ilvl="3" w:tplc="29CA9C9E" w:tentative="1">
      <w:start w:val="1"/>
      <w:numFmt w:val="bullet"/>
      <w:lvlText w:val=""/>
      <w:lvlJc w:val="left"/>
      <w:pPr>
        <w:tabs>
          <w:tab w:val="num" w:pos="2880"/>
        </w:tabs>
        <w:ind w:left="2880" w:hanging="360"/>
      </w:pPr>
      <w:rPr>
        <w:rFonts w:ascii="Wingdings" w:hAnsi="Wingdings" w:hint="default"/>
        <w:sz w:val="20"/>
      </w:rPr>
    </w:lvl>
    <w:lvl w:ilvl="4" w:tplc="CDA0FDF0" w:tentative="1">
      <w:start w:val="1"/>
      <w:numFmt w:val="bullet"/>
      <w:lvlText w:val=""/>
      <w:lvlJc w:val="left"/>
      <w:pPr>
        <w:tabs>
          <w:tab w:val="num" w:pos="3600"/>
        </w:tabs>
        <w:ind w:left="3600" w:hanging="360"/>
      </w:pPr>
      <w:rPr>
        <w:rFonts w:ascii="Wingdings" w:hAnsi="Wingdings" w:hint="default"/>
        <w:sz w:val="20"/>
      </w:rPr>
    </w:lvl>
    <w:lvl w:ilvl="5" w:tplc="90721054" w:tentative="1">
      <w:start w:val="1"/>
      <w:numFmt w:val="bullet"/>
      <w:lvlText w:val=""/>
      <w:lvlJc w:val="left"/>
      <w:pPr>
        <w:tabs>
          <w:tab w:val="num" w:pos="4320"/>
        </w:tabs>
        <w:ind w:left="4320" w:hanging="360"/>
      </w:pPr>
      <w:rPr>
        <w:rFonts w:ascii="Wingdings" w:hAnsi="Wingdings" w:hint="default"/>
        <w:sz w:val="20"/>
      </w:rPr>
    </w:lvl>
    <w:lvl w:ilvl="6" w:tplc="A23073D4" w:tentative="1">
      <w:start w:val="1"/>
      <w:numFmt w:val="bullet"/>
      <w:lvlText w:val=""/>
      <w:lvlJc w:val="left"/>
      <w:pPr>
        <w:tabs>
          <w:tab w:val="num" w:pos="5040"/>
        </w:tabs>
        <w:ind w:left="5040" w:hanging="360"/>
      </w:pPr>
      <w:rPr>
        <w:rFonts w:ascii="Wingdings" w:hAnsi="Wingdings" w:hint="default"/>
        <w:sz w:val="20"/>
      </w:rPr>
    </w:lvl>
    <w:lvl w:ilvl="7" w:tplc="F97EE3F6" w:tentative="1">
      <w:start w:val="1"/>
      <w:numFmt w:val="bullet"/>
      <w:lvlText w:val=""/>
      <w:lvlJc w:val="left"/>
      <w:pPr>
        <w:tabs>
          <w:tab w:val="num" w:pos="5760"/>
        </w:tabs>
        <w:ind w:left="5760" w:hanging="360"/>
      </w:pPr>
      <w:rPr>
        <w:rFonts w:ascii="Wingdings" w:hAnsi="Wingdings" w:hint="default"/>
        <w:sz w:val="20"/>
      </w:rPr>
    </w:lvl>
    <w:lvl w:ilvl="8" w:tplc="F7B44950"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B711EB"/>
    <w:multiLevelType w:val="hybridMultilevel"/>
    <w:tmpl w:val="E55A5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65607A"/>
    <w:multiLevelType w:val="hybridMultilevel"/>
    <w:tmpl w:val="60B46EE0"/>
    <w:lvl w:ilvl="0" w:tplc="12ACCB34">
      <w:start w:val="1"/>
      <w:numFmt w:val="decimal"/>
      <w:lvlText w:val="Figure %1 "/>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4B0016F"/>
    <w:multiLevelType w:val="hybridMultilevel"/>
    <w:tmpl w:val="57E2F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5778B5"/>
    <w:multiLevelType w:val="hybridMultilevel"/>
    <w:tmpl w:val="F59CE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C54F4F"/>
    <w:multiLevelType w:val="hybridMultilevel"/>
    <w:tmpl w:val="F8628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7B01B52"/>
    <w:multiLevelType w:val="hybridMultilevel"/>
    <w:tmpl w:val="7FA8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843152D"/>
    <w:multiLevelType w:val="hybridMultilevel"/>
    <w:tmpl w:val="181E7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8874F56"/>
    <w:multiLevelType w:val="hybridMultilevel"/>
    <w:tmpl w:val="7B68B54C"/>
    <w:lvl w:ilvl="0" w:tplc="2B54A91E">
      <w:start w:val="14"/>
      <w:numFmt w:val="bullet"/>
      <w:lvlText w:val="-"/>
      <w:lvlJc w:val="left"/>
      <w:pPr>
        <w:ind w:left="720" w:hanging="360"/>
      </w:pPr>
      <w:rPr>
        <w:rFonts w:ascii="Calibri" w:eastAsia="Times New Roman" w:hAnsi="Calibri" w:cs="Calibr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9095E13"/>
    <w:multiLevelType w:val="hybridMultilevel"/>
    <w:tmpl w:val="8B804552"/>
    <w:lvl w:ilvl="0" w:tplc="3FC83550">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ADC4E36"/>
    <w:multiLevelType w:val="hybridMultilevel"/>
    <w:tmpl w:val="0706EA84"/>
    <w:lvl w:ilvl="0" w:tplc="FFE0DF0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15:restartNumberingAfterBreak="0">
    <w:nsid w:val="6C216C92"/>
    <w:multiLevelType w:val="hybridMultilevel"/>
    <w:tmpl w:val="47C82500"/>
    <w:lvl w:ilvl="0" w:tplc="FD683DFE">
      <w:start w:val="1"/>
      <w:numFmt w:val="decimal"/>
      <w:lvlText w:val="Figure %1 "/>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EA1717"/>
    <w:multiLevelType w:val="hybridMultilevel"/>
    <w:tmpl w:val="17047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ED451D"/>
    <w:multiLevelType w:val="hybridMultilevel"/>
    <w:tmpl w:val="44D62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F2E1740"/>
    <w:multiLevelType w:val="hybridMultilevel"/>
    <w:tmpl w:val="65A4C18E"/>
    <w:lvl w:ilvl="0" w:tplc="DA9E8DF4">
      <w:start w:val="1"/>
      <w:numFmt w:val="bullet"/>
      <w:lvlText w:val="•"/>
      <w:lvlJc w:val="left"/>
      <w:pPr>
        <w:tabs>
          <w:tab w:val="num" w:pos="720"/>
        </w:tabs>
        <w:ind w:left="720" w:hanging="360"/>
      </w:pPr>
      <w:rPr>
        <w:rFonts w:ascii="Arial Unicode MS" w:hAnsi="Arial Unicode MS" w:hint="default"/>
      </w:rPr>
    </w:lvl>
    <w:lvl w:ilvl="1" w:tplc="3FAE84D2">
      <w:numFmt w:val="bullet"/>
      <w:lvlText w:val="ￚ"/>
      <w:lvlJc w:val="left"/>
      <w:pPr>
        <w:tabs>
          <w:tab w:val="num" w:pos="1440"/>
        </w:tabs>
        <w:ind w:left="1440" w:hanging="360"/>
      </w:pPr>
      <w:rPr>
        <w:rFonts w:ascii="Malgun Gothic" w:hAnsi="Malgun Gothic" w:hint="default"/>
      </w:rPr>
    </w:lvl>
    <w:lvl w:ilvl="2" w:tplc="CE96CEE8" w:tentative="1">
      <w:start w:val="1"/>
      <w:numFmt w:val="bullet"/>
      <w:lvlText w:val="•"/>
      <w:lvlJc w:val="left"/>
      <w:pPr>
        <w:tabs>
          <w:tab w:val="num" w:pos="2160"/>
        </w:tabs>
        <w:ind w:left="2160" w:hanging="360"/>
      </w:pPr>
      <w:rPr>
        <w:rFonts w:ascii="Arial Unicode MS" w:hAnsi="Arial Unicode MS" w:hint="default"/>
      </w:rPr>
    </w:lvl>
    <w:lvl w:ilvl="3" w:tplc="32A07DE8" w:tentative="1">
      <w:start w:val="1"/>
      <w:numFmt w:val="bullet"/>
      <w:lvlText w:val="•"/>
      <w:lvlJc w:val="left"/>
      <w:pPr>
        <w:tabs>
          <w:tab w:val="num" w:pos="2880"/>
        </w:tabs>
        <w:ind w:left="2880" w:hanging="360"/>
      </w:pPr>
      <w:rPr>
        <w:rFonts w:ascii="Arial Unicode MS" w:hAnsi="Arial Unicode MS" w:hint="default"/>
      </w:rPr>
    </w:lvl>
    <w:lvl w:ilvl="4" w:tplc="D03E6A40" w:tentative="1">
      <w:start w:val="1"/>
      <w:numFmt w:val="bullet"/>
      <w:lvlText w:val="•"/>
      <w:lvlJc w:val="left"/>
      <w:pPr>
        <w:tabs>
          <w:tab w:val="num" w:pos="3600"/>
        </w:tabs>
        <w:ind w:left="3600" w:hanging="360"/>
      </w:pPr>
      <w:rPr>
        <w:rFonts w:ascii="Arial Unicode MS" w:hAnsi="Arial Unicode MS" w:hint="default"/>
      </w:rPr>
    </w:lvl>
    <w:lvl w:ilvl="5" w:tplc="B538AE24" w:tentative="1">
      <w:start w:val="1"/>
      <w:numFmt w:val="bullet"/>
      <w:lvlText w:val="•"/>
      <w:lvlJc w:val="left"/>
      <w:pPr>
        <w:tabs>
          <w:tab w:val="num" w:pos="4320"/>
        </w:tabs>
        <w:ind w:left="4320" w:hanging="360"/>
      </w:pPr>
      <w:rPr>
        <w:rFonts w:ascii="Arial Unicode MS" w:hAnsi="Arial Unicode MS" w:hint="default"/>
      </w:rPr>
    </w:lvl>
    <w:lvl w:ilvl="6" w:tplc="1DDE1EC6" w:tentative="1">
      <w:start w:val="1"/>
      <w:numFmt w:val="bullet"/>
      <w:lvlText w:val="•"/>
      <w:lvlJc w:val="left"/>
      <w:pPr>
        <w:tabs>
          <w:tab w:val="num" w:pos="5040"/>
        </w:tabs>
        <w:ind w:left="5040" w:hanging="360"/>
      </w:pPr>
      <w:rPr>
        <w:rFonts w:ascii="Arial Unicode MS" w:hAnsi="Arial Unicode MS" w:hint="default"/>
      </w:rPr>
    </w:lvl>
    <w:lvl w:ilvl="7" w:tplc="0BEA7F1A" w:tentative="1">
      <w:start w:val="1"/>
      <w:numFmt w:val="bullet"/>
      <w:lvlText w:val="•"/>
      <w:lvlJc w:val="left"/>
      <w:pPr>
        <w:tabs>
          <w:tab w:val="num" w:pos="5760"/>
        </w:tabs>
        <w:ind w:left="5760" w:hanging="360"/>
      </w:pPr>
      <w:rPr>
        <w:rFonts w:ascii="Arial Unicode MS" w:hAnsi="Arial Unicode MS" w:hint="default"/>
      </w:rPr>
    </w:lvl>
    <w:lvl w:ilvl="8" w:tplc="97564916" w:tentative="1">
      <w:start w:val="1"/>
      <w:numFmt w:val="bullet"/>
      <w:lvlText w:val="•"/>
      <w:lvlJc w:val="left"/>
      <w:pPr>
        <w:tabs>
          <w:tab w:val="num" w:pos="6480"/>
        </w:tabs>
        <w:ind w:left="6480" w:hanging="360"/>
      </w:pPr>
      <w:rPr>
        <w:rFonts w:ascii="Arial Unicode MS" w:hAnsi="Arial Unicode MS" w:hint="default"/>
      </w:rPr>
    </w:lvl>
  </w:abstractNum>
  <w:abstractNum w:abstractNumId="68" w15:restartNumberingAfterBreak="0">
    <w:nsid w:val="71C31FC8"/>
    <w:multiLevelType w:val="hybridMultilevel"/>
    <w:tmpl w:val="F448FA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28648A5"/>
    <w:multiLevelType w:val="multilevel"/>
    <w:tmpl w:val="30B047B2"/>
    <w:lvl w:ilvl="0">
      <w:start w:val="1"/>
      <w:numFmt w:val="upperRoman"/>
      <w:lvlText w:val="Section %1."/>
      <w:lvlJc w:val="left"/>
      <w:pPr>
        <w:ind w:left="333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733452FF"/>
    <w:multiLevelType w:val="hybridMultilevel"/>
    <w:tmpl w:val="9594BC46"/>
    <w:lvl w:ilvl="0" w:tplc="64662FFA">
      <w:start w:val="1"/>
      <w:numFmt w:val="bullet"/>
      <w:lvlText w:val=""/>
      <w:lvlJc w:val="left"/>
      <w:pPr>
        <w:tabs>
          <w:tab w:val="num" w:pos="720"/>
        </w:tabs>
        <w:ind w:left="720" w:hanging="360"/>
      </w:pPr>
      <w:rPr>
        <w:rFonts w:ascii="Wingdings" w:hAnsi="Wingdings" w:hint="default"/>
      </w:rPr>
    </w:lvl>
    <w:lvl w:ilvl="1" w:tplc="08BED470">
      <w:start w:val="1"/>
      <w:numFmt w:val="bullet"/>
      <w:lvlText w:val=""/>
      <w:lvlJc w:val="left"/>
      <w:pPr>
        <w:tabs>
          <w:tab w:val="num" w:pos="1440"/>
        </w:tabs>
        <w:ind w:left="1440" w:hanging="360"/>
      </w:pPr>
      <w:rPr>
        <w:rFonts w:ascii="Wingdings" w:hAnsi="Wingdings" w:hint="default"/>
      </w:rPr>
    </w:lvl>
    <w:lvl w:ilvl="2" w:tplc="87985FB4">
      <w:numFmt w:val="bullet"/>
      <w:lvlText w:val=""/>
      <w:lvlJc w:val="left"/>
      <w:pPr>
        <w:tabs>
          <w:tab w:val="num" w:pos="2160"/>
        </w:tabs>
        <w:ind w:left="2160" w:hanging="360"/>
      </w:pPr>
      <w:rPr>
        <w:rFonts w:ascii="Wingdings" w:hAnsi="Wingdings" w:hint="default"/>
      </w:rPr>
    </w:lvl>
    <w:lvl w:ilvl="3" w:tplc="E8661538" w:tentative="1">
      <w:start w:val="1"/>
      <w:numFmt w:val="bullet"/>
      <w:lvlText w:val=""/>
      <w:lvlJc w:val="left"/>
      <w:pPr>
        <w:tabs>
          <w:tab w:val="num" w:pos="2880"/>
        </w:tabs>
        <w:ind w:left="2880" w:hanging="360"/>
      </w:pPr>
      <w:rPr>
        <w:rFonts w:ascii="Wingdings" w:hAnsi="Wingdings" w:hint="default"/>
      </w:rPr>
    </w:lvl>
    <w:lvl w:ilvl="4" w:tplc="60F6534E" w:tentative="1">
      <w:start w:val="1"/>
      <w:numFmt w:val="bullet"/>
      <w:lvlText w:val=""/>
      <w:lvlJc w:val="left"/>
      <w:pPr>
        <w:tabs>
          <w:tab w:val="num" w:pos="3600"/>
        </w:tabs>
        <w:ind w:left="3600" w:hanging="360"/>
      </w:pPr>
      <w:rPr>
        <w:rFonts w:ascii="Wingdings" w:hAnsi="Wingdings" w:hint="default"/>
      </w:rPr>
    </w:lvl>
    <w:lvl w:ilvl="5" w:tplc="453EC72A" w:tentative="1">
      <w:start w:val="1"/>
      <w:numFmt w:val="bullet"/>
      <w:lvlText w:val=""/>
      <w:lvlJc w:val="left"/>
      <w:pPr>
        <w:tabs>
          <w:tab w:val="num" w:pos="4320"/>
        </w:tabs>
        <w:ind w:left="4320" w:hanging="360"/>
      </w:pPr>
      <w:rPr>
        <w:rFonts w:ascii="Wingdings" w:hAnsi="Wingdings" w:hint="default"/>
      </w:rPr>
    </w:lvl>
    <w:lvl w:ilvl="6" w:tplc="0F662A74" w:tentative="1">
      <w:start w:val="1"/>
      <w:numFmt w:val="bullet"/>
      <w:lvlText w:val=""/>
      <w:lvlJc w:val="left"/>
      <w:pPr>
        <w:tabs>
          <w:tab w:val="num" w:pos="5040"/>
        </w:tabs>
        <w:ind w:left="5040" w:hanging="360"/>
      </w:pPr>
      <w:rPr>
        <w:rFonts w:ascii="Wingdings" w:hAnsi="Wingdings" w:hint="default"/>
      </w:rPr>
    </w:lvl>
    <w:lvl w:ilvl="7" w:tplc="06C89380" w:tentative="1">
      <w:start w:val="1"/>
      <w:numFmt w:val="bullet"/>
      <w:lvlText w:val=""/>
      <w:lvlJc w:val="left"/>
      <w:pPr>
        <w:tabs>
          <w:tab w:val="num" w:pos="5760"/>
        </w:tabs>
        <w:ind w:left="5760" w:hanging="360"/>
      </w:pPr>
      <w:rPr>
        <w:rFonts w:ascii="Wingdings" w:hAnsi="Wingdings" w:hint="default"/>
      </w:rPr>
    </w:lvl>
    <w:lvl w:ilvl="8" w:tplc="2A1E3554"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348746A"/>
    <w:multiLevelType w:val="hybridMultilevel"/>
    <w:tmpl w:val="D7E2A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A310F1"/>
    <w:multiLevelType w:val="hybridMultilevel"/>
    <w:tmpl w:val="3ACAC5BA"/>
    <w:lvl w:ilvl="0" w:tplc="77C43170">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53A1159"/>
    <w:multiLevelType w:val="hybridMultilevel"/>
    <w:tmpl w:val="6E80A81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76144123"/>
    <w:multiLevelType w:val="hybridMultilevel"/>
    <w:tmpl w:val="53DCA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6B12595"/>
    <w:multiLevelType w:val="hybridMultilevel"/>
    <w:tmpl w:val="0C044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77955E03"/>
    <w:multiLevelType w:val="hybridMultilevel"/>
    <w:tmpl w:val="A93602F6"/>
    <w:lvl w:ilvl="0" w:tplc="D21E6D1C">
      <w:start w:val="1"/>
      <w:numFmt w:val="bullet"/>
      <w:lvlText w:val="•"/>
      <w:lvlJc w:val="left"/>
      <w:pPr>
        <w:tabs>
          <w:tab w:val="num" w:pos="720"/>
        </w:tabs>
        <w:ind w:left="720" w:hanging="360"/>
      </w:pPr>
      <w:rPr>
        <w:rFonts w:ascii="Arial Unicode MS" w:hAnsi="Arial Unicode MS" w:hint="default"/>
      </w:rPr>
    </w:lvl>
    <w:lvl w:ilvl="1" w:tplc="47BEDB80" w:tentative="1">
      <w:start w:val="1"/>
      <w:numFmt w:val="bullet"/>
      <w:lvlText w:val="•"/>
      <w:lvlJc w:val="left"/>
      <w:pPr>
        <w:tabs>
          <w:tab w:val="num" w:pos="1440"/>
        </w:tabs>
        <w:ind w:left="1440" w:hanging="360"/>
      </w:pPr>
      <w:rPr>
        <w:rFonts w:ascii="Arial Unicode MS" w:hAnsi="Arial Unicode MS" w:hint="default"/>
      </w:rPr>
    </w:lvl>
    <w:lvl w:ilvl="2" w:tplc="58D44222" w:tentative="1">
      <w:start w:val="1"/>
      <w:numFmt w:val="bullet"/>
      <w:lvlText w:val="•"/>
      <w:lvlJc w:val="left"/>
      <w:pPr>
        <w:tabs>
          <w:tab w:val="num" w:pos="2160"/>
        </w:tabs>
        <w:ind w:left="2160" w:hanging="360"/>
      </w:pPr>
      <w:rPr>
        <w:rFonts w:ascii="Arial Unicode MS" w:hAnsi="Arial Unicode MS" w:hint="default"/>
      </w:rPr>
    </w:lvl>
    <w:lvl w:ilvl="3" w:tplc="A78C160A" w:tentative="1">
      <w:start w:val="1"/>
      <w:numFmt w:val="bullet"/>
      <w:lvlText w:val="•"/>
      <w:lvlJc w:val="left"/>
      <w:pPr>
        <w:tabs>
          <w:tab w:val="num" w:pos="2880"/>
        </w:tabs>
        <w:ind w:left="2880" w:hanging="360"/>
      </w:pPr>
      <w:rPr>
        <w:rFonts w:ascii="Arial Unicode MS" w:hAnsi="Arial Unicode MS" w:hint="default"/>
      </w:rPr>
    </w:lvl>
    <w:lvl w:ilvl="4" w:tplc="BCA80482" w:tentative="1">
      <w:start w:val="1"/>
      <w:numFmt w:val="bullet"/>
      <w:lvlText w:val="•"/>
      <w:lvlJc w:val="left"/>
      <w:pPr>
        <w:tabs>
          <w:tab w:val="num" w:pos="3600"/>
        </w:tabs>
        <w:ind w:left="3600" w:hanging="360"/>
      </w:pPr>
      <w:rPr>
        <w:rFonts w:ascii="Arial Unicode MS" w:hAnsi="Arial Unicode MS" w:hint="default"/>
      </w:rPr>
    </w:lvl>
    <w:lvl w:ilvl="5" w:tplc="708E66BE" w:tentative="1">
      <w:start w:val="1"/>
      <w:numFmt w:val="bullet"/>
      <w:lvlText w:val="•"/>
      <w:lvlJc w:val="left"/>
      <w:pPr>
        <w:tabs>
          <w:tab w:val="num" w:pos="4320"/>
        </w:tabs>
        <w:ind w:left="4320" w:hanging="360"/>
      </w:pPr>
      <w:rPr>
        <w:rFonts w:ascii="Arial Unicode MS" w:hAnsi="Arial Unicode MS" w:hint="default"/>
      </w:rPr>
    </w:lvl>
    <w:lvl w:ilvl="6" w:tplc="FDFA0CD4" w:tentative="1">
      <w:start w:val="1"/>
      <w:numFmt w:val="bullet"/>
      <w:lvlText w:val="•"/>
      <w:lvlJc w:val="left"/>
      <w:pPr>
        <w:tabs>
          <w:tab w:val="num" w:pos="5040"/>
        </w:tabs>
        <w:ind w:left="5040" w:hanging="360"/>
      </w:pPr>
      <w:rPr>
        <w:rFonts w:ascii="Arial Unicode MS" w:hAnsi="Arial Unicode MS" w:hint="default"/>
      </w:rPr>
    </w:lvl>
    <w:lvl w:ilvl="7" w:tplc="A00EDE56" w:tentative="1">
      <w:start w:val="1"/>
      <w:numFmt w:val="bullet"/>
      <w:lvlText w:val="•"/>
      <w:lvlJc w:val="left"/>
      <w:pPr>
        <w:tabs>
          <w:tab w:val="num" w:pos="5760"/>
        </w:tabs>
        <w:ind w:left="5760" w:hanging="360"/>
      </w:pPr>
      <w:rPr>
        <w:rFonts w:ascii="Arial Unicode MS" w:hAnsi="Arial Unicode MS" w:hint="default"/>
      </w:rPr>
    </w:lvl>
    <w:lvl w:ilvl="8" w:tplc="1CF4112C" w:tentative="1">
      <w:start w:val="1"/>
      <w:numFmt w:val="bullet"/>
      <w:lvlText w:val="•"/>
      <w:lvlJc w:val="left"/>
      <w:pPr>
        <w:tabs>
          <w:tab w:val="num" w:pos="6480"/>
        </w:tabs>
        <w:ind w:left="6480" w:hanging="360"/>
      </w:pPr>
      <w:rPr>
        <w:rFonts w:ascii="Arial Unicode MS" w:hAnsi="Arial Unicode MS" w:hint="default"/>
      </w:rPr>
    </w:lvl>
  </w:abstractNum>
  <w:abstractNum w:abstractNumId="77" w15:restartNumberingAfterBreak="0">
    <w:nsid w:val="7CC310C8"/>
    <w:multiLevelType w:val="hybridMultilevel"/>
    <w:tmpl w:val="12F82BDE"/>
    <w:lvl w:ilvl="0" w:tplc="6922ABDE">
      <w:start w:val="1"/>
      <w:numFmt w:val="bullet"/>
      <w:lvlText w:val="ￚ"/>
      <w:lvlJc w:val="left"/>
      <w:pPr>
        <w:tabs>
          <w:tab w:val="num" w:pos="720"/>
        </w:tabs>
        <w:ind w:left="720" w:hanging="360"/>
      </w:pPr>
      <w:rPr>
        <w:rFonts w:ascii="Malgun Gothic" w:hAnsi="Malgun Gothic" w:hint="default"/>
      </w:rPr>
    </w:lvl>
    <w:lvl w:ilvl="1" w:tplc="FA0C4094">
      <w:start w:val="1"/>
      <w:numFmt w:val="bullet"/>
      <w:lvlText w:val="ￚ"/>
      <w:lvlJc w:val="left"/>
      <w:pPr>
        <w:tabs>
          <w:tab w:val="num" w:pos="1440"/>
        </w:tabs>
        <w:ind w:left="1440" w:hanging="360"/>
      </w:pPr>
      <w:rPr>
        <w:rFonts w:ascii="Malgun Gothic" w:hAnsi="Malgun Gothic" w:hint="default"/>
      </w:rPr>
    </w:lvl>
    <w:lvl w:ilvl="2" w:tplc="F55C8EE6" w:tentative="1">
      <w:start w:val="1"/>
      <w:numFmt w:val="bullet"/>
      <w:lvlText w:val="ￚ"/>
      <w:lvlJc w:val="left"/>
      <w:pPr>
        <w:tabs>
          <w:tab w:val="num" w:pos="2160"/>
        </w:tabs>
        <w:ind w:left="2160" w:hanging="360"/>
      </w:pPr>
      <w:rPr>
        <w:rFonts w:ascii="Malgun Gothic" w:hAnsi="Malgun Gothic" w:hint="default"/>
      </w:rPr>
    </w:lvl>
    <w:lvl w:ilvl="3" w:tplc="BAC80F02" w:tentative="1">
      <w:start w:val="1"/>
      <w:numFmt w:val="bullet"/>
      <w:lvlText w:val="ￚ"/>
      <w:lvlJc w:val="left"/>
      <w:pPr>
        <w:tabs>
          <w:tab w:val="num" w:pos="2880"/>
        </w:tabs>
        <w:ind w:left="2880" w:hanging="360"/>
      </w:pPr>
      <w:rPr>
        <w:rFonts w:ascii="Malgun Gothic" w:hAnsi="Malgun Gothic" w:hint="default"/>
      </w:rPr>
    </w:lvl>
    <w:lvl w:ilvl="4" w:tplc="12ACAE76" w:tentative="1">
      <w:start w:val="1"/>
      <w:numFmt w:val="bullet"/>
      <w:lvlText w:val="ￚ"/>
      <w:lvlJc w:val="left"/>
      <w:pPr>
        <w:tabs>
          <w:tab w:val="num" w:pos="3600"/>
        </w:tabs>
        <w:ind w:left="3600" w:hanging="360"/>
      </w:pPr>
      <w:rPr>
        <w:rFonts w:ascii="Malgun Gothic" w:hAnsi="Malgun Gothic" w:hint="default"/>
      </w:rPr>
    </w:lvl>
    <w:lvl w:ilvl="5" w:tplc="95069E18" w:tentative="1">
      <w:start w:val="1"/>
      <w:numFmt w:val="bullet"/>
      <w:lvlText w:val="ￚ"/>
      <w:lvlJc w:val="left"/>
      <w:pPr>
        <w:tabs>
          <w:tab w:val="num" w:pos="4320"/>
        </w:tabs>
        <w:ind w:left="4320" w:hanging="360"/>
      </w:pPr>
      <w:rPr>
        <w:rFonts w:ascii="Malgun Gothic" w:hAnsi="Malgun Gothic" w:hint="default"/>
      </w:rPr>
    </w:lvl>
    <w:lvl w:ilvl="6" w:tplc="91A83F5A" w:tentative="1">
      <w:start w:val="1"/>
      <w:numFmt w:val="bullet"/>
      <w:lvlText w:val="ￚ"/>
      <w:lvlJc w:val="left"/>
      <w:pPr>
        <w:tabs>
          <w:tab w:val="num" w:pos="5040"/>
        </w:tabs>
        <w:ind w:left="5040" w:hanging="360"/>
      </w:pPr>
      <w:rPr>
        <w:rFonts w:ascii="Malgun Gothic" w:hAnsi="Malgun Gothic" w:hint="default"/>
      </w:rPr>
    </w:lvl>
    <w:lvl w:ilvl="7" w:tplc="ACACF010" w:tentative="1">
      <w:start w:val="1"/>
      <w:numFmt w:val="bullet"/>
      <w:lvlText w:val="ￚ"/>
      <w:lvlJc w:val="left"/>
      <w:pPr>
        <w:tabs>
          <w:tab w:val="num" w:pos="5760"/>
        </w:tabs>
        <w:ind w:left="5760" w:hanging="360"/>
      </w:pPr>
      <w:rPr>
        <w:rFonts w:ascii="Malgun Gothic" w:hAnsi="Malgun Gothic" w:hint="default"/>
      </w:rPr>
    </w:lvl>
    <w:lvl w:ilvl="8" w:tplc="4F283F04" w:tentative="1">
      <w:start w:val="1"/>
      <w:numFmt w:val="bullet"/>
      <w:lvlText w:val="ￚ"/>
      <w:lvlJc w:val="left"/>
      <w:pPr>
        <w:tabs>
          <w:tab w:val="num" w:pos="6480"/>
        </w:tabs>
        <w:ind w:left="6480" w:hanging="360"/>
      </w:pPr>
      <w:rPr>
        <w:rFonts w:ascii="Malgun Gothic" w:hAnsi="Malgun Gothic" w:hint="default"/>
      </w:rPr>
    </w:lvl>
  </w:abstractNum>
  <w:abstractNum w:abstractNumId="78" w15:restartNumberingAfterBreak="0">
    <w:nsid w:val="7E0B4BEA"/>
    <w:multiLevelType w:val="hybridMultilevel"/>
    <w:tmpl w:val="34E48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E514946"/>
    <w:multiLevelType w:val="hybridMultilevel"/>
    <w:tmpl w:val="776CE036"/>
    <w:lvl w:ilvl="0" w:tplc="125CBA1C">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E891B19"/>
    <w:multiLevelType w:val="hybridMultilevel"/>
    <w:tmpl w:val="AB22C02C"/>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7EC51349"/>
    <w:multiLevelType w:val="hybridMultilevel"/>
    <w:tmpl w:val="26305D54"/>
    <w:lvl w:ilvl="0" w:tplc="E884D62E">
      <w:start w:val="1"/>
      <w:numFmt w:val="bullet"/>
      <w:lvlText w:val="•"/>
      <w:lvlJc w:val="left"/>
      <w:pPr>
        <w:tabs>
          <w:tab w:val="num" w:pos="720"/>
        </w:tabs>
        <w:ind w:left="720" w:hanging="360"/>
      </w:pPr>
      <w:rPr>
        <w:rFonts w:ascii="Arial" w:hAnsi="Arial" w:hint="default"/>
      </w:rPr>
    </w:lvl>
    <w:lvl w:ilvl="1" w:tplc="525AD094">
      <w:numFmt w:val="bullet"/>
      <w:lvlText w:val="o"/>
      <w:lvlJc w:val="left"/>
      <w:pPr>
        <w:tabs>
          <w:tab w:val="num" w:pos="1440"/>
        </w:tabs>
        <w:ind w:left="1440" w:hanging="360"/>
      </w:pPr>
      <w:rPr>
        <w:rFonts w:ascii="Courier New" w:hAnsi="Courier New" w:hint="default"/>
      </w:rPr>
    </w:lvl>
    <w:lvl w:ilvl="2" w:tplc="3A646726" w:tentative="1">
      <w:start w:val="1"/>
      <w:numFmt w:val="bullet"/>
      <w:lvlText w:val="•"/>
      <w:lvlJc w:val="left"/>
      <w:pPr>
        <w:tabs>
          <w:tab w:val="num" w:pos="2160"/>
        </w:tabs>
        <w:ind w:left="2160" w:hanging="360"/>
      </w:pPr>
      <w:rPr>
        <w:rFonts w:ascii="Arial" w:hAnsi="Arial" w:hint="default"/>
      </w:rPr>
    </w:lvl>
    <w:lvl w:ilvl="3" w:tplc="97B81660" w:tentative="1">
      <w:start w:val="1"/>
      <w:numFmt w:val="bullet"/>
      <w:lvlText w:val="•"/>
      <w:lvlJc w:val="left"/>
      <w:pPr>
        <w:tabs>
          <w:tab w:val="num" w:pos="2880"/>
        </w:tabs>
        <w:ind w:left="2880" w:hanging="360"/>
      </w:pPr>
      <w:rPr>
        <w:rFonts w:ascii="Arial" w:hAnsi="Arial" w:hint="default"/>
      </w:rPr>
    </w:lvl>
    <w:lvl w:ilvl="4" w:tplc="D7F2E190" w:tentative="1">
      <w:start w:val="1"/>
      <w:numFmt w:val="bullet"/>
      <w:lvlText w:val="•"/>
      <w:lvlJc w:val="left"/>
      <w:pPr>
        <w:tabs>
          <w:tab w:val="num" w:pos="3600"/>
        </w:tabs>
        <w:ind w:left="3600" w:hanging="360"/>
      </w:pPr>
      <w:rPr>
        <w:rFonts w:ascii="Arial" w:hAnsi="Arial" w:hint="default"/>
      </w:rPr>
    </w:lvl>
    <w:lvl w:ilvl="5" w:tplc="052257AE" w:tentative="1">
      <w:start w:val="1"/>
      <w:numFmt w:val="bullet"/>
      <w:lvlText w:val="•"/>
      <w:lvlJc w:val="left"/>
      <w:pPr>
        <w:tabs>
          <w:tab w:val="num" w:pos="4320"/>
        </w:tabs>
        <w:ind w:left="4320" w:hanging="360"/>
      </w:pPr>
      <w:rPr>
        <w:rFonts w:ascii="Arial" w:hAnsi="Arial" w:hint="default"/>
      </w:rPr>
    </w:lvl>
    <w:lvl w:ilvl="6" w:tplc="01986AE0" w:tentative="1">
      <w:start w:val="1"/>
      <w:numFmt w:val="bullet"/>
      <w:lvlText w:val="•"/>
      <w:lvlJc w:val="left"/>
      <w:pPr>
        <w:tabs>
          <w:tab w:val="num" w:pos="5040"/>
        </w:tabs>
        <w:ind w:left="5040" w:hanging="360"/>
      </w:pPr>
      <w:rPr>
        <w:rFonts w:ascii="Arial" w:hAnsi="Arial" w:hint="default"/>
      </w:rPr>
    </w:lvl>
    <w:lvl w:ilvl="7" w:tplc="A39AC070" w:tentative="1">
      <w:start w:val="1"/>
      <w:numFmt w:val="bullet"/>
      <w:lvlText w:val="•"/>
      <w:lvlJc w:val="left"/>
      <w:pPr>
        <w:tabs>
          <w:tab w:val="num" w:pos="5760"/>
        </w:tabs>
        <w:ind w:left="5760" w:hanging="360"/>
      </w:pPr>
      <w:rPr>
        <w:rFonts w:ascii="Arial" w:hAnsi="Arial" w:hint="default"/>
      </w:rPr>
    </w:lvl>
    <w:lvl w:ilvl="8" w:tplc="03CE58C2"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7F181E06"/>
    <w:multiLevelType w:val="hybridMultilevel"/>
    <w:tmpl w:val="1678684E"/>
    <w:lvl w:ilvl="0" w:tplc="154696B0">
      <w:start w:val="1"/>
      <w:numFmt w:val="bullet"/>
      <w:lvlText w:val="•"/>
      <w:lvlJc w:val="left"/>
      <w:pPr>
        <w:tabs>
          <w:tab w:val="num" w:pos="720"/>
        </w:tabs>
        <w:ind w:left="720" w:hanging="360"/>
      </w:pPr>
      <w:rPr>
        <w:rFonts w:ascii="Arial Unicode MS" w:hAnsi="Arial Unicode MS" w:hint="default"/>
      </w:rPr>
    </w:lvl>
    <w:lvl w:ilvl="1" w:tplc="684A5748" w:tentative="1">
      <w:start w:val="1"/>
      <w:numFmt w:val="bullet"/>
      <w:lvlText w:val="•"/>
      <w:lvlJc w:val="left"/>
      <w:pPr>
        <w:tabs>
          <w:tab w:val="num" w:pos="1440"/>
        </w:tabs>
        <w:ind w:left="1440" w:hanging="360"/>
      </w:pPr>
      <w:rPr>
        <w:rFonts w:ascii="Arial Unicode MS" w:hAnsi="Arial Unicode MS" w:hint="default"/>
      </w:rPr>
    </w:lvl>
    <w:lvl w:ilvl="2" w:tplc="E70A25FA" w:tentative="1">
      <w:start w:val="1"/>
      <w:numFmt w:val="bullet"/>
      <w:lvlText w:val="•"/>
      <w:lvlJc w:val="left"/>
      <w:pPr>
        <w:tabs>
          <w:tab w:val="num" w:pos="2160"/>
        </w:tabs>
        <w:ind w:left="2160" w:hanging="360"/>
      </w:pPr>
      <w:rPr>
        <w:rFonts w:ascii="Arial Unicode MS" w:hAnsi="Arial Unicode MS" w:hint="default"/>
      </w:rPr>
    </w:lvl>
    <w:lvl w:ilvl="3" w:tplc="2E1A0CE8" w:tentative="1">
      <w:start w:val="1"/>
      <w:numFmt w:val="bullet"/>
      <w:lvlText w:val="•"/>
      <w:lvlJc w:val="left"/>
      <w:pPr>
        <w:tabs>
          <w:tab w:val="num" w:pos="2880"/>
        </w:tabs>
        <w:ind w:left="2880" w:hanging="360"/>
      </w:pPr>
      <w:rPr>
        <w:rFonts w:ascii="Arial Unicode MS" w:hAnsi="Arial Unicode MS" w:hint="default"/>
      </w:rPr>
    </w:lvl>
    <w:lvl w:ilvl="4" w:tplc="68E238F8" w:tentative="1">
      <w:start w:val="1"/>
      <w:numFmt w:val="bullet"/>
      <w:lvlText w:val="•"/>
      <w:lvlJc w:val="left"/>
      <w:pPr>
        <w:tabs>
          <w:tab w:val="num" w:pos="3600"/>
        </w:tabs>
        <w:ind w:left="3600" w:hanging="360"/>
      </w:pPr>
      <w:rPr>
        <w:rFonts w:ascii="Arial Unicode MS" w:hAnsi="Arial Unicode MS" w:hint="default"/>
      </w:rPr>
    </w:lvl>
    <w:lvl w:ilvl="5" w:tplc="E7B0C9FE" w:tentative="1">
      <w:start w:val="1"/>
      <w:numFmt w:val="bullet"/>
      <w:lvlText w:val="•"/>
      <w:lvlJc w:val="left"/>
      <w:pPr>
        <w:tabs>
          <w:tab w:val="num" w:pos="4320"/>
        </w:tabs>
        <w:ind w:left="4320" w:hanging="360"/>
      </w:pPr>
      <w:rPr>
        <w:rFonts w:ascii="Arial Unicode MS" w:hAnsi="Arial Unicode MS" w:hint="default"/>
      </w:rPr>
    </w:lvl>
    <w:lvl w:ilvl="6" w:tplc="C9A8B8F0" w:tentative="1">
      <w:start w:val="1"/>
      <w:numFmt w:val="bullet"/>
      <w:lvlText w:val="•"/>
      <w:lvlJc w:val="left"/>
      <w:pPr>
        <w:tabs>
          <w:tab w:val="num" w:pos="5040"/>
        </w:tabs>
        <w:ind w:left="5040" w:hanging="360"/>
      </w:pPr>
      <w:rPr>
        <w:rFonts w:ascii="Arial Unicode MS" w:hAnsi="Arial Unicode MS" w:hint="default"/>
      </w:rPr>
    </w:lvl>
    <w:lvl w:ilvl="7" w:tplc="698A3098" w:tentative="1">
      <w:start w:val="1"/>
      <w:numFmt w:val="bullet"/>
      <w:lvlText w:val="•"/>
      <w:lvlJc w:val="left"/>
      <w:pPr>
        <w:tabs>
          <w:tab w:val="num" w:pos="5760"/>
        </w:tabs>
        <w:ind w:left="5760" w:hanging="360"/>
      </w:pPr>
      <w:rPr>
        <w:rFonts w:ascii="Arial Unicode MS" w:hAnsi="Arial Unicode MS" w:hint="default"/>
      </w:rPr>
    </w:lvl>
    <w:lvl w:ilvl="8" w:tplc="BA748566" w:tentative="1">
      <w:start w:val="1"/>
      <w:numFmt w:val="bullet"/>
      <w:lvlText w:val="•"/>
      <w:lvlJc w:val="left"/>
      <w:pPr>
        <w:tabs>
          <w:tab w:val="num" w:pos="6480"/>
        </w:tabs>
        <w:ind w:left="6480" w:hanging="360"/>
      </w:pPr>
      <w:rPr>
        <w:rFonts w:ascii="Arial Unicode MS" w:hAnsi="Arial Unicode MS" w:hint="default"/>
      </w:rPr>
    </w:lvl>
  </w:abstractNum>
  <w:num w:numId="1" w16cid:durableId="2059862960">
    <w:abstractNumId w:val="80"/>
  </w:num>
  <w:num w:numId="2" w16cid:durableId="1048722970">
    <w:abstractNumId w:val="63"/>
  </w:num>
  <w:num w:numId="3" w16cid:durableId="523711739">
    <w:abstractNumId w:val="37"/>
  </w:num>
  <w:num w:numId="4" w16cid:durableId="1799957875">
    <w:abstractNumId w:val="44"/>
  </w:num>
  <w:num w:numId="5" w16cid:durableId="1221014207">
    <w:abstractNumId w:val="53"/>
  </w:num>
  <w:num w:numId="6" w16cid:durableId="1647081599">
    <w:abstractNumId w:val="29"/>
  </w:num>
  <w:num w:numId="7" w16cid:durableId="99421223">
    <w:abstractNumId w:val="4"/>
  </w:num>
  <w:num w:numId="8" w16cid:durableId="2091808146">
    <w:abstractNumId w:val="6"/>
  </w:num>
  <w:num w:numId="9" w16cid:durableId="1984459523">
    <w:abstractNumId w:val="73"/>
  </w:num>
  <w:num w:numId="10" w16cid:durableId="893732870">
    <w:abstractNumId w:val="57"/>
  </w:num>
  <w:num w:numId="11" w16cid:durableId="1509977139">
    <w:abstractNumId w:val="60"/>
  </w:num>
  <w:num w:numId="12" w16cid:durableId="1124537640">
    <w:abstractNumId w:val="33"/>
  </w:num>
  <w:num w:numId="13" w16cid:durableId="1177114427">
    <w:abstractNumId w:val="41"/>
  </w:num>
  <w:num w:numId="14" w16cid:durableId="1221598469">
    <w:abstractNumId w:val="1"/>
  </w:num>
  <w:num w:numId="15" w16cid:durableId="1820221094">
    <w:abstractNumId w:val="66"/>
  </w:num>
  <w:num w:numId="16" w16cid:durableId="602881300">
    <w:abstractNumId w:val="17"/>
  </w:num>
  <w:num w:numId="17" w16cid:durableId="1733117719">
    <w:abstractNumId w:val="26"/>
  </w:num>
  <w:num w:numId="18" w16cid:durableId="2118984969">
    <w:abstractNumId w:val="7"/>
  </w:num>
  <w:num w:numId="19" w16cid:durableId="1980066163">
    <w:abstractNumId w:val="70"/>
  </w:num>
  <w:num w:numId="20" w16cid:durableId="1997104007">
    <w:abstractNumId w:val="13"/>
  </w:num>
  <w:num w:numId="21" w16cid:durableId="1563977272">
    <w:abstractNumId w:val="79"/>
  </w:num>
  <w:num w:numId="22" w16cid:durableId="1423069509">
    <w:abstractNumId w:val="71"/>
  </w:num>
  <w:num w:numId="23" w16cid:durableId="582691001">
    <w:abstractNumId w:val="5"/>
  </w:num>
  <w:num w:numId="24" w16cid:durableId="1970547717">
    <w:abstractNumId w:val="27"/>
  </w:num>
  <w:num w:numId="25" w16cid:durableId="1932623813">
    <w:abstractNumId w:val="9"/>
  </w:num>
  <w:num w:numId="26" w16cid:durableId="103380316">
    <w:abstractNumId w:val="45"/>
  </w:num>
  <w:num w:numId="27" w16cid:durableId="1179780958">
    <w:abstractNumId w:val="58"/>
  </w:num>
  <w:num w:numId="28" w16cid:durableId="545214311">
    <w:abstractNumId w:val="74"/>
  </w:num>
  <w:num w:numId="29" w16cid:durableId="1851598120">
    <w:abstractNumId w:val="49"/>
  </w:num>
  <w:num w:numId="30" w16cid:durableId="989405062">
    <w:abstractNumId w:val="68"/>
  </w:num>
  <w:num w:numId="31" w16cid:durableId="1452166608">
    <w:abstractNumId w:val="21"/>
  </w:num>
  <w:num w:numId="32" w16cid:durableId="524295746">
    <w:abstractNumId w:val="8"/>
  </w:num>
  <w:num w:numId="33" w16cid:durableId="259140384">
    <w:abstractNumId w:val="10"/>
  </w:num>
  <w:num w:numId="34" w16cid:durableId="472598584">
    <w:abstractNumId w:val="81"/>
  </w:num>
  <w:num w:numId="35" w16cid:durableId="1355496679">
    <w:abstractNumId w:val="23"/>
  </w:num>
  <w:num w:numId="36" w16cid:durableId="1825580925">
    <w:abstractNumId w:val="59"/>
  </w:num>
  <w:num w:numId="37" w16cid:durableId="1953852498">
    <w:abstractNumId w:val="2"/>
  </w:num>
  <w:num w:numId="38" w16cid:durableId="330987752">
    <w:abstractNumId w:val="52"/>
  </w:num>
  <w:num w:numId="39" w16cid:durableId="150175634">
    <w:abstractNumId w:val="36"/>
  </w:num>
  <w:num w:numId="40" w16cid:durableId="144591521">
    <w:abstractNumId w:val="25"/>
  </w:num>
  <w:num w:numId="41" w16cid:durableId="880246253">
    <w:abstractNumId w:val="54"/>
  </w:num>
  <w:num w:numId="42" w16cid:durableId="1029062925">
    <w:abstractNumId w:val="15"/>
  </w:num>
  <w:num w:numId="43" w16cid:durableId="1283726885">
    <w:abstractNumId w:val="12"/>
  </w:num>
  <w:num w:numId="44" w16cid:durableId="1112477540">
    <w:abstractNumId w:val="14"/>
  </w:num>
  <w:num w:numId="45" w16cid:durableId="1588884019">
    <w:abstractNumId w:val="65"/>
  </w:num>
  <w:num w:numId="46" w16cid:durableId="1326400200">
    <w:abstractNumId w:val="28"/>
  </w:num>
  <w:num w:numId="47" w16cid:durableId="1459763280">
    <w:abstractNumId w:val="50"/>
  </w:num>
  <w:num w:numId="48" w16cid:durableId="1860509549">
    <w:abstractNumId w:val="22"/>
  </w:num>
  <w:num w:numId="49" w16cid:durableId="1152402566">
    <w:abstractNumId w:val="22"/>
    <w:lvlOverride w:ilvl="0">
      <w:startOverride w:val="2"/>
    </w:lvlOverride>
  </w:num>
  <w:num w:numId="50" w16cid:durableId="296228425">
    <w:abstractNumId w:val="22"/>
    <w:lvlOverride w:ilvl="0">
      <w:startOverride w:val="20"/>
    </w:lvlOverride>
  </w:num>
  <w:num w:numId="51" w16cid:durableId="623774822">
    <w:abstractNumId w:val="22"/>
    <w:lvlOverride w:ilvl="0">
      <w:startOverride w:val="20"/>
    </w:lvlOverride>
  </w:num>
  <w:num w:numId="52" w16cid:durableId="144858114">
    <w:abstractNumId w:val="46"/>
  </w:num>
  <w:num w:numId="53" w16cid:durableId="207496035">
    <w:abstractNumId w:val="55"/>
  </w:num>
  <w:num w:numId="54" w16cid:durableId="529875435">
    <w:abstractNumId w:val="61"/>
  </w:num>
  <w:num w:numId="55" w16cid:durableId="1682509253">
    <w:abstractNumId w:val="64"/>
  </w:num>
  <w:num w:numId="56" w16cid:durableId="248319057">
    <w:abstractNumId w:val="64"/>
    <w:lvlOverride w:ilvl="0">
      <w:startOverride w:val="1"/>
    </w:lvlOverride>
  </w:num>
  <w:num w:numId="57" w16cid:durableId="347609198">
    <w:abstractNumId w:val="64"/>
    <w:lvlOverride w:ilvl="0">
      <w:startOverride w:val="1"/>
    </w:lvlOverride>
  </w:num>
  <w:num w:numId="58" w16cid:durableId="468404448">
    <w:abstractNumId w:val="56"/>
  </w:num>
  <w:num w:numId="59" w16cid:durableId="214434773">
    <w:abstractNumId w:val="75"/>
  </w:num>
  <w:num w:numId="60" w16cid:durableId="749818129">
    <w:abstractNumId w:val="24"/>
  </w:num>
  <w:num w:numId="61" w16cid:durableId="1109928546">
    <w:abstractNumId w:val="20"/>
  </w:num>
  <w:num w:numId="62" w16cid:durableId="1083071183">
    <w:abstractNumId w:val="69"/>
  </w:num>
  <w:num w:numId="63" w16cid:durableId="479080124">
    <w:abstractNumId w:val="18"/>
  </w:num>
  <w:num w:numId="64" w16cid:durableId="1947926795">
    <w:abstractNumId w:val="35"/>
  </w:num>
  <w:num w:numId="65" w16cid:durableId="1696034215">
    <w:abstractNumId w:val="78"/>
  </w:num>
  <w:num w:numId="66" w16cid:durableId="1659264114">
    <w:abstractNumId w:val="40"/>
  </w:num>
  <w:num w:numId="67" w16cid:durableId="83041135">
    <w:abstractNumId w:val="38"/>
  </w:num>
  <w:num w:numId="68" w16cid:durableId="2133204454">
    <w:abstractNumId w:val="31"/>
  </w:num>
  <w:num w:numId="69" w16cid:durableId="499124149">
    <w:abstractNumId w:val="34"/>
  </w:num>
  <w:num w:numId="70" w16cid:durableId="26026912">
    <w:abstractNumId w:val="67"/>
  </w:num>
  <w:num w:numId="71" w16cid:durableId="1774666495">
    <w:abstractNumId w:val="48"/>
  </w:num>
  <w:num w:numId="72" w16cid:durableId="90645230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13402794">
    <w:abstractNumId w:val="31"/>
    <w:lvlOverride w:ilvl="0">
      <w:startOverride w:val="1"/>
    </w:lvlOverride>
  </w:num>
  <w:num w:numId="74" w16cid:durableId="960260960">
    <w:abstractNumId w:val="30"/>
  </w:num>
  <w:num w:numId="75" w16cid:durableId="174422124">
    <w:abstractNumId w:val="77"/>
  </w:num>
  <w:num w:numId="76" w16cid:durableId="735280575">
    <w:abstractNumId w:val="39"/>
  </w:num>
  <w:num w:numId="77" w16cid:durableId="1549492552">
    <w:abstractNumId w:val="76"/>
  </w:num>
  <w:num w:numId="78" w16cid:durableId="1396584696">
    <w:abstractNumId w:val="42"/>
  </w:num>
  <w:num w:numId="79" w16cid:durableId="1329947153">
    <w:abstractNumId w:val="82"/>
  </w:num>
  <w:num w:numId="80" w16cid:durableId="803616400">
    <w:abstractNumId w:val="31"/>
    <w:lvlOverride w:ilvl="0">
      <w:startOverride w:val="1"/>
    </w:lvlOverride>
  </w:num>
  <w:num w:numId="81" w16cid:durableId="1623073736">
    <w:abstractNumId w:val="62"/>
  </w:num>
  <w:num w:numId="82" w16cid:durableId="1956643345">
    <w:abstractNumId w:val="72"/>
  </w:num>
  <w:num w:numId="83" w16cid:durableId="1072966132">
    <w:abstractNumId w:val="32"/>
  </w:num>
  <w:num w:numId="84" w16cid:durableId="305470992">
    <w:abstractNumId w:val="11"/>
  </w:num>
  <w:num w:numId="85" w16cid:durableId="1136222526">
    <w:abstractNumId w:val="19"/>
  </w:num>
  <w:num w:numId="86" w16cid:durableId="2088840852">
    <w:abstractNumId w:val="0"/>
    <w:lvlOverride w:ilvl="0">
      <w:lvl w:ilvl="0">
        <w:numFmt w:val="bullet"/>
        <w:lvlText w:val="•"/>
        <w:legacy w:legacy="1" w:legacySpace="0" w:legacyIndent="0"/>
        <w:lvlJc w:val="left"/>
        <w:rPr>
          <w:rFonts w:ascii="Arial" w:hAnsi="Arial" w:cs="Arial" w:hint="default"/>
          <w:sz w:val="51"/>
        </w:rPr>
      </w:lvl>
    </w:lvlOverride>
  </w:num>
  <w:num w:numId="87" w16cid:durableId="1073358962">
    <w:abstractNumId w:val="51"/>
  </w:num>
  <w:num w:numId="88" w16cid:durableId="1042943274">
    <w:abstractNumId w:val="16"/>
  </w:num>
  <w:num w:numId="89" w16cid:durableId="860894296">
    <w:abstractNumId w:val="47"/>
  </w:num>
  <w:num w:numId="90" w16cid:durableId="1809669589">
    <w:abstractNumId w:val="3"/>
  </w:num>
  <w:num w:numId="91" w16cid:durableId="635453394">
    <w:abstractNumId w:val="4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9A1"/>
    <w:rsid w:val="00000124"/>
    <w:rsid w:val="000002F1"/>
    <w:rsid w:val="00000361"/>
    <w:rsid w:val="0000048A"/>
    <w:rsid w:val="0000049F"/>
    <w:rsid w:val="00000565"/>
    <w:rsid w:val="0000076E"/>
    <w:rsid w:val="00000782"/>
    <w:rsid w:val="00000803"/>
    <w:rsid w:val="0000083D"/>
    <w:rsid w:val="00000955"/>
    <w:rsid w:val="00000971"/>
    <w:rsid w:val="00000C0A"/>
    <w:rsid w:val="00000EB7"/>
    <w:rsid w:val="00000ECB"/>
    <w:rsid w:val="00000F30"/>
    <w:rsid w:val="00000F78"/>
    <w:rsid w:val="00000F7F"/>
    <w:rsid w:val="00001156"/>
    <w:rsid w:val="00001324"/>
    <w:rsid w:val="00001516"/>
    <w:rsid w:val="00001666"/>
    <w:rsid w:val="000017BB"/>
    <w:rsid w:val="0000182C"/>
    <w:rsid w:val="00001867"/>
    <w:rsid w:val="0000196A"/>
    <w:rsid w:val="000019C5"/>
    <w:rsid w:val="000019D7"/>
    <w:rsid w:val="00001B42"/>
    <w:rsid w:val="00001BF2"/>
    <w:rsid w:val="00001CC5"/>
    <w:rsid w:val="00001CE7"/>
    <w:rsid w:val="00001D30"/>
    <w:rsid w:val="00001DD0"/>
    <w:rsid w:val="00001EDA"/>
    <w:rsid w:val="00001FB4"/>
    <w:rsid w:val="00001FD0"/>
    <w:rsid w:val="00001FFC"/>
    <w:rsid w:val="00002377"/>
    <w:rsid w:val="0000254F"/>
    <w:rsid w:val="00002807"/>
    <w:rsid w:val="00002B06"/>
    <w:rsid w:val="00002D1B"/>
    <w:rsid w:val="00002D20"/>
    <w:rsid w:val="00002ED4"/>
    <w:rsid w:val="00002F5C"/>
    <w:rsid w:val="00002FDE"/>
    <w:rsid w:val="000031FA"/>
    <w:rsid w:val="00003379"/>
    <w:rsid w:val="0000341F"/>
    <w:rsid w:val="0000355F"/>
    <w:rsid w:val="0000376F"/>
    <w:rsid w:val="0000381E"/>
    <w:rsid w:val="0000391C"/>
    <w:rsid w:val="000039A7"/>
    <w:rsid w:val="00003A21"/>
    <w:rsid w:val="00003E0C"/>
    <w:rsid w:val="00003E20"/>
    <w:rsid w:val="00003E59"/>
    <w:rsid w:val="00003E5C"/>
    <w:rsid w:val="000041F9"/>
    <w:rsid w:val="0000447C"/>
    <w:rsid w:val="000045DA"/>
    <w:rsid w:val="00004709"/>
    <w:rsid w:val="0000481C"/>
    <w:rsid w:val="00004886"/>
    <w:rsid w:val="00004A80"/>
    <w:rsid w:val="00004A84"/>
    <w:rsid w:val="00004BD7"/>
    <w:rsid w:val="00004C0C"/>
    <w:rsid w:val="00004C57"/>
    <w:rsid w:val="00004D39"/>
    <w:rsid w:val="00004D74"/>
    <w:rsid w:val="00004D94"/>
    <w:rsid w:val="00004F91"/>
    <w:rsid w:val="000051E5"/>
    <w:rsid w:val="0000532A"/>
    <w:rsid w:val="0000540B"/>
    <w:rsid w:val="00005436"/>
    <w:rsid w:val="000058C2"/>
    <w:rsid w:val="0000592C"/>
    <w:rsid w:val="00005B0D"/>
    <w:rsid w:val="00005B63"/>
    <w:rsid w:val="00005D1E"/>
    <w:rsid w:val="00005F0F"/>
    <w:rsid w:val="00005FE1"/>
    <w:rsid w:val="000060CB"/>
    <w:rsid w:val="00006147"/>
    <w:rsid w:val="00006214"/>
    <w:rsid w:val="000062B6"/>
    <w:rsid w:val="00006398"/>
    <w:rsid w:val="000064C0"/>
    <w:rsid w:val="0000650C"/>
    <w:rsid w:val="0000667B"/>
    <w:rsid w:val="00006700"/>
    <w:rsid w:val="0000673C"/>
    <w:rsid w:val="00006933"/>
    <w:rsid w:val="00006A29"/>
    <w:rsid w:val="00006A37"/>
    <w:rsid w:val="00006B62"/>
    <w:rsid w:val="00006B77"/>
    <w:rsid w:val="00006C3F"/>
    <w:rsid w:val="00006CD9"/>
    <w:rsid w:val="00006DA9"/>
    <w:rsid w:val="00006DBA"/>
    <w:rsid w:val="00006DD3"/>
    <w:rsid w:val="00007007"/>
    <w:rsid w:val="000070B3"/>
    <w:rsid w:val="000070D1"/>
    <w:rsid w:val="00007122"/>
    <w:rsid w:val="0000727E"/>
    <w:rsid w:val="00007482"/>
    <w:rsid w:val="000074EA"/>
    <w:rsid w:val="000075F0"/>
    <w:rsid w:val="00007618"/>
    <w:rsid w:val="0000777F"/>
    <w:rsid w:val="00007843"/>
    <w:rsid w:val="0000789C"/>
    <w:rsid w:val="000078C4"/>
    <w:rsid w:val="00007994"/>
    <w:rsid w:val="00007A00"/>
    <w:rsid w:val="00007A5B"/>
    <w:rsid w:val="00007B3F"/>
    <w:rsid w:val="00007B69"/>
    <w:rsid w:val="00007C17"/>
    <w:rsid w:val="00007EC9"/>
    <w:rsid w:val="00007ED3"/>
    <w:rsid w:val="00007F84"/>
    <w:rsid w:val="0001008C"/>
    <w:rsid w:val="000100A1"/>
    <w:rsid w:val="00010233"/>
    <w:rsid w:val="000102B1"/>
    <w:rsid w:val="00010855"/>
    <w:rsid w:val="00010946"/>
    <w:rsid w:val="0001097D"/>
    <w:rsid w:val="00010BFF"/>
    <w:rsid w:val="00010FF2"/>
    <w:rsid w:val="000110C1"/>
    <w:rsid w:val="00011124"/>
    <w:rsid w:val="000111CD"/>
    <w:rsid w:val="00011373"/>
    <w:rsid w:val="00011494"/>
    <w:rsid w:val="00011518"/>
    <w:rsid w:val="0001152F"/>
    <w:rsid w:val="000115AC"/>
    <w:rsid w:val="00011715"/>
    <w:rsid w:val="000117EE"/>
    <w:rsid w:val="000119C4"/>
    <w:rsid w:val="00011A62"/>
    <w:rsid w:val="00011C62"/>
    <w:rsid w:val="00011CD3"/>
    <w:rsid w:val="00011D70"/>
    <w:rsid w:val="00011DE7"/>
    <w:rsid w:val="00011ED7"/>
    <w:rsid w:val="00011EF1"/>
    <w:rsid w:val="00012054"/>
    <w:rsid w:val="00012098"/>
    <w:rsid w:val="0001214C"/>
    <w:rsid w:val="0001236F"/>
    <w:rsid w:val="000123BC"/>
    <w:rsid w:val="00012555"/>
    <w:rsid w:val="00012564"/>
    <w:rsid w:val="0001259B"/>
    <w:rsid w:val="000125EE"/>
    <w:rsid w:val="000126B7"/>
    <w:rsid w:val="00012AB7"/>
    <w:rsid w:val="00012B2D"/>
    <w:rsid w:val="00012B31"/>
    <w:rsid w:val="00012B79"/>
    <w:rsid w:val="00012BA8"/>
    <w:rsid w:val="00012BC9"/>
    <w:rsid w:val="00012D64"/>
    <w:rsid w:val="00013012"/>
    <w:rsid w:val="00013069"/>
    <w:rsid w:val="000130EC"/>
    <w:rsid w:val="000132D3"/>
    <w:rsid w:val="00013316"/>
    <w:rsid w:val="00013395"/>
    <w:rsid w:val="000133A7"/>
    <w:rsid w:val="000133C6"/>
    <w:rsid w:val="00013457"/>
    <w:rsid w:val="00013492"/>
    <w:rsid w:val="0001353D"/>
    <w:rsid w:val="00013625"/>
    <w:rsid w:val="0001378F"/>
    <w:rsid w:val="000137E4"/>
    <w:rsid w:val="00013818"/>
    <w:rsid w:val="0001396E"/>
    <w:rsid w:val="00013A69"/>
    <w:rsid w:val="00013ADB"/>
    <w:rsid w:val="00013B27"/>
    <w:rsid w:val="00013B40"/>
    <w:rsid w:val="00013D17"/>
    <w:rsid w:val="00013D30"/>
    <w:rsid w:val="00013E0B"/>
    <w:rsid w:val="00013E39"/>
    <w:rsid w:val="00014177"/>
    <w:rsid w:val="0001425C"/>
    <w:rsid w:val="00014269"/>
    <w:rsid w:val="000142B6"/>
    <w:rsid w:val="0001434C"/>
    <w:rsid w:val="00014371"/>
    <w:rsid w:val="00014452"/>
    <w:rsid w:val="000146A4"/>
    <w:rsid w:val="000146F3"/>
    <w:rsid w:val="000148B1"/>
    <w:rsid w:val="00014901"/>
    <w:rsid w:val="00014934"/>
    <w:rsid w:val="00014A47"/>
    <w:rsid w:val="00014B35"/>
    <w:rsid w:val="00014C78"/>
    <w:rsid w:val="00014D6C"/>
    <w:rsid w:val="0001501A"/>
    <w:rsid w:val="0001508F"/>
    <w:rsid w:val="00015136"/>
    <w:rsid w:val="0001514C"/>
    <w:rsid w:val="00015152"/>
    <w:rsid w:val="000152F6"/>
    <w:rsid w:val="000154F8"/>
    <w:rsid w:val="0001553D"/>
    <w:rsid w:val="00015589"/>
    <w:rsid w:val="00015639"/>
    <w:rsid w:val="00015755"/>
    <w:rsid w:val="00015984"/>
    <w:rsid w:val="00015A13"/>
    <w:rsid w:val="00015B97"/>
    <w:rsid w:val="00015BAA"/>
    <w:rsid w:val="00015BFC"/>
    <w:rsid w:val="00015D1F"/>
    <w:rsid w:val="00015D27"/>
    <w:rsid w:val="00015DB5"/>
    <w:rsid w:val="00015EA4"/>
    <w:rsid w:val="00015EBD"/>
    <w:rsid w:val="00015F89"/>
    <w:rsid w:val="00015F93"/>
    <w:rsid w:val="00015FD5"/>
    <w:rsid w:val="00016155"/>
    <w:rsid w:val="000161BA"/>
    <w:rsid w:val="000162C0"/>
    <w:rsid w:val="000165BB"/>
    <w:rsid w:val="000165E4"/>
    <w:rsid w:val="000166A5"/>
    <w:rsid w:val="000167D8"/>
    <w:rsid w:val="00016859"/>
    <w:rsid w:val="000168E5"/>
    <w:rsid w:val="00016985"/>
    <w:rsid w:val="00016A17"/>
    <w:rsid w:val="00016A51"/>
    <w:rsid w:val="00016A7C"/>
    <w:rsid w:val="00016BC5"/>
    <w:rsid w:val="00016BDB"/>
    <w:rsid w:val="00016DD1"/>
    <w:rsid w:val="00016F38"/>
    <w:rsid w:val="000170C0"/>
    <w:rsid w:val="00017142"/>
    <w:rsid w:val="000172CE"/>
    <w:rsid w:val="000174D2"/>
    <w:rsid w:val="00017630"/>
    <w:rsid w:val="000176E0"/>
    <w:rsid w:val="000177D2"/>
    <w:rsid w:val="00017854"/>
    <w:rsid w:val="00017A4F"/>
    <w:rsid w:val="00017E03"/>
    <w:rsid w:val="00017FE2"/>
    <w:rsid w:val="00020039"/>
    <w:rsid w:val="0002016B"/>
    <w:rsid w:val="00020213"/>
    <w:rsid w:val="0002027B"/>
    <w:rsid w:val="000204F0"/>
    <w:rsid w:val="0002052A"/>
    <w:rsid w:val="00020535"/>
    <w:rsid w:val="0002074F"/>
    <w:rsid w:val="00020785"/>
    <w:rsid w:val="000207BF"/>
    <w:rsid w:val="0002099A"/>
    <w:rsid w:val="000209AA"/>
    <w:rsid w:val="000209E1"/>
    <w:rsid w:val="00020A0B"/>
    <w:rsid w:val="00020D44"/>
    <w:rsid w:val="00020D85"/>
    <w:rsid w:val="00020F19"/>
    <w:rsid w:val="0002101C"/>
    <w:rsid w:val="00021097"/>
    <w:rsid w:val="000212CB"/>
    <w:rsid w:val="000214A6"/>
    <w:rsid w:val="000214D4"/>
    <w:rsid w:val="00021A38"/>
    <w:rsid w:val="00021D82"/>
    <w:rsid w:val="00021FD2"/>
    <w:rsid w:val="00021FD8"/>
    <w:rsid w:val="0002205F"/>
    <w:rsid w:val="00022093"/>
    <w:rsid w:val="00022320"/>
    <w:rsid w:val="0002237E"/>
    <w:rsid w:val="00022568"/>
    <w:rsid w:val="000226E1"/>
    <w:rsid w:val="00022873"/>
    <w:rsid w:val="000228D0"/>
    <w:rsid w:val="000228EE"/>
    <w:rsid w:val="00022931"/>
    <w:rsid w:val="00022BC8"/>
    <w:rsid w:val="00022CEF"/>
    <w:rsid w:val="00022EBE"/>
    <w:rsid w:val="00022EF8"/>
    <w:rsid w:val="00022FAB"/>
    <w:rsid w:val="000230FC"/>
    <w:rsid w:val="00023199"/>
    <w:rsid w:val="0002327C"/>
    <w:rsid w:val="000232D5"/>
    <w:rsid w:val="00023326"/>
    <w:rsid w:val="00023377"/>
    <w:rsid w:val="00023572"/>
    <w:rsid w:val="0002357D"/>
    <w:rsid w:val="00023583"/>
    <w:rsid w:val="000235A3"/>
    <w:rsid w:val="000235A5"/>
    <w:rsid w:val="000236AC"/>
    <w:rsid w:val="0002374E"/>
    <w:rsid w:val="00023806"/>
    <w:rsid w:val="0002384A"/>
    <w:rsid w:val="0002386F"/>
    <w:rsid w:val="0002397F"/>
    <w:rsid w:val="000239F4"/>
    <w:rsid w:val="00023B23"/>
    <w:rsid w:val="00023D6F"/>
    <w:rsid w:val="00023DC0"/>
    <w:rsid w:val="00023E9C"/>
    <w:rsid w:val="00023FA3"/>
    <w:rsid w:val="000240C0"/>
    <w:rsid w:val="00024119"/>
    <w:rsid w:val="0002436F"/>
    <w:rsid w:val="0002440D"/>
    <w:rsid w:val="00024586"/>
    <w:rsid w:val="000245EB"/>
    <w:rsid w:val="0002469A"/>
    <w:rsid w:val="000246E0"/>
    <w:rsid w:val="00024751"/>
    <w:rsid w:val="00024857"/>
    <w:rsid w:val="00024868"/>
    <w:rsid w:val="0002489C"/>
    <w:rsid w:val="00024944"/>
    <w:rsid w:val="000249FB"/>
    <w:rsid w:val="00024A5E"/>
    <w:rsid w:val="00024AA7"/>
    <w:rsid w:val="00024D1E"/>
    <w:rsid w:val="00024DDD"/>
    <w:rsid w:val="00024F2C"/>
    <w:rsid w:val="00024F7D"/>
    <w:rsid w:val="00024FD3"/>
    <w:rsid w:val="00024FE4"/>
    <w:rsid w:val="00025092"/>
    <w:rsid w:val="0002527F"/>
    <w:rsid w:val="0002529D"/>
    <w:rsid w:val="000253C6"/>
    <w:rsid w:val="0002573C"/>
    <w:rsid w:val="00025786"/>
    <w:rsid w:val="00025803"/>
    <w:rsid w:val="0002581D"/>
    <w:rsid w:val="00025825"/>
    <w:rsid w:val="000259F6"/>
    <w:rsid w:val="00025ABE"/>
    <w:rsid w:val="00025ACF"/>
    <w:rsid w:val="00025B10"/>
    <w:rsid w:val="00025B24"/>
    <w:rsid w:val="00025D08"/>
    <w:rsid w:val="00025EB2"/>
    <w:rsid w:val="00025FA3"/>
    <w:rsid w:val="00025FED"/>
    <w:rsid w:val="00026150"/>
    <w:rsid w:val="00026223"/>
    <w:rsid w:val="00026291"/>
    <w:rsid w:val="000263E8"/>
    <w:rsid w:val="000264A8"/>
    <w:rsid w:val="0002651B"/>
    <w:rsid w:val="00026605"/>
    <w:rsid w:val="00026761"/>
    <w:rsid w:val="0002687A"/>
    <w:rsid w:val="00026979"/>
    <w:rsid w:val="000269C0"/>
    <w:rsid w:val="00026AB3"/>
    <w:rsid w:val="00026BAB"/>
    <w:rsid w:val="00026BD2"/>
    <w:rsid w:val="00026C24"/>
    <w:rsid w:val="00026D4F"/>
    <w:rsid w:val="00026EEB"/>
    <w:rsid w:val="00026F29"/>
    <w:rsid w:val="00026F46"/>
    <w:rsid w:val="00026FBD"/>
    <w:rsid w:val="00027088"/>
    <w:rsid w:val="000270A8"/>
    <w:rsid w:val="0002712C"/>
    <w:rsid w:val="0002715B"/>
    <w:rsid w:val="0002719E"/>
    <w:rsid w:val="0002723A"/>
    <w:rsid w:val="00027584"/>
    <w:rsid w:val="000275DB"/>
    <w:rsid w:val="0002763A"/>
    <w:rsid w:val="00027694"/>
    <w:rsid w:val="00027709"/>
    <w:rsid w:val="00027763"/>
    <w:rsid w:val="000277CD"/>
    <w:rsid w:val="00027A1A"/>
    <w:rsid w:val="00027A48"/>
    <w:rsid w:val="00027A73"/>
    <w:rsid w:val="00027A8C"/>
    <w:rsid w:val="00027A99"/>
    <w:rsid w:val="00027B05"/>
    <w:rsid w:val="00027CBD"/>
    <w:rsid w:val="00027D8F"/>
    <w:rsid w:val="00027EA4"/>
    <w:rsid w:val="00027ED5"/>
    <w:rsid w:val="00027F32"/>
    <w:rsid w:val="00027FB0"/>
    <w:rsid w:val="00030008"/>
    <w:rsid w:val="0003000F"/>
    <w:rsid w:val="000300E0"/>
    <w:rsid w:val="00030115"/>
    <w:rsid w:val="00030194"/>
    <w:rsid w:val="0003036E"/>
    <w:rsid w:val="000303BC"/>
    <w:rsid w:val="0003044E"/>
    <w:rsid w:val="00030455"/>
    <w:rsid w:val="000304B9"/>
    <w:rsid w:val="0003052A"/>
    <w:rsid w:val="0003059E"/>
    <w:rsid w:val="00030619"/>
    <w:rsid w:val="000308D7"/>
    <w:rsid w:val="000308E6"/>
    <w:rsid w:val="0003095D"/>
    <w:rsid w:val="000309A4"/>
    <w:rsid w:val="000309DB"/>
    <w:rsid w:val="00030BB4"/>
    <w:rsid w:val="00030D1F"/>
    <w:rsid w:val="00030F4A"/>
    <w:rsid w:val="00030F9F"/>
    <w:rsid w:val="00030FF2"/>
    <w:rsid w:val="0003102A"/>
    <w:rsid w:val="00031101"/>
    <w:rsid w:val="000311D9"/>
    <w:rsid w:val="00031329"/>
    <w:rsid w:val="0003135B"/>
    <w:rsid w:val="0003142C"/>
    <w:rsid w:val="0003154E"/>
    <w:rsid w:val="0003175B"/>
    <w:rsid w:val="00031A31"/>
    <w:rsid w:val="00031ABB"/>
    <w:rsid w:val="00031B48"/>
    <w:rsid w:val="00031BAB"/>
    <w:rsid w:val="00031EC3"/>
    <w:rsid w:val="00031F74"/>
    <w:rsid w:val="00032387"/>
    <w:rsid w:val="000323D3"/>
    <w:rsid w:val="00032420"/>
    <w:rsid w:val="000324DE"/>
    <w:rsid w:val="00032517"/>
    <w:rsid w:val="00032541"/>
    <w:rsid w:val="000325D3"/>
    <w:rsid w:val="000326E7"/>
    <w:rsid w:val="000326EC"/>
    <w:rsid w:val="000327DC"/>
    <w:rsid w:val="000329A6"/>
    <w:rsid w:val="000329AB"/>
    <w:rsid w:val="00032A89"/>
    <w:rsid w:val="00032AAA"/>
    <w:rsid w:val="00032D18"/>
    <w:rsid w:val="00032DEB"/>
    <w:rsid w:val="00032E5F"/>
    <w:rsid w:val="00032EA1"/>
    <w:rsid w:val="000330C7"/>
    <w:rsid w:val="0003341D"/>
    <w:rsid w:val="00033808"/>
    <w:rsid w:val="00033814"/>
    <w:rsid w:val="0003383E"/>
    <w:rsid w:val="000338D2"/>
    <w:rsid w:val="000339E9"/>
    <w:rsid w:val="00033A63"/>
    <w:rsid w:val="00033AE5"/>
    <w:rsid w:val="00033B4E"/>
    <w:rsid w:val="00033BB3"/>
    <w:rsid w:val="00033C4D"/>
    <w:rsid w:val="00033DB5"/>
    <w:rsid w:val="00033DC3"/>
    <w:rsid w:val="0003409B"/>
    <w:rsid w:val="000340F8"/>
    <w:rsid w:val="00034291"/>
    <w:rsid w:val="00034371"/>
    <w:rsid w:val="000343D7"/>
    <w:rsid w:val="00034603"/>
    <w:rsid w:val="00034618"/>
    <w:rsid w:val="0003462E"/>
    <w:rsid w:val="0003469A"/>
    <w:rsid w:val="00034A0D"/>
    <w:rsid w:val="00034A2E"/>
    <w:rsid w:val="00034BEF"/>
    <w:rsid w:val="00034C9D"/>
    <w:rsid w:val="00034CD4"/>
    <w:rsid w:val="00034ED3"/>
    <w:rsid w:val="00034F3C"/>
    <w:rsid w:val="00034FA6"/>
    <w:rsid w:val="0003504E"/>
    <w:rsid w:val="00035097"/>
    <w:rsid w:val="00035133"/>
    <w:rsid w:val="0003518F"/>
    <w:rsid w:val="00035198"/>
    <w:rsid w:val="000351A4"/>
    <w:rsid w:val="000351A6"/>
    <w:rsid w:val="00035254"/>
    <w:rsid w:val="00035588"/>
    <w:rsid w:val="00035599"/>
    <w:rsid w:val="000355E6"/>
    <w:rsid w:val="0003588B"/>
    <w:rsid w:val="000359CB"/>
    <w:rsid w:val="00035AB2"/>
    <w:rsid w:val="00035B53"/>
    <w:rsid w:val="00035B99"/>
    <w:rsid w:val="00035C6D"/>
    <w:rsid w:val="00035D58"/>
    <w:rsid w:val="00035D8F"/>
    <w:rsid w:val="00035DC7"/>
    <w:rsid w:val="0003615D"/>
    <w:rsid w:val="00036213"/>
    <w:rsid w:val="000364BD"/>
    <w:rsid w:val="00036543"/>
    <w:rsid w:val="00036634"/>
    <w:rsid w:val="00036A73"/>
    <w:rsid w:val="00036C80"/>
    <w:rsid w:val="00036DE9"/>
    <w:rsid w:val="00036EBF"/>
    <w:rsid w:val="00036ED2"/>
    <w:rsid w:val="00036F4B"/>
    <w:rsid w:val="00036F53"/>
    <w:rsid w:val="000370DF"/>
    <w:rsid w:val="000370F8"/>
    <w:rsid w:val="00037260"/>
    <w:rsid w:val="00037345"/>
    <w:rsid w:val="00037386"/>
    <w:rsid w:val="000374EE"/>
    <w:rsid w:val="0003756F"/>
    <w:rsid w:val="0003769F"/>
    <w:rsid w:val="00037713"/>
    <w:rsid w:val="00037833"/>
    <w:rsid w:val="00037A5A"/>
    <w:rsid w:val="00037A91"/>
    <w:rsid w:val="00037CAD"/>
    <w:rsid w:val="00037DBE"/>
    <w:rsid w:val="00037DF0"/>
    <w:rsid w:val="00037DFC"/>
    <w:rsid w:val="00037E05"/>
    <w:rsid w:val="00037E8F"/>
    <w:rsid w:val="00037F29"/>
    <w:rsid w:val="00037FBE"/>
    <w:rsid w:val="0004018B"/>
    <w:rsid w:val="000401FC"/>
    <w:rsid w:val="00040315"/>
    <w:rsid w:val="000403E2"/>
    <w:rsid w:val="00040478"/>
    <w:rsid w:val="000407E2"/>
    <w:rsid w:val="0004081F"/>
    <w:rsid w:val="000409DD"/>
    <w:rsid w:val="00040A30"/>
    <w:rsid w:val="00040B4F"/>
    <w:rsid w:val="00040C74"/>
    <w:rsid w:val="00040CE3"/>
    <w:rsid w:val="000410A9"/>
    <w:rsid w:val="0004113C"/>
    <w:rsid w:val="0004115F"/>
    <w:rsid w:val="00041350"/>
    <w:rsid w:val="0004145E"/>
    <w:rsid w:val="00041574"/>
    <w:rsid w:val="0004160C"/>
    <w:rsid w:val="00041612"/>
    <w:rsid w:val="000416B0"/>
    <w:rsid w:val="000416B9"/>
    <w:rsid w:val="00041883"/>
    <w:rsid w:val="00041960"/>
    <w:rsid w:val="00041E1D"/>
    <w:rsid w:val="00041EEB"/>
    <w:rsid w:val="00041F09"/>
    <w:rsid w:val="00042019"/>
    <w:rsid w:val="0004211D"/>
    <w:rsid w:val="0004216F"/>
    <w:rsid w:val="00042289"/>
    <w:rsid w:val="000422EC"/>
    <w:rsid w:val="00042401"/>
    <w:rsid w:val="0004245D"/>
    <w:rsid w:val="0004248B"/>
    <w:rsid w:val="000424A4"/>
    <w:rsid w:val="00042550"/>
    <w:rsid w:val="0004287B"/>
    <w:rsid w:val="000429FF"/>
    <w:rsid w:val="00042A1F"/>
    <w:rsid w:val="00042B16"/>
    <w:rsid w:val="00042BE4"/>
    <w:rsid w:val="00042C5E"/>
    <w:rsid w:val="00043135"/>
    <w:rsid w:val="00043146"/>
    <w:rsid w:val="00043262"/>
    <w:rsid w:val="000434E3"/>
    <w:rsid w:val="0004353D"/>
    <w:rsid w:val="000435C6"/>
    <w:rsid w:val="000436DA"/>
    <w:rsid w:val="000436F2"/>
    <w:rsid w:val="0004375D"/>
    <w:rsid w:val="000439F4"/>
    <w:rsid w:val="00043AEF"/>
    <w:rsid w:val="00043C1D"/>
    <w:rsid w:val="00043C47"/>
    <w:rsid w:val="00043D32"/>
    <w:rsid w:val="00043DAD"/>
    <w:rsid w:val="00043E14"/>
    <w:rsid w:val="00044055"/>
    <w:rsid w:val="000441B9"/>
    <w:rsid w:val="00044202"/>
    <w:rsid w:val="00044220"/>
    <w:rsid w:val="0004438B"/>
    <w:rsid w:val="00044419"/>
    <w:rsid w:val="0004445D"/>
    <w:rsid w:val="0004448E"/>
    <w:rsid w:val="000446BE"/>
    <w:rsid w:val="000449C1"/>
    <w:rsid w:val="000449E3"/>
    <w:rsid w:val="00044ACD"/>
    <w:rsid w:val="00044AEF"/>
    <w:rsid w:val="00044B09"/>
    <w:rsid w:val="00044D91"/>
    <w:rsid w:val="00044E0A"/>
    <w:rsid w:val="00044E99"/>
    <w:rsid w:val="00044F04"/>
    <w:rsid w:val="00044FD8"/>
    <w:rsid w:val="00045173"/>
    <w:rsid w:val="000451AE"/>
    <w:rsid w:val="00045228"/>
    <w:rsid w:val="00045279"/>
    <w:rsid w:val="0004552E"/>
    <w:rsid w:val="0004558F"/>
    <w:rsid w:val="00045610"/>
    <w:rsid w:val="0004569C"/>
    <w:rsid w:val="000457B8"/>
    <w:rsid w:val="0004583E"/>
    <w:rsid w:val="00045959"/>
    <w:rsid w:val="00045A50"/>
    <w:rsid w:val="00045B24"/>
    <w:rsid w:val="00045B48"/>
    <w:rsid w:val="00045C83"/>
    <w:rsid w:val="00045D34"/>
    <w:rsid w:val="00045EFF"/>
    <w:rsid w:val="00045F21"/>
    <w:rsid w:val="00045F77"/>
    <w:rsid w:val="00045F7A"/>
    <w:rsid w:val="0004624A"/>
    <w:rsid w:val="0004637A"/>
    <w:rsid w:val="00046451"/>
    <w:rsid w:val="000464BA"/>
    <w:rsid w:val="0004674B"/>
    <w:rsid w:val="0004674E"/>
    <w:rsid w:val="00046BFD"/>
    <w:rsid w:val="00046C00"/>
    <w:rsid w:val="00046C6D"/>
    <w:rsid w:val="00046F28"/>
    <w:rsid w:val="000470AA"/>
    <w:rsid w:val="00047646"/>
    <w:rsid w:val="000476DB"/>
    <w:rsid w:val="00047750"/>
    <w:rsid w:val="00047849"/>
    <w:rsid w:val="00047866"/>
    <w:rsid w:val="00047885"/>
    <w:rsid w:val="000478BC"/>
    <w:rsid w:val="000478D5"/>
    <w:rsid w:val="000478F1"/>
    <w:rsid w:val="00047AE8"/>
    <w:rsid w:val="00047B93"/>
    <w:rsid w:val="00047BA4"/>
    <w:rsid w:val="00047BA6"/>
    <w:rsid w:val="00047CE6"/>
    <w:rsid w:val="00047FB1"/>
    <w:rsid w:val="00050001"/>
    <w:rsid w:val="00050023"/>
    <w:rsid w:val="0005002B"/>
    <w:rsid w:val="000501C9"/>
    <w:rsid w:val="00050205"/>
    <w:rsid w:val="00050232"/>
    <w:rsid w:val="000502AD"/>
    <w:rsid w:val="00050342"/>
    <w:rsid w:val="00050363"/>
    <w:rsid w:val="000504AC"/>
    <w:rsid w:val="000504E6"/>
    <w:rsid w:val="0005055F"/>
    <w:rsid w:val="00050606"/>
    <w:rsid w:val="00050632"/>
    <w:rsid w:val="000506C1"/>
    <w:rsid w:val="000506E6"/>
    <w:rsid w:val="000506FA"/>
    <w:rsid w:val="00050793"/>
    <w:rsid w:val="000507A8"/>
    <w:rsid w:val="00050818"/>
    <w:rsid w:val="00050AF3"/>
    <w:rsid w:val="00050B56"/>
    <w:rsid w:val="00050B98"/>
    <w:rsid w:val="00050C0F"/>
    <w:rsid w:val="00050C4C"/>
    <w:rsid w:val="00050C77"/>
    <w:rsid w:val="00051026"/>
    <w:rsid w:val="000510A3"/>
    <w:rsid w:val="0005118A"/>
    <w:rsid w:val="0005124F"/>
    <w:rsid w:val="00051274"/>
    <w:rsid w:val="00051412"/>
    <w:rsid w:val="00051615"/>
    <w:rsid w:val="00051686"/>
    <w:rsid w:val="0005182B"/>
    <w:rsid w:val="00051966"/>
    <w:rsid w:val="00051CEB"/>
    <w:rsid w:val="00051D0B"/>
    <w:rsid w:val="00051EDF"/>
    <w:rsid w:val="00052085"/>
    <w:rsid w:val="000520E5"/>
    <w:rsid w:val="00052105"/>
    <w:rsid w:val="00052138"/>
    <w:rsid w:val="00052183"/>
    <w:rsid w:val="00052283"/>
    <w:rsid w:val="0005231D"/>
    <w:rsid w:val="000523C0"/>
    <w:rsid w:val="000524E0"/>
    <w:rsid w:val="0005259F"/>
    <w:rsid w:val="000525A3"/>
    <w:rsid w:val="00052850"/>
    <w:rsid w:val="00052A57"/>
    <w:rsid w:val="00052A6F"/>
    <w:rsid w:val="00052B93"/>
    <w:rsid w:val="00052BD5"/>
    <w:rsid w:val="00052E02"/>
    <w:rsid w:val="00052F2F"/>
    <w:rsid w:val="00052FB5"/>
    <w:rsid w:val="00053171"/>
    <w:rsid w:val="000531C7"/>
    <w:rsid w:val="0005331E"/>
    <w:rsid w:val="00053361"/>
    <w:rsid w:val="00053497"/>
    <w:rsid w:val="000534C2"/>
    <w:rsid w:val="00053692"/>
    <w:rsid w:val="0005380D"/>
    <w:rsid w:val="00053983"/>
    <w:rsid w:val="000539C0"/>
    <w:rsid w:val="00053B62"/>
    <w:rsid w:val="00053BB3"/>
    <w:rsid w:val="00053BBA"/>
    <w:rsid w:val="00053CF3"/>
    <w:rsid w:val="00053D55"/>
    <w:rsid w:val="00053E17"/>
    <w:rsid w:val="00053ED5"/>
    <w:rsid w:val="00054002"/>
    <w:rsid w:val="0005409A"/>
    <w:rsid w:val="000541FB"/>
    <w:rsid w:val="0005422E"/>
    <w:rsid w:val="00054236"/>
    <w:rsid w:val="000545C8"/>
    <w:rsid w:val="000545EA"/>
    <w:rsid w:val="00054619"/>
    <w:rsid w:val="000546A0"/>
    <w:rsid w:val="00054718"/>
    <w:rsid w:val="0005485E"/>
    <w:rsid w:val="00054911"/>
    <w:rsid w:val="00054ADF"/>
    <w:rsid w:val="00054B2A"/>
    <w:rsid w:val="00054BBD"/>
    <w:rsid w:val="00054BC8"/>
    <w:rsid w:val="00054C29"/>
    <w:rsid w:val="00054CD1"/>
    <w:rsid w:val="00054D0A"/>
    <w:rsid w:val="00054E5E"/>
    <w:rsid w:val="00054E6A"/>
    <w:rsid w:val="00054EB1"/>
    <w:rsid w:val="00054F53"/>
    <w:rsid w:val="00054F66"/>
    <w:rsid w:val="00054F6F"/>
    <w:rsid w:val="00054FD7"/>
    <w:rsid w:val="00054FE7"/>
    <w:rsid w:val="00055085"/>
    <w:rsid w:val="00055090"/>
    <w:rsid w:val="00055232"/>
    <w:rsid w:val="00055240"/>
    <w:rsid w:val="000552CE"/>
    <w:rsid w:val="00055353"/>
    <w:rsid w:val="000553E5"/>
    <w:rsid w:val="00055527"/>
    <w:rsid w:val="00055741"/>
    <w:rsid w:val="0005581D"/>
    <w:rsid w:val="000558A6"/>
    <w:rsid w:val="0005595E"/>
    <w:rsid w:val="00055A10"/>
    <w:rsid w:val="00055C6B"/>
    <w:rsid w:val="00055D3F"/>
    <w:rsid w:val="00055DA9"/>
    <w:rsid w:val="00055E46"/>
    <w:rsid w:val="00055F46"/>
    <w:rsid w:val="0005618D"/>
    <w:rsid w:val="00056289"/>
    <w:rsid w:val="000562B7"/>
    <w:rsid w:val="00056604"/>
    <w:rsid w:val="00056747"/>
    <w:rsid w:val="000567D8"/>
    <w:rsid w:val="000568A8"/>
    <w:rsid w:val="00056A33"/>
    <w:rsid w:val="00056B64"/>
    <w:rsid w:val="00056E31"/>
    <w:rsid w:val="0005702E"/>
    <w:rsid w:val="0005716C"/>
    <w:rsid w:val="000572CE"/>
    <w:rsid w:val="000572DA"/>
    <w:rsid w:val="000572F8"/>
    <w:rsid w:val="00057394"/>
    <w:rsid w:val="00057535"/>
    <w:rsid w:val="00057708"/>
    <w:rsid w:val="000579FC"/>
    <w:rsid w:val="00057AEA"/>
    <w:rsid w:val="00057BE0"/>
    <w:rsid w:val="00057CB9"/>
    <w:rsid w:val="00057CF5"/>
    <w:rsid w:val="00057D57"/>
    <w:rsid w:val="00057E5A"/>
    <w:rsid w:val="00057EBB"/>
    <w:rsid w:val="0005FD7E"/>
    <w:rsid w:val="0006001E"/>
    <w:rsid w:val="00060253"/>
    <w:rsid w:val="000603C1"/>
    <w:rsid w:val="000603CE"/>
    <w:rsid w:val="000604B2"/>
    <w:rsid w:val="0006052B"/>
    <w:rsid w:val="000607F5"/>
    <w:rsid w:val="00060943"/>
    <w:rsid w:val="0006099A"/>
    <w:rsid w:val="0006099E"/>
    <w:rsid w:val="000609CC"/>
    <w:rsid w:val="00060BEE"/>
    <w:rsid w:val="00060DFD"/>
    <w:rsid w:val="00060FB1"/>
    <w:rsid w:val="00061000"/>
    <w:rsid w:val="000612BD"/>
    <w:rsid w:val="00061398"/>
    <w:rsid w:val="00061500"/>
    <w:rsid w:val="00061648"/>
    <w:rsid w:val="0006183F"/>
    <w:rsid w:val="00061891"/>
    <w:rsid w:val="000618CC"/>
    <w:rsid w:val="0006191E"/>
    <w:rsid w:val="00061A4F"/>
    <w:rsid w:val="00061B3C"/>
    <w:rsid w:val="00061B97"/>
    <w:rsid w:val="00061BB1"/>
    <w:rsid w:val="00061CAB"/>
    <w:rsid w:val="00061E1E"/>
    <w:rsid w:val="00061F34"/>
    <w:rsid w:val="000620BB"/>
    <w:rsid w:val="0006215B"/>
    <w:rsid w:val="000621DC"/>
    <w:rsid w:val="000622C9"/>
    <w:rsid w:val="00062397"/>
    <w:rsid w:val="00062399"/>
    <w:rsid w:val="0006252D"/>
    <w:rsid w:val="00062532"/>
    <w:rsid w:val="00062576"/>
    <w:rsid w:val="00062600"/>
    <w:rsid w:val="00062731"/>
    <w:rsid w:val="000627B4"/>
    <w:rsid w:val="000627F7"/>
    <w:rsid w:val="00062891"/>
    <w:rsid w:val="0006289D"/>
    <w:rsid w:val="00062C21"/>
    <w:rsid w:val="00062CC1"/>
    <w:rsid w:val="00062D5C"/>
    <w:rsid w:val="00062E37"/>
    <w:rsid w:val="00062E3B"/>
    <w:rsid w:val="00063017"/>
    <w:rsid w:val="000630F9"/>
    <w:rsid w:val="0006314D"/>
    <w:rsid w:val="000631A6"/>
    <w:rsid w:val="00063202"/>
    <w:rsid w:val="00063351"/>
    <w:rsid w:val="00063390"/>
    <w:rsid w:val="000633DD"/>
    <w:rsid w:val="0006370A"/>
    <w:rsid w:val="000639BC"/>
    <w:rsid w:val="000639BE"/>
    <w:rsid w:val="00063EBB"/>
    <w:rsid w:val="000640C4"/>
    <w:rsid w:val="0006414B"/>
    <w:rsid w:val="000641B7"/>
    <w:rsid w:val="00064305"/>
    <w:rsid w:val="00064348"/>
    <w:rsid w:val="000645DA"/>
    <w:rsid w:val="000646A9"/>
    <w:rsid w:val="00064852"/>
    <w:rsid w:val="000649D1"/>
    <w:rsid w:val="000649DF"/>
    <w:rsid w:val="00064AB1"/>
    <w:rsid w:val="00064BAD"/>
    <w:rsid w:val="00064BB7"/>
    <w:rsid w:val="00064BB8"/>
    <w:rsid w:val="00064C03"/>
    <w:rsid w:val="00064D3F"/>
    <w:rsid w:val="00064F2D"/>
    <w:rsid w:val="00064FB9"/>
    <w:rsid w:val="0006504D"/>
    <w:rsid w:val="00065076"/>
    <w:rsid w:val="000650A2"/>
    <w:rsid w:val="00065314"/>
    <w:rsid w:val="000653FE"/>
    <w:rsid w:val="00065484"/>
    <w:rsid w:val="00065510"/>
    <w:rsid w:val="00065512"/>
    <w:rsid w:val="00065561"/>
    <w:rsid w:val="00065633"/>
    <w:rsid w:val="00065663"/>
    <w:rsid w:val="000656EB"/>
    <w:rsid w:val="000657A0"/>
    <w:rsid w:val="000657A7"/>
    <w:rsid w:val="00065BB2"/>
    <w:rsid w:val="00065BBC"/>
    <w:rsid w:val="00065BF7"/>
    <w:rsid w:val="00065C3E"/>
    <w:rsid w:val="00065C4E"/>
    <w:rsid w:val="00066094"/>
    <w:rsid w:val="0006611D"/>
    <w:rsid w:val="000661B7"/>
    <w:rsid w:val="0006621D"/>
    <w:rsid w:val="0006628A"/>
    <w:rsid w:val="0006634F"/>
    <w:rsid w:val="00066476"/>
    <w:rsid w:val="00066509"/>
    <w:rsid w:val="000665DD"/>
    <w:rsid w:val="000665E4"/>
    <w:rsid w:val="0006666E"/>
    <w:rsid w:val="000666C3"/>
    <w:rsid w:val="00066742"/>
    <w:rsid w:val="00066921"/>
    <w:rsid w:val="00066A6B"/>
    <w:rsid w:val="00066AD1"/>
    <w:rsid w:val="00066AE0"/>
    <w:rsid w:val="00066B57"/>
    <w:rsid w:val="00066B6F"/>
    <w:rsid w:val="00066CA7"/>
    <w:rsid w:val="00066D66"/>
    <w:rsid w:val="00066DEC"/>
    <w:rsid w:val="00066ED8"/>
    <w:rsid w:val="00066F40"/>
    <w:rsid w:val="00066F62"/>
    <w:rsid w:val="00066FE9"/>
    <w:rsid w:val="00067068"/>
    <w:rsid w:val="00067076"/>
    <w:rsid w:val="000670D8"/>
    <w:rsid w:val="000670FC"/>
    <w:rsid w:val="0006723F"/>
    <w:rsid w:val="00067408"/>
    <w:rsid w:val="0006742C"/>
    <w:rsid w:val="00067485"/>
    <w:rsid w:val="00067522"/>
    <w:rsid w:val="00067599"/>
    <w:rsid w:val="0006759A"/>
    <w:rsid w:val="00067605"/>
    <w:rsid w:val="00067657"/>
    <w:rsid w:val="00067737"/>
    <w:rsid w:val="00067813"/>
    <w:rsid w:val="000678ED"/>
    <w:rsid w:val="000678EE"/>
    <w:rsid w:val="00067B3E"/>
    <w:rsid w:val="00067C74"/>
    <w:rsid w:val="00067C7E"/>
    <w:rsid w:val="00067D2A"/>
    <w:rsid w:val="00067D33"/>
    <w:rsid w:val="00067E1E"/>
    <w:rsid w:val="00067EF0"/>
    <w:rsid w:val="00067F9E"/>
    <w:rsid w:val="00067FF2"/>
    <w:rsid w:val="0007012F"/>
    <w:rsid w:val="0007016B"/>
    <w:rsid w:val="00070231"/>
    <w:rsid w:val="000702D0"/>
    <w:rsid w:val="000703C5"/>
    <w:rsid w:val="0007044A"/>
    <w:rsid w:val="00070457"/>
    <w:rsid w:val="00070518"/>
    <w:rsid w:val="000705F0"/>
    <w:rsid w:val="00070607"/>
    <w:rsid w:val="00070827"/>
    <w:rsid w:val="0007086B"/>
    <w:rsid w:val="00070884"/>
    <w:rsid w:val="000709B0"/>
    <w:rsid w:val="00070AB9"/>
    <w:rsid w:val="00070BAE"/>
    <w:rsid w:val="00070BBF"/>
    <w:rsid w:val="00070D3F"/>
    <w:rsid w:val="00070E62"/>
    <w:rsid w:val="00070E80"/>
    <w:rsid w:val="00071053"/>
    <w:rsid w:val="000710E1"/>
    <w:rsid w:val="0007119E"/>
    <w:rsid w:val="000712F3"/>
    <w:rsid w:val="00071310"/>
    <w:rsid w:val="00071401"/>
    <w:rsid w:val="00071492"/>
    <w:rsid w:val="00071503"/>
    <w:rsid w:val="000715AF"/>
    <w:rsid w:val="0007163F"/>
    <w:rsid w:val="000716AF"/>
    <w:rsid w:val="00071796"/>
    <w:rsid w:val="0007182A"/>
    <w:rsid w:val="00071834"/>
    <w:rsid w:val="000719A6"/>
    <w:rsid w:val="00071A8C"/>
    <w:rsid w:val="00071B4C"/>
    <w:rsid w:val="00071BCF"/>
    <w:rsid w:val="00071BDE"/>
    <w:rsid w:val="00071BEB"/>
    <w:rsid w:val="00071BFF"/>
    <w:rsid w:val="00071C4D"/>
    <w:rsid w:val="00071D06"/>
    <w:rsid w:val="00071DD2"/>
    <w:rsid w:val="00071F71"/>
    <w:rsid w:val="00072066"/>
    <w:rsid w:val="0007207A"/>
    <w:rsid w:val="0007237A"/>
    <w:rsid w:val="0007237E"/>
    <w:rsid w:val="000723C3"/>
    <w:rsid w:val="0007241C"/>
    <w:rsid w:val="00072792"/>
    <w:rsid w:val="00072A0A"/>
    <w:rsid w:val="00072B3D"/>
    <w:rsid w:val="00072B46"/>
    <w:rsid w:val="00072D1C"/>
    <w:rsid w:val="00072DA9"/>
    <w:rsid w:val="00072F1F"/>
    <w:rsid w:val="00072F76"/>
    <w:rsid w:val="00072FB4"/>
    <w:rsid w:val="000733A4"/>
    <w:rsid w:val="0007358B"/>
    <w:rsid w:val="00073655"/>
    <w:rsid w:val="000736A4"/>
    <w:rsid w:val="000736DA"/>
    <w:rsid w:val="000737EE"/>
    <w:rsid w:val="000739FC"/>
    <w:rsid w:val="00073A35"/>
    <w:rsid w:val="00073B68"/>
    <w:rsid w:val="00073C2E"/>
    <w:rsid w:val="00073D3C"/>
    <w:rsid w:val="00073D49"/>
    <w:rsid w:val="000740E4"/>
    <w:rsid w:val="00074108"/>
    <w:rsid w:val="00074155"/>
    <w:rsid w:val="00074200"/>
    <w:rsid w:val="000743B4"/>
    <w:rsid w:val="00074473"/>
    <w:rsid w:val="00074495"/>
    <w:rsid w:val="0007459A"/>
    <w:rsid w:val="0007462A"/>
    <w:rsid w:val="000746CB"/>
    <w:rsid w:val="000746D0"/>
    <w:rsid w:val="00074703"/>
    <w:rsid w:val="00074864"/>
    <w:rsid w:val="00074981"/>
    <w:rsid w:val="00074A19"/>
    <w:rsid w:val="00074B0C"/>
    <w:rsid w:val="00074BC7"/>
    <w:rsid w:val="00074E13"/>
    <w:rsid w:val="00074E3D"/>
    <w:rsid w:val="00074E73"/>
    <w:rsid w:val="00074ECE"/>
    <w:rsid w:val="00074F0E"/>
    <w:rsid w:val="00074F60"/>
    <w:rsid w:val="0007507A"/>
    <w:rsid w:val="0007521A"/>
    <w:rsid w:val="0007526F"/>
    <w:rsid w:val="00075456"/>
    <w:rsid w:val="000755FD"/>
    <w:rsid w:val="000756D9"/>
    <w:rsid w:val="000758E0"/>
    <w:rsid w:val="00075987"/>
    <w:rsid w:val="00075ABB"/>
    <w:rsid w:val="00075C0A"/>
    <w:rsid w:val="00075DB8"/>
    <w:rsid w:val="00075E33"/>
    <w:rsid w:val="00076048"/>
    <w:rsid w:val="000760C7"/>
    <w:rsid w:val="000760F4"/>
    <w:rsid w:val="0007610C"/>
    <w:rsid w:val="0007614A"/>
    <w:rsid w:val="00076203"/>
    <w:rsid w:val="00076225"/>
    <w:rsid w:val="000763F6"/>
    <w:rsid w:val="000765EB"/>
    <w:rsid w:val="0007664D"/>
    <w:rsid w:val="00076697"/>
    <w:rsid w:val="000767D6"/>
    <w:rsid w:val="0007683F"/>
    <w:rsid w:val="0007687A"/>
    <w:rsid w:val="000768B3"/>
    <w:rsid w:val="0007694E"/>
    <w:rsid w:val="00076AA9"/>
    <w:rsid w:val="00076B9D"/>
    <w:rsid w:val="00076BC5"/>
    <w:rsid w:val="00076E25"/>
    <w:rsid w:val="00076E7E"/>
    <w:rsid w:val="00076FD3"/>
    <w:rsid w:val="0007721F"/>
    <w:rsid w:val="00077240"/>
    <w:rsid w:val="0007733A"/>
    <w:rsid w:val="00077440"/>
    <w:rsid w:val="000776B4"/>
    <w:rsid w:val="00077742"/>
    <w:rsid w:val="00077746"/>
    <w:rsid w:val="0007788D"/>
    <w:rsid w:val="0007799E"/>
    <w:rsid w:val="00077AFB"/>
    <w:rsid w:val="00077B48"/>
    <w:rsid w:val="00077C98"/>
    <w:rsid w:val="00077DB8"/>
    <w:rsid w:val="00077E7C"/>
    <w:rsid w:val="00077ED8"/>
    <w:rsid w:val="00077F97"/>
    <w:rsid w:val="00080032"/>
    <w:rsid w:val="000800D7"/>
    <w:rsid w:val="00080352"/>
    <w:rsid w:val="0008040E"/>
    <w:rsid w:val="000804A7"/>
    <w:rsid w:val="000805C2"/>
    <w:rsid w:val="0008068A"/>
    <w:rsid w:val="000806B1"/>
    <w:rsid w:val="000808BB"/>
    <w:rsid w:val="000808DB"/>
    <w:rsid w:val="000809A1"/>
    <w:rsid w:val="000809AA"/>
    <w:rsid w:val="00080A74"/>
    <w:rsid w:val="00080D58"/>
    <w:rsid w:val="000810A5"/>
    <w:rsid w:val="000811B9"/>
    <w:rsid w:val="000811C2"/>
    <w:rsid w:val="000811E8"/>
    <w:rsid w:val="00081414"/>
    <w:rsid w:val="000814F3"/>
    <w:rsid w:val="000815BF"/>
    <w:rsid w:val="0008161F"/>
    <w:rsid w:val="000816C4"/>
    <w:rsid w:val="000818C4"/>
    <w:rsid w:val="00081988"/>
    <w:rsid w:val="00081A8F"/>
    <w:rsid w:val="00081E16"/>
    <w:rsid w:val="00081EE1"/>
    <w:rsid w:val="00081F81"/>
    <w:rsid w:val="000822DA"/>
    <w:rsid w:val="000824C7"/>
    <w:rsid w:val="000824E1"/>
    <w:rsid w:val="00082560"/>
    <w:rsid w:val="00082565"/>
    <w:rsid w:val="000826C6"/>
    <w:rsid w:val="000826CE"/>
    <w:rsid w:val="000826E8"/>
    <w:rsid w:val="0008275D"/>
    <w:rsid w:val="00082838"/>
    <w:rsid w:val="00082899"/>
    <w:rsid w:val="000828F2"/>
    <w:rsid w:val="000829DE"/>
    <w:rsid w:val="00082A89"/>
    <w:rsid w:val="00082AD0"/>
    <w:rsid w:val="00082B27"/>
    <w:rsid w:val="00082D34"/>
    <w:rsid w:val="00082DA1"/>
    <w:rsid w:val="00082E40"/>
    <w:rsid w:val="00082E49"/>
    <w:rsid w:val="00082FF7"/>
    <w:rsid w:val="00083153"/>
    <w:rsid w:val="0008341B"/>
    <w:rsid w:val="00083496"/>
    <w:rsid w:val="00083569"/>
    <w:rsid w:val="00083747"/>
    <w:rsid w:val="0008386D"/>
    <w:rsid w:val="00083AEA"/>
    <w:rsid w:val="00083B45"/>
    <w:rsid w:val="00083DA3"/>
    <w:rsid w:val="00083F18"/>
    <w:rsid w:val="000840DF"/>
    <w:rsid w:val="00084194"/>
    <w:rsid w:val="00084232"/>
    <w:rsid w:val="000842BD"/>
    <w:rsid w:val="0008452D"/>
    <w:rsid w:val="0008474C"/>
    <w:rsid w:val="00084876"/>
    <w:rsid w:val="0008489C"/>
    <w:rsid w:val="000848B2"/>
    <w:rsid w:val="000848F9"/>
    <w:rsid w:val="00084A47"/>
    <w:rsid w:val="00084AEF"/>
    <w:rsid w:val="00084CB1"/>
    <w:rsid w:val="00084CB3"/>
    <w:rsid w:val="00084DB1"/>
    <w:rsid w:val="00084DBD"/>
    <w:rsid w:val="00084E5B"/>
    <w:rsid w:val="00084F57"/>
    <w:rsid w:val="00085017"/>
    <w:rsid w:val="00085170"/>
    <w:rsid w:val="00085302"/>
    <w:rsid w:val="00085333"/>
    <w:rsid w:val="0008568D"/>
    <w:rsid w:val="000856D4"/>
    <w:rsid w:val="000857DA"/>
    <w:rsid w:val="000857F8"/>
    <w:rsid w:val="000859B6"/>
    <w:rsid w:val="00085B95"/>
    <w:rsid w:val="00085BF7"/>
    <w:rsid w:val="00085EA4"/>
    <w:rsid w:val="00085EFE"/>
    <w:rsid w:val="00085F51"/>
    <w:rsid w:val="00085FB0"/>
    <w:rsid w:val="00086139"/>
    <w:rsid w:val="000861B3"/>
    <w:rsid w:val="000861D3"/>
    <w:rsid w:val="00086297"/>
    <w:rsid w:val="0008662B"/>
    <w:rsid w:val="000866E4"/>
    <w:rsid w:val="00086924"/>
    <w:rsid w:val="00086A66"/>
    <w:rsid w:val="00086AA4"/>
    <w:rsid w:val="00086BC8"/>
    <w:rsid w:val="00086BF2"/>
    <w:rsid w:val="00086D18"/>
    <w:rsid w:val="00086D81"/>
    <w:rsid w:val="00086DD0"/>
    <w:rsid w:val="00086F38"/>
    <w:rsid w:val="00087144"/>
    <w:rsid w:val="000871E5"/>
    <w:rsid w:val="00087325"/>
    <w:rsid w:val="000874CF"/>
    <w:rsid w:val="00087668"/>
    <w:rsid w:val="00087770"/>
    <w:rsid w:val="000879D8"/>
    <w:rsid w:val="00087A62"/>
    <w:rsid w:val="00087AA2"/>
    <w:rsid w:val="00087AAC"/>
    <w:rsid w:val="00087C98"/>
    <w:rsid w:val="00087D73"/>
    <w:rsid w:val="00087E80"/>
    <w:rsid w:val="00087FA8"/>
    <w:rsid w:val="00090018"/>
    <w:rsid w:val="0009010E"/>
    <w:rsid w:val="00090254"/>
    <w:rsid w:val="000902C5"/>
    <w:rsid w:val="0009048F"/>
    <w:rsid w:val="000904A5"/>
    <w:rsid w:val="00090507"/>
    <w:rsid w:val="00090627"/>
    <w:rsid w:val="00090680"/>
    <w:rsid w:val="000907B8"/>
    <w:rsid w:val="00090A1D"/>
    <w:rsid w:val="00090B66"/>
    <w:rsid w:val="00090BFD"/>
    <w:rsid w:val="00090C02"/>
    <w:rsid w:val="00090D34"/>
    <w:rsid w:val="00090D40"/>
    <w:rsid w:val="00090E00"/>
    <w:rsid w:val="0009114D"/>
    <w:rsid w:val="0009126F"/>
    <w:rsid w:val="00091588"/>
    <w:rsid w:val="00091896"/>
    <w:rsid w:val="00091AD4"/>
    <w:rsid w:val="00091BC8"/>
    <w:rsid w:val="00091BD6"/>
    <w:rsid w:val="00091C76"/>
    <w:rsid w:val="00091CDC"/>
    <w:rsid w:val="00091D78"/>
    <w:rsid w:val="00091FA1"/>
    <w:rsid w:val="000921D0"/>
    <w:rsid w:val="000922D7"/>
    <w:rsid w:val="000923EF"/>
    <w:rsid w:val="000923F4"/>
    <w:rsid w:val="00092576"/>
    <w:rsid w:val="00092586"/>
    <w:rsid w:val="0009270B"/>
    <w:rsid w:val="0009273A"/>
    <w:rsid w:val="0009288C"/>
    <w:rsid w:val="00092A4C"/>
    <w:rsid w:val="00092A6C"/>
    <w:rsid w:val="00092ABA"/>
    <w:rsid w:val="00092B3B"/>
    <w:rsid w:val="00092B7D"/>
    <w:rsid w:val="00092DA9"/>
    <w:rsid w:val="00092E3E"/>
    <w:rsid w:val="00092F13"/>
    <w:rsid w:val="00092FC5"/>
    <w:rsid w:val="0009301B"/>
    <w:rsid w:val="0009301F"/>
    <w:rsid w:val="00093055"/>
    <w:rsid w:val="00093066"/>
    <w:rsid w:val="000932DC"/>
    <w:rsid w:val="00093523"/>
    <w:rsid w:val="00093571"/>
    <w:rsid w:val="00093652"/>
    <w:rsid w:val="000937E9"/>
    <w:rsid w:val="00093839"/>
    <w:rsid w:val="000938D2"/>
    <w:rsid w:val="00093935"/>
    <w:rsid w:val="00093A04"/>
    <w:rsid w:val="00093AA4"/>
    <w:rsid w:val="00093B91"/>
    <w:rsid w:val="00093F92"/>
    <w:rsid w:val="00093FBA"/>
    <w:rsid w:val="00094027"/>
    <w:rsid w:val="00094042"/>
    <w:rsid w:val="00094197"/>
    <w:rsid w:val="000942FD"/>
    <w:rsid w:val="0009448F"/>
    <w:rsid w:val="00094622"/>
    <w:rsid w:val="00094791"/>
    <w:rsid w:val="000949BA"/>
    <w:rsid w:val="00094BF5"/>
    <w:rsid w:val="00094DAC"/>
    <w:rsid w:val="00094F42"/>
    <w:rsid w:val="00094FAA"/>
    <w:rsid w:val="00094FF8"/>
    <w:rsid w:val="00095020"/>
    <w:rsid w:val="00095039"/>
    <w:rsid w:val="0009512D"/>
    <w:rsid w:val="000951C4"/>
    <w:rsid w:val="000951E3"/>
    <w:rsid w:val="000952EC"/>
    <w:rsid w:val="000953AB"/>
    <w:rsid w:val="000953D6"/>
    <w:rsid w:val="000955B5"/>
    <w:rsid w:val="000955DF"/>
    <w:rsid w:val="00095661"/>
    <w:rsid w:val="000956F6"/>
    <w:rsid w:val="0009592E"/>
    <w:rsid w:val="000959C1"/>
    <w:rsid w:val="00095B16"/>
    <w:rsid w:val="00095C02"/>
    <w:rsid w:val="00095C68"/>
    <w:rsid w:val="00095D06"/>
    <w:rsid w:val="00095E8E"/>
    <w:rsid w:val="00095F0C"/>
    <w:rsid w:val="000961B7"/>
    <w:rsid w:val="00096248"/>
    <w:rsid w:val="000963CF"/>
    <w:rsid w:val="000963E3"/>
    <w:rsid w:val="0009651D"/>
    <w:rsid w:val="00096611"/>
    <w:rsid w:val="0009687A"/>
    <w:rsid w:val="00096890"/>
    <w:rsid w:val="00096946"/>
    <w:rsid w:val="000969D4"/>
    <w:rsid w:val="000969FB"/>
    <w:rsid w:val="00096AE0"/>
    <w:rsid w:val="00096D32"/>
    <w:rsid w:val="00096D38"/>
    <w:rsid w:val="00096D6D"/>
    <w:rsid w:val="00096D8B"/>
    <w:rsid w:val="00096F60"/>
    <w:rsid w:val="00097014"/>
    <w:rsid w:val="00097085"/>
    <w:rsid w:val="000970FD"/>
    <w:rsid w:val="00097129"/>
    <w:rsid w:val="00097130"/>
    <w:rsid w:val="000971CC"/>
    <w:rsid w:val="00097408"/>
    <w:rsid w:val="0009747A"/>
    <w:rsid w:val="0009753C"/>
    <w:rsid w:val="00097642"/>
    <w:rsid w:val="000977C3"/>
    <w:rsid w:val="00097939"/>
    <w:rsid w:val="00097B10"/>
    <w:rsid w:val="00097B24"/>
    <w:rsid w:val="00097B66"/>
    <w:rsid w:val="00097BB8"/>
    <w:rsid w:val="00097C16"/>
    <w:rsid w:val="00097CA3"/>
    <w:rsid w:val="00097CB1"/>
    <w:rsid w:val="00097DB7"/>
    <w:rsid w:val="00097F3D"/>
    <w:rsid w:val="00097F63"/>
    <w:rsid w:val="000A00B3"/>
    <w:rsid w:val="000A0288"/>
    <w:rsid w:val="000A02C8"/>
    <w:rsid w:val="000A03FB"/>
    <w:rsid w:val="000A0439"/>
    <w:rsid w:val="000A048D"/>
    <w:rsid w:val="000A0568"/>
    <w:rsid w:val="000A0675"/>
    <w:rsid w:val="000A0715"/>
    <w:rsid w:val="000A075C"/>
    <w:rsid w:val="000A0AAD"/>
    <w:rsid w:val="000A0B32"/>
    <w:rsid w:val="000A0B82"/>
    <w:rsid w:val="000A0D30"/>
    <w:rsid w:val="000A0EF2"/>
    <w:rsid w:val="000A10DF"/>
    <w:rsid w:val="000A1329"/>
    <w:rsid w:val="000A1415"/>
    <w:rsid w:val="000A14C0"/>
    <w:rsid w:val="000A18C0"/>
    <w:rsid w:val="000A1D3F"/>
    <w:rsid w:val="000A1EC2"/>
    <w:rsid w:val="000A1EF2"/>
    <w:rsid w:val="000A1FAF"/>
    <w:rsid w:val="000A214A"/>
    <w:rsid w:val="000A229F"/>
    <w:rsid w:val="000A22F2"/>
    <w:rsid w:val="000A23B1"/>
    <w:rsid w:val="000A23C2"/>
    <w:rsid w:val="000A25B9"/>
    <w:rsid w:val="000A25C3"/>
    <w:rsid w:val="000A25F6"/>
    <w:rsid w:val="000A2603"/>
    <w:rsid w:val="000A2696"/>
    <w:rsid w:val="000A26E7"/>
    <w:rsid w:val="000A2725"/>
    <w:rsid w:val="000A285B"/>
    <w:rsid w:val="000A290D"/>
    <w:rsid w:val="000A2996"/>
    <w:rsid w:val="000A2A34"/>
    <w:rsid w:val="000A2B8C"/>
    <w:rsid w:val="000A2CBE"/>
    <w:rsid w:val="000A2D48"/>
    <w:rsid w:val="000A2ECC"/>
    <w:rsid w:val="000A2F74"/>
    <w:rsid w:val="000A2F8D"/>
    <w:rsid w:val="000A2FF0"/>
    <w:rsid w:val="000A30A3"/>
    <w:rsid w:val="000A317A"/>
    <w:rsid w:val="000A328F"/>
    <w:rsid w:val="000A3484"/>
    <w:rsid w:val="000A35D8"/>
    <w:rsid w:val="000A3625"/>
    <w:rsid w:val="000A36B9"/>
    <w:rsid w:val="000A3710"/>
    <w:rsid w:val="000A37D2"/>
    <w:rsid w:val="000A39D5"/>
    <w:rsid w:val="000A3D9A"/>
    <w:rsid w:val="000A3DA9"/>
    <w:rsid w:val="000A3FF1"/>
    <w:rsid w:val="000A4053"/>
    <w:rsid w:val="000A4074"/>
    <w:rsid w:val="000A427C"/>
    <w:rsid w:val="000A43A2"/>
    <w:rsid w:val="000A445C"/>
    <w:rsid w:val="000A44AE"/>
    <w:rsid w:val="000A44EF"/>
    <w:rsid w:val="000A46AD"/>
    <w:rsid w:val="000A4792"/>
    <w:rsid w:val="000A47E7"/>
    <w:rsid w:val="000A498C"/>
    <w:rsid w:val="000A4A65"/>
    <w:rsid w:val="000A4B04"/>
    <w:rsid w:val="000A4B45"/>
    <w:rsid w:val="000A4C0A"/>
    <w:rsid w:val="000A4CF6"/>
    <w:rsid w:val="000A50DC"/>
    <w:rsid w:val="000A50F7"/>
    <w:rsid w:val="000A52C6"/>
    <w:rsid w:val="000A52EA"/>
    <w:rsid w:val="000A536A"/>
    <w:rsid w:val="000A54FB"/>
    <w:rsid w:val="000A55BE"/>
    <w:rsid w:val="000A55F5"/>
    <w:rsid w:val="000A5663"/>
    <w:rsid w:val="000A56B5"/>
    <w:rsid w:val="000A5851"/>
    <w:rsid w:val="000A5862"/>
    <w:rsid w:val="000A58A7"/>
    <w:rsid w:val="000A58E3"/>
    <w:rsid w:val="000A5B23"/>
    <w:rsid w:val="000A5B86"/>
    <w:rsid w:val="000A5BA4"/>
    <w:rsid w:val="000A5BEB"/>
    <w:rsid w:val="000A5DF1"/>
    <w:rsid w:val="000A5E53"/>
    <w:rsid w:val="000A5EFD"/>
    <w:rsid w:val="000A5F08"/>
    <w:rsid w:val="000A5F62"/>
    <w:rsid w:val="000A5F8D"/>
    <w:rsid w:val="000A5FAC"/>
    <w:rsid w:val="000A6123"/>
    <w:rsid w:val="000A6141"/>
    <w:rsid w:val="000A6154"/>
    <w:rsid w:val="000A61B6"/>
    <w:rsid w:val="000A6230"/>
    <w:rsid w:val="000A636B"/>
    <w:rsid w:val="000A6421"/>
    <w:rsid w:val="000A649B"/>
    <w:rsid w:val="000A6578"/>
    <w:rsid w:val="000A6605"/>
    <w:rsid w:val="000A6648"/>
    <w:rsid w:val="000A677A"/>
    <w:rsid w:val="000A67F8"/>
    <w:rsid w:val="000A698D"/>
    <w:rsid w:val="000A69B4"/>
    <w:rsid w:val="000A6BBC"/>
    <w:rsid w:val="000A6D1C"/>
    <w:rsid w:val="000A6D94"/>
    <w:rsid w:val="000A6DEC"/>
    <w:rsid w:val="000A6EF0"/>
    <w:rsid w:val="000A714E"/>
    <w:rsid w:val="000A71C7"/>
    <w:rsid w:val="000A73A7"/>
    <w:rsid w:val="000A73DC"/>
    <w:rsid w:val="000A74F6"/>
    <w:rsid w:val="000A7531"/>
    <w:rsid w:val="000A7545"/>
    <w:rsid w:val="000A7598"/>
    <w:rsid w:val="000A7650"/>
    <w:rsid w:val="000A765E"/>
    <w:rsid w:val="000A7692"/>
    <w:rsid w:val="000A76F3"/>
    <w:rsid w:val="000A774B"/>
    <w:rsid w:val="000A77FA"/>
    <w:rsid w:val="000A7866"/>
    <w:rsid w:val="000A78CA"/>
    <w:rsid w:val="000A7A1C"/>
    <w:rsid w:val="000A7A93"/>
    <w:rsid w:val="000A7C45"/>
    <w:rsid w:val="000A7C85"/>
    <w:rsid w:val="000A7CD4"/>
    <w:rsid w:val="000A7CF7"/>
    <w:rsid w:val="000A7FB9"/>
    <w:rsid w:val="000B00A2"/>
    <w:rsid w:val="000B0261"/>
    <w:rsid w:val="000B0265"/>
    <w:rsid w:val="000B0407"/>
    <w:rsid w:val="000B045B"/>
    <w:rsid w:val="000B052D"/>
    <w:rsid w:val="000B05A0"/>
    <w:rsid w:val="000B0654"/>
    <w:rsid w:val="000B0A11"/>
    <w:rsid w:val="000B0A32"/>
    <w:rsid w:val="000B0A48"/>
    <w:rsid w:val="000B0A88"/>
    <w:rsid w:val="000B0B5B"/>
    <w:rsid w:val="000B0C17"/>
    <w:rsid w:val="000B0DE3"/>
    <w:rsid w:val="000B0FE9"/>
    <w:rsid w:val="000B10B8"/>
    <w:rsid w:val="000B12C0"/>
    <w:rsid w:val="000B1575"/>
    <w:rsid w:val="000B1581"/>
    <w:rsid w:val="000B15ED"/>
    <w:rsid w:val="000B16FE"/>
    <w:rsid w:val="000B1905"/>
    <w:rsid w:val="000B1919"/>
    <w:rsid w:val="000B19D4"/>
    <w:rsid w:val="000B1AC3"/>
    <w:rsid w:val="000B1AF9"/>
    <w:rsid w:val="000B1B28"/>
    <w:rsid w:val="000B1BC9"/>
    <w:rsid w:val="000B1C1E"/>
    <w:rsid w:val="000B1D20"/>
    <w:rsid w:val="000B1D6E"/>
    <w:rsid w:val="000B1E32"/>
    <w:rsid w:val="000B200F"/>
    <w:rsid w:val="000B203D"/>
    <w:rsid w:val="000B208D"/>
    <w:rsid w:val="000B20B6"/>
    <w:rsid w:val="000B2164"/>
    <w:rsid w:val="000B2419"/>
    <w:rsid w:val="000B243F"/>
    <w:rsid w:val="000B24D5"/>
    <w:rsid w:val="000B25CE"/>
    <w:rsid w:val="000B26B5"/>
    <w:rsid w:val="000B26F1"/>
    <w:rsid w:val="000B273B"/>
    <w:rsid w:val="000B2773"/>
    <w:rsid w:val="000B27E9"/>
    <w:rsid w:val="000B2825"/>
    <w:rsid w:val="000B2A5C"/>
    <w:rsid w:val="000B2C73"/>
    <w:rsid w:val="000B2D15"/>
    <w:rsid w:val="000B2D7A"/>
    <w:rsid w:val="000B2DBC"/>
    <w:rsid w:val="000B2F77"/>
    <w:rsid w:val="000B308C"/>
    <w:rsid w:val="000B3273"/>
    <w:rsid w:val="000B3390"/>
    <w:rsid w:val="000B36E3"/>
    <w:rsid w:val="000B3880"/>
    <w:rsid w:val="000B396F"/>
    <w:rsid w:val="000B39D4"/>
    <w:rsid w:val="000B39F7"/>
    <w:rsid w:val="000B3B01"/>
    <w:rsid w:val="000B3B1E"/>
    <w:rsid w:val="000B3EA1"/>
    <w:rsid w:val="000B3EDF"/>
    <w:rsid w:val="000B3FD9"/>
    <w:rsid w:val="000B3FED"/>
    <w:rsid w:val="000B4090"/>
    <w:rsid w:val="000B41CF"/>
    <w:rsid w:val="000B424C"/>
    <w:rsid w:val="000B435D"/>
    <w:rsid w:val="000B43EE"/>
    <w:rsid w:val="000B48F8"/>
    <w:rsid w:val="000B4A1B"/>
    <w:rsid w:val="000B4BDE"/>
    <w:rsid w:val="000B4CB1"/>
    <w:rsid w:val="000B4D38"/>
    <w:rsid w:val="000B4D93"/>
    <w:rsid w:val="000B4DE7"/>
    <w:rsid w:val="000B4EDE"/>
    <w:rsid w:val="000B4EE6"/>
    <w:rsid w:val="000B4F81"/>
    <w:rsid w:val="000B514B"/>
    <w:rsid w:val="000B5169"/>
    <w:rsid w:val="000B5174"/>
    <w:rsid w:val="000B521F"/>
    <w:rsid w:val="000B5398"/>
    <w:rsid w:val="000B565B"/>
    <w:rsid w:val="000B56F4"/>
    <w:rsid w:val="000B573A"/>
    <w:rsid w:val="000B57D6"/>
    <w:rsid w:val="000B5A7F"/>
    <w:rsid w:val="000B5AC4"/>
    <w:rsid w:val="000B5B32"/>
    <w:rsid w:val="000B5D9C"/>
    <w:rsid w:val="000B5E3E"/>
    <w:rsid w:val="000B5E4F"/>
    <w:rsid w:val="000B5F9C"/>
    <w:rsid w:val="000B601E"/>
    <w:rsid w:val="000B6442"/>
    <w:rsid w:val="000B655E"/>
    <w:rsid w:val="000B6683"/>
    <w:rsid w:val="000B67CC"/>
    <w:rsid w:val="000B67DB"/>
    <w:rsid w:val="000B6975"/>
    <w:rsid w:val="000B6994"/>
    <w:rsid w:val="000B6C13"/>
    <w:rsid w:val="000B6D3D"/>
    <w:rsid w:val="000B6E48"/>
    <w:rsid w:val="000B6F9A"/>
    <w:rsid w:val="000B7028"/>
    <w:rsid w:val="000B709C"/>
    <w:rsid w:val="000B7161"/>
    <w:rsid w:val="000B7183"/>
    <w:rsid w:val="000B71AD"/>
    <w:rsid w:val="000B71B0"/>
    <w:rsid w:val="000B7380"/>
    <w:rsid w:val="000B74B6"/>
    <w:rsid w:val="000B7562"/>
    <w:rsid w:val="000B761C"/>
    <w:rsid w:val="000B76D0"/>
    <w:rsid w:val="000B7874"/>
    <w:rsid w:val="000B79CC"/>
    <w:rsid w:val="000B7A5B"/>
    <w:rsid w:val="000B7B75"/>
    <w:rsid w:val="000B7BA0"/>
    <w:rsid w:val="000B7BEF"/>
    <w:rsid w:val="000B7CC3"/>
    <w:rsid w:val="000B7CCA"/>
    <w:rsid w:val="000B7CF5"/>
    <w:rsid w:val="000B7E21"/>
    <w:rsid w:val="000C0049"/>
    <w:rsid w:val="000C0318"/>
    <w:rsid w:val="000C0330"/>
    <w:rsid w:val="000C04D0"/>
    <w:rsid w:val="000C0515"/>
    <w:rsid w:val="000C0740"/>
    <w:rsid w:val="000C07A6"/>
    <w:rsid w:val="000C0942"/>
    <w:rsid w:val="000C09CB"/>
    <w:rsid w:val="000C0ADD"/>
    <w:rsid w:val="000C0C53"/>
    <w:rsid w:val="000C0CC6"/>
    <w:rsid w:val="000C0D36"/>
    <w:rsid w:val="000C0DD1"/>
    <w:rsid w:val="000C0EE4"/>
    <w:rsid w:val="000C1036"/>
    <w:rsid w:val="000C108F"/>
    <w:rsid w:val="000C111C"/>
    <w:rsid w:val="000C112E"/>
    <w:rsid w:val="000C130F"/>
    <w:rsid w:val="000C15A0"/>
    <w:rsid w:val="000C16E2"/>
    <w:rsid w:val="000C1714"/>
    <w:rsid w:val="000C1778"/>
    <w:rsid w:val="000C187B"/>
    <w:rsid w:val="000C1911"/>
    <w:rsid w:val="000C1ADC"/>
    <w:rsid w:val="000C1B02"/>
    <w:rsid w:val="000C1C3A"/>
    <w:rsid w:val="000C1CD7"/>
    <w:rsid w:val="000C1D3E"/>
    <w:rsid w:val="000C1E0E"/>
    <w:rsid w:val="000C200D"/>
    <w:rsid w:val="000C2024"/>
    <w:rsid w:val="000C2202"/>
    <w:rsid w:val="000C2594"/>
    <w:rsid w:val="000C25D5"/>
    <w:rsid w:val="000C2655"/>
    <w:rsid w:val="000C2A3E"/>
    <w:rsid w:val="000C2CDD"/>
    <w:rsid w:val="000C2D4B"/>
    <w:rsid w:val="000C2DBD"/>
    <w:rsid w:val="000C2DDD"/>
    <w:rsid w:val="000C2E40"/>
    <w:rsid w:val="000C2E7B"/>
    <w:rsid w:val="000C2FEC"/>
    <w:rsid w:val="000C3044"/>
    <w:rsid w:val="000C30E6"/>
    <w:rsid w:val="000C312A"/>
    <w:rsid w:val="000C31B3"/>
    <w:rsid w:val="000C3311"/>
    <w:rsid w:val="000C34E7"/>
    <w:rsid w:val="000C37FE"/>
    <w:rsid w:val="000C3841"/>
    <w:rsid w:val="000C3908"/>
    <w:rsid w:val="000C3A7D"/>
    <w:rsid w:val="000C3A81"/>
    <w:rsid w:val="000C3A8C"/>
    <w:rsid w:val="000C3CE2"/>
    <w:rsid w:val="000C3D08"/>
    <w:rsid w:val="000C3E1E"/>
    <w:rsid w:val="000C3EE4"/>
    <w:rsid w:val="000C3F48"/>
    <w:rsid w:val="000C406E"/>
    <w:rsid w:val="000C410B"/>
    <w:rsid w:val="000C41E4"/>
    <w:rsid w:val="000C42A2"/>
    <w:rsid w:val="000C42E9"/>
    <w:rsid w:val="000C4410"/>
    <w:rsid w:val="000C4451"/>
    <w:rsid w:val="000C45E4"/>
    <w:rsid w:val="000C46C3"/>
    <w:rsid w:val="000C47A6"/>
    <w:rsid w:val="000C4834"/>
    <w:rsid w:val="000C4B91"/>
    <w:rsid w:val="000C4C82"/>
    <w:rsid w:val="000C4CD2"/>
    <w:rsid w:val="000C4D21"/>
    <w:rsid w:val="000C4DB4"/>
    <w:rsid w:val="000C4DDF"/>
    <w:rsid w:val="000C50A8"/>
    <w:rsid w:val="000C50E7"/>
    <w:rsid w:val="000C523A"/>
    <w:rsid w:val="000C5403"/>
    <w:rsid w:val="000C54D4"/>
    <w:rsid w:val="000C558A"/>
    <w:rsid w:val="000C575D"/>
    <w:rsid w:val="000C5777"/>
    <w:rsid w:val="000C5C2C"/>
    <w:rsid w:val="000C5C5F"/>
    <w:rsid w:val="000C5FF8"/>
    <w:rsid w:val="000C6148"/>
    <w:rsid w:val="000C61CE"/>
    <w:rsid w:val="000C620C"/>
    <w:rsid w:val="000C627C"/>
    <w:rsid w:val="000C62AA"/>
    <w:rsid w:val="000C63CD"/>
    <w:rsid w:val="000C63F7"/>
    <w:rsid w:val="000C6706"/>
    <w:rsid w:val="000C68EC"/>
    <w:rsid w:val="000C6A55"/>
    <w:rsid w:val="000C6A7E"/>
    <w:rsid w:val="000C6B84"/>
    <w:rsid w:val="000C6BA4"/>
    <w:rsid w:val="000C6C03"/>
    <w:rsid w:val="000C6D74"/>
    <w:rsid w:val="000C6DAF"/>
    <w:rsid w:val="000C6E4A"/>
    <w:rsid w:val="000C6EE4"/>
    <w:rsid w:val="000C6F24"/>
    <w:rsid w:val="000C6F39"/>
    <w:rsid w:val="000C71EF"/>
    <w:rsid w:val="000C71F3"/>
    <w:rsid w:val="000C726F"/>
    <w:rsid w:val="000C72C1"/>
    <w:rsid w:val="000C7383"/>
    <w:rsid w:val="000C73DD"/>
    <w:rsid w:val="000C7424"/>
    <w:rsid w:val="000C75E9"/>
    <w:rsid w:val="000C763C"/>
    <w:rsid w:val="000C77CE"/>
    <w:rsid w:val="000C781C"/>
    <w:rsid w:val="000C7964"/>
    <w:rsid w:val="000C7991"/>
    <w:rsid w:val="000C7BC9"/>
    <w:rsid w:val="000C7C1C"/>
    <w:rsid w:val="000C7C37"/>
    <w:rsid w:val="000C7E37"/>
    <w:rsid w:val="000C7E65"/>
    <w:rsid w:val="000D0574"/>
    <w:rsid w:val="000D05FA"/>
    <w:rsid w:val="000D0613"/>
    <w:rsid w:val="000D06CD"/>
    <w:rsid w:val="000D085A"/>
    <w:rsid w:val="000D089E"/>
    <w:rsid w:val="000D09DC"/>
    <w:rsid w:val="000D0B35"/>
    <w:rsid w:val="000D0B8A"/>
    <w:rsid w:val="000D0C93"/>
    <w:rsid w:val="000D0E64"/>
    <w:rsid w:val="000D104E"/>
    <w:rsid w:val="000D10F3"/>
    <w:rsid w:val="000D12B2"/>
    <w:rsid w:val="000D13D3"/>
    <w:rsid w:val="000D14B1"/>
    <w:rsid w:val="000D152B"/>
    <w:rsid w:val="000D15DE"/>
    <w:rsid w:val="000D16B6"/>
    <w:rsid w:val="000D1766"/>
    <w:rsid w:val="000D1799"/>
    <w:rsid w:val="000D17C0"/>
    <w:rsid w:val="000D181F"/>
    <w:rsid w:val="000D184A"/>
    <w:rsid w:val="000D188F"/>
    <w:rsid w:val="000D190C"/>
    <w:rsid w:val="000D1A0A"/>
    <w:rsid w:val="000D1AFC"/>
    <w:rsid w:val="000D1B06"/>
    <w:rsid w:val="000D1C26"/>
    <w:rsid w:val="000D1CE0"/>
    <w:rsid w:val="000D1D9D"/>
    <w:rsid w:val="000D1F41"/>
    <w:rsid w:val="000D1F86"/>
    <w:rsid w:val="000D1FAA"/>
    <w:rsid w:val="000D1FBA"/>
    <w:rsid w:val="000D206C"/>
    <w:rsid w:val="000D20E0"/>
    <w:rsid w:val="000D21BD"/>
    <w:rsid w:val="000D22EB"/>
    <w:rsid w:val="000D241C"/>
    <w:rsid w:val="000D248D"/>
    <w:rsid w:val="000D24D2"/>
    <w:rsid w:val="000D255E"/>
    <w:rsid w:val="000D2823"/>
    <w:rsid w:val="000D2A8B"/>
    <w:rsid w:val="000D2B94"/>
    <w:rsid w:val="000D2D71"/>
    <w:rsid w:val="000D2F44"/>
    <w:rsid w:val="000D2F8E"/>
    <w:rsid w:val="000D3084"/>
    <w:rsid w:val="000D3094"/>
    <w:rsid w:val="000D3267"/>
    <w:rsid w:val="000D3292"/>
    <w:rsid w:val="000D3384"/>
    <w:rsid w:val="000D33B8"/>
    <w:rsid w:val="000D33CA"/>
    <w:rsid w:val="000D3448"/>
    <w:rsid w:val="000D36B6"/>
    <w:rsid w:val="000D3955"/>
    <w:rsid w:val="000D3BC0"/>
    <w:rsid w:val="000D3C5F"/>
    <w:rsid w:val="000D3CB5"/>
    <w:rsid w:val="000D3D2F"/>
    <w:rsid w:val="000D3D6C"/>
    <w:rsid w:val="000D3D7B"/>
    <w:rsid w:val="000D3D96"/>
    <w:rsid w:val="000D3DB5"/>
    <w:rsid w:val="000D3EB4"/>
    <w:rsid w:val="000D3EBC"/>
    <w:rsid w:val="000D3F16"/>
    <w:rsid w:val="000D402F"/>
    <w:rsid w:val="000D406C"/>
    <w:rsid w:val="000D411A"/>
    <w:rsid w:val="000D4136"/>
    <w:rsid w:val="000D423C"/>
    <w:rsid w:val="000D43F5"/>
    <w:rsid w:val="000D4413"/>
    <w:rsid w:val="000D4498"/>
    <w:rsid w:val="000D460C"/>
    <w:rsid w:val="000D46A6"/>
    <w:rsid w:val="000D4760"/>
    <w:rsid w:val="000D480F"/>
    <w:rsid w:val="000D491C"/>
    <w:rsid w:val="000D49C9"/>
    <w:rsid w:val="000D4DBD"/>
    <w:rsid w:val="000D4E0A"/>
    <w:rsid w:val="000D4EC8"/>
    <w:rsid w:val="000D4FAD"/>
    <w:rsid w:val="000D5501"/>
    <w:rsid w:val="000D555D"/>
    <w:rsid w:val="000D55CE"/>
    <w:rsid w:val="000D5609"/>
    <w:rsid w:val="000D56F3"/>
    <w:rsid w:val="000D57C2"/>
    <w:rsid w:val="000D58B6"/>
    <w:rsid w:val="000D59E1"/>
    <w:rsid w:val="000D5A3A"/>
    <w:rsid w:val="000D5E02"/>
    <w:rsid w:val="000D5E43"/>
    <w:rsid w:val="000D5F49"/>
    <w:rsid w:val="000D5F4D"/>
    <w:rsid w:val="000D60B1"/>
    <w:rsid w:val="000D64BA"/>
    <w:rsid w:val="000D64C2"/>
    <w:rsid w:val="000D650E"/>
    <w:rsid w:val="000D6557"/>
    <w:rsid w:val="000D65A2"/>
    <w:rsid w:val="000D6805"/>
    <w:rsid w:val="000D68AC"/>
    <w:rsid w:val="000D694E"/>
    <w:rsid w:val="000D69ED"/>
    <w:rsid w:val="000D6A72"/>
    <w:rsid w:val="000D6A7E"/>
    <w:rsid w:val="000D6B06"/>
    <w:rsid w:val="000D6B7F"/>
    <w:rsid w:val="000D6BD0"/>
    <w:rsid w:val="000D6C2B"/>
    <w:rsid w:val="000D6C4A"/>
    <w:rsid w:val="000D6DC7"/>
    <w:rsid w:val="000D6E48"/>
    <w:rsid w:val="000D6E55"/>
    <w:rsid w:val="000D6EEE"/>
    <w:rsid w:val="000D7025"/>
    <w:rsid w:val="000D70FC"/>
    <w:rsid w:val="000D71A9"/>
    <w:rsid w:val="000D74AC"/>
    <w:rsid w:val="000D7954"/>
    <w:rsid w:val="000D7B23"/>
    <w:rsid w:val="000D7B63"/>
    <w:rsid w:val="000D7D0C"/>
    <w:rsid w:val="000D7D31"/>
    <w:rsid w:val="000D7D9E"/>
    <w:rsid w:val="000E0156"/>
    <w:rsid w:val="000E0170"/>
    <w:rsid w:val="000E01FE"/>
    <w:rsid w:val="000E03C5"/>
    <w:rsid w:val="000E05A9"/>
    <w:rsid w:val="000E0698"/>
    <w:rsid w:val="000E0740"/>
    <w:rsid w:val="000E07EC"/>
    <w:rsid w:val="000E08BA"/>
    <w:rsid w:val="000E08F8"/>
    <w:rsid w:val="000E0A22"/>
    <w:rsid w:val="000E0A2F"/>
    <w:rsid w:val="000E0AB0"/>
    <w:rsid w:val="000E0B49"/>
    <w:rsid w:val="000E0C3F"/>
    <w:rsid w:val="000E0DE7"/>
    <w:rsid w:val="000E0FE6"/>
    <w:rsid w:val="000E1143"/>
    <w:rsid w:val="000E1198"/>
    <w:rsid w:val="000E11A2"/>
    <w:rsid w:val="000E1400"/>
    <w:rsid w:val="000E14BB"/>
    <w:rsid w:val="000E17D6"/>
    <w:rsid w:val="000E191F"/>
    <w:rsid w:val="000E1A8E"/>
    <w:rsid w:val="000E1B0D"/>
    <w:rsid w:val="000E1D45"/>
    <w:rsid w:val="000E1D4D"/>
    <w:rsid w:val="000E1D79"/>
    <w:rsid w:val="000E1E25"/>
    <w:rsid w:val="000E1E3F"/>
    <w:rsid w:val="000E1F44"/>
    <w:rsid w:val="000E1F79"/>
    <w:rsid w:val="000E20AC"/>
    <w:rsid w:val="000E20E2"/>
    <w:rsid w:val="000E21BA"/>
    <w:rsid w:val="000E244D"/>
    <w:rsid w:val="000E2485"/>
    <w:rsid w:val="000E266F"/>
    <w:rsid w:val="000E2676"/>
    <w:rsid w:val="000E26B7"/>
    <w:rsid w:val="000E2748"/>
    <w:rsid w:val="000E27AD"/>
    <w:rsid w:val="000E2943"/>
    <w:rsid w:val="000E2973"/>
    <w:rsid w:val="000E29B7"/>
    <w:rsid w:val="000E2BB6"/>
    <w:rsid w:val="000E2CE1"/>
    <w:rsid w:val="000E2E53"/>
    <w:rsid w:val="000E2F5D"/>
    <w:rsid w:val="000E2F7A"/>
    <w:rsid w:val="000E3092"/>
    <w:rsid w:val="000E3377"/>
    <w:rsid w:val="000E33FD"/>
    <w:rsid w:val="000E37DC"/>
    <w:rsid w:val="000E3812"/>
    <w:rsid w:val="000E399A"/>
    <w:rsid w:val="000E39C2"/>
    <w:rsid w:val="000E3ACE"/>
    <w:rsid w:val="000E3C78"/>
    <w:rsid w:val="000E3E06"/>
    <w:rsid w:val="000E3E7C"/>
    <w:rsid w:val="000E408C"/>
    <w:rsid w:val="000E40D5"/>
    <w:rsid w:val="000E40DE"/>
    <w:rsid w:val="000E429A"/>
    <w:rsid w:val="000E4367"/>
    <w:rsid w:val="000E441D"/>
    <w:rsid w:val="000E445A"/>
    <w:rsid w:val="000E44F7"/>
    <w:rsid w:val="000E4603"/>
    <w:rsid w:val="000E4714"/>
    <w:rsid w:val="000E47BA"/>
    <w:rsid w:val="000E4847"/>
    <w:rsid w:val="000E4921"/>
    <w:rsid w:val="000E492E"/>
    <w:rsid w:val="000E49A5"/>
    <w:rsid w:val="000E49C0"/>
    <w:rsid w:val="000E49EF"/>
    <w:rsid w:val="000E4C69"/>
    <w:rsid w:val="000E4DA5"/>
    <w:rsid w:val="000E5046"/>
    <w:rsid w:val="000E5121"/>
    <w:rsid w:val="000E51D0"/>
    <w:rsid w:val="000E539B"/>
    <w:rsid w:val="000E541C"/>
    <w:rsid w:val="000E575B"/>
    <w:rsid w:val="000E57A1"/>
    <w:rsid w:val="000E59F7"/>
    <w:rsid w:val="000E5A51"/>
    <w:rsid w:val="000E5BB1"/>
    <w:rsid w:val="000E5BCF"/>
    <w:rsid w:val="000E5C2F"/>
    <w:rsid w:val="000E5D67"/>
    <w:rsid w:val="000E5D86"/>
    <w:rsid w:val="000E5F82"/>
    <w:rsid w:val="000E605B"/>
    <w:rsid w:val="000E6095"/>
    <w:rsid w:val="000E622E"/>
    <w:rsid w:val="000E624C"/>
    <w:rsid w:val="000E63E7"/>
    <w:rsid w:val="000E6409"/>
    <w:rsid w:val="000E6664"/>
    <w:rsid w:val="000E6814"/>
    <w:rsid w:val="000E6A4F"/>
    <w:rsid w:val="000E6B2C"/>
    <w:rsid w:val="000E707F"/>
    <w:rsid w:val="000E70AE"/>
    <w:rsid w:val="000E7117"/>
    <w:rsid w:val="000E7150"/>
    <w:rsid w:val="000E71DB"/>
    <w:rsid w:val="000E7235"/>
    <w:rsid w:val="000E7369"/>
    <w:rsid w:val="000E755D"/>
    <w:rsid w:val="000E793B"/>
    <w:rsid w:val="000E7B91"/>
    <w:rsid w:val="000E7D76"/>
    <w:rsid w:val="000E7D7A"/>
    <w:rsid w:val="000E7EA0"/>
    <w:rsid w:val="000E7F81"/>
    <w:rsid w:val="000E7F8C"/>
    <w:rsid w:val="000E89AE"/>
    <w:rsid w:val="000F00EB"/>
    <w:rsid w:val="000F0190"/>
    <w:rsid w:val="000F01FD"/>
    <w:rsid w:val="000F020D"/>
    <w:rsid w:val="000F027F"/>
    <w:rsid w:val="000F042F"/>
    <w:rsid w:val="000F055D"/>
    <w:rsid w:val="000F0707"/>
    <w:rsid w:val="000F08AF"/>
    <w:rsid w:val="000F08ED"/>
    <w:rsid w:val="000F09C8"/>
    <w:rsid w:val="000F09C9"/>
    <w:rsid w:val="000F09DB"/>
    <w:rsid w:val="000F0A92"/>
    <w:rsid w:val="000F0AD2"/>
    <w:rsid w:val="000F0DAF"/>
    <w:rsid w:val="000F1164"/>
    <w:rsid w:val="000F1285"/>
    <w:rsid w:val="000F12A0"/>
    <w:rsid w:val="000F130B"/>
    <w:rsid w:val="000F133A"/>
    <w:rsid w:val="000F141B"/>
    <w:rsid w:val="000F14FF"/>
    <w:rsid w:val="000F1542"/>
    <w:rsid w:val="000F15DA"/>
    <w:rsid w:val="000F1684"/>
    <w:rsid w:val="000F1721"/>
    <w:rsid w:val="000F1754"/>
    <w:rsid w:val="000F1755"/>
    <w:rsid w:val="000F1770"/>
    <w:rsid w:val="000F17D6"/>
    <w:rsid w:val="000F1959"/>
    <w:rsid w:val="000F1AEB"/>
    <w:rsid w:val="000F1B4D"/>
    <w:rsid w:val="000F1B96"/>
    <w:rsid w:val="000F1CCC"/>
    <w:rsid w:val="000F1D5C"/>
    <w:rsid w:val="000F1DF1"/>
    <w:rsid w:val="000F1EAA"/>
    <w:rsid w:val="000F2041"/>
    <w:rsid w:val="000F20BB"/>
    <w:rsid w:val="000F2161"/>
    <w:rsid w:val="000F217A"/>
    <w:rsid w:val="000F2453"/>
    <w:rsid w:val="000F2552"/>
    <w:rsid w:val="000F25C3"/>
    <w:rsid w:val="000F294B"/>
    <w:rsid w:val="000F2993"/>
    <w:rsid w:val="000F2A2A"/>
    <w:rsid w:val="000F2B5B"/>
    <w:rsid w:val="000F2C4B"/>
    <w:rsid w:val="000F2CD5"/>
    <w:rsid w:val="000F2D97"/>
    <w:rsid w:val="000F2EC3"/>
    <w:rsid w:val="000F3086"/>
    <w:rsid w:val="000F31F7"/>
    <w:rsid w:val="000F3211"/>
    <w:rsid w:val="000F339E"/>
    <w:rsid w:val="000F3618"/>
    <w:rsid w:val="000F37DB"/>
    <w:rsid w:val="000F3928"/>
    <w:rsid w:val="000F3950"/>
    <w:rsid w:val="000F3A36"/>
    <w:rsid w:val="000F3A7B"/>
    <w:rsid w:val="000F3AD4"/>
    <w:rsid w:val="000F3BB2"/>
    <w:rsid w:val="000F3C73"/>
    <w:rsid w:val="000F3CB1"/>
    <w:rsid w:val="000F3D9A"/>
    <w:rsid w:val="000F40EA"/>
    <w:rsid w:val="000F4112"/>
    <w:rsid w:val="000F414E"/>
    <w:rsid w:val="000F4214"/>
    <w:rsid w:val="000F42A3"/>
    <w:rsid w:val="000F4780"/>
    <w:rsid w:val="000F4799"/>
    <w:rsid w:val="000F4874"/>
    <w:rsid w:val="000F48FE"/>
    <w:rsid w:val="000F4914"/>
    <w:rsid w:val="000F4948"/>
    <w:rsid w:val="000F49C4"/>
    <w:rsid w:val="000F4B6A"/>
    <w:rsid w:val="000F4D93"/>
    <w:rsid w:val="000F4DE3"/>
    <w:rsid w:val="000F4EDF"/>
    <w:rsid w:val="000F4FC6"/>
    <w:rsid w:val="000F50C9"/>
    <w:rsid w:val="000F5126"/>
    <w:rsid w:val="000F5138"/>
    <w:rsid w:val="000F520A"/>
    <w:rsid w:val="000F52AF"/>
    <w:rsid w:val="000F53A7"/>
    <w:rsid w:val="000F556B"/>
    <w:rsid w:val="000F564A"/>
    <w:rsid w:val="000F59DD"/>
    <w:rsid w:val="000F5A49"/>
    <w:rsid w:val="000F5ABB"/>
    <w:rsid w:val="000F5B0A"/>
    <w:rsid w:val="000F5C19"/>
    <w:rsid w:val="000F5C30"/>
    <w:rsid w:val="000F5C8D"/>
    <w:rsid w:val="000F5D2E"/>
    <w:rsid w:val="000F5DB9"/>
    <w:rsid w:val="000F5DD4"/>
    <w:rsid w:val="000F6065"/>
    <w:rsid w:val="000F6147"/>
    <w:rsid w:val="000F63EA"/>
    <w:rsid w:val="000F63F0"/>
    <w:rsid w:val="000F64DC"/>
    <w:rsid w:val="000F66E9"/>
    <w:rsid w:val="000F6764"/>
    <w:rsid w:val="000F6796"/>
    <w:rsid w:val="000F6800"/>
    <w:rsid w:val="000F6858"/>
    <w:rsid w:val="000F687B"/>
    <w:rsid w:val="000F68D2"/>
    <w:rsid w:val="000F69EC"/>
    <w:rsid w:val="000F6A1F"/>
    <w:rsid w:val="000F6BA1"/>
    <w:rsid w:val="000F6D6C"/>
    <w:rsid w:val="000F6ECF"/>
    <w:rsid w:val="000F702C"/>
    <w:rsid w:val="000F709B"/>
    <w:rsid w:val="000F70AC"/>
    <w:rsid w:val="000F7231"/>
    <w:rsid w:val="000F768A"/>
    <w:rsid w:val="000F76A4"/>
    <w:rsid w:val="000F7739"/>
    <w:rsid w:val="000F7823"/>
    <w:rsid w:val="000F7868"/>
    <w:rsid w:val="000F7882"/>
    <w:rsid w:val="000F78CB"/>
    <w:rsid w:val="000F78DC"/>
    <w:rsid w:val="000F7934"/>
    <w:rsid w:val="000F7AD7"/>
    <w:rsid w:val="000F7ADF"/>
    <w:rsid w:val="000F7AE7"/>
    <w:rsid w:val="000F7B3E"/>
    <w:rsid w:val="000F7B63"/>
    <w:rsid w:val="000F7CCF"/>
    <w:rsid w:val="000F7DB3"/>
    <w:rsid w:val="000F7DCB"/>
    <w:rsid w:val="000F7DCF"/>
    <w:rsid w:val="000F7DDE"/>
    <w:rsid w:val="000F7DF6"/>
    <w:rsid w:val="000F7E5B"/>
    <w:rsid w:val="000F7EAF"/>
    <w:rsid w:val="000F7EB0"/>
    <w:rsid w:val="000F7F17"/>
    <w:rsid w:val="000F7F71"/>
    <w:rsid w:val="000F7FB9"/>
    <w:rsid w:val="00100000"/>
    <w:rsid w:val="0010004F"/>
    <w:rsid w:val="00100057"/>
    <w:rsid w:val="0010041C"/>
    <w:rsid w:val="0010076D"/>
    <w:rsid w:val="001007D6"/>
    <w:rsid w:val="001007E3"/>
    <w:rsid w:val="001007E9"/>
    <w:rsid w:val="001007FB"/>
    <w:rsid w:val="00100944"/>
    <w:rsid w:val="0010094D"/>
    <w:rsid w:val="001009A9"/>
    <w:rsid w:val="00100A63"/>
    <w:rsid w:val="00100B93"/>
    <w:rsid w:val="00100CED"/>
    <w:rsid w:val="00100DD6"/>
    <w:rsid w:val="00100DF7"/>
    <w:rsid w:val="00100E55"/>
    <w:rsid w:val="00100E57"/>
    <w:rsid w:val="00101149"/>
    <w:rsid w:val="0010135D"/>
    <w:rsid w:val="001013FA"/>
    <w:rsid w:val="0010145B"/>
    <w:rsid w:val="0010149E"/>
    <w:rsid w:val="001016A4"/>
    <w:rsid w:val="001016CA"/>
    <w:rsid w:val="001018CC"/>
    <w:rsid w:val="00101944"/>
    <w:rsid w:val="00101992"/>
    <w:rsid w:val="00101B2B"/>
    <w:rsid w:val="00101BDF"/>
    <w:rsid w:val="00101C4E"/>
    <w:rsid w:val="00101E06"/>
    <w:rsid w:val="00101F5B"/>
    <w:rsid w:val="00101F90"/>
    <w:rsid w:val="001020C8"/>
    <w:rsid w:val="001021CF"/>
    <w:rsid w:val="0010220D"/>
    <w:rsid w:val="00102219"/>
    <w:rsid w:val="0010235E"/>
    <w:rsid w:val="0010241A"/>
    <w:rsid w:val="0010241C"/>
    <w:rsid w:val="001024B9"/>
    <w:rsid w:val="001024BA"/>
    <w:rsid w:val="001024E9"/>
    <w:rsid w:val="00102533"/>
    <w:rsid w:val="00102585"/>
    <w:rsid w:val="001026FB"/>
    <w:rsid w:val="001027B1"/>
    <w:rsid w:val="00102949"/>
    <w:rsid w:val="0010299A"/>
    <w:rsid w:val="001029EB"/>
    <w:rsid w:val="00102A26"/>
    <w:rsid w:val="00102B98"/>
    <w:rsid w:val="00102D73"/>
    <w:rsid w:val="00102F8B"/>
    <w:rsid w:val="001030A6"/>
    <w:rsid w:val="00103178"/>
    <w:rsid w:val="001031C2"/>
    <w:rsid w:val="001031FA"/>
    <w:rsid w:val="001032EB"/>
    <w:rsid w:val="0010355A"/>
    <w:rsid w:val="00103783"/>
    <w:rsid w:val="00103891"/>
    <w:rsid w:val="00103B0A"/>
    <w:rsid w:val="00103D76"/>
    <w:rsid w:val="00103DC6"/>
    <w:rsid w:val="00103E74"/>
    <w:rsid w:val="00103EE6"/>
    <w:rsid w:val="00103F49"/>
    <w:rsid w:val="001040B3"/>
    <w:rsid w:val="0010410D"/>
    <w:rsid w:val="00104115"/>
    <w:rsid w:val="00104179"/>
    <w:rsid w:val="0010418D"/>
    <w:rsid w:val="001045CB"/>
    <w:rsid w:val="00104672"/>
    <w:rsid w:val="0010484C"/>
    <w:rsid w:val="00104968"/>
    <w:rsid w:val="00104A9D"/>
    <w:rsid w:val="00104BFE"/>
    <w:rsid w:val="00104DC2"/>
    <w:rsid w:val="00104E49"/>
    <w:rsid w:val="00104ED0"/>
    <w:rsid w:val="00104EF1"/>
    <w:rsid w:val="00104F90"/>
    <w:rsid w:val="00104FD7"/>
    <w:rsid w:val="00105013"/>
    <w:rsid w:val="0010501A"/>
    <w:rsid w:val="00105131"/>
    <w:rsid w:val="0010541C"/>
    <w:rsid w:val="0010543F"/>
    <w:rsid w:val="0010578A"/>
    <w:rsid w:val="00105BDA"/>
    <w:rsid w:val="00105CF2"/>
    <w:rsid w:val="00105D79"/>
    <w:rsid w:val="00105D7E"/>
    <w:rsid w:val="00105F91"/>
    <w:rsid w:val="00106006"/>
    <w:rsid w:val="00106027"/>
    <w:rsid w:val="00106074"/>
    <w:rsid w:val="001061C1"/>
    <w:rsid w:val="0010625E"/>
    <w:rsid w:val="001062DC"/>
    <w:rsid w:val="001063A9"/>
    <w:rsid w:val="001063CB"/>
    <w:rsid w:val="0010679E"/>
    <w:rsid w:val="001067DE"/>
    <w:rsid w:val="00106839"/>
    <w:rsid w:val="00106976"/>
    <w:rsid w:val="00106A99"/>
    <w:rsid w:val="00106B1C"/>
    <w:rsid w:val="00106BEB"/>
    <w:rsid w:val="00106CE5"/>
    <w:rsid w:val="00106E1D"/>
    <w:rsid w:val="00106EC6"/>
    <w:rsid w:val="00106FDF"/>
    <w:rsid w:val="00107073"/>
    <w:rsid w:val="00107163"/>
    <w:rsid w:val="001071F3"/>
    <w:rsid w:val="0010728A"/>
    <w:rsid w:val="00107299"/>
    <w:rsid w:val="001073BD"/>
    <w:rsid w:val="00107688"/>
    <w:rsid w:val="001077AC"/>
    <w:rsid w:val="001077B7"/>
    <w:rsid w:val="00107838"/>
    <w:rsid w:val="0010785A"/>
    <w:rsid w:val="001078E7"/>
    <w:rsid w:val="0010791F"/>
    <w:rsid w:val="00107969"/>
    <w:rsid w:val="00107AB4"/>
    <w:rsid w:val="00107BE3"/>
    <w:rsid w:val="00107FF7"/>
    <w:rsid w:val="0010F97A"/>
    <w:rsid w:val="001101DF"/>
    <w:rsid w:val="00110320"/>
    <w:rsid w:val="0011035F"/>
    <w:rsid w:val="00110414"/>
    <w:rsid w:val="001104EB"/>
    <w:rsid w:val="0011068B"/>
    <w:rsid w:val="001106D0"/>
    <w:rsid w:val="001106FC"/>
    <w:rsid w:val="0011081C"/>
    <w:rsid w:val="0011082A"/>
    <w:rsid w:val="001109F3"/>
    <w:rsid w:val="00110A0D"/>
    <w:rsid w:val="00110BFE"/>
    <w:rsid w:val="00110D24"/>
    <w:rsid w:val="00110D43"/>
    <w:rsid w:val="00110DBD"/>
    <w:rsid w:val="00110DE4"/>
    <w:rsid w:val="00110E4C"/>
    <w:rsid w:val="00110E85"/>
    <w:rsid w:val="00110FD7"/>
    <w:rsid w:val="00110FE2"/>
    <w:rsid w:val="00111076"/>
    <w:rsid w:val="00111117"/>
    <w:rsid w:val="00111237"/>
    <w:rsid w:val="00111284"/>
    <w:rsid w:val="00111412"/>
    <w:rsid w:val="0011144D"/>
    <w:rsid w:val="001114EA"/>
    <w:rsid w:val="00111506"/>
    <w:rsid w:val="0011157A"/>
    <w:rsid w:val="00111599"/>
    <w:rsid w:val="001116AF"/>
    <w:rsid w:val="001116E2"/>
    <w:rsid w:val="0011175E"/>
    <w:rsid w:val="00111907"/>
    <w:rsid w:val="00111A44"/>
    <w:rsid w:val="00111A62"/>
    <w:rsid w:val="00111A7F"/>
    <w:rsid w:val="00111C8F"/>
    <w:rsid w:val="00111E17"/>
    <w:rsid w:val="00111F2D"/>
    <w:rsid w:val="00111FA8"/>
    <w:rsid w:val="00111FE6"/>
    <w:rsid w:val="001120C1"/>
    <w:rsid w:val="001120E5"/>
    <w:rsid w:val="001122A3"/>
    <w:rsid w:val="0011235C"/>
    <w:rsid w:val="00112388"/>
    <w:rsid w:val="00112395"/>
    <w:rsid w:val="0011242A"/>
    <w:rsid w:val="001125CF"/>
    <w:rsid w:val="0011263F"/>
    <w:rsid w:val="001126DA"/>
    <w:rsid w:val="00112771"/>
    <w:rsid w:val="001127EC"/>
    <w:rsid w:val="001128CB"/>
    <w:rsid w:val="00112BF0"/>
    <w:rsid w:val="00112CFD"/>
    <w:rsid w:val="00112D54"/>
    <w:rsid w:val="00112E98"/>
    <w:rsid w:val="00113000"/>
    <w:rsid w:val="001130A2"/>
    <w:rsid w:val="001131A3"/>
    <w:rsid w:val="00113207"/>
    <w:rsid w:val="00113237"/>
    <w:rsid w:val="00113585"/>
    <w:rsid w:val="001135BB"/>
    <w:rsid w:val="00113600"/>
    <w:rsid w:val="00113621"/>
    <w:rsid w:val="00113632"/>
    <w:rsid w:val="0011363A"/>
    <w:rsid w:val="0011376A"/>
    <w:rsid w:val="00113857"/>
    <w:rsid w:val="00113884"/>
    <w:rsid w:val="00113AE5"/>
    <w:rsid w:val="00113C1D"/>
    <w:rsid w:val="00113EAF"/>
    <w:rsid w:val="00113EDA"/>
    <w:rsid w:val="00113F05"/>
    <w:rsid w:val="00114107"/>
    <w:rsid w:val="00114469"/>
    <w:rsid w:val="00114579"/>
    <w:rsid w:val="001145E3"/>
    <w:rsid w:val="0011468D"/>
    <w:rsid w:val="00114691"/>
    <w:rsid w:val="001146C6"/>
    <w:rsid w:val="001146D6"/>
    <w:rsid w:val="00114817"/>
    <w:rsid w:val="00114A03"/>
    <w:rsid w:val="00114B47"/>
    <w:rsid w:val="00114BB8"/>
    <w:rsid w:val="00114C29"/>
    <w:rsid w:val="00114D87"/>
    <w:rsid w:val="00114DA5"/>
    <w:rsid w:val="0011529C"/>
    <w:rsid w:val="00115317"/>
    <w:rsid w:val="00115385"/>
    <w:rsid w:val="0011543B"/>
    <w:rsid w:val="0011558E"/>
    <w:rsid w:val="0011559E"/>
    <w:rsid w:val="001155A4"/>
    <w:rsid w:val="00115641"/>
    <w:rsid w:val="00115770"/>
    <w:rsid w:val="0011578D"/>
    <w:rsid w:val="00115842"/>
    <w:rsid w:val="0011586E"/>
    <w:rsid w:val="001158AF"/>
    <w:rsid w:val="001158D7"/>
    <w:rsid w:val="001159BA"/>
    <w:rsid w:val="00115A15"/>
    <w:rsid w:val="00115BC1"/>
    <w:rsid w:val="00115CFA"/>
    <w:rsid w:val="00115D00"/>
    <w:rsid w:val="00115E02"/>
    <w:rsid w:val="00115E7B"/>
    <w:rsid w:val="00116003"/>
    <w:rsid w:val="001160DF"/>
    <w:rsid w:val="00116188"/>
    <w:rsid w:val="001161EB"/>
    <w:rsid w:val="00116262"/>
    <w:rsid w:val="0011630C"/>
    <w:rsid w:val="001163CE"/>
    <w:rsid w:val="00116472"/>
    <w:rsid w:val="0011647F"/>
    <w:rsid w:val="00116545"/>
    <w:rsid w:val="001166F8"/>
    <w:rsid w:val="00116893"/>
    <w:rsid w:val="001168CB"/>
    <w:rsid w:val="001169A4"/>
    <w:rsid w:val="00116A34"/>
    <w:rsid w:val="00116A7F"/>
    <w:rsid w:val="00116F70"/>
    <w:rsid w:val="00116F96"/>
    <w:rsid w:val="00117189"/>
    <w:rsid w:val="001173E0"/>
    <w:rsid w:val="00117423"/>
    <w:rsid w:val="001174B1"/>
    <w:rsid w:val="0011750C"/>
    <w:rsid w:val="00117528"/>
    <w:rsid w:val="00117949"/>
    <w:rsid w:val="00117C87"/>
    <w:rsid w:val="00117CED"/>
    <w:rsid w:val="00117E35"/>
    <w:rsid w:val="00117E4E"/>
    <w:rsid w:val="00117EBE"/>
    <w:rsid w:val="00117F20"/>
    <w:rsid w:val="00117FD2"/>
    <w:rsid w:val="001200CA"/>
    <w:rsid w:val="00120137"/>
    <w:rsid w:val="001203F1"/>
    <w:rsid w:val="001206C3"/>
    <w:rsid w:val="00120AC1"/>
    <w:rsid w:val="00120B39"/>
    <w:rsid w:val="00120B54"/>
    <w:rsid w:val="00120B7D"/>
    <w:rsid w:val="00120CAB"/>
    <w:rsid w:val="00120D18"/>
    <w:rsid w:val="0012108C"/>
    <w:rsid w:val="00121232"/>
    <w:rsid w:val="0012148F"/>
    <w:rsid w:val="0012157B"/>
    <w:rsid w:val="00121B04"/>
    <w:rsid w:val="00121B0B"/>
    <w:rsid w:val="00121B93"/>
    <w:rsid w:val="00121C6A"/>
    <w:rsid w:val="00121D0C"/>
    <w:rsid w:val="00121D85"/>
    <w:rsid w:val="00121E3E"/>
    <w:rsid w:val="00121E41"/>
    <w:rsid w:val="00121FD4"/>
    <w:rsid w:val="00122192"/>
    <w:rsid w:val="00122277"/>
    <w:rsid w:val="001222A7"/>
    <w:rsid w:val="001224AB"/>
    <w:rsid w:val="001224CB"/>
    <w:rsid w:val="001224D4"/>
    <w:rsid w:val="00122603"/>
    <w:rsid w:val="001227CB"/>
    <w:rsid w:val="001228BA"/>
    <w:rsid w:val="0012298E"/>
    <w:rsid w:val="00122A35"/>
    <w:rsid w:val="00122A41"/>
    <w:rsid w:val="00122B05"/>
    <w:rsid w:val="00122B08"/>
    <w:rsid w:val="00122D12"/>
    <w:rsid w:val="00122D9D"/>
    <w:rsid w:val="00122DF0"/>
    <w:rsid w:val="00122EA8"/>
    <w:rsid w:val="00122EF4"/>
    <w:rsid w:val="00122FA0"/>
    <w:rsid w:val="00122FC7"/>
    <w:rsid w:val="00123070"/>
    <w:rsid w:val="00123084"/>
    <w:rsid w:val="001230BA"/>
    <w:rsid w:val="00123166"/>
    <w:rsid w:val="001231C4"/>
    <w:rsid w:val="001233E8"/>
    <w:rsid w:val="00123530"/>
    <w:rsid w:val="00123672"/>
    <w:rsid w:val="001236B0"/>
    <w:rsid w:val="00123702"/>
    <w:rsid w:val="001237DA"/>
    <w:rsid w:val="00123868"/>
    <w:rsid w:val="00123C03"/>
    <w:rsid w:val="00123C4C"/>
    <w:rsid w:val="00123D63"/>
    <w:rsid w:val="00123D6E"/>
    <w:rsid w:val="00123DE1"/>
    <w:rsid w:val="00123EF8"/>
    <w:rsid w:val="00123F39"/>
    <w:rsid w:val="00123F4D"/>
    <w:rsid w:val="0012403C"/>
    <w:rsid w:val="001240A4"/>
    <w:rsid w:val="001241C1"/>
    <w:rsid w:val="001242B9"/>
    <w:rsid w:val="0012431B"/>
    <w:rsid w:val="00124322"/>
    <w:rsid w:val="0012432F"/>
    <w:rsid w:val="0012436B"/>
    <w:rsid w:val="00124377"/>
    <w:rsid w:val="00124390"/>
    <w:rsid w:val="001243C7"/>
    <w:rsid w:val="00124A2B"/>
    <w:rsid w:val="00124A7D"/>
    <w:rsid w:val="00124D6A"/>
    <w:rsid w:val="00124E04"/>
    <w:rsid w:val="00124E8B"/>
    <w:rsid w:val="00124F9A"/>
    <w:rsid w:val="0012506B"/>
    <w:rsid w:val="0012517D"/>
    <w:rsid w:val="0012519E"/>
    <w:rsid w:val="0012535E"/>
    <w:rsid w:val="001253DA"/>
    <w:rsid w:val="00125551"/>
    <w:rsid w:val="0012557C"/>
    <w:rsid w:val="001255BF"/>
    <w:rsid w:val="0012570F"/>
    <w:rsid w:val="00125916"/>
    <w:rsid w:val="00125A70"/>
    <w:rsid w:val="00125B0D"/>
    <w:rsid w:val="00125B3B"/>
    <w:rsid w:val="00125BE6"/>
    <w:rsid w:val="00125D69"/>
    <w:rsid w:val="00125E5A"/>
    <w:rsid w:val="00125EA6"/>
    <w:rsid w:val="00125F44"/>
    <w:rsid w:val="00125F6C"/>
    <w:rsid w:val="00125F8B"/>
    <w:rsid w:val="00125FA1"/>
    <w:rsid w:val="00125FC6"/>
    <w:rsid w:val="0012604E"/>
    <w:rsid w:val="001260AD"/>
    <w:rsid w:val="001260CB"/>
    <w:rsid w:val="0012635D"/>
    <w:rsid w:val="00126425"/>
    <w:rsid w:val="001264B4"/>
    <w:rsid w:val="001264DC"/>
    <w:rsid w:val="00126554"/>
    <w:rsid w:val="0012660A"/>
    <w:rsid w:val="0012665B"/>
    <w:rsid w:val="00126767"/>
    <w:rsid w:val="0012676A"/>
    <w:rsid w:val="00126954"/>
    <w:rsid w:val="00126ACD"/>
    <w:rsid w:val="00126CA1"/>
    <w:rsid w:val="00126CBF"/>
    <w:rsid w:val="00126F21"/>
    <w:rsid w:val="00126F7E"/>
    <w:rsid w:val="00127014"/>
    <w:rsid w:val="001270A9"/>
    <w:rsid w:val="0012726A"/>
    <w:rsid w:val="0012732C"/>
    <w:rsid w:val="001273A4"/>
    <w:rsid w:val="00127462"/>
    <w:rsid w:val="001275EF"/>
    <w:rsid w:val="00127692"/>
    <w:rsid w:val="0012772D"/>
    <w:rsid w:val="00127795"/>
    <w:rsid w:val="001278C2"/>
    <w:rsid w:val="00127966"/>
    <w:rsid w:val="001279CB"/>
    <w:rsid w:val="00127BFE"/>
    <w:rsid w:val="00127C37"/>
    <w:rsid w:val="00127DC6"/>
    <w:rsid w:val="00127DC8"/>
    <w:rsid w:val="00127E54"/>
    <w:rsid w:val="0012EC61"/>
    <w:rsid w:val="00130220"/>
    <w:rsid w:val="001302C7"/>
    <w:rsid w:val="001302EB"/>
    <w:rsid w:val="00130370"/>
    <w:rsid w:val="001304D2"/>
    <w:rsid w:val="0013064B"/>
    <w:rsid w:val="001306A2"/>
    <w:rsid w:val="001306F6"/>
    <w:rsid w:val="00130757"/>
    <w:rsid w:val="001308EC"/>
    <w:rsid w:val="001308FD"/>
    <w:rsid w:val="00130A2A"/>
    <w:rsid w:val="00130B65"/>
    <w:rsid w:val="00130D42"/>
    <w:rsid w:val="00130D43"/>
    <w:rsid w:val="00130DA1"/>
    <w:rsid w:val="00130DDA"/>
    <w:rsid w:val="00130DF0"/>
    <w:rsid w:val="00130E6D"/>
    <w:rsid w:val="00130F2D"/>
    <w:rsid w:val="00130FDC"/>
    <w:rsid w:val="00131056"/>
    <w:rsid w:val="00131108"/>
    <w:rsid w:val="0013119A"/>
    <w:rsid w:val="0013124F"/>
    <w:rsid w:val="001312B2"/>
    <w:rsid w:val="0013134D"/>
    <w:rsid w:val="0013147D"/>
    <w:rsid w:val="00131531"/>
    <w:rsid w:val="001316AB"/>
    <w:rsid w:val="001318C4"/>
    <w:rsid w:val="00131971"/>
    <w:rsid w:val="00131B1E"/>
    <w:rsid w:val="00131C44"/>
    <w:rsid w:val="00131CE9"/>
    <w:rsid w:val="00131F43"/>
    <w:rsid w:val="00131F74"/>
    <w:rsid w:val="0013204C"/>
    <w:rsid w:val="001321D0"/>
    <w:rsid w:val="001322C8"/>
    <w:rsid w:val="001323A3"/>
    <w:rsid w:val="001324B9"/>
    <w:rsid w:val="001325E3"/>
    <w:rsid w:val="001327CD"/>
    <w:rsid w:val="00132944"/>
    <w:rsid w:val="00132A2F"/>
    <w:rsid w:val="00132AA5"/>
    <w:rsid w:val="00132BB2"/>
    <w:rsid w:val="00132C05"/>
    <w:rsid w:val="00132CAE"/>
    <w:rsid w:val="00132ED7"/>
    <w:rsid w:val="00133061"/>
    <w:rsid w:val="001330A6"/>
    <w:rsid w:val="00133339"/>
    <w:rsid w:val="0013335C"/>
    <w:rsid w:val="001333DC"/>
    <w:rsid w:val="001333E4"/>
    <w:rsid w:val="001335A6"/>
    <w:rsid w:val="00133601"/>
    <w:rsid w:val="00133823"/>
    <w:rsid w:val="0013383B"/>
    <w:rsid w:val="001338B4"/>
    <w:rsid w:val="00133CCD"/>
    <w:rsid w:val="00133D2B"/>
    <w:rsid w:val="00133DB9"/>
    <w:rsid w:val="00133DE8"/>
    <w:rsid w:val="00133E90"/>
    <w:rsid w:val="00133EA4"/>
    <w:rsid w:val="00133F2F"/>
    <w:rsid w:val="00133F4F"/>
    <w:rsid w:val="00133FFA"/>
    <w:rsid w:val="001340A5"/>
    <w:rsid w:val="0013411E"/>
    <w:rsid w:val="0013413C"/>
    <w:rsid w:val="001341B9"/>
    <w:rsid w:val="00134391"/>
    <w:rsid w:val="0013447A"/>
    <w:rsid w:val="001345FE"/>
    <w:rsid w:val="001349AF"/>
    <w:rsid w:val="00134A2E"/>
    <w:rsid w:val="00134B90"/>
    <w:rsid w:val="00134BAF"/>
    <w:rsid w:val="00134C70"/>
    <w:rsid w:val="00134C90"/>
    <w:rsid w:val="00134D13"/>
    <w:rsid w:val="00134E66"/>
    <w:rsid w:val="00134F47"/>
    <w:rsid w:val="0013510A"/>
    <w:rsid w:val="00135159"/>
    <w:rsid w:val="00135171"/>
    <w:rsid w:val="001353E2"/>
    <w:rsid w:val="001353E6"/>
    <w:rsid w:val="00135508"/>
    <w:rsid w:val="001356B1"/>
    <w:rsid w:val="0013579C"/>
    <w:rsid w:val="001357FC"/>
    <w:rsid w:val="001358BE"/>
    <w:rsid w:val="00135A31"/>
    <w:rsid w:val="00135ACD"/>
    <w:rsid w:val="00135AE2"/>
    <w:rsid w:val="00135B42"/>
    <w:rsid w:val="00135B5F"/>
    <w:rsid w:val="00135B7A"/>
    <w:rsid w:val="00135BF9"/>
    <w:rsid w:val="00135C06"/>
    <w:rsid w:val="00135E3C"/>
    <w:rsid w:val="00135EB8"/>
    <w:rsid w:val="00135F9E"/>
    <w:rsid w:val="001361FF"/>
    <w:rsid w:val="0013622C"/>
    <w:rsid w:val="0013637A"/>
    <w:rsid w:val="00136432"/>
    <w:rsid w:val="0013656F"/>
    <w:rsid w:val="0013666E"/>
    <w:rsid w:val="001367E4"/>
    <w:rsid w:val="001368AD"/>
    <w:rsid w:val="001368DA"/>
    <w:rsid w:val="0013696E"/>
    <w:rsid w:val="00136E2E"/>
    <w:rsid w:val="00136FC0"/>
    <w:rsid w:val="00137152"/>
    <w:rsid w:val="001371A9"/>
    <w:rsid w:val="001371AC"/>
    <w:rsid w:val="001371E1"/>
    <w:rsid w:val="0013726E"/>
    <w:rsid w:val="001372C0"/>
    <w:rsid w:val="0013741D"/>
    <w:rsid w:val="001375C8"/>
    <w:rsid w:val="0013765D"/>
    <w:rsid w:val="00137683"/>
    <w:rsid w:val="001376A1"/>
    <w:rsid w:val="0013773A"/>
    <w:rsid w:val="001378E6"/>
    <w:rsid w:val="001378EF"/>
    <w:rsid w:val="001379EB"/>
    <w:rsid w:val="00137AF6"/>
    <w:rsid w:val="00137AFF"/>
    <w:rsid w:val="00137CDA"/>
    <w:rsid w:val="00137CF3"/>
    <w:rsid w:val="00137E54"/>
    <w:rsid w:val="00137E85"/>
    <w:rsid w:val="00137EF9"/>
    <w:rsid w:val="00137F48"/>
    <w:rsid w:val="001400E5"/>
    <w:rsid w:val="001401FA"/>
    <w:rsid w:val="0014068B"/>
    <w:rsid w:val="001406D8"/>
    <w:rsid w:val="001406F8"/>
    <w:rsid w:val="0014070A"/>
    <w:rsid w:val="00140B48"/>
    <w:rsid w:val="00140BE1"/>
    <w:rsid w:val="00140C3B"/>
    <w:rsid w:val="00140CF1"/>
    <w:rsid w:val="00140D3F"/>
    <w:rsid w:val="00140E3E"/>
    <w:rsid w:val="00140F09"/>
    <w:rsid w:val="00140FA1"/>
    <w:rsid w:val="00141037"/>
    <w:rsid w:val="00141039"/>
    <w:rsid w:val="0014107A"/>
    <w:rsid w:val="001410E0"/>
    <w:rsid w:val="001412EA"/>
    <w:rsid w:val="001413AA"/>
    <w:rsid w:val="00141449"/>
    <w:rsid w:val="00141727"/>
    <w:rsid w:val="00141846"/>
    <w:rsid w:val="001418AE"/>
    <w:rsid w:val="00141935"/>
    <w:rsid w:val="0014194C"/>
    <w:rsid w:val="001419E5"/>
    <w:rsid w:val="00141AC9"/>
    <w:rsid w:val="00141C0B"/>
    <w:rsid w:val="00141CDD"/>
    <w:rsid w:val="00141CF2"/>
    <w:rsid w:val="00141DAA"/>
    <w:rsid w:val="00141DDA"/>
    <w:rsid w:val="00141F14"/>
    <w:rsid w:val="00141F95"/>
    <w:rsid w:val="001420DB"/>
    <w:rsid w:val="00142153"/>
    <w:rsid w:val="00142291"/>
    <w:rsid w:val="001422BE"/>
    <w:rsid w:val="00142349"/>
    <w:rsid w:val="001424D3"/>
    <w:rsid w:val="0014257B"/>
    <w:rsid w:val="0014263F"/>
    <w:rsid w:val="0014266D"/>
    <w:rsid w:val="00142670"/>
    <w:rsid w:val="001426D3"/>
    <w:rsid w:val="001426ED"/>
    <w:rsid w:val="001428B8"/>
    <w:rsid w:val="001428F5"/>
    <w:rsid w:val="00142A19"/>
    <w:rsid w:val="00142B7F"/>
    <w:rsid w:val="00142B9B"/>
    <w:rsid w:val="00142C7A"/>
    <w:rsid w:val="00142CAC"/>
    <w:rsid w:val="00142DA7"/>
    <w:rsid w:val="00142F85"/>
    <w:rsid w:val="00142F9A"/>
    <w:rsid w:val="001430A9"/>
    <w:rsid w:val="00143264"/>
    <w:rsid w:val="001432AA"/>
    <w:rsid w:val="00143396"/>
    <w:rsid w:val="001433AB"/>
    <w:rsid w:val="00143422"/>
    <w:rsid w:val="00143713"/>
    <w:rsid w:val="0014383C"/>
    <w:rsid w:val="0014392F"/>
    <w:rsid w:val="00143B2A"/>
    <w:rsid w:val="00143B6A"/>
    <w:rsid w:val="00143E0B"/>
    <w:rsid w:val="00143E21"/>
    <w:rsid w:val="00143E24"/>
    <w:rsid w:val="00143EFC"/>
    <w:rsid w:val="00143F29"/>
    <w:rsid w:val="00143F75"/>
    <w:rsid w:val="00143F9A"/>
    <w:rsid w:val="00144198"/>
    <w:rsid w:val="001441A3"/>
    <w:rsid w:val="00144226"/>
    <w:rsid w:val="00144398"/>
    <w:rsid w:val="001443EF"/>
    <w:rsid w:val="001443FB"/>
    <w:rsid w:val="00144498"/>
    <w:rsid w:val="00144554"/>
    <w:rsid w:val="001445EF"/>
    <w:rsid w:val="001446F5"/>
    <w:rsid w:val="00144736"/>
    <w:rsid w:val="0014477F"/>
    <w:rsid w:val="00144790"/>
    <w:rsid w:val="00144A41"/>
    <w:rsid w:val="00144AB1"/>
    <w:rsid w:val="00144D40"/>
    <w:rsid w:val="00144D5A"/>
    <w:rsid w:val="00144D84"/>
    <w:rsid w:val="00144FDF"/>
    <w:rsid w:val="0014505E"/>
    <w:rsid w:val="00145265"/>
    <w:rsid w:val="0014531F"/>
    <w:rsid w:val="0014540A"/>
    <w:rsid w:val="00145442"/>
    <w:rsid w:val="0014556F"/>
    <w:rsid w:val="001455B2"/>
    <w:rsid w:val="00145603"/>
    <w:rsid w:val="0014567C"/>
    <w:rsid w:val="001457B4"/>
    <w:rsid w:val="0014589D"/>
    <w:rsid w:val="00145922"/>
    <w:rsid w:val="00145AEE"/>
    <w:rsid w:val="00145BA6"/>
    <w:rsid w:val="00145BCC"/>
    <w:rsid w:val="00145C84"/>
    <w:rsid w:val="00145D58"/>
    <w:rsid w:val="00145ED8"/>
    <w:rsid w:val="00145F2D"/>
    <w:rsid w:val="00145F80"/>
    <w:rsid w:val="00145FD6"/>
    <w:rsid w:val="00146124"/>
    <w:rsid w:val="001463E5"/>
    <w:rsid w:val="00146697"/>
    <w:rsid w:val="00146780"/>
    <w:rsid w:val="001467DC"/>
    <w:rsid w:val="0014684F"/>
    <w:rsid w:val="001468A8"/>
    <w:rsid w:val="00146910"/>
    <w:rsid w:val="00146999"/>
    <w:rsid w:val="00146AEB"/>
    <w:rsid w:val="00146DB8"/>
    <w:rsid w:val="00146DF0"/>
    <w:rsid w:val="00146F6C"/>
    <w:rsid w:val="00147111"/>
    <w:rsid w:val="0014718B"/>
    <w:rsid w:val="001471C9"/>
    <w:rsid w:val="001471F7"/>
    <w:rsid w:val="0014737A"/>
    <w:rsid w:val="00147575"/>
    <w:rsid w:val="0014758D"/>
    <w:rsid w:val="001475B5"/>
    <w:rsid w:val="00147695"/>
    <w:rsid w:val="0014777E"/>
    <w:rsid w:val="00147877"/>
    <w:rsid w:val="001478AD"/>
    <w:rsid w:val="001478EB"/>
    <w:rsid w:val="00147E30"/>
    <w:rsid w:val="00147E65"/>
    <w:rsid w:val="00147EF0"/>
    <w:rsid w:val="00147F94"/>
    <w:rsid w:val="001500CB"/>
    <w:rsid w:val="0015014D"/>
    <w:rsid w:val="0015020C"/>
    <w:rsid w:val="00150301"/>
    <w:rsid w:val="00150317"/>
    <w:rsid w:val="00150356"/>
    <w:rsid w:val="001503B8"/>
    <w:rsid w:val="001504EB"/>
    <w:rsid w:val="0015052D"/>
    <w:rsid w:val="001507F2"/>
    <w:rsid w:val="00150979"/>
    <w:rsid w:val="001509BB"/>
    <w:rsid w:val="00150A02"/>
    <w:rsid w:val="00150A26"/>
    <w:rsid w:val="00150A3B"/>
    <w:rsid w:val="00150AA2"/>
    <w:rsid w:val="00150AF3"/>
    <w:rsid w:val="00150C77"/>
    <w:rsid w:val="00150CB6"/>
    <w:rsid w:val="00150CD5"/>
    <w:rsid w:val="00150D9F"/>
    <w:rsid w:val="00150DE4"/>
    <w:rsid w:val="0015108C"/>
    <w:rsid w:val="001510DC"/>
    <w:rsid w:val="0015111A"/>
    <w:rsid w:val="00151320"/>
    <w:rsid w:val="001513C1"/>
    <w:rsid w:val="001513E8"/>
    <w:rsid w:val="0015142D"/>
    <w:rsid w:val="00151458"/>
    <w:rsid w:val="0015149D"/>
    <w:rsid w:val="001514C0"/>
    <w:rsid w:val="0015150D"/>
    <w:rsid w:val="00151840"/>
    <w:rsid w:val="001519D9"/>
    <w:rsid w:val="00151AC8"/>
    <w:rsid w:val="00151B23"/>
    <w:rsid w:val="00151BCE"/>
    <w:rsid w:val="00151BEA"/>
    <w:rsid w:val="00151C76"/>
    <w:rsid w:val="00152052"/>
    <w:rsid w:val="0015211A"/>
    <w:rsid w:val="0015212F"/>
    <w:rsid w:val="00152152"/>
    <w:rsid w:val="00152180"/>
    <w:rsid w:val="0015218E"/>
    <w:rsid w:val="0015275E"/>
    <w:rsid w:val="001528E4"/>
    <w:rsid w:val="0015298A"/>
    <w:rsid w:val="001529F2"/>
    <w:rsid w:val="001529F4"/>
    <w:rsid w:val="00152A9E"/>
    <w:rsid w:val="00152B3C"/>
    <w:rsid w:val="00152B78"/>
    <w:rsid w:val="00152BB2"/>
    <w:rsid w:val="00152E45"/>
    <w:rsid w:val="00152E7B"/>
    <w:rsid w:val="00152E91"/>
    <w:rsid w:val="00152EF2"/>
    <w:rsid w:val="001530A8"/>
    <w:rsid w:val="001530AA"/>
    <w:rsid w:val="001530E6"/>
    <w:rsid w:val="0015311B"/>
    <w:rsid w:val="0015322B"/>
    <w:rsid w:val="00153286"/>
    <w:rsid w:val="001532B5"/>
    <w:rsid w:val="001533CC"/>
    <w:rsid w:val="0015351A"/>
    <w:rsid w:val="001535A4"/>
    <w:rsid w:val="00153681"/>
    <w:rsid w:val="001536FA"/>
    <w:rsid w:val="00153894"/>
    <w:rsid w:val="00153931"/>
    <w:rsid w:val="00153AD0"/>
    <w:rsid w:val="00153B96"/>
    <w:rsid w:val="00153BA4"/>
    <w:rsid w:val="00153DBC"/>
    <w:rsid w:val="00153DC4"/>
    <w:rsid w:val="00153E89"/>
    <w:rsid w:val="00154063"/>
    <w:rsid w:val="00154097"/>
    <w:rsid w:val="001540A3"/>
    <w:rsid w:val="001542AA"/>
    <w:rsid w:val="00154320"/>
    <w:rsid w:val="00154326"/>
    <w:rsid w:val="0015439D"/>
    <w:rsid w:val="001543F5"/>
    <w:rsid w:val="00154432"/>
    <w:rsid w:val="001544A2"/>
    <w:rsid w:val="001545C5"/>
    <w:rsid w:val="001547F9"/>
    <w:rsid w:val="001548B8"/>
    <w:rsid w:val="00154A67"/>
    <w:rsid w:val="00154CBE"/>
    <w:rsid w:val="00154D34"/>
    <w:rsid w:val="00154DC2"/>
    <w:rsid w:val="00154E0F"/>
    <w:rsid w:val="00154E67"/>
    <w:rsid w:val="00154EDE"/>
    <w:rsid w:val="00154FAA"/>
    <w:rsid w:val="00155452"/>
    <w:rsid w:val="00155579"/>
    <w:rsid w:val="001555FA"/>
    <w:rsid w:val="00155640"/>
    <w:rsid w:val="00155713"/>
    <w:rsid w:val="0015574C"/>
    <w:rsid w:val="00155761"/>
    <w:rsid w:val="00155959"/>
    <w:rsid w:val="00155B79"/>
    <w:rsid w:val="00155B97"/>
    <w:rsid w:val="00155E05"/>
    <w:rsid w:val="00156021"/>
    <w:rsid w:val="0015611F"/>
    <w:rsid w:val="0015651E"/>
    <w:rsid w:val="00156630"/>
    <w:rsid w:val="00156862"/>
    <w:rsid w:val="001568E3"/>
    <w:rsid w:val="001569F8"/>
    <w:rsid w:val="00156A24"/>
    <w:rsid w:val="00156A53"/>
    <w:rsid w:val="00156C6E"/>
    <w:rsid w:val="00156C91"/>
    <w:rsid w:val="00156D96"/>
    <w:rsid w:val="00156DE7"/>
    <w:rsid w:val="0015705D"/>
    <w:rsid w:val="00157116"/>
    <w:rsid w:val="001571AA"/>
    <w:rsid w:val="001571D1"/>
    <w:rsid w:val="001571DA"/>
    <w:rsid w:val="0015725B"/>
    <w:rsid w:val="00157381"/>
    <w:rsid w:val="001574B4"/>
    <w:rsid w:val="001574C3"/>
    <w:rsid w:val="00157644"/>
    <w:rsid w:val="00157681"/>
    <w:rsid w:val="001576A2"/>
    <w:rsid w:val="00157808"/>
    <w:rsid w:val="001578B0"/>
    <w:rsid w:val="001578B7"/>
    <w:rsid w:val="001578C3"/>
    <w:rsid w:val="00157A37"/>
    <w:rsid w:val="00157A9D"/>
    <w:rsid w:val="00157BB9"/>
    <w:rsid w:val="00157C6B"/>
    <w:rsid w:val="00157D85"/>
    <w:rsid w:val="00157E1F"/>
    <w:rsid w:val="00157E92"/>
    <w:rsid w:val="00157FE5"/>
    <w:rsid w:val="00160027"/>
    <w:rsid w:val="00160084"/>
    <w:rsid w:val="00160249"/>
    <w:rsid w:val="001602BB"/>
    <w:rsid w:val="001603A3"/>
    <w:rsid w:val="001603E5"/>
    <w:rsid w:val="0016057F"/>
    <w:rsid w:val="00160660"/>
    <w:rsid w:val="001606B2"/>
    <w:rsid w:val="00160776"/>
    <w:rsid w:val="0016091C"/>
    <w:rsid w:val="001609D0"/>
    <w:rsid w:val="00160CB8"/>
    <w:rsid w:val="00160E50"/>
    <w:rsid w:val="00160EAB"/>
    <w:rsid w:val="001610AB"/>
    <w:rsid w:val="00161112"/>
    <w:rsid w:val="001611FC"/>
    <w:rsid w:val="0016136B"/>
    <w:rsid w:val="001613FF"/>
    <w:rsid w:val="001616F0"/>
    <w:rsid w:val="001617B1"/>
    <w:rsid w:val="001617D4"/>
    <w:rsid w:val="001618E4"/>
    <w:rsid w:val="001618E8"/>
    <w:rsid w:val="00161902"/>
    <w:rsid w:val="00161908"/>
    <w:rsid w:val="00161938"/>
    <w:rsid w:val="00161A3E"/>
    <w:rsid w:val="00161A64"/>
    <w:rsid w:val="00161B75"/>
    <w:rsid w:val="00161BA3"/>
    <w:rsid w:val="00161C8B"/>
    <w:rsid w:val="00161DAE"/>
    <w:rsid w:val="00161ECB"/>
    <w:rsid w:val="00161EF1"/>
    <w:rsid w:val="00162009"/>
    <w:rsid w:val="00162140"/>
    <w:rsid w:val="00162221"/>
    <w:rsid w:val="00162271"/>
    <w:rsid w:val="0016233F"/>
    <w:rsid w:val="00162566"/>
    <w:rsid w:val="0016280C"/>
    <w:rsid w:val="00162A21"/>
    <w:rsid w:val="00162AB3"/>
    <w:rsid w:val="00162ACB"/>
    <w:rsid w:val="00162B1A"/>
    <w:rsid w:val="00162BD6"/>
    <w:rsid w:val="00162CFB"/>
    <w:rsid w:val="00162D19"/>
    <w:rsid w:val="00162E74"/>
    <w:rsid w:val="00162EB6"/>
    <w:rsid w:val="00162F34"/>
    <w:rsid w:val="00162F5B"/>
    <w:rsid w:val="001630BC"/>
    <w:rsid w:val="00163131"/>
    <w:rsid w:val="001632B4"/>
    <w:rsid w:val="00163337"/>
    <w:rsid w:val="001634EE"/>
    <w:rsid w:val="00163507"/>
    <w:rsid w:val="001636B4"/>
    <w:rsid w:val="00163827"/>
    <w:rsid w:val="0016387C"/>
    <w:rsid w:val="00163AE6"/>
    <w:rsid w:val="00163BC8"/>
    <w:rsid w:val="00163C59"/>
    <w:rsid w:val="00163CA0"/>
    <w:rsid w:val="00163EE3"/>
    <w:rsid w:val="0016409E"/>
    <w:rsid w:val="001641A2"/>
    <w:rsid w:val="00164414"/>
    <w:rsid w:val="001644EC"/>
    <w:rsid w:val="00164661"/>
    <w:rsid w:val="001646D9"/>
    <w:rsid w:val="00164717"/>
    <w:rsid w:val="0016479F"/>
    <w:rsid w:val="001647C8"/>
    <w:rsid w:val="00164857"/>
    <w:rsid w:val="001648AB"/>
    <w:rsid w:val="001648F6"/>
    <w:rsid w:val="00164931"/>
    <w:rsid w:val="00164A40"/>
    <w:rsid w:val="00164AAC"/>
    <w:rsid w:val="00164ACC"/>
    <w:rsid w:val="00164AF7"/>
    <w:rsid w:val="00164B63"/>
    <w:rsid w:val="00164C68"/>
    <w:rsid w:val="00164C93"/>
    <w:rsid w:val="00164CCA"/>
    <w:rsid w:val="00164ED8"/>
    <w:rsid w:val="00164EE0"/>
    <w:rsid w:val="00164EE5"/>
    <w:rsid w:val="00164F8D"/>
    <w:rsid w:val="0016513B"/>
    <w:rsid w:val="0016520F"/>
    <w:rsid w:val="001652A1"/>
    <w:rsid w:val="001652DB"/>
    <w:rsid w:val="001654C2"/>
    <w:rsid w:val="0016552B"/>
    <w:rsid w:val="001657A9"/>
    <w:rsid w:val="001657C7"/>
    <w:rsid w:val="0016588C"/>
    <w:rsid w:val="00165A0F"/>
    <w:rsid w:val="00165A3E"/>
    <w:rsid w:val="00165AA6"/>
    <w:rsid w:val="00165C62"/>
    <w:rsid w:val="00165CA4"/>
    <w:rsid w:val="00165ECA"/>
    <w:rsid w:val="0016611D"/>
    <w:rsid w:val="001662E1"/>
    <w:rsid w:val="001662ED"/>
    <w:rsid w:val="001663DD"/>
    <w:rsid w:val="00166449"/>
    <w:rsid w:val="0016651B"/>
    <w:rsid w:val="00166558"/>
    <w:rsid w:val="00166746"/>
    <w:rsid w:val="00166FEA"/>
    <w:rsid w:val="00167067"/>
    <w:rsid w:val="00167099"/>
    <w:rsid w:val="00167156"/>
    <w:rsid w:val="00167590"/>
    <w:rsid w:val="001675EC"/>
    <w:rsid w:val="0016772E"/>
    <w:rsid w:val="00167761"/>
    <w:rsid w:val="00167923"/>
    <w:rsid w:val="00167951"/>
    <w:rsid w:val="00167972"/>
    <w:rsid w:val="00167A1E"/>
    <w:rsid w:val="00167A6E"/>
    <w:rsid w:val="00167E6A"/>
    <w:rsid w:val="00167E6D"/>
    <w:rsid w:val="00167ED9"/>
    <w:rsid w:val="00167F76"/>
    <w:rsid w:val="00170190"/>
    <w:rsid w:val="001701C9"/>
    <w:rsid w:val="00170256"/>
    <w:rsid w:val="001702D0"/>
    <w:rsid w:val="0017038E"/>
    <w:rsid w:val="00170547"/>
    <w:rsid w:val="00170559"/>
    <w:rsid w:val="001708D6"/>
    <w:rsid w:val="00170928"/>
    <w:rsid w:val="001709B9"/>
    <w:rsid w:val="00170C42"/>
    <w:rsid w:val="00170D9D"/>
    <w:rsid w:val="00170DC1"/>
    <w:rsid w:val="00170EA9"/>
    <w:rsid w:val="00170FF0"/>
    <w:rsid w:val="001710A7"/>
    <w:rsid w:val="001711F4"/>
    <w:rsid w:val="00171386"/>
    <w:rsid w:val="0017163D"/>
    <w:rsid w:val="001716E5"/>
    <w:rsid w:val="00171930"/>
    <w:rsid w:val="00171A32"/>
    <w:rsid w:val="00171B3F"/>
    <w:rsid w:val="00171E17"/>
    <w:rsid w:val="00171EBA"/>
    <w:rsid w:val="00171F3B"/>
    <w:rsid w:val="0017224C"/>
    <w:rsid w:val="001722C9"/>
    <w:rsid w:val="00172361"/>
    <w:rsid w:val="00172416"/>
    <w:rsid w:val="001725A2"/>
    <w:rsid w:val="001725AB"/>
    <w:rsid w:val="00172732"/>
    <w:rsid w:val="001728A4"/>
    <w:rsid w:val="001728F0"/>
    <w:rsid w:val="001729BB"/>
    <w:rsid w:val="001729FE"/>
    <w:rsid w:val="00172A3B"/>
    <w:rsid w:val="00172AAF"/>
    <w:rsid w:val="00172AB6"/>
    <w:rsid w:val="00172B91"/>
    <w:rsid w:val="00172C32"/>
    <w:rsid w:val="00172C66"/>
    <w:rsid w:val="00172D73"/>
    <w:rsid w:val="00172E89"/>
    <w:rsid w:val="00172EEC"/>
    <w:rsid w:val="00173077"/>
    <w:rsid w:val="001730A0"/>
    <w:rsid w:val="001731F4"/>
    <w:rsid w:val="001732EC"/>
    <w:rsid w:val="00173340"/>
    <w:rsid w:val="00173405"/>
    <w:rsid w:val="001736AD"/>
    <w:rsid w:val="00173875"/>
    <w:rsid w:val="00173BBC"/>
    <w:rsid w:val="00173FDC"/>
    <w:rsid w:val="0017407F"/>
    <w:rsid w:val="00174107"/>
    <w:rsid w:val="00174237"/>
    <w:rsid w:val="001745DF"/>
    <w:rsid w:val="001746E5"/>
    <w:rsid w:val="00174716"/>
    <w:rsid w:val="00174795"/>
    <w:rsid w:val="001747E2"/>
    <w:rsid w:val="001749DF"/>
    <w:rsid w:val="00174A58"/>
    <w:rsid w:val="00174B01"/>
    <w:rsid w:val="00174B9A"/>
    <w:rsid w:val="00174BCF"/>
    <w:rsid w:val="00174C5C"/>
    <w:rsid w:val="00174CD8"/>
    <w:rsid w:val="00174DCF"/>
    <w:rsid w:val="00174E40"/>
    <w:rsid w:val="00174EAE"/>
    <w:rsid w:val="00174FC7"/>
    <w:rsid w:val="001756CB"/>
    <w:rsid w:val="00175748"/>
    <w:rsid w:val="001757A9"/>
    <w:rsid w:val="00175883"/>
    <w:rsid w:val="00175B20"/>
    <w:rsid w:val="00175CDE"/>
    <w:rsid w:val="00175CF3"/>
    <w:rsid w:val="00175EF2"/>
    <w:rsid w:val="00175F1E"/>
    <w:rsid w:val="00175F2B"/>
    <w:rsid w:val="00175F5B"/>
    <w:rsid w:val="00175FFE"/>
    <w:rsid w:val="001761EF"/>
    <w:rsid w:val="00176389"/>
    <w:rsid w:val="001763DB"/>
    <w:rsid w:val="00176452"/>
    <w:rsid w:val="00176497"/>
    <w:rsid w:val="001765DE"/>
    <w:rsid w:val="00176744"/>
    <w:rsid w:val="00176785"/>
    <w:rsid w:val="00176894"/>
    <w:rsid w:val="00176B69"/>
    <w:rsid w:val="00176BB1"/>
    <w:rsid w:val="00176BFE"/>
    <w:rsid w:val="00176C13"/>
    <w:rsid w:val="00176C36"/>
    <w:rsid w:val="00176C3B"/>
    <w:rsid w:val="00176C42"/>
    <w:rsid w:val="00176CC0"/>
    <w:rsid w:val="00176EBD"/>
    <w:rsid w:val="0017744C"/>
    <w:rsid w:val="0017758C"/>
    <w:rsid w:val="00177787"/>
    <w:rsid w:val="001777C4"/>
    <w:rsid w:val="001778EA"/>
    <w:rsid w:val="001779A8"/>
    <w:rsid w:val="00177A40"/>
    <w:rsid w:val="00177AA9"/>
    <w:rsid w:val="00177B9A"/>
    <w:rsid w:val="00177C36"/>
    <w:rsid w:val="00177C75"/>
    <w:rsid w:val="00177CB9"/>
    <w:rsid w:val="00177D14"/>
    <w:rsid w:val="00177D15"/>
    <w:rsid w:val="00177DB0"/>
    <w:rsid w:val="00177F4C"/>
    <w:rsid w:val="00177F92"/>
    <w:rsid w:val="00177FA9"/>
    <w:rsid w:val="00180007"/>
    <w:rsid w:val="001801EC"/>
    <w:rsid w:val="00180530"/>
    <w:rsid w:val="001805D3"/>
    <w:rsid w:val="001805F0"/>
    <w:rsid w:val="001807B7"/>
    <w:rsid w:val="001808A8"/>
    <w:rsid w:val="00180D1A"/>
    <w:rsid w:val="00181083"/>
    <w:rsid w:val="00181252"/>
    <w:rsid w:val="0018129A"/>
    <w:rsid w:val="001812E9"/>
    <w:rsid w:val="0018130B"/>
    <w:rsid w:val="0018159A"/>
    <w:rsid w:val="001815D2"/>
    <w:rsid w:val="001817A3"/>
    <w:rsid w:val="00181A6D"/>
    <w:rsid w:val="00181ECC"/>
    <w:rsid w:val="00181F5E"/>
    <w:rsid w:val="00182511"/>
    <w:rsid w:val="00182561"/>
    <w:rsid w:val="00182642"/>
    <w:rsid w:val="0018269E"/>
    <w:rsid w:val="001826D2"/>
    <w:rsid w:val="001826F3"/>
    <w:rsid w:val="001827EA"/>
    <w:rsid w:val="00182838"/>
    <w:rsid w:val="0018283D"/>
    <w:rsid w:val="001828E0"/>
    <w:rsid w:val="00182AA5"/>
    <w:rsid w:val="00182AD8"/>
    <w:rsid w:val="00182B29"/>
    <w:rsid w:val="00182B7D"/>
    <w:rsid w:val="00182BDE"/>
    <w:rsid w:val="00182DC3"/>
    <w:rsid w:val="00182E10"/>
    <w:rsid w:val="00182E82"/>
    <w:rsid w:val="00182F79"/>
    <w:rsid w:val="00182FC0"/>
    <w:rsid w:val="001830B6"/>
    <w:rsid w:val="001830C0"/>
    <w:rsid w:val="0018310D"/>
    <w:rsid w:val="001831BB"/>
    <w:rsid w:val="0018328A"/>
    <w:rsid w:val="00183315"/>
    <w:rsid w:val="0018336A"/>
    <w:rsid w:val="0018342C"/>
    <w:rsid w:val="001835C9"/>
    <w:rsid w:val="001835E0"/>
    <w:rsid w:val="00183621"/>
    <w:rsid w:val="00183664"/>
    <w:rsid w:val="00183679"/>
    <w:rsid w:val="00183785"/>
    <w:rsid w:val="001837F8"/>
    <w:rsid w:val="0018382E"/>
    <w:rsid w:val="001838CE"/>
    <w:rsid w:val="0018392E"/>
    <w:rsid w:val="0018399D"/>
    <w:rsid w:val="00183A23"/>
    <w:rsid w:val="00183B37"/>
    <w:rsid w:val="00183D27"/>
    <w:rsid w:val="00183D62"/>
    <w:rsid w:val="00183E05"/>
    <w:rsid w:val="00183E14"/>
    <w:rsid w:val="00183E4C"/>
    <w:rsid w:val="00183E92"/>
    <w:rsid w:val="00183E9B"/>
    <w:rsid w:val="00183FC1"/>
    <w:rsid w:val="00183FF3"/>
    <w:rsid w:val="0018420D"/>
    <w:rsid w:val="001842C6"/>
    <w:rsid w:val="001844BB"/>
    <w:rsid w:val="00184738"/>
    <w:rsid w:val="001847F4"/>
    <w:rsid w:val="001848DF"/>
    <w:rsid w:val="001848E4"/>
    <w:rsid w:val="00184A42"/>
    <w:rsid w:val="00184AAC"/>
    <w:rsid w:val="00184B98"/>
    <w:rsid w:val="00184B9E"/>
    <w:rsid w:val="00184BB2"/>
    <w:rsid w:val="00184BC5"/>
    <w:rsid w:val="00184DBC"/>
    <w:rsid w:val="00184EBC"/>
    <w:rsid w:val="00184EDA"/>
    <w:rsid w:val="00184EF0"/>
    <w:rsid w:val="00185130"/>
    <w:rsid w:val="0018522E"/>
    <w:rsid w:val="0018537D"/>
    <w:rsid w:val="00185508"/>
    <w:rsid w:val="0018551C"/>
    <w:rsid w:val="00185534"/>
    <w:rsid w:val="0018569A"/>
    <w:rsid w:val="0018592D"/>
    <w:rsid w:val="001859D1"/>
    <w:rsid w:val="00185B10"/>
    <w:rsid w:val="00185BA0"/>
    <w:rsid w:val="00185CED"/>
    <w:rsid w:val="00185E36"/>
    <w:rsid w:val="00185F15"/>
    <w:rsid w:val="00185F6B"/>
    <w:rsid w:val="00186067"/>
    <w:rsid w:val="00186193"/>
    <w:rsid w:val="00186195"/>
    <w:rsid w:val="001862C9"/>
    <w:rsid w:val="001863C9"/>
    <w:rsid w:val="001863CE"/>
    <w:rsid w:val="001863EE"/>
    <w:rsid w:val="001865C8"/>
    <w:rsid w:val="0018661B"/>
    <w:rsid w:val="001866D5"/>
    <w:rsid w:val="00186753"/>
    <w:rsid w:val="0018677E"/>
    <w:rsid w:val="00186808"/>
    <w:rsid w:val="00186921"/>
    <w:rsid w:val="00186C58"/>
    <w:rsid w:val="00186CD9"/>
    <w:rsid w:val="00186DEE"/>
    <w:rsid w:val="00186E46"/>
    <w:rsid w:val="00186E5F"/>
    <w:rsid w:val="00186E76"/>
    <w:rsid w:val="001870D6"/>
    <w:rsid w:val="0018712E"/>
    <w:rsid w:val="001871AD"/>
    <w:rsid w:val="001871ED"/>
    <w:rsid w:val="001872CE"/>
    <w:rsid w:val="00187368"/>
    <w:rsid w:val="001874E2"/>
    <w:rsid w:val="00187513"/>
    <w:rsid w:val="00187566"/>
    <w:rsid w:val="00187606"/>
    <w:rsid w:val="0018790D"/>
    <w:rsid w:val="0018791F"/>
    <w:rsid w:val="00187A17"/>
    <w:rsid w:val="00187A58"/>
    <w:rsid w:val="00187B92"/>
    <w:rsid w:val="00187EF5"/>
    <w:rsid w:val="0019052C"/>
    <w:rsid w:val="00190588"/>
    <w:rsid w:val="001905C0"/>
    <w:rsid w:val="00190608"/>
    <w:rsid w:val="001906E8"/>
    <w:rsid w:val="001909BB"/>
    <w:rsid w:val="001909DC"/>
    <w:rsid w:val="00190BA8"/>
    <w:rsid w:val="00190C46"/>
    <w:rsid w:val="00190D09"/>
    <w:rsid w:val="00190ECA"/>
    <w:rsid w:val="00190EE8"/>
    <w:rsid w:val="00190F61"/>
    <w:rsid w:val="00191003"/>
    <w:rsid w:val="0019109C"/>
    <w:rsid w:val="001910B1"/>
    <w:rsid w:val="001912D5"/>
    <w:rsid w:val="0019146B"/>
    <w:rsid w:val="00191572"/>
    <w:rsid w:val="001915F1"/>
    <w:rsid w:val="00191699"/>
    <w:rsid w:val="001916C2"/>
    <w:rsid w:val="00191701"/>
    <w:rsid w:val="001917D3"/>
    <w:rsid w:val="001917E0"/>
    <w:rsid w:val="001918D3"/>
    <w:rsid w:val="00191908"/>
    <w:rsid w:val="00191985"/>
    <w:rsid w:val="00191C9A"/>
    <w:rsid w:val="00191D01"/>
    <w:rsid w:val="00191DA5"/>
    <w:rsid w:val="00191EE0"/>
    <w:rsid w:val="001921B9"/>
    <w:rsid w:val="0019236D"/>
    <w:rsid w:val="00192510"/>
    <w:rsid w:val="00192517"/>
    <w:rsid w:val="001927AE"/>
    <w:rsid w:val="0019283A"/>
    <w:rsid w:val="00192910"/>
    <w:rsid w:val="00192978"/>
    <w:rsid w:val="001929D9"/>
    <w:rsid w:val="00192A80"/>
    <w:rsid w:val="00192AB6"/>
    <w:rsid w:val="00192B66"/>
    <w:rsid w:val="00192C31"/>
    <w:rsid w:val="00192E69"/>
    <w:rsid w:val="00192E73"/>
    <w:rsid w:val="00192EFD"/>
    <w:rsid w:val="00192F53"/>
    <w:rsid w:val="00192F54"/>
    <w:rsid w:val="0019302F"/>
    <w:rsid w:val="00193088"/>
    <w:rsid w:val="001932C0"/>
    <w:rsid w:val="00193321"/>
    <w:rsid w:val="00193419"/>
    <w:rsid w:val="00193456"/>
    <w:rsid w:val="0019365E"/>
    <w:rsid w:val="00193670"/>
    <w:rsid w:val="001936A8"/>
    <w:rsid w:val="0019386D"/>
    <w:rsid w:val="0019388A"/>
    <w:rsid w:val="001939C0"/>
    <w:rsid w:val="001939CB"/>
    <w:rsid w:val="00193A93"/>
    <w:rsid w:val="00193AF4"/>
    <w:rsid w:val="00193B11"/>
    <w:rsid w:val="00193BE1"/>
    <w:rsid w:val="00193CC5"/>
    <w:rsid w:val="00193D00"/>
    <w:rsid w:val="00193DBA"/>
    <w:rsid w:val="00193DBC"/>
    <w:rsid w:val="00193EC1"/>
    <w:rsid w:val="00193F64"/>
    <w:rsid w:val="00193FAB"/>
    <w:rsid w:val="00194055"/>
    <w:rsid w:val="0019416D"/>
    <w:rsid w:val="0019437A"/>
    <w:rsid w:val="0019439A"/>
    <w:rsid w:val="00194460"/>
    <w:rsid w:val="0019451E"/>
    <w:rsid w:val="001945AA"/>
    <w:rsid w:val="001945C7"/>
    <w:rsid w:val="00194738"/>
    <w:rsid w:val="0019476C"/>
    <w:rsid w:val="001948E7"/>
    <w:rsid w:val="00194A3C"/>
    <w:rsid w:val="00194BD5"/>
    <w:rsid w:val="00194BED"/>
    <w:rsid w:val="00194C1D"/>
    <w:rsid w:val="00194C3A"/>
    <w:rsid w:val="00194D21"/>
    <w:rsid w:val="00194D73"/>
    <w:rsid w:val="00194E5C"/>
    <w:rsid w:val="00194FD7"/>
    <w:rsid w:val="00195202"/>
    <w:rsid w:val="00195266"/>
    <w:rsid w:val="001952C2"/>
    <w:rsid w:val="001952ED"/>
    <w:rsid w:val="001957E2"/>
    <w:rsid w:val="001958A9"/>
    <w:rsid w:val="001958E1"/>
    <w:rsid w:val="0019593D"/>
    <w:rsid w:val="00195A22"/>
    <w:rsid w:val="00195B2A"/>
    <w:rsid w:val="00195BF3"/>
    <w:rsid w:val="00195C9D"/>
    <w:rsid w:val="00195CA5"/>
    <w:rsid w:val="00195D64"/>
    <w:rsid w:val="00195DC3"/>
    <w:rsid w:val="0019604D"/>
    <w:rsid w:val="001962BE"/>
    <w:rsid w:val="001963D0"/>
    <w:rsid w:val="001965BC"/>
    <w:rsid w:val="00196746"/>
    <w:rsid w:val="0019679C"/>
    <w:rsid w:val="0019679D"/>
    <w:rsid w:val="001967BD"/>
    <w:rsid w:val="001968C7"/>
    <w:rsid w:val="001968CF"/>
    <w:rsid w:val="0019694B"/>
    <w:rsid w:val="001969ED"/>
    <w:rsid w:val="00196A99"/>
    <w:rsid w:val="00196B07"/>
    <w:rsid w:val="00196CE5"/>
    <w:rsid w:val="00196ED2"/>
    <w:rsid w:val="00196FB3"/>
    <w:rsid w:val="00196FC8"/>
    <w:rsid w:val="001970F5"/>
    <w:rsid w:val="001971FD"/>
    <w:rsid w:val="00197291"/>
    <w:rsid w:val="001973BA"/>
    <w:rsid w:val="001973BF"/>
    <w:rsid w:val="001974D9"/>
    <w:rsid w:val="001975E1"/>
    <w:rsid w:val="0019781C"/>
    <w:rsid w:val="001978E1"/>
    <w:rsid w:val="00197924"/>
    <w:rsid w:val="00197A0C"/>
    <w:rsid w:val="00197C0F"/>
    <w:rsid w:val="00197C47"/>
    <w:rsid w:val="00197D7B"/>
    <w:rsid w:val="00197E27"/>
    <w:rsid w:val="001A00EE"/>
    <w:rsid w:val="001A02FF"/>
    <w:rsid w:val="001A04C9"/>
    <w:rsid w:val="001A0664"/>
    <w:rsid w:val="001A0785"/>
    <w:rsid w:val="001A0996"/>
    <w:rsid w:val="001A0A97"/>
    <w:rsid w:val="001A0AE8"/>
    <w:rsid w:val="001A0C69"/>
    <w:rsid w:val="001A0D78"/>
    <w:rsid w:val="001A0DB4"/>
    <w:rsid w:val="001A0F04"/>
    <w:rsid w:val="001A0F7D"/>
    <w:rsid w:val="001A0FE8"/>
    <w:rsid w:val="001A101D"/>
    <w:rsid w:val="001A1036"/>
    <w:rsid w:val="001A112C"/>
    <w:rsid w:val="001A1211"/>
    <w:rsid w:val="001A138D"/>
    <w:rsid w:val="001A13EE"/>
    <w:rsid w:val="001A1407"/>
    <w:rsid w:val="001A14C7"/>
    <w:rsid w:val="001A17C2"/>
    <w:rsid w:val="001A189D"/>
    <w:rsid w:val="001A190A"/>
    <w:rsid w:val="001A1988"/>
    <w:rsid w:val="001A19ED"/>
    <w:rsid w:val="001A1A23"/>
    <w:rsid w:val="001A1AFA"/>
    <w:rsid w:val="001A1B04"/>
    <w:rsid w:val="001A1B29"/>
    <w:rsid w:val="001A1B8A"/>
    <w:rsid w:val="001A1BEE"/>
    <w:rsid w:val="001A1D44"/>
    <w:rsid w:val="001A1D8E"/>
    <w:rsid w:val="001A1E5F"/>
    <w:rsid w:val="001A1EAC"/>
    <w:rsid w:val="001A1F4C"/>
    <w:rsid w:val="001A244A"/>
    <w:rsid w:val="001A26A7"/>
    <w:rsid w:val="001A26DD"/>
    <w:rsid w:val="001A281D"/>
    <w:rsid w:val="001A28D5"/>
    <w:rsid w:val="001A2A83"/>
    <w:rsid w:val="001A2B27"/>
    <w:rsid w:val="001A2CFC"/>
    <w:rsid w:val="001A2DDC"/>
    <w:rsid w:val="001A2DF8"/>
    <w:rsid w:val="001A308E"/>
    <w:rsid w:val="001A3148"/>
    <w:rsid w:val="001A329B"/>
    <w:rsid w:val="001A32D7"/>
    <w:rsid w:val="001A3339"/>
    <w:rsid w:val="001A338D"/>
    <w:rsid w:val="001A33A9"/>
    <w:rsid w:val="001A34D1"/>
    <w:rsid w:val="001A359B"/>
    <w:rsid w:val="001A3619"/>
    <w:rsid w:val="001A3670"/>
    <w:rsid w:val="001A36FA"/>
    <w:rsid w:val="001A3923"/>
    <w:rsid w:val="001A39B1"/>
    <w:rsid w:val="001A3C4F"/>
    <w:rsid w:val="001A3CBD"/>
    <w:rsid w:val="001A3E03"/>
    <w:rsid w:val="001A3E8A"/>
    <w:rsid w:val="001A3E96"/>
    <w:rsid w:val="001A3ECA"/>
    <w:rsid w:val="001A3F8C"/>
    <w:rsid w:val="001A3FD2"/>
    <w:rsid w:val="001A4297"/>
    <w:rsid w:val="001A45DA"/>
    <w:rsid w:val="001A4935"/>
    <w:rsid w:val="001A493A"/>
    <w:rsid w:val="001A4944"/>
    <w:rsid w:val="001A4961"/>
    <w:rsid w:val="001A499B"/>
    <w:rsid w:val="001A4A5E"/>
    <w:rsid w:val="001A4A87"/>
    <w:rsid w:val="001A4AB9"/>
    <w:rsid w:val="001A4B48"/>
    <w:rsid w:val="001A4FE9"/>
    <w:rsid w:val="001A5153"/>
    <w:rsid w:val="001A5215"/>
    <w:rsid w:val="001A53C4"/>
    <w:rsid w:val="001A5461"/>
    <w:rsid w:val="001A5518"/>
    <w:rsid w:val="001A56E0"/>
    <w:rsid w:val="001A57BA"/>
    <w:rsid w:val="001A593F"/>
    <w:rsid w:val="001A5D71"/>
    <w:rsid w:val="001A5ECA"/>
    <w:rsid w:val="001A60C0"/>
    <w:rsid w:val="001A62BA"/>
    <w:rsid w:val="001A62DA"/>
    <w:rsid w:val="001A63D8"/>
    <w:rsid w:val="001A63F6"/>
    <w:rsid w:val="001A6572"/>
    <w:rsid w:val="001A6638"/>
    <w:rsid w:val="001A6644"/>
    <w:rsid w:val="001A66A1"/>
    <w:rsid w:val="001A6701"/>
    <w:rsid w:val="001A6754"/>
    <w:rsid w:val="001A678E"/>
    <w:rsid w:val="001A695A"/>
    <w:rsid w:val="001A6A8B"/>
    <w:rsid w:val="001A6DB0"/>
    <w:rsid w:val="001A6DC1"/>
    <w:rsid w:val="001A6EA6"/>
    <w:rsid w:val="001A6FFD"/>
    <w:rsid w:val="001A7060"/>
    <w:rsid w:val="001A70EB"/>
    <w:rsid w:val="001A7156"/>
    <w:rsid w:val="001A7235"/>
    <w:rsid w:val="001A73B0"/>
    <w:rsid w:val="001A7427"/>
    <w:rsid w:val="001A74AA"/>
    <w:rsid w:val="001A777D"/>
    <w:rsid w:val="001A778D"/>
    <w:rsid w:val="001A786B"/>
    <w:rsid w:val="001A7872"/>
    <w:rsid w:val="001A7918"/>
    <w:rsid w:val="001A7AAB"/>
    <w:rsid w:val="001A7B22"/>
    <w:rsid w:val="001A7B2F"/>
    <w:rsid w:val="001A7D1C"/>
    <w:rsid w:val="001A7D78"/>
    <w:rsid w:val="001A7D9C"/>
    <w:rsid w:val="001A7FB8"/>
    <w:rsid w:val="001B00C7"/>
    <w:rsid w:val="001B00C8"/>
    <w:rsid w:val="001B0299"/>
    <w:rsid w:val="001B02AB"/>
    <w:rsid w:val="001B02E0"/>
    <w:rsid w:val="001B0339"/>
    <w:rsid w:val="001B0431"/>
    <w:rsid w:val="001B047A"/>
    <w:rsid w:val="001B04E9"/>
    <w:rsid w:val="001B06DC"/>
    <w:rsid w:val="001B0883"/>
    <w:rsid w:val="001B0896"/>
    <w:rsid w:val="001B0933"/>
    <w:rsid w:val="001B0988"/>
    <w:rsid w:val="001B0C35"/>
    <w:rsid w:val="001B0C79"/>
    <w:rsid w:val="001B0D63"/>
    <w:rsid w:val="001B0DA7"/>
    <w:rsid w:val="001B0DB9"/>
    <w:rsid w:val="001B0E9B"/>
    <w:rsid w:val="001B0EE9"/>
    <w:rsid w:val="001B0F1E"/>
    <w:rsid w:val="001B0F3E"/>
    <w:rsid w:val="001B10D6"/>
    <w:rsid w:val="001B10E2"/>
    <w:rsid w:val="001B1239"/>
    <w:rsid w:val="001B123C"/>
    <w:rsid w:val="001B1248"/>
    <w:rsid w:val="001B1319"/>
    <w:rsid w:val="001B138F"/>
    <w:rsid w:val="001B14F3"/>
    <w:rsid w:val="001B15C1"/>
    <w:rsid w:val="001B16E3"/>
    <w:rsid w:val="001B1790"/>
    <w:rsid w:val="001B17A4"/>
    <w:rsid w:val="001B17BF"/>
    <w:rsid w:val="001B1832"/>
    <w:rsid w:val="001B18D8"/>
    <w:rsid w:val="001B1920"/>
    <w:rsid w:val="001B1B10"/>
    <w:rsid w:val="001B1BC8"/>
    <w:rsid w:val="001B1E1A"/>
    <w:rsid w:val="001B1F04"/>
    <w:rsid w:val="001B1F45"/>
    <w:rsid w:val="001B208D"/>
    <w:rsid w:val="001B217A"/>
    <w:rsid w:val="001B21C8"/>
    <w:rsid w:val="001B2287"/>
    <w:rsid w:val="001B2292"/>
    <w:rsid w:val="001B2360"/>
    <w:rsid w:val="001B24F9"/>
    <w:rsid w:val="001B26B5"/>
    <w:rsid w:val="001B26FD"/>
    <w:rsid w:val="001B279C"/>
    <w:rsid w:val="001B28C5"/>
    <w:rsid w:val="001B28F2"/>
    <w:rsid w:val="001B290D"/>
    <w:rsid w:val="001B29CC"/>
    <w:rsid w:val="001B2C4F"/>
    <w:rsid w:val="001B2C61"/>
    <w:rsid w:val="001B2F7B"/>
    <w:rsid w:val="001B3119"/>
    <w:rsid w:val="001B3142"/>
    <w:rsid w:val="001B32F8"/>
    <w:rsid w:val="001B34E0"/>
    <w:rsid w:val="001B35A9"/>
    <w:rsid w:val="001B365B"/>
    <w:rsid w:val="001B3690"/>
    <w:rsid w:val="001B36B7"/>
    <w:rsid w:val="001B375B"/>
    <w:rsid w:val="001B378D"/>
    <w:rsid w:val="001B3882"/>
    <w:rsid w:val="001B38FA"/>
    <w:rsid w:val="001B3A3A"/>
    <w:rsid w:val="001B3B91"/>
    <w:rsid w:val="001B3C50"/>
    <w:rsid w:val="001B3CB6"/>
    <w:rsid w:val="001B3CCC"/>
    <w:rsid w:val="001B3EB3"/>
    <w:rsid w:val="001B3F3A"/>
    <w:rsid w:val="001B403F"/>
    <w:rsid w:val="001B40D7"/>
    <w:rsid w:val="001B4176"/>
    <w:rsid w:val="001B4399"/>
    <w:rsid w:val="001B43DE"/>
    <w:rsid w:val="001B44ED"/>
    <w:rsid w:val="001B45D7"/>
    <w:rsid w:val="001B45FD"/>
    <w:rsid w:val="001B4610"/>
    <w:rsid w:val="001B4663"/>
    <w:rsid w:val="001B480A"/>
    <w:rsid w:val="001B482E"/>
    <w:rsid w:val="001B4885"/>
    <w:rsid w:val="001B48F5"/>
    <w:rsid w:val="001B4A9B"/>
    <w:rsid w:val="001B4B1C"/>
    <w:rsid w:val="001B4D19"/>
    <w:rsid w:val="001B4D92"/>
    <w:rsid w:val="001B4DC7"/>
    <w:rsid w:val="001B4DC9"/>
    <w:rsid w:val="001B4DF1"/>
    <w:rsid w:val="001B4E5C"/>
    <w:rsid w:val="001B4F14"/>
    <w:rsid w:val="001B4FD2"/>
    <w:rsid w:val="001B504C"/>
    <w:rsid w:val="001B509E"/>
    <w:rsid w:val="001B50E6"/>
    <w:rsid w:val="001B51E8"/>
    <w:rsid w:val="001B52DC"/>
    <w:rsid w:val="001B5362"/>
    <w:rsid w:val="001B5429"/>
    <w:rsid w:val="001B5479"/>
    <w:rsid w:val="001B54B2"/>
    <w:rsid w:val="001B55CA"/>
    <w:rsid w:val="001B560E"/>
    <w:rsid w:val="001B56AD"/>
    <w:rsid w:val="001B578F"/>
    <w:rsid w:val="001B57B8"/>
    <w:rsid w:val="001B5885"/>
    <w:rsid w:val="001B599B"/>
    <w:rsid w:val="001B5A8C"/>
    <w:rsid w:val="001B5B52"/>
    <w:rsid w:val="001B5B8F"/>
    <w:rsid w:val="001B5CBF"/>
    <w:rsid w:val="001B5D84"/>
    <w:rsid w:val="001B5E35"/>
    <w:rsid w:val="001B5EE2"/>
    <w:rsid w:val="001B5FEC"/>
    <w:rsid w:val="001B6070"/>
    <w:rsid w:val="001B61EB"/>
    <w:rsid w:val="001B6249"/>
    <w:rsid w:val="001B640D"/>
    <w:rsid w:val="001B6481"/>
    <w:rsid w:val="001B6569"/>
    <w:rsid w:val="001B65BD"/>
    <w:rsid w:val="001B6859"/>
    <w:rsid w:val="001B6A0E"/>
    <w:rsid w:val="001B6A49"/>
    <w:rsid w:val="001B6B22"/>
    <w:rsid w:val="001B6C3E"/>
    <w:rsid w:val="001B6DE2"/>
    <w:rsid w:val="001B6E7F"/>
    <w:rsid w:val="001B6ECE"/>
    <w:rsid w:val="001B6EEF"/>
    <w:rsid w:val="001B6F13"/>
    <w:rsid w:val="001B707A"/>
    <w:rsid w:val="001B712D"/>
    <w:rsid w:val="001B7137"/>
    <w:rsid w:val="001B737A"/>
    <w:rsid w:val="001B73C4"/>
    <w:rsid w:val="001B7435"/>
    <w:rsid w:val="001B74C4"/>
    <w:rsid w:val="001B75F1"/>
    <w:rsid w:val="001B764F"/>
    <w:rsid w:val="001B7700"/>
    <w:rsid w:val="001B78EC"/>
    <w:rsid w:val="001B7936"/>
    <w:rsid w:val="001B7A1D"/>
    <w:rsid w:val="001B7A77"/>
    <w:rsid w:val="001B7BC2"/>
    <w:rsid w:val="001B7D92"/>
    <w:rsid w:val="001C00A3"/>
    <w:rsid w:val="001C0256"/>
    <w:rsid w:val="001C0294"/>
    <w:rsid w:val="001C02E3"/>
    <w:rsid w:val="001C041E"/>
    <w:rsid w:val="001C04D3"/>
    <w:rsid w:val="001C051A"/>
    <w:rsid w:val="001C055F"/>
    <w:rsid w:val="001C05BB"/>
    <w:rsid w:val="001C06AC"/>
    <w:rsid w:val="001C0709"/>
    <w:rsid w:val="001C0794"/>
    <w:rsid w:val="001C0E23"/>
    <w:rsid w:val="001C1070"/>
    <w:rsid w:val="001C1124"/>
    <w:rsid w:val="001C124E"/>
    <w:rsid w:val="001C13E1"/>
    <w:rsid w:val="001C14A6"/>
    <w:rsid w:val="001C1559"/>
    <w:rsid w:val="001C158D"/>
    <w:rsid w:val="001C1672"/>
    <w:rsid w:val="001C16BD"/>
    <w:rsid w:val="001C1A08"/>
    <w:rsid w:val="001C1A4C"/>
    <w:rsid w:val="001C1B80"/>
    <w:rsid w:val="001C1C5B"/>
    <w:rsid w:val="001C1CFC"/>
    <w:rsid w:val="001C1DD6"/>
    <w:rsid w:val="001C1DE0"/>
    <w:rsid w:val="001C1E03"/>
    <w:rsid w:val="001C2233"/>
    <w:rsid w:val="001C22BB"/>
    <w:rsid w:val="001C230E"/>
    <w:rsid w:val="001C248F"/>
    <w:rsid w:val="001C25A5"/>
    <w:rsid w:val="001C2726"/>
    <w:rsid w:val="001C288A"/>
    <w:rsid w:val="001C2BB8"/>
    <w:rsid w:val="001C2BB9"/>
    <w:rsid w:val="001C2D85"/>
    <w:rsid w:val="001C2E73"/>
    <w:rsid w:val="001C2F70"/>
    <w:rsid w:val="001C2FC6"/>
    <w:rsid w:val="001C3075"/>
    <w:rsid w:val="001C30A8"/>
    <w:rsid w:val="001C322C"/>
    <w:rsid w:val="001C3272"/>
    <w:rsid w:val="001C3280"/>
    <w:rsid w:val="001C329F"/>
    <w:rsid w:val="001C32A8"/>
    <w:rsid w:val="001C3521"/>
    <w:rsid w:val="001C36BC"/>
    <w:rsid w:val="001C36F2"/>
    <w:rsid w:val="001C37D0"/>
    <w:rsid w:val="001C381C"/>
    <w:rsid w:val="001C3A07"/>
    <w:rsid w:val="001C3D9C"/>
    <w:rsid w:val="001C3E49"/>
    <w:rsid w:val="001C411E"/>
    <w:rsid w:val="001C4171"/>
    <w:rsid w:val="001C4265"/>
    <w:rsid w:val="001C44DD"/>
    <w:rsid w:val="001C44DE"/>
    <w:rsid w:val="001C469C"/>
    <w:rsid w:val="001C48BA"/>
    <w:rsid w:val="001C48D4"/>
    <w:rsid w:val="001C49B4"/>
    <w:rsid w:val="001C4A6B"/>
    <w:rsid w:val="001C4AA2"/>
    <w:rsid w:val="001C4ABC"/>
    <w:rsid w:val="001C4B38"/>
    <w:rsid w:val="001C4CB1"/>
    <w:rsid w:val="001C4D93"/>
    <w:rsid w:val="001C4E2E"/>
    <w:rsid w:val="001C4EF4"/>
    <w:rsid w:val="001C5083"/>
    <w:rsid w:val="001C5089"/>
    <w:rsid w:val="001C514A"/>
    <w:rsid w:val="001C525E"/>
    <w:rsid w:val="001C5349"/>
    <w:rsid w:val="001C538E"/>
    <w:rsid w:val="001C53B2"/>
    <w:rsid w:val="001C541C"/>
    <w:rsid w:val="001C55CC"/>
    <w:rsid w:val="001C56B7"/>
    <w:rsid w:val="001C5776"/>
    <w:rsid w:val="001C5881"/>
    <w:rsid w:val="001C58BA"/>
    <w:rsid w:val="001C5A17"/>
    <w:rsid w:val="001C5B62"/>
    <w:rsid w:val="001C5C16"/>
    <w:rsid w:val="001C5C2A"/>
    <w:rsid w:val="001C5C72"/>
    <w:rsid w:val="001C5CF2"/>
    <w:rsid w:val="001C5F20"/>
    <w:rsid w:val="001C6150"/>
    <w:rsid w:val="001C618D"/>
    <w:rsid w:val="001C6223"/>
    <w:rsid w:val="001C6270"/>
    <w:rsid w:val="001C62E9"/>
    <w:rsid w:val="001C6365"/>
    <w:rsid w:val="001C6483"/>
    <w:rsid w:val="001C666E"/>
    <w:rsid w:val="001C668D"/>
    <w:rsid w:val="001C66A9"/>
    <w:rsid w:val="001C6795"/>
    <w:rsid w:val="001C67ED"/>
    <w:rsid w:val="001C6855"/>
    <w:rsid w:val="001C6B72"/>
    <w:rsid w:val="001C6C50"/>
    <w:rsid w:val="001C6E5B"/>
    <w:rsid w:val="001C6F52"/>
    <w:rsid w:val="001C70F2"/>
    <w:rsid w:val="001C7177"/>
    <w:rsid w:val="001C729F"/>
    <w:rsid w:val="001C736E"/>
    <w:rsid w:val="001C73CA"/>
    <w:rsid w:val="001C7631"/>
    <w:rsid w:val="001C77CF"/>
    <w:rsid w:val="001C7923"/>
    <w:rsid w:val="001C7A10"/>
    <w:rsid w:val="001C7D8B"/>
    <w:rsid w:val="001D0158"/>
    <w:rsid w:val="001D033A"/>
    <w:rsid w:val="001D0432"/>
    <w:rsid w:val="001D044F"/>
    <w:rsid w:val="001D0637"/>
    <w:rsid w:val="001D0686"/>
    <w:rsid w:val="001D0724"/>
    <w:rsid w:val="001D07FC"/>
    <w:rsid w:val="001D084C"/>
    <w:rsid w:val="001D0919"/>
    <w:rsid w:val="001D09B6"/>
    <w:rsid w:val="001D0B14"/>
    <w:rsid w:val="001D0B2C"/>
    <w:rsid w:val="001D0B89"/>
    <w:rsid w:val="001D0C6F"/>
    <w:rsid w:val="001D0FCB"/>
    <w:rsid w:val="001D0FF9"/>
    <w:rsid w:val="001D106A"/>
    <w:rsid w:val="001D1085"/>
    <w:rsid w:val="001D10F0"/>
    <w:rsid w:val="001D11BE"/>
    <w:rsid w:val="001D13A8"/>
    <w:rsid w:val="001D1653"/>
    <w:rsid w:val="001D1675"/>
    <w:rsid w:val="001D1690"/>
    <w:rsid w:val="001D171C"/>
    <w:rsid w:val="001D1740"/>
    <w:rsid w:val="001D1956"/>
    <w:rsid w:val="001D1A09"/>
    <w:rsid w:val="001D1A62"/>
    <w:rsid w:val="001D1AA4"/>
    <w:rsid w:val="001D1B7B"/>
    <w:rsid w:val="001D1C09"/>
    <w:rsid w:val="001D1C56"/>
    <w:rsid w:val="001D1D90"/>
    <w:rsid w:val="001D1DEC"/>
    <w:rsid w:val="001D1F13"/>
    <w:rsid w:val="001D1FC3"/>
    <w:rsid w:val="001D20ED"/>
    <w:rsid w:val="001D216D"/>
    <w:rsid w:val="001D2193"/>
    <w:rsid w:val="001D2507"/>
    <w:rsid w:val="001D250A"/>
    <w:rsid w:val="001D252B"/>
    <w:rsid w:val="001D25E3"/>
    <w:rsid w:val="001D2653"/>
    <w:rsid w:val="001D268E"/>
    <w:rsid w:val="001D2776"/>
    <w:rsid w:val="001D278B"/>
    <w:rsid w:val="001D27B3"/>
    <w:rsid w:val="001D2B65"/>
    <w:rsid w:val="001D2BAE"/>
    <w:rsid w:val="001D2DB3"/>
    <w:rsid w:val="001D3035"/>
    <w:rsid w:val="001D3062"/>
    <w:rsid w:val="001D3083"/>
    <w:rsid w:val="001D309B"/>
    <w:rsid w:val="001D30B3"/>
    <w:rsid w:val="001D30E9"/>
    <w:rsid w:val="001D3353"/>
    <w:rsid w:val="001D38A5"/>
    <w:rsid w:val="001D38A9"/>
    <w:rsid w:val="001D38E4"/>
    <w:rsid w:val="001D39B6"/>
    <w:rsid w:val="001D39CF"/>
    <w:rsid w:val="001D3BB8"/>
    <w:rsid w:val="001D3C44"/>
    <w:rsid w:val="001D3EC2"/>
    <w:rsid w:val="001D400B"/>
    <w:rsid w:val="001D410B"/>
    <w:rsid w:val="001D42EC"/>
    <w:rsid w:val="001D438E"/>
    <w:rsid w:val="001D43A0"/>
    <w:rsid w:val="001D4434"/>
    <w:rsid w:val="001D44A9"/>
    <w:rsid w:val="001D44D1"/>
    <w:rsid w:val="001D44FA"/>
    <w:rsid w:val="001D45F1"/>
    <w:rsid w:val="001D45F7"/>
    <w:rsid w:val="001D4609"/>
    <w:rsid w:val="001D466D"/>
    <w:rsid w:val="001D4725"/>
    <w:rsid w:val="001D47C2"/>
    <w:rsid w:val="001D48CF"/>
    <w:rsid w:val="001D4A2F"/>
    <w:rsid w:val="001D4C0F"/>
    <w:rsid w:val="001D4C1D"/>
    <w:rsid w:val="001D4C22"/>
    <w:rsid w:val="001D4E59"/>
    <w:rsid w:val="001D4F09"/>
    <w:rsid w:val="001D50FE"/>
    <w:rsid w:val="001D518F"/>
    <w:rsid w:val="001D51D4"/>
    <w:rsid w:val="001D5243"/>
    <w:rsid w:val="001D55F5"/>
    <w:rsid w:val="001D563B"/>
    <w:rsid w:val="001D56D5"/>
    <w:rsid w:val="001D57C0"/>
    <w:rsid w:val="001D5994"/>
    <w:rsid w:val="001D59B6"/>
    <w:rsid w:val="001D5A30"/>
    <w:rsid w:val="001D5AA8"/>
    <w:rsid w:val="001D5ADB"/>
    <w:rsid w:val="001D5B22"/>
    <w:rsid w:val="001D5F98"/>
    <w:rsid w:val="001D61AA"/>
    <w:rsid w:val="001D66A6"/>
    <w:rsid w:val="001D6703"/>
    <w:rsid w:val="001D6773"/>
    <w:rsid w:val="001D69D8"/>
    <w:rsid w:val="001D6A61"/>
    <w:rsid w:val="001D6AA6"/>
    <w:rsid w:val="001D6CE6"/>
    <w:rsid w:val="001D6D1A"/>
    <w:rsid w:val="001D6D47"/>
    <w:rsid w:val="001D6E04"/>
    <w:rsid w:val="001D70B4"/>
    <w:rsid w:val="001D70D8"/>
    <w:rsid w:val="001D70EE"/>
    <w:rsid w:val="001D70F1"/>
    <w:rsid w:val="001D7141"/>
    <w:rsid w:val="001D719D"/>
    <w:rsid w:val="001D71A2"/>
    <w:rsid w:val="001D7236"/>
    <w:rsid w:val="001D7271"/>
    <w:rsid w:val="001D72F9"/>
    <w:rsid w:val="001D730C"/>
    <w:rsid w:val="001D7313"/>
    <w:rsid w:val="001D7315"/>
    <w:rsid w:val="001D7319"/>
    <w:rsid w:val="001D744E"/>
    <w:rsid w:val="001D74B1"/>
    <w:rsid w:val="001D75A2"/>
    <w:rsid w:val="001D75C0"/>
    <w:rsid w:val="001D774B"/>
    <w:rsid w:val="001D7839"/>
    <w:rsid w:val="001D786E"/>
    <w:rsid w:val="001D7933"/>
    <w:rsid w:val="001D7A0D"/>
    <w:rsid w:val="001D7A1C"/>
    <w:rsid w:val="001D7B73"/>
    <w:rsid w:val="001D7C26"/>
    <w:rsid w:val="001D7C5B"/>
    <w:rsid w:val="001D7C5D"/>
    <w:rsid w:val="001D7D59"/>
    <w:rsid w:val="001D7DA0"/>
    <w:rsid w:val="001D7E34"/>
    <w:rsid w:val="001D7EB0"/>
    <w:rsid w:val="001D7EE1"/>
    <w:rsid w:val="001D7EE8"/>
    <w:rsid w:val="001D7F66"/>
    <w:rsid w:val="001D7F86"/>
    <w:rsid w:val="001D7FA1"/>
    <w:rsid w:val="001E0089"/>
    <w:rsid w:val="001E012C"/>
    <w:rsid w:val="001E0325"/>
    <w:rsid w:val="001E0393"/>
    <w:rsid w:val="001E03FC"/>
    <w:rsid w:val="001E04AB"/>
    <w:rsid w:val="001E04CA"/>
    <w:rsid w:val="001E06DA"/>
    <w:rsid w:val="001E070C"/>
    <w:rsid w:val="001E0C1C"/>
    <w:rsid w:val="001E0D0C"/>
    <w:rsid w:val="001E0EDF"/>
    <w:rsid w:val="001E0F59"/>
    <w:rsid w:val="001E0FD6"/>
    <w:rsid w:val="001E10B0"/>
    <w:rsid w:val="001E13E2"/>
    <w:rsid w:val="001E14A2"/>
    <w:rsid w:val="001E15E2"/>
    <w:rsid w:val="001E188C"/>
    <w:rsid w:val="001E1954"/>
    <w:rsid w:val="001E19B0"/>
    <w:rsid w:val="001E1B8B"/>
    <w:rsid w:val="001E1BDB"/>
    <w:rsid w:val="001E1C71"/>
    <w:rsid w:val="001E1D08"/>
    <w:rsid w:val="001E1FCA"/>
    <w:rsid w:val="001E21A3"/>
    <w:rsid w:val="001E21BB"/>
    <w:rsid w:val="001E2259"/>
    <w:rsid w:val="001E225E"/>
    <w:rsid w:val="001E2283"/>
    <w:rsid w:val="001E2494"/>
    <w:rsid w:val="001E24F0"/>
    <w:rsid w:val="001E261E"/>
    <w:rsid w:val="001E2640"/>
    <w:rsid w:val="001E26A0"/>
    <w:rsid w:val="001E2817"/>
    <w:rsid w:val="001E28CA"/>
    <w:rsid w:val="001E28D8"/>
    <w:rsid w:val="001E2938"/>
    <w:rsid w:val="001E2A65"/>
    <w:rsid w:val="001E2BA3"/>
    <w:rsid w:val="001E2DB3"/>
    <w:rsid w:val="001E2DCA"/>
    <w:rsid w:val="001E2F32"/>
    <w:rsid w:val="001E2F48"/>
    <w:rsid w:val="001E3009"/>
    <w:rsid w:val="001E30BA"/>
    <w:rsid w:val="001E3171"/>
    <w:rsid w:val="001E3244"/>
    <w:rsid w:val="001E3388"/>
    <w:rsid w:val="001E346F"/>
    <w:rsid w:val="001E357A"/>
    <w:rsid w:val="001E3638"/>
    <w:rsid w:val="001E36B4"/>
    <w:rsid w:val="001E3780"/>
    <w:rsid w:val="001E3919"/>
    <w:rsid w:val="001E3940"/>
    <w:rsid w:val="001E3946"/>
    <w:rsid w:val="001E395E"/>
    <w:rsid w:val="001E39F2"/>
    <w:rsid w:val="001E3A1B"/>
    <w:rsid w:val="001E3A3B"/>
    <w:rsid w:val="001E3B48"/>
    <w:rsid w:val="001E3BBC"/>
    <w:rsid w:val="001E3BD2"/>
    <w:rsid w:val="001E3CE2"/>
    <w:rsid w:val="001E3E4E"/>
    <w:rsid w:val="001E3F21"/>
    <w:rsid w:val="001E406D"/>
    <w:rsid w:val="001E40FE"/>
    <w:rsid w:val="001E4133"/>
    <w:rsid w:val="001E418C"/>
    <w:rsid w:val="001E4552"/>
    <w:rsid w:val="001E461B"/>
    <w:rsid w:val="001E4672"/>
    <w:rsid w:val="001E46CD"/>
    <w:rsid w:val="001E47F4"/>
    <w:rsid w:val="001E4BAC"/>
    <w:rsid w:val="001E4E1E"/>
    <w:rsid w:val="001E4F5E"/>
    <w:rsid w:val="001E5065"/>
    <w:rsid w:val="001E50BB"/>
    <w:rsid w:val="001E5104"/>
    <w:rsid w:val="001E5128"/>
    <w:rsid w:val="001E5442"/>
    <w:rsid w:val="001E552C"/>
    <w:rsid w:val="001E55FC"/>
    <w:rsid w:val="001E56B3"/>
    <w:rsid w:val="001E5761"/>
    <w:rsid w:val="001E5853"/>
    <w:rsid w:val="001E58CE"/>
    <w:rsid w:val="001E58F2"/>
    <w:rsid w:val="001E595E"/>
    <w:rsid w:val="001E5964"/>
    <w:rsid w:val="001E5A6C"/>
    <w:rsid w:val="001E5AEA"/>
    <w:rsid w:val="001E5BA4"/>
    <w:rsid w:val="001E5BAB"/>
    <w:rsid w:val="001E5CBE"/>
    <w:rsid w:val="001E5D14"/>
    <w:rsid w:val="001E6083"/>
    <w:rsid w:val="001E62E6"/>
    <w:rsid w:val="001E6375"/>
    <w:rsid w:val="001E688C"/>
    <w:rsid w:val="001E68E7"/>
    <w:rsid w:val="001E693B"/>
    <w:rsid w:val="001E6BCC"/>
    <w:rsid w:val="001E6E36"/>
    <w:rsid w:val="001E6E8B"/>
    <w:rsid w:val="001E6E93"/>
    <w:rsid w:val="001E6EDA"/>
    <w:rsid w:val="001E6F4B"/>
    <w:rsid w:val="001E6F96"/>
    <w:rsid w:val="001E70D0"/>
    <w:rsid w:val="001E716B"/>
    <w:rsid w:val="001E73D7"/>
    <w:rsid w:val="001E7656"/>
    <w:rsid w:val="001E770D"/>
    <w:rsid w:val="001E77CD"/>
    <w:rsid w:val="001E78FD"/>
    <w:rsid w:val="001E7A1B"/>
    <w:rsid w:val="001E7C5A"/>
    <w:rsid w:val="001E7C5F"/>
    <w:rsid w:val="001E7E8F"/>
    <w:rsid w:val="001F024F"/>
    <w:rsid w:val="001F0306"/>
    <w:rsid w:val="001F03FD"/>
    <w:rsid w:val="001F04D6"/>
    <w:rsid w:val="001F0647"/>
    <w:rsid w:val="001F06B0"/>
    <w:rsid w:val="001F0824"/>
    <w:rsid w:val="001F0930"/>
    <w:rsid w:val="001F09AD"/>
    <w:rsid w:val="001F0A71"/>
    <w:rsid w:val="001F0A83"/>
    <w:rsid w:val="001F0ABA"/>
    <w:rsid w:val="001F0BDD"/>
    <w:rsid w:val="001F0C1C"/>
    <w:rsid w:val="001F0D01"/>
    <w:rsid w:val="001F0D5C"/>
    <w:rsid w:val="001F0E0E"/>
    <w:rsid w:val="001F0E3B"/>
    <w:rsid w:val="001F0E72"/>
    <w:rsid w:val="001F0EA5"/>
    <w:rsid w:val="001F0F97"/>
    <w:rsid w:val="001F0FB6"/>
    <w:rsid w:val="001F104A"/>
    <w:rsid w:val="001F105A"/>
    <w:rsid w:val="001F11D5"/>
    <w:rsid w:val="001F1243"/>
    <w:rsid w:val="001F12A9"/>
    <w:rsid w:val="001F16A2"/>
    <w:rsid w:val="001F16FD"/>
    <w:rsid w:val="001F1709"/>
    <w:rsid w:val="001F173F"/>
    <w:rsid w:val="001F1761"/>
    <w:rsid w:val="001F1781"/>
    <w:rsid w:val="001F1800"/>
    <w:rsid w:val="001F1816"/>
    <w:rsid w:val="001F1896"/>
    <w:rsid w:val="001F18D6"/>
    <w:rsid w:val="001F1975"/>
    <w:rsid w:val="001F19B2"/>
    <w:rsid w:val="001F1A48"/>
    <w:rsid w:val="001F1A61"/>
    <w:rsid w:val="001F1AE2"/>
    <w:rsid w:val="001F1BC2"/>
    <w:rsid w:val="001F1C27"/>
    <w:rsid w:val="001F1D4C"/>
    <w:rsid w:val="001F1DA7"/>
    <w:rsid w:val="001F1DAB"/>
    <w:rsid w:val="001F1E8C"/>
    <w:rsid w:val="001F1F6D"/>
    <w:rsid w:val="001F1FDC"/>
    <w:rsid w:val="001F2200"/>
    <w:rsid w:val="001F231F"/>
    <w:rsid w:val="001F24D8"/>
    <w:rsid w:val="001F24F3"/>
    <w:rsid w:val="001F2569"/>
    <w:rsid w:val="001F2607"/>
    <w:rsid w:val="001F266D"/>
    <w:rsid w:val="001F27C9"/>
    <w:rsid w:val="001F299D"/>
    <w:rsid w:val="001F2B39"/>
    <w:rsid w:val="001F2BC2"/>
    <w:rsid w:val="001F2C0B"/>
    <w:rsid w:val="001F2C3C"/>
    <w:rsid w:val="001F2F4B"/>
    <w:rsid w:val="001F2FED"/>
    <w:rsid w:val="001F30BA"/>
    <w:rsid w:val="001F30CF"/>
    <w:rsid w:val="001F3101"/>
    <w:rsid w:val="001F3198"/>
    <w:rsid w:val="001F31C2"/>
    <w:rsid w:val="001F323C"/>
    <w:rsid w:val="001F32A2"/>
    <w:rsid w:val="001F3359"/>
    <w:rsid w:val="001F361F"/>
    <w:rsid w:val="001F36CF"/>
    <w:rsid w:val="001F3801"/>
    <w:rsid w:val="001F3841"/>
    <w:rsid w:val="001F386C"/>
    <w:rsid w:val="001F3CB4"/>
    <w:rsid w:val="001F3CC1"/>
    <w:rsid w:val="001F3E33"/>
    <w:rsid w:val="001F3F41"/>
    <w:rsid w:val="001F3F72"/>
    <w:rsid w:val="001F41AA"/>
    <w:rsid w:val="001F42F3"/>
    <w:rsid w:val="001F449B"/>
    <w:rsid w:val="001F44B7"/>
    <w:rsid w:val="001F48E9"/>
    <w:rsid w:val="001F491F"/>
    <w:rsid w:val="001F4C83"/>
    <w:rsid w:val="001F4E60"/>
    <w:rsid w:val="001F507F"/>
    <w:rsid w:val="001F5292"/>
    <w:rsid w:val="001F52B5"/>
    <w:rsid w:val="001F52C7"/>
    <w:rsid w:val="001F537C"/>
    <w:rsid w:val="001F5431"/>
    <w:rsid w:val="001F54A1"/>
    <w:rsid w:val="001F54A9"/>
    <w:rsid w:val="001F54C7"/>
    <w:rsid w:val="001F5977"/>
    <w:rsid w:val="001F59B6"/>
    <w:rsid w:val="001F5A97"/>
    <w:rsid w:val="001F5B1D"/>
    <w:rsid w:val="001F5D53"/>
    <w:rsid w:val="001F5DDA"/>
    <w:rsid w:val="001F5F19"/>
    <w:rsid w:val="001F5F83"/>
    <w:rsid w:val="001F5F88"/>
    <w:rsid w:val="001F6149"/>
    <w:rsid w:val="001F63B8"/>
    <w:rsid w:val="001F63FE"/>
    <w:rsid w:val="001F658B"/>
    <w:rsid w:val="001F6597"/>
    <w:rsid w:val="001F67A3"/>
    <w:rsid w:val="001F69BC"/>
    <w:rsid w:val="001F6A83"/>
    <w:rsid w:val="001F6CDB"/>
    <w:rsid w:val="001F6D5D"/>
    <w:rsid w:val="001F6EDA"/>
    <w:rsid w:val="001F70DD"/>
    <w:rsid w:val="001F7172"/>
    <w:rsid w:val="001F720F"/>
    <w:rsid w:val="001F73C9"/>
    <w:rsid w:val="001F749B"/>
    <w:rsid w:val="001F757F"/>
    <w:rsid w:val="001F7658"/>
    <w:rsid w:val="001F765C"/>
    <w:rsid w:val="001F766C"/>
    <w:rsid w:val="001F7804"/>
    <w:rsid w:val="001F79EB"/>
    <w:rsid w:val="001F7BF3"/>
    <w:rsid w:val="001F7DAC"/>
    <w:rsid w:val="001F7E67"/>
    <w:rsid w:val="001F7F17"/>
    <w:rsid w:val="001F7F48"/>
    <w:rsid w:val="001F7F92"/>
    <w:rsid w:val="00200110"/>
    <w:rsid w:val="002001B0"/>
    <w:rsid w:val="002003CB"/>
    <w:rsid w:val="002005DD"/>
    <w:rsid w:val="002005E1"/>
    <w:rsid w:val="002005EF"/>
    <w:rsid w:val="00200620"/>
    <w:rsid w:val="0020069F"/>
    <w:rsid w:val="002006A2"/>
    <w:rsid w:val="00200708"/>
    <w:rsid w:val="00200723"/>
    <w:rsid w:val="00200788"/>
    <w:rsid w:val="002008F6"/>
    <w:rsid w:val="00200998"/>
    <w:rsid w:val="002009C9"/>
    <w:rsid w:val="00200A18"/>
    <w:rsid w:val="00200CAA"/>
    <w:rsid w:val="00200DE6"/>
    <w:rsid w:val="00200E83"/>
    <w:rsid w:val="00200E93"/>
    <w:rsid w:val="00200F0E"/>
    <w:rsid w:val="00200F29"/>
    <w:rsid w:val="00200F93"/>
    <w:rsid w:val="00200FE3"/>
    <w:rsid w:val="002010FE"/>
    <w:rsid w:val="002012EB"/>
    <w:rsid w:val="002013D6"/>
    <w:rsid w:val="00201549"/>
    <w:rsid w:val="002015B0"/>
    <w:rsid w:val="0020161A"/>
    <w:rsid w:val="00201668"/>
    <w:rsid w:val="00201729"/>
    <w:rsid w:val="00201944"/>
    <w:rsid w:val="00201A04"/>
    <w:rsid w:val="00201B5C"/>
    <w:rsid w:val="00201DC3"/>
    <w:rsid w:val="00201E92"/>
    <w:rsid w:val="00202027"/>
    <w:rsid w:val="0020210C"/>
    <w:rsid w:val="00202153"/>
    <w:rsid w:val="00202258"/>
    <w:rsid w:val="0020245B"/>
    <w:rsid w:val="00202497"/>
    <w:rsid w:val="002024A1"/>
    <w:rsid w:val="002024B4"/>
    <w:rsid w:val="002024D8"/>
    <w:rsid w:val="002026D3"/>
    <w:rsid w:val="00202760"/>
    <w:rsid w:val="00202795"/>
    <w:rsid w:val="00202D5A"/>
    <w:rsid w:val="00202DB1"/>
    <w:rsid w:val="00202E6B"/>
    <w:rsid w:val="00202EB7"/>
    <w:rsid w:val="00202F13"/>
    <w:rsid w:val="00203160"/>
    <w:rsid w:val="00203478"/>
    <w:rsid w:val="002037AA"/>
    <w:rsid w:val="0020387F"/>
    <w:rsid w:val="00203994"/>
    <w:rsid w:val="00203B01"/>
    <w:rsid w:val="00203D59"/>
    <w:rsid w:val="00203FFC"/>
    <w:rsid w:val="0020418F"/>
    <w:rsid w:val="0020419E"/>
    <w:rsid w:val="00204348"/>
    <w:rsid w:val="00204365"/>
    <w:rsid w:val="00204371"/>
    <w:rsid w:val="002043DF"/>
    <w:rsid w:val="00204586"/>
    <w:rsid w:val="002046F8"/>
    <w:rsid w:val="002047CE"/>
    <w:rsid w:val="00204814"/>
    <w:rsid w:val="0020486E"/>
    <w:rsid w:val="00204A60"/>
    <w:rsid w:val="00204B63"/>
    <w:rsid w:val="00204C5F"/>
    <w:rsid w:val="00204C63"/>
    <w:rsid w:val="00204C8D"/>
    <w:rsid w:val="00204CF3"/>
    <w:rsid w:val="00204E62"/>
    <w:rsid w:val="00204F1F"/>
    <w:rsid w:val="00205085"/>
    <w:rsid w:val="002050D3"/>
    <w:rsid w:val="00205219"/>
    <w:rsid w:val="0020525B"/>
    <w:rsid w:val="00205413"/>
    <w:rsid w:val="00205424"/>
    <w:rsid w:val="00205708"/>
    <w:rsid w:val="00205B3A"/>
    <w:rsid w:val="00205D08"/>
    <w:rsid w:val="00205E33"/>
    <w:rsid w:val="00205EA1"/>
    <w:rsid w:val="00205EB0"/>
    <w:rsid w:val="00205F57"/>
    <w:rsid w:val="00205F8F"/>
    <w:rsid w:val="002062AE"/>
    <w:rsid w:val="002062DA"/>
    <w:rsid w:val="0020634D"/>
    <w:rsid w:val="0020634F"/>
    <w:rsid w:val="00206482"/>
    <w:rsid w:val="00206498"/>
    <w:rsid w:val="002064F7"/>
    <w:rsid w:val="00206599"/>
    <w:rsid w:val="002065AB"/>
    <w:rsid w:val="002066BB"/>
    <w:rsid w:val="00206847"/>
    <w:rsid w:val="00206D01"/>
    <w:rsid w:val="00206E1F"/>
    <w:rsid w:val="00206E5B"/>
    <w:rsid w:val="00206ECA"/>
    <w:rsid w:val="00206F0E"/>
    <w:rsid w:val="00206F4D"/>
    <w:rsid w:val="00207048"/>
    <w:rsid w:val="0020719B"/>
    <w:rsid w:val="0020723F"/>
    <w:rsid w:val="00207258"/>
    <w:rsid w:val="002072FE"/>
    <w:rsid w:val="0020735A"/>
    <w:rsid w:val="0020737B"/>
    <w:rsid w:val="00207461"/>
    <w:rsid w:val="002074D1"/>
    <w:rsid w:val="002074D3"/>
    <w:rsid w:val="002075BC"/>
    <w:rsid w:val="0020760C"/>
    <w:rsid w:val="0020762B"/>
    <w:rsid w:val="00207707"/>
    <w:rsid w:val="00207776"/>
    <w:rsid w:val="002077C4"/>
    <w:rsid w:val="00207839"/>
    <w:rsid w:val="00207882"/>
    <w:rsid w:val="002078FE"/>
    <w:rsid w:val="00207983"/>
    <w:rsid w:val="002079AC"/>
    <w:rsid w:val="002079AF"/>
    <w:rsid w:val="00207B41"/>
    <w:rsid w:val="00207BC4"/>
    <w:rsid w:val="00207CEB"/>
    <w:rsid w:val="00207D19"/>
    <w:rsid w:val="00207D32"/>
    <w:rsid w:val="00207D5B"/>
    <w:rsid w:val="00207F6B"/>
    <w:rsid w:val="00207F91"/>
    <w:rsid w:val="0021011C"/>
    <w:rsid w:val="00210277"/>
    <w:rsid w:val="00210320"/>
    <w:rsid w:val="0021037E"/>
    <w:rsid w:val="002103C3"/>
    <w:rsid w:val="00210471"/>
    <w:rsid w:val="00210601"/>
    <w:rsid w:val="00210632"/>
    <w:rsid w:val="002106F5"/>
    <w:rsid w:val="00210907"/>
    <w:rsid w:val="00210A07"/>
    <w:rsid w:val="00210A4F"/>
    <w:rsid w:val="00210B9F"/>
    <w:rsid w:val="00210D05"/>
    <w:rsid w:val="00210D30"/>
    <w:rsid w:val="00210E22"/>
    <w:rsid w:val="00210EA8"/>
    <w:rsid w:val="00210FEF"/>
    <w:rsid w:val="0021100C"/>
    <w:rsid w:val="00211033"/>
    <w:rsid w:val="00211136"/>
    <w:rsid w:val="0021130A"/>
    <w:rsid w:val="00211577"/>
    <w:rsid w:val="0021166B"/>
    <w:rsid w:val="002117A6"/>
    <w:rsid w:val="00211819"/>
    <w:rsid w:val="0021187F"/>
    <w:rsid w:val="00211A11"/>
    <w:rsid w:val="00211AE4"/>
    <w:rsid w:val="00211AED"/>
    <w:rsid w:val="00211C79"/>
    <w:rsid w:val="00211D27"/>
    <w:rsid w:val="00211E86"/>
    <w:rsid w:val="00211EC5"/>
    <w:rsid w:val="00211ED5"/>
    <w:rsid w:val="00211F36"/>
    <w:rsid w:val="00211FD6"/>
    <w:rsid w:val="0021228C"/>
    <w:rsid w:val="00212381"/>
    <w:rsid w:val="002123A2"/>
    <w:rsid w:val="00212501"/>
    <w:rsid w:val="002125E5"/>
    <w:rsid w:val="00212618"/>
    <w:rsid w:val="0021269E"/>
    <w:rsid w:val="002126DC"/>
    <w:rsid w:val="002127FB"/>
    <w:rsid w:val="002129CD"/>
    <w:rsid w:val="00212A34"/>
    <w:rsid w:val="00212A79"/>
    <w:rsid w:val="00212A92"/>
    <w:rsid w:val="00212AA6"/>
    <w:rsid w:val="00212B7F"/>
    <w:rsid w:val="00212E70"/>
    <w:rsid w:val="00212F99"/>
    <w:rsid w:val="00213037"/>
    <w:rsid w:val="002131D7"/>
    <w:rsid w:val="00213225"/>
    <w:rsid w:val="002133D7"/>
    <w:rsid w:val="002133DF"/>
    <w:rsid w:val="0021340F"/>
    <w:rsid w:val="00213499"/>
    <w:rsid w:val="00213549"/>
    <w:rsid w:val="0021398C"/>
    <w:rsid w:val="002139F4"/>
    <w:rsid w:val="00213A3E"/>
    <w:rsid w:val="00213A8F"/>
    <w:rsid w:val="00213AC2"/>
    <w:rsid w:val="00213AFE"/>
    <w:rsid w:val="00213B8F"/>
    <w:rsid w:val="00213C11"/>
    <w:rsid w:val="00213D00"/>
    <w:rsid w:val="00213D49"/>
    <w:rsid w:val="00213D5F"/>
    <w:rsid w:val="00213DFC"/>
    <w:rsid w:val="00214165"/>
    <w:rsid w:val="002141A2"/>
    <w:rsid w:val="002142BD"/>
    <w:rsid w:val="00214413"/>
    <w:rsid w:val="00214542"/>
    <w:rsid w:val="002145A8"/>
    <w:rsid w:val="0021462D"/>
    <w:rsid w:val="00214721"/>
    <w:rsid w:val="00214B1F"/>
    <w:rsid w:val="00214BBC"/>
    <w:rsid w:val="00214C42"/>
    <w:rsid w:val="00214E88"/>
    <w:rsid w:val="00214EB2"/>
    <w:rsid w:val="00215243"/>
    <w:rsid w:val="00215246"/>
    <w:rsid w:val="0021524A"/>
    <w:rsid w:val="0021531A"/>
    <w:rsid w:val="002153A8"/>
    <w:rsid w:val="002153E3"/>
    <w:rsid w:val="0021540F"/>
    <w:rsid w:val="00215436"/>
    <w:rsid w:val="00215472"/>
    <w:rsid w:val="002155EE"/>
    <w:rsid w:val="002156CC"/>
    <w:rsid w:val="00215820"/>
    <w:rsid w:val="00215857"/>
    <w:rsid w:val="00215A06"/>
    <w:rsid w:val="00215DCE"/>
    <w:rsid w:val="00215E0E"/>
    <w:rsid w:val="00215EEE"/>
    <w:rsid w:val="00215FB9"/>
    <w:rsid w:val="00216066"/>
    <w:rsid w:val="0021610C"/>
    <w:rsid w:val="00216127"/>
    <w:rsid w:val="002162E7"/>
    <w:rsid w:val="002163FA"/>
    <w:rsid w:val="0021655D"/>
    <w:rsid w:val="0021665A"/>
    <w:rsid w:val="0021673E"/>
    <w:rsid w:val="00216782"/>
    <w:rsid w:val="00216832"/>
    <w:rsid w:val="002169B5"/>
    <w:rsid w:val="00216D20"/>
    <w:rsid w:val="00216D4E"/>
    <w:rsid w:val="00216EC4"/>
    <w:rsid w:val="00216FED"/>
    <w:rsid w:val="0021708D"/>
    <w:rsid w:val="0021720F"/>
    <w:rsid w:val="0021725E"/>
    <w:rsid w:val="00217284"/>
    <w:rsid w:val="002172A0"/>
    <w:rsid w:val="00217399"/>
    <w:rsid w:val="0021746B"/>
    <w:rsid w:val="00217477"/>
    <w:rsid w:val="00217561"/>
    <w:rsid w:val="0021765D"/>
    <w:rsid w:val="0021770A"/>
    <w:rsid w:val="0021777F"/>
    <w:rsid w:val="002177C5"/>
    <w:rsid w:val="002179F4"/>
    <w:rsid w:val="00217A83"/>
    <w:rsid w:val="00217B78"/>
    <w:rsid w:val="00217B8C"/>
    <w:rsid w:val="00217D19"/>
    <w:rsid w:val="002202C2"/>
    <w:rsid w:val="002202F3"/>
    <w:rsid w:val="00220493"/>
    <w:rsid w:val="002204C3"/>
    <w:rsid w:val="002206AA"/>
    <w:rsid w:val="00220729"/>
    <w:rsid w:val="002208A5"/>
    <w:rsid w:val="00220990"/>
    <w:rsid w:val="002209C9"/>
    <w:rsid w:val="00220A31"/>
    <w:rsid w:val="00220ABB"/>
    <w:rsid w:val="00220AD0"/>
    <w:rsid w:val="00220D31"/>
    <w:rsid w:val="00220D50"/>
    <w:rsid w:val="00220D6F"/>
    <w:rsid w:val="00220E36"/>
    <w:rsid w:val="00220EF4"/>
    <w:rsid w:val="00220F26"/>
    <w:rsid w:val="002212BC"/>
    <w:rsid w:val="002212EB"/>
    <w:rsid w:val="002213A8"/>
    <w:rsid w:val="002213D2"/>
    <w:rsid w:val="00221481"/>
    <w:rsid w:val="00221690"/>
    <w:rsid w:val="0022179A"/>
    <w:rsid w:val="00221970"/>
    <w:rsid w:val="002219D4"/>
    <w:rsid w:val="002219E3"/>
    <w:rsid w:val="00221ACF"/>
    <w:rsid w:val="00221B1B"/>
    <w:rsid w:val="00221C44"/>
    <w:rsid w:val="00221DCB"/>
    <w:rsid w:val="00221F8E"/>
    <w:rsid w:val="00221FC6"/>
    <w:rsid w:val="00222141"/>
    <w:rsid w:val="00222280"/>
    <w:rsid w:val="002223BD"/>
    <w:rsid w:val="00222498"/>
    <w:rsid w:val="002224FC"/>
    <w:rsid w:val="00222694"/>
    <w:rsid w:val="0022274E"/>
    <w:rsid w:val="002228A4"/>
    <w:rsid w:val="002228F5"/>
    <w:rsid w:val="00222B43"/>
    <w:rsid w:val="00222B51"/>
    <w:rsid w:val="00222B95"/>
    <w:rsid w:val="00222C02"/>
    <w:rsid w:val="00222CE8"/>
    <w:rsid w:val="00222E4D"/>
    <w:rsid w:val="00222E51"/>
    <w:rsid w:val="00222F65"/>
    <w:rsid w:val="00223012"/>
    <w:rsid w:val="0022304B"/>
    <w:rsid w:val="00223124"/>
    <w:rsid w:val="00223339"/>
    <w:rsid w:val="002233EC"/>
    <w:rsid w:val="002237B4"/>
    <w:rsid w:val="002237D9"/>
    <w:rsid w:val="002238FD"/>
    <w:rsid w:val="00223975"/>
    <w:rsid w:val="002239D2"/>
    <w:rsid w:val="002239F4"/>
    <w:rsid w:val="00223A13"/>
    <w:rsid w:val="00223ABF"/>
    <w:rsid w:val="00223E06"/>
    <w:rsid w:val="002240EC"/>
    <w:rsid w:val="00224618"/>
    <w:rsid w:val="00224902"/>
    <w:rsid w:val="00224963"/>
    <w:rsid w:val="00224A49"/>
    <w:rsid w:val="00224A70"/>
    <w:rsid w:val="00224B45"/>
    <w:rsid w:val="00224BE2"/>
    <w:rsid w:val="00224C18"/>
    <w:rsid w:val="00224C36"/>
    <w:rsid w:val="00225006"/>
    <w:rsid w:val="00225033"/>
    <w:rsid w:val="00225205"/>
    <w:rsid w:val="00225269"/>
    <w:rsid w:val="00225293"/>
    <w:rsid w:val="002253C8"/>
    <w:rsid w:val="002253E5"/>
    <w:rsid w:val="00225439"/>
    <w:rsid w:val="0022549D"/>
    <w:rsid w:val="002254A3"/>
    <w:rsid w:val="002254EA"/>
    <w:rsid w:val="0022559E"/>
    <w:rsid w:val="00225603"/>
    <w:rsid w:val="002256F6"/>
    <w:rsid w:val="0022586D"/>
    <w:rsid w:val="00225870"/>
    <w:rsid w:val="002259EF"/>
    <w:rsid w:val="00225A59"/>
    <w:rsid w:val="00225B4F"/>
    <w:rsid w:val="00225BB6"/>
    <w:rsid w:val="00225C55"/>
    <w:rsid w:val="00225D14"/>
    <w:rsid w:val="00225D44"/>
    <w:rsid w:val="00225D56"/>
    <w:rsid w:val="00225D97"/>
    <w:rsid w:val="00225E85"/>
    <w:rsid w:val="00225EDD"/>
    <w:rsid w:val="00225F71"/>
    <w:rsid w:val="00225FC9"/>
    <w:rsid w:val="0022606D"/>
    <w:rsid w:val="00226330"/>
    <w:rsid w:val="002263AC"/>
    <w:rsid w:val="0022640C"/>
    <w:rsid w:val="00226486"/>
    <w:rsid w:val="00226574"/>
    <w:rsid w:val="002266BD"/>
    <w:rsid w:val="002266E6"/>
    <w:rsid w:val="00226949"/>
    <w:rsid w:val="00226A26"/>
    <w:rsid w:val="00226B45"/>
    <w:rsid w:val="00226B5B"/>
    <w:rsid w:val="00226BBA"/>
    <w:rsid w:val="00226C8E"/>
    <w:rsid w:val="00226E16"/>
    <w:rsid w:val="00226E1C"/>
    <w:rsid w:val="00226FD8"/>
    <w:rsid w:val="00226FE2"/>
    <w:rsid w:val="0022701C"/>
    <w:rsid w:val="00227031"/>
    <w:rsid w:val="0022703C"/>
    <w:rsid w:val="0022727A"/>
    <w:rsid w:val="002272B5"/>
    <w:rsid w:val="002276D1"/>
    <w:rsid w:val="0022775D"/>
    <w:rsid w:val="00227A60"/>
    <w:rsid w:val="00227A9D"/>
    <w:rsid w:val="00227B42"/>
    <w:rsid w:val="00227D0A"/>
    <w:rsid w:val="00227DAD"/>
    <w:rsid w:val="00230028"/>
    <w:rsid w:val="00230158"/>
    <w:rsid w:val="002301BD"/>
    <w:rsid w:val="00230229"/>
    <w:rsid w:val="00230301"/>
    <w:rsid w:val="00230391"/>
    <w:rsid w:val="00230454"/>
    <w:rsid w:val="0023052C"/>
    <w:rsid w:val="00230534"/>
    <w:rsid w:val="002308BE"/>
    <w:rsid w:val="00230987"/>
    <w:rsid w:val="00230A95"/>
    <w:rsid w:val="00230B3A"/>
    <w:rsid w:val="00230CDA"/>
    <w:rsid w:val="00230D57"/>
    <w:rsid w:val="00230E35"/>
    <w:rsid w:val="00231258"/>
    <w:rsid w:val="002313FA"/>
    <w:rsid w:val="002314EB"/>
    <w:rsid w:val="00231502"/>
    <w:rsid w:val="00231509"/>
    <w:rsid w:val="0023155C"/>
    <w:rsid w:val="00231674"/>
    <w:rsid w:val="002317EE"/>
    <w:rsid w:val="0023183A"/>
    <w:rsid w:val="00231BCF"/>
    <w:rsid w:val="00231C8C"/>
    <w:rsid w:val="00231E01"/>
    <w:rsid w:val="00232159"/>
    <w:rsid w:val="0023220B"/>
    <w:rsid w:val="00232449"/>
    <w:rsid w:val="0023244E"/>
    <w:rsid w:val="002325F4"/>
    <w:rsid w:val="002325F6"/>
    <w:rsid w:val="00232607"/>
    <w:rsid w:val="002328E7"/>
    <w:rsid w:val="00232AC4"/>
    <w:rsid w:val="00232AC6"/>
    <w:rsid w:val="00232ADA"/>
    <w:rsid w:val="00232BDC"/>
    <w:rsid w:val="00232CF8"/>
    <w:rsid w:val="00232D0A"/>
    <w:rsid w:val="00232E05"/>
    <w:rsid w:val="00232EB7"/>
    <w:rsid w:val="00232F63"/>
    <w:rsid w:val="00232FFC"/>
    <w:rsid w:val="0023317F"/>
    <w:rsid w:val="00233212"/>
    <w:rsid w:val="00233380"/>
    <w:rsid w:val="00233441"/>
    <w:rsid w:val="002336C6"/>
    <w:rsid w:val="0023376F"/>
    <w:rsid w:val="00233843"/>
    <w:rsid w:val="002338C4"/>
    <w:rsid w:val="0023390F"/>
    <w:rsid w:val="00233ADD"/>
    <w:rsid w:val="00233B37"/>
    <w:rsid w:val="00233C1C"/>
    <w:rsid w:val="00233E03"/>
    <w:rsid w:val="00233EBF"/>
    <w:rsid w:val="00233F07"/>
    <w:rsid w:val="00234052"/>
    <w:rsid w:val="002342D7"/>
    <w:rsid w:val="002344ED"/>
    <w:rsid w:val="0023453A"/>
    <w:rsid w:val="00234574"/>
    <w:rsid w:val="002346CD"/>
    <w:rsid w:val="002349D4"/>
    <w:rsid w:val="00234A6B"/>
    <w:rsid w:val="00234BA0"/>
    <w:rsid w:val="00234BF1"/>
    <w:rsid w:val="00234C9B"/>
    <w:rsid w:val="00234CB1"/>
    <w:rsid w:val="00234D87"/>
    <w:rsid w:val="00234E8A"/>
    <w:rsid w:val="00234F27"/>
    <w:rsid w:val="00234F63"/>
    <w:rsid w:val="00234F8D"/>
    <w:rsid w:val="00235062"/>
    <w:rsid w:val="0023513A"/>
    <w:rsid w:val="002351DB"/>
    <w:rsid w:val="00235203"/>
    <w:rsid w:val="0023521D"/>
    <w:rsid w:val="0023525E"/>
    <w:rsid w:val="00235330"/>
    <w:rsid w:val="00235348"/>
    <w:rsid w:val="0023544C"/>
    <w:rsid w:val="002354E3"/>
    <w:rsid w:val="002355A0"/>
    <w:rsid w:val="002355E2"/>
    <w:rsid w:val="002359BE"/>
    <w:rsid w:val="002359F0"/>
    <w:rsid w:val="00235A93"/>
    <w:rsid w:val="00235ABC"/>
    <w:rsid w:val="00235B01"/>
    <w:rsid w:val="00235B36"/>
    <w:rsid w:val="00235BEA"/>
    <w:rsid w:val="00235D8A"/>
    <w:rsid w:val="00235DBC"/>
    <w:rsid w:val="002360B5"/>
    <w:rsid w:val="00236252"/>
    <w:rsid w:val="00236295"/>
    <w:rsid w:val="002362A6"/>
    <w:rsid w:val="002362B1"/>
    <w:rsid w:val="002363E6"/>
    <w:rsid w:val="002366AC"/>
    <w:rsid w:val="00236800"/>
    <w:rsid w:val="00236894"/>
    <w:rsid w:val="00236902"/>
    <w:rsid w:val="00236905"/>
    <w:rsid w:val="0023698F"/>
    <w:rsid w:val="00236A9F"/>
    <w:rsid w:val="00236AE5"/>
    <w:rsid w:val="00236BE3"/>
    <w:rsid w:val="00236D9B"/>
    <w:rsid w:val="00236E5E"/>
    <w:rsid w:val="00236EB3"/>
    <w:rsid w:val="00236EF2"/>
    <w:rsid w:val="00236F25"/>
    <w:rsid w:val="00236F81"/>
    <w:rsid w:val="00236FA3"/>
    <w:rsid w:val="0023704B"/>
    <w:rsid w:val="002370E4"/>
    <w:rsid w:val="00237112"/>
    <w:rsid w:val="00237180"/>
    <w:rsid w:val="002371A3"/>
    <w:rsid w:val="002371EC"/>
    <w:rsid w:val="0023727B"/>
    <w:rsid w:val="0023727D"/>
    <w:rsid w:val="00237306"/>
    <w:rsid w:val="0023747F"/>
    <w:rsid w:val="0023748A"/>
    <w:rsid w:val="002375CF"/>
    <w:rsid w:val="0023760F"/>
    <w:rsid w:val="0023774D"/>
    <w:rsid w:val="0023784A"/>
    <w:rsid w:val="002379BC"/>
    <w:rsid w:val="00237BC3"/>
    <w:rsid w:val="00237CD1"/>
    <w:rsid w:val="00237EED"/>
    <w:rsid w:val="00240038"/>
    <w:rsid w:val="0024006B"/>
    <w:rsid w:val="0024010F"/>
    <w:rsid w:val="002401F9"/>
    <w:rsid w:val="00240237"/>
    <w:rsid w:val="00240A2D"/>
    <w:rsid w:val="00240A75"/>
    <w:rsid w:val="00240AC9"/>
    <w:rsid w:val="00240AF4"/>
    <w:rsid w:val="00240B43"/>
    <w:rsid w:val="00240C6F"/>
    <w:rsid w:val="00240EEC"/>
    <w:rsid w:val="00240FE9"/>
    <w:rsid w:val="002413A6"/>
    <w:rsid w:val="0024149A"/>
    <w:rsid w:val="002414E6"/>
    <w:rsid w:val="00241524"/>
    <w:rsid w:val="00241580"/>
    <w:rsid w:val="002415D5"/>
    <w:rsid w:val="00241705"/>
    <w:rsid w:val="002417B3"/>
    <w:rsid w:val="0024190F"/>
    <w:rsid w:val="00241AFF"/>
    <w:rsid w:val="00241B32"/>
    <w:rsid w:val="00241C9A"/>
    <w:rsid w:val="00241CBF"/>
    <w:rsid w:val="00241D3D"/>
    <w:rsid w:val="00241ED4"/>
    <w:rsid w:val="002421B2"/>
    <w:rsid w:val="002421F1"/>
    <w:rsid w:val="0024222F"/>
    <w:rsid w:val="002422A8"/>
    <w:rsid w:val="002424FB"/>
    <w:rsid w:val="0024258B"/>
    <w:rsid w:val="0024274B"/>
    <w:rsid w:val="00242AF5"/>
    <w:rsid w:val="00242B32"/>
    <w:rsid w:val="00242B5B"/>
    <w:rsid w:val="00242C77"/>
    <w:rsid w:val="00242CA3"/>
    <w:rsid w:val="00242CE4"/>
    <w:rsid w:val="00242E5E"/>
    <w:rsid w:val="0024315E"/>
    <w:rsid w:val="00243314"/>
    <w:rsid w:val="00243532"/>
    <w:rsid w:val="00243548"/>
    <w:rsid w:val="0024365A"/>
    <w:rsid w:val="002438BB"/>
    <w:rsid w:val="002438D2"/>
    <w:rsid w:val="0024398A"/>
    <w:rsid w:val="00243ADE"/>
    <w:rsid w:val="00243AED"/>
    <w:rsid w:val="00243B2D"/>
    <w:rsid w:val="00243B6B"/>
    <w:rsid w:val="00243BD4"/>
    <w:rsid w:val="00243C84"/>
    <w:rsid w:val="00243E4E"/>
    <w:rsid w:val="00243E64"/>
    <w:rsid w:val="0024401D"/>
    <w:rsid w:val="00244035"/>
    <w:rsid w:val="0024406C"/>
    <w:rsid w:val="002440C4"/>
    <w:rsid w:val="0024411D"/>
    <w:rsid w:val="002441A0"/>
    <w:rsid w:val="002443EA"/>
    <w:rsid w:val="00244543"/>
    <w:rsid w:val="00244695"/>
    <w:rsid w:val="002446FA"/>
    <w:rsid w:val="00244752"/>
    <w:rsid w:val="00244990"/>
    <w:rsid w:val="00244AE0"/>
    <w:rsid w:val="00244B90"/>
    <w:rsid w:val="00244D7C"/>
    <w:rsid w:val="00244E2D"/>
    <w:rsid w:val="00244EE1"/>
    <w:rsid w:val="00244F4C"/>
    <w:rsid w:val="00245005"/>
    <w:rsid w:val="002450F4"/>
    <w:rsid w:val="0024515C"/>
    <w:rsid w:val="00245183"/>
    <w:rsid w:val="002452AE"/>
    <w:rsid w:val="002453C4"/>
    <w:rsid w:val="002453E4"/>
    <w:rsid w:val="00245458"/>
    <w:rsid w:val="0024546A"/>
    <w:rsid w:val="0024550B"/>
    <w:rsid w:val="002457D9"/>
    <w:rsid w:val="0024585D"/>
    <w:rsid w:val="00245866"/>
    <w:rsid w:val="00245908"/>
    <w:rsid w:val="002459B7"/>
    <w:rsid w:val="00245A40"/>
    <w:rsid w:val="00245AA5"/>
    <w:rsid w:val="00245B6F"/>
    <w:rsid w:val="00245D6E"/>
    <w:rsid w:val="00245D91"/>
    <w:rsid w:val="00245DDB"/>
    <w:rsid w:val="00245E5A"/>
    <w:rsid w:val="00245E91"/>
    <w:rsid w:val="00245EBA"/>
    <w:rsid w:val="00245F13"/>
    <w:rsid w:val="00245F21"/>
    <w:rsid w:val="00245F8F"/>
    <w:rsid w:val="002460D3"/>
    <w:rsid w:val="002461A5"/>
    <w:rsid w:val="00246295"/>
    <w:rsid w:val="002462FC"/>
    <w:rsid w:val="0024630A"/>
    <w:rsid w:val="00246315"/>
    <w:rsid w:val="002465B9"/>
    <w:rsid w:val="0024664A"/>
    <w:rsid w:val="0024665F"/>
    <w:rsid w:val="002466BF"/>
    <w:rsid w:val="002466D3"/>
    <w:rsid w:val="00246770"/>
    <w:rsid w:val="0024681C"/>
    <w:rsid w:val="00246869"/>
    <w:rsid w:val="00246947"/>
    <w:rsid w:val="0024699B"/>
    <w:rsid w:val="002469F8"/>
    <w:rsid w:val="00246AAA"/>
    <w:rsid w:val="00246B50"/>
    <w:rsid w:val="00246B60"/>
    <w:rsid w:val="00246CC6"/>
    <w:rsid w:val="00246D07"/>
    <w:rsid w:val="0024710A"/>
    <w:rsid w:val="00247127"/>
    <w:rsid w:val="002473DE"/>
    <w:rsid w:val="00247445"/>
    <w:rsid w:val="00247512"/>
    <w:rsid w:val="002475DE"/>
    <w:rsid w:val="0024762F"/>
    <w:rsid w:val="00247729"/>
    <w:rsid w:val="002477B3"/>
    <w:rsid w:val="00247897"/>
    <w:rsid w:val="002479F2"/>
    <w:rsid w:val="00247BB3"/>
    <w:rsid w:val="00247BD7"/>
    <w:rsid w:val="00247BE6"/>
    <w:rsid w:val="00247C5E"/>
    <w:rsid w:val="00247C97"/>
    <w:rsid w:val="00247DCB"/>
    <w:rsid w:val="002500DA"/>
    <w:rsid w:val="0025013A"/>
    <w:rsid w:val="00250186"/>
    <w:rsid w:val="00250219"/>
    <w:rsid w:val="0025049B"/>
    <w:rsid w:val="0025055E"/>
    <w:rsid w:val="00250687"/>
    <w:rsid w:val="002506D2"/>
    <w:rsid w:val="0025083E"/>
    <w:rsid w:val="00250975"/>
    <w:rsid w:val="00250A5D"/>
    <w:rsid w:val="00250A70"/>
    <w:rsid w:val="00250AA8"/>
    <w:rsid w:val="00250BDE"/>
    <w:rsid w:val="00250C52"/>
    <w:rsid w:val="00250C6D"/>
    <w:rsid w:val="00250D96"/>
    <w:rsid w:val="00250DE6"/>
    <w:rsid w:val="00250E27"/>
    <w:rsid w:val="00250ECC"/>
    <w:rsid w:val="00251085"/>
    <w:rsid w:val="002511D9"/>
    <w:rsid w:val="002511EC"/>
    <w:rsid w:val="00251229"/>
    <w:rsid w:val="00251252"/>
    <w:rsid w:val="00251376"/>
    <w:rsid w:val="002513BF"/>
    <w:rsid w:val="002514D8"/>
    <w:rsid w:val="00251696"/>
    <w:rsid w:val="002516E2"/>
    <w:rsid w:val="002518CE"/>
    <w:rsid w:val="002518F7"/>
    <w:rsid w:val="00251A17"/>
    <w:rsid w:val="00251A89"/>
    <w:rsid w:val="00251B8B"/>
    <w:rsid w:val="00251D4D"/>
    <w:rsid w:val="00251E0B"/>
    <w:rsid w:val="00251F64"/>
    <w:rsid w:val="00252059"/>
    <w:rsid w:val="002520A0"/>
    <w:rsid w:val="002521D3"/>
    <w:rsid w:val="00252326"/>
    <w:rsid w:val="00252407"/>
    <w:rsid w:val="0025244D"/>
    <w:rsid w:val="00252500"/>
    <w:rsid w:val="00252588"/>
    <w:rsid w:val="0025264A"/>
    <w:rsid w:val="00252704"/>
    <w:rsid w:val="0025276B"/>
    <w:rsid w:val="002528FF"/>
    <w:rsid w:val="0025292D"/>
    <w:rsid w:val="00252D50"/>
    <w:rsid w:val="00252DCA"/>
    <w:rsid w:val="00252E56"/>
    <w:rsid w:val="00252F93"/>
    <w:rsid w:val="0025348D"/>
    <w:rsid w:val="0025355E"/>
    <w:rsid w:val="002535C6"/>
    <w:rsid w:val="002537CD"/>
    <w:rsid w:val="00253808"/>
    <w:rsid w:val="0025383A"/>
    <w:rsid w:val="002538DF"/>
    <w:rsid w:val="002538E1"/>
    <w:rsid w:val="002539D1"/>
    <w:rsid w:val="002540AE"/>
    <w:rsid w:val="002540EC"/>
    <w:rsid w:val="0025411D"/>
    <w:rsid w:val="00254154"/>
    <w:rsid w:val="002543D8"/>
    <w:rsid w:val="002545A6"/>
    <w:rsid w:val="00254853"/>
    <w:rsid w:val="00254945"/>
    <w:rsid w:val="00254BCC"/>
    <w:rsid w:val="00254C72"/>
    <w:rsid w:val="00254C89"/>
    <w:rsid w:val="00254D1C"/>
    <w:rsid w:val="00254DAF"/>
    <w:rsid w:val="00254DC7"/>
    <w:rsid w:val="00254DE8"/>
    <w:rsid w:val="00254EF8"/>
    <w:rsid w:val="00254F77"/>
    <w:rsid w:val="00254FE4"/>
    <w:rsid w:val="0025501E"/>
    <w:rsid w:val="00255030"/>
    <w:rsid w:val="002550CF"/>
    <w:rsid w:val="002551BE"/>
    <w:rsid w:val="002552EB"/>
    <w:rsid w:val="00255369"/>
    <w:rsid w:val="002553DD"/>
    <w:rsid w:val="002554D6"/>
    <w:rsid w:val="00255606"/>
    <w:rsid w:val="00255622"/>
    <w:rsid w:val="00255642"/>
    <w:rsid w:val="002556CA"/>
    <w:rsid w:val="0025586E"/>
    <w:rsid w:val="002558A1"/>
    <w:rsid w:val="002559AF"/>
    <w:rsid w:val="002559DD"/>
    <w:rsid w:val="00255BB7"/>
    <w:rsid w:val="00255C08"/>
    <w:rsid w:val="00255C23"/>
    <w:rsid w:val="00255C2E"/>
    <w:rsid w:val="00255C5B"/>
    <w:rsid w:val="00255F31"/>
    <w:rsid w:val="00256136"/>
    <w:rsid w:val="002562C5"/>
    <w:rsid w:val="002563A3"/>
    <w:rsid w:val="00256448"/>
    <w:rsid w:val="00256471"/>
    <w:rsid w:val="00256472"/>
    <w:rsid w:val="00256860"/>
    <w:rsid w:val="00256A54"/>
    <w:rsid w:val="00256AFB"/>
    <w:rsid w:val="00256BC1"/>
    <w:rsid w:val="00256D53"/>
    <w:rsid w:val="00256E61"/>
    <w:rsid w:val="00257036"/>
    <w:rsid w:val="00257092"/>
    <w:rsid w:val="00257170"/>
    <w:rsid w:val="0025730A"/>
    <w:rsid w:val="00257380"/>
    <w:rsid w:val="0025742B"/>
    <w:rsid w:val="002574BC"/>
    <w:rsid w:val="00257789"/>
    <w:rsid w:val="002577E0"/>
    <w:rsid w:val="00257958"/>
    <w:rsid w:val="00257964"/>
    <w:rsid w:val="00257A44"/>
    <w:rsid w:val="00257B32"/>
    <w:rsid w:val="00257C45"/>
    <w:rsid w:val="00257EA7"/>
    <w:rsid w:val="00257EB9"/>
    <w:rsid w:val="00257EE2"/>
    <w:rsid w:val="00257F16"/>
    <w:rsid w:val="0026000C"/>
    <w:rsid w:val="0026011F"/>
    <w:rsid w:val="00260124"/>
    <w:rsid w:val="002601E4"/>
    <w:rsid w:val="002604EF"/>
    <w:rsid w:val="002605E3"/>
    <w:rsid w:val="00260672"/>
    <w:rsid w:val="002609CF"/>
    <w:rsid w:val="002609EC"/>
    <w:rsid w:val="00260A91"/>
    <w:rsid w:val="00260DF4"/>
    <w:rsid w:val="00260ECA"/>
    <w:rsid w:val="00261056"/>
    <w:rsid w:val="002610D5"/>
    <w:rsid w:val="002611AE"/>
    <w:rsid w:val="002612AF"/>
    <w:rsid w:val="0026136B"/>
    <w:rsid w:val="002613C0"/>
    <w:rsid w:val="002615AB"/>
    <w:rsid w:val="0026170D"/>
    <w:rsid w:val="0026176F"/>
    <w:rsid w:val="002617E9"/>
    <w:rsid w:val="0026189D"/>
    <w:rsid w:val="0026190E"/>
    <w:rsid w:val="00261C14"/>
    <w:rsid w:val="00261E07"/>
    <w:rsid w:val="00261E0D"/>
    <w:rsid w:val="00261E9D"/>
    <w:rsid w:val="0026205F"/>
    <w:rsid w:val="002620B9"/>
    <w:rsid w:val="002620E4"/>
    <w:rsid w:val="0026212A"/>
    <w:rsid w:val="00262161"/>
    <w:rsid w:val="002621B5"/>
    <w:rsid w:val="00262225"/>
    <w:rsid w:val="00262270"/>
    <w:rsid w:val="002622DA"/>
    <w:rsid w:val="00262461"/>
    <w:rsid w:val="00262654"/>
    <w:rsid w:val="00262808"/>
    <w:rsid w:val="002628DC"/>
    <w:rsid w:val="002629FE"/>
    <w:rsid w:val="00262C95"/>
    <w:rsid w:val="00262E1C"/>
    <w:rsid w:val="00262EED"/>
    <w:rsid w:val="00262EEF"/>
    <w:rsid w:val="00262F82"/>
    <w:rsid w:val="00263038"/>
    <w:rsid w:val="00263189"/>
    <w:rsid w:val="002632A6"/>
    <w:rsid w:val="002633BA"/>
    <w:rsid w:val="002635B8"/>
    <w:rsid w:val="002635C3"/>
    <w:rsid w:val="00263674"/>
    <w:rsid w:val="002636AE"/>
    <w:rsid w:val="00263910"/>
    <w:rsid w:val="00263917"/>
    <w:rsid w:val="002639AC"/>
    <w:rsid w:val="002639D9"/>
    <w:rsid w:val="00263A5A"/>
    <w:rsid w:val="00263A8B"/>
    <w:rsid w:val="00263A8D"/>
    <w:rsid w:val="00263AFA"/>
    <w:rsid w:val="00263B79"/>
    <w:rsid w:val="00263BD0"/>
    <w:rsid w:val="00263D8D"/>
    <w:rsid w:val="00263E16"/>
    <w:rsid w:val="00263E1F"/>
    <w:rsid w:val="00263E49"/>
    <w:rsid w:val="00264067"/>
    <w:rsid w:val="002641BE"/>
    <w:rsid w:val="00264203"/>
    <w:rsid w:val="0026427E"/>
    <w:rsid w:val="0026446E"/>
    <w:rsid w:val="002645E1"/>
    <w:rsid w:val="0026467D"/>
    <w:rsid w:val="00264844"/>
    <w:rsid w:val="00264C2D"/>
    <w:rsid w:val="00264D75"/>
    <w:rsid w:val="00264F24"/>
    <w:rsid w:val="002651B9"/>
    <w:rsid w:val="0026533B"/>
    <w:rsid w:val="0026535F"/>
    <w:rsid w:val="0026537F"/>
    <w:rsid w:val="002654CE"/>
    <w:rsid w:val="00265602"/>
    <w:rsid w:val="00265687"/>
    <w:rsid w:val="00265852"/>
    <w:rsid w:val="002658D0"/>
    <w:rsid w:val="002658F1"/>
    <w:rsid w:val="00265982"/>
    <w:rsid w:val="002659DD"/>
    <w:rsid w:val="00265AF8"/>
    <w:rsid w:val="00265B24"/>
    <w:rsid w:val="00265B56"/>
    <w:rsid w:val="00265CED"/>
    <w:rsid w:val="00265DE0"/>
    <w:rsid w:val="00265E34"/>
    <w:rsid w:val="0026608F"/>
    <w:rsid w:val="002660A2"/>
    <w:rsid w:val="002660C5"/>
    <w:rsid w:val="002662E0"/>
    <w:rsid w:val="0026641A"/>
    <w:rsid w:val="00266671"/>
    <w:rsid w:val="002666AA"/>
    <w:rsid w:val="00266783"/>
    <w:rsid w:val="00266866"/>
    <w:rsid w:val="0026698E"/>
    <w:rsid w:val="00266D05"/>
    <w:rsid w:val="00266D32"/>
    <w:rsid w:val="00266D8F"/>
    <w:rsid w:val="00266F3C"/>
    <w:rsid w:val="0026702A"/>
    <w:rsid w:val="00267306"/>
    <w:rsid w:val="002674BA"/>
    <w:rsid w:val="00267522"/>
    <w:rsid w:val="0026753B"/>
    <w:rsid w:val="00267783"/>
    <w:rsid w:val="002679CC"/>
    <w:rsid w:val="00267A54"/>
    <w:rsid w:val="00267D8C"/>
    <w:rsid w:val="00267E32"/>
    <w:rsid w:val="00267EAA"/>
    <w:rsid w:val="00267F1E"/>
    <w:rsid w:val="00267FB3"/>
    <w:rsid w:val="0027026F"/>
    <w:rsid w:val="00270380"/>
    <w:rsid w:val="002703C6"/>
    <w:rsid w:val="002703EA"/>
    <w:rsid w:val="0027040E"/>
    <w:rsid w:val="002705E4"/>
    <w:rsid w:val="00270654"/>
    <w:rsid w:val="00270696"/>
    <w:rsid w:val="0027078C"/>
    <w:rsid w:val="0027082B"/>
    <w:rsid w:val="00270A02"/>
    <w:rsid w:val="00270A4A"/>
    <w:rsid w:val="00270B4C"/>
    <w:rsid w:val="00270BE7"/>
    <w:rsid w:val="00270CD7"/>
    <w:rsid w:val="00270E04"/>
    <w:rsid w:val="00270E16"/>
    <w:rsid w:val="00270F81"/>
    <w:rsid w:val="0027101E"/>
    <w:rsid w:val="002710E2"/>
    <w:rsid w:val="002711E4"/>
    <w:rsid w:val="00271327"/>
    <w:rsid w:val="00271766"/>
    <w:rsid w:val="002717D6"/>
    <w:rsid w:val="002717F8"/>
    <w:rsid w:val="00271844"/>
    <w:rsid w:val="00271886"/>
    <w:rsid w:val="002719AD"/>
    <w:rsid w:val="002719DD"/>
    <w:rsid w:val="002719E1"/>
    <w:rsid w:val="00271A24"/>
    <w:rsid w:val="00271AD8"/>
    <w:rsid w:val="00271B34"/>
    <w:rsid w:val="00271BCF"/>
    <w:rsid w:val="00271DCA"/>
    <w:rsid w:val="00271E45"/>
    <w:rsid w:val="00271F2C"/>
    <w:rsid w:val="00271F5C"/>
    <w:rsid w:val="00272035"/>
    <w:rsid w:val="0027210E"/>
    <w:rsid w:val="002721B3"/>
    <w:rsid w:val="0027227F"/>
    <w:rsid w:val="00272359"/>
    <w:rsid w:val="0027238E"/>
    <w:rsid w:val="002723AE"/>
    <w:rsid w:val="00272439"/>
    <w:rsid w:val="0027253A"/>
    <w:rsid w:val="0027253B"/>
    <w:rsid w:val="002725EF"/>
    <w:rsid w:val="0027265D"/>
    <w:rsid w:val="002728F9"/>
    <w:rsid w:val="00272904"/>
    <w:rsid w:val="00272DAD"/>
    <w:rsid w:val="00272DE0"/>
    <w:rsid w:val="002730C4"/>
    <w:rsid w:val="002730E5"/>
    <w:rsid w:val="0027310C"/>
    <w:rsid w:val="002731D0"/>
    <w:rsid w:val="0027329F"/>
    <w:rsid w:val="002732C4"/>
    <w:rsid w:val="00273305"/>
    <w:rsid w:val="002733CC"/>
    <w:rsid w:val="00273465"/>
    <w:rsid w:val="002736AC"/>
    <w:rsid w:val="002738A2"/>
    <w:rsid w:val="002738D3"/>
    <w:rsid w:val="00273A7B"/>
    <w:rsid w:val="00273BF4"/>
    <w:rsid w:val="00273C42"/>
    <w:rsid w:val="00273D92"/>
    <w:rsid w:val="002740E9"/>
    <w:rsid w:val="00274156"/>
    <w:rsid w:val="0027425C"/>
    <w:rsid w:val="00274313"/>
    <w:rsid w:val="0027436D"/>
    <w:rsid w:val="002743C8"/>
    <w:rsid w:val="0027448C"/>
    <w:rsid w:val="002745C2"/>
    <w:rsid w:val="002745C6"/>
    <w:rsid w:val="00274AC6"/>
    <w:rsid w:val="00274AF9"/>
    <w:rsid w:val="00274B31"/>
    <w:rsid w:val="00274BFC"/>
    <w:rsid w:val="00274CAD"/>
    <w:rsid w:val="00274E66"/>
    <w:rsid w:val="00274FED"/>
    <w:rsid w:val="00275020"/>
    <w:rsid w:val="002750DB"/>
    <w:rsid w:val="0027510B"/>
    <w:rsid w:val="002753BC"/>
    <w:rsid w:val="00275480"/>
    <w:rsid w:val="0027556A"/>
    <w:rsid w:val="002755F1"/>
    <w:rsid w:val="002755F7"/>
    <w:rsid w:val="0027565F"/>
    <w:rsid w:val="00275878"/>
    <w:rsid w:val="00275899"/>
    <w:rsid w:val="002758B5"/>
    <w:rsid w:val="0027595D"/>
    <w:rsid w:val="00275A05"/>
    <w:rsid w:val="00275A6E"/>
    <w:rsid w:val="00275AA1"/>
    <w:rsid w:val="00275AC9"/>
    <w:rsid w:val="00275B63"/>
    <w:rsid w:val="00275C05"/>
    <w:rsid w:val="00275C98"/>
    <w:rsid w:val="00275D1D"/>
    <w:rsid w:val="00275DEE"/>
    <w:rsid w:val="00275F02"/>
    <w:rsid w:val="00275FA2"/>
    <w:rsid w:val="002761DB"/>
    <w:rsid w:val="002761EF"/>
    <w:rsid w:val="002763BA"/>
    <w:rsid w:val="002766A2"/>
    <w:rsid w:val="002768BF"/>
    <w:rsid w:val="002769F6"/>
    <w:rsid w:val="00276A13"/>
    <w:rsid w:val="00276ACF"/>
    <w:rsid w:val="00276BB3"/>
    <w:rsid w:val="00276BB6"/>
    <w:rsid w:val="00276D38"/>
    <w:rsid w:val="00276EC3"/>
    <w:rsid w:val="00277088"/>
    <w:rsid w:val="002771AA"/>
    <w:rsid w:val="00277320"/>
    <w:rsid w:val="0027746C"/>
    <w:rsid w:val="002774FC"/>
    <w:rsid w:val="00277572"/>
    <w:rsid w:val="00277579"/>
    <w:rsid w:val="002776E4"/>
    <w:rsid w:val="0027782F"/>
    <w:rsid w:val="00277910"/>
    <w:rsid w:val="002779F7"/>
    <w:rsid w:val="00277A4F"/>
    <w:rsid w:val="00277AA5"/>
    <w:rsid w:val="00277B41"/>
    <w:rsid w:val="00277B99"/>
    <w:rsid w:val="00277B9E"/>
    <w:rsid w:val="00277E94"/>
    <w:rsid w:val="00277EE6"/>
    <w:rsid w:val="0028003C"/>
    <w:rsid w:val="002800B3"/>
    <w:rsid w:val="002800DB"/>
    <w:rsid w:val="00280124"/>
    <w:rsid w:val="0028012C"/>
    <w:rsid w:val="0028017E"/>
    <w:rsid w:val="002802AC"/>
    <w:rsid w:val="002802FB"/>
    <w:rsid w:val="002803B1"/>
    <w:rsid w:val="0028056A"/>
    <w:rsid w:val="0028058B"/>
    <w:rsid w:val="002805A1"/>
    <w:rsid w:val="002807A9"/>
    <w:rsid w:val="002808E5"/>
    <w:rsid w:val="00280905"/>
    <w:rsid w:val="002809A8"/>
    <w:rsid w:val="00280A02"/>
    <w:rsid w:val="00280B35"/>
    <w:rsid w:val="00280BF6"/>
    <w:rsid w:val="00280E6E"/>
    <w:rsid w:val="00280E7C"/>
    <w:rsid w:val="00280F4F"/>
    <w:rsid w:val="00280F6F"/>
    <w:rsid w:val="002810A0"/>
    <w:rsid w:val="002810F6"/>
    <w:rsid w:val="0028112D"/>
    <w:rsid w:val="00281143"/>
    <w:rsid w:val="002811F9"/>
    <w:rsid w:val="002814AC"/>
    <w:rsid w:val="0028178B"/>
    <w:rsid w:val="002817A3"/>
    <w:rsid w:val="002818A8"/>
    <w:rsid w:val="002818BD"/>
    <w:rsid w:val="00281A84"/>
    <w:rsid w:val="00281BDA"/>
    <w:rsid w:val="00281CCE"/>
    <w:rsid w:val="00281DDF"/>
    <w:rsid w:val="00281F28"/>
    <w:rsid w:val="00281F51"/>
    <w:rsid w:val="00281FE6"/>
    <w:rsid w:val="00282022"/>
    <w:rsid w:val="0028215C"/>
    <w:rsid w:val="0028219C"/>
    <w:rsid w:val="0028232A"/>
    <w:rsid w:val="00282359"/>
    <w:rsid w:val="002823BE"/>
    <w:rsid w:val="002823EF"/>
    <w:rsid w:val="0028245C"/>
    <w:rsid w:val="00282487"/>
    <w:rsid w:val="002824A6"/>
    <w:rsid w:val="00282620"/>
    <w:rsid w:val="00282656"/>
    <w:rsid w:val="00282768"/>
    <w:rsid w:val="0028277B"/>
    <w:rsid w:val="002827BE"/>
    <w:rsid w:val="002829D7"/>
    <w:rsid w:val="00282AC7"/>
    <w:rsid w:val="00282C2B"/>
    <w:rsid w:val="00282DEF"/>
    <w:rsid w:val="00282E63"/>
    <w:rsid w:val="00282F1C"/>
    <w:rsid w:val="00283320"/>
    <w:rsid w:val="00283423"/>
    <w:rsid w:val="002834D5"/>
    <w:rsid w:val="002837C6"/>
    <w:rsid w:val="00283805"/>
    <w:rsid w:val="0028395D"/>
    <w:rsid w:val="00283994"/>
    <w:rsid w:val="00283BF9"/>
    <w:rsid w:val="00283FF9"/>
    <w:rsid w:val="002840D9"/>
    <w:rsid w:val="0028428C"/>
    <w:rsid w:val="00284361"/>
    <w:rsid w:val="00284409"/>
    <w:rsid w:val="0028451A"/>
    <w:rsid w:val="002846D1"/>
    <w:rsid w:val="002847BA"/>
    <w:rsid w:val="002847C5"/>
    <w:rsid w:val="002848AF"/>
    <w:rsid w:val="002848B3"/>
    <w:rsid w:val="002848B7"/>
    <w:rsid w:val="00284986"/>
    <w:rsid w:val="00284AA1"/>
    <w:rsid w:val="00284B5F"/>
    <w:rsid w:val="00284B93"/>
    <w:rsid w:val="00284C0B"/>
    <w:rsid w:val="00284DCA"/>
    <w:rsid w:val="00284E36"/>
    <w:rsid w:val="00284E5B"/>
    <w:rsid w:val="00284F65"/>
    <w:rsid w:val="00285113"/>
    <w:rsid w:val="002851CF"/>
    <w:rsid w:val="00285272"/>
    <w:rsid w:val="00285308"/>
    <w:rsid w:val="002853BE"/>
    <w:rsid w:val="002855C0"/>
    <w:rsid w:val="00285602"/>
    <w:rsid w:val="0028564C"/>
    <w:rsid w:val="002857C0"/>
    <w:rsid w:val="00285801"/>
    <w:rsid w:val="0028582F"/>
    <w:rsid w:val="0028583D"/>
    <w:rsid w:val="00285894"/>
    <w:rsid w:val="002858C5"/>
    <w:rsid w:val="002859F6"/>
    <w:rsid w:val="00285A6C"/>
    <w:rsid w:val="00285B20"/>
    <w:rsid w:val="00285B29"/>
    <w:rsid w:val="00285BBD"/>
    <w:rsid w:val="00285C10"/>
    <w:rsid w:val="00285C14"/>
    <w:rsid w:val="00285C31"/>
    <w:rsid w:val="00285DF6"/>
    <w:rsid w:val="00285EED"/>
    <w:rsid w:val="00285FA6"/>
    <w:rsid w:val="00286083"/>
    <w:rsid w:val="002860B6"/>
    <w:rsid w:val="002863A6"/>
    <w:rsid w:val="0028653F"/>
    <w:rsid w:val="00286634"/>
    <w:rsid w:val="0028668A"/>
    <w:rsid w:val="002866AA"/>
    <w:rsid w:val="002866F8"/>
    <w:rsid w:val="0028673F"/>
    <w:rsid w:val="002869D0"/>
    <w:rsid w:val="00286A0F"/>
    <w:rsid w:val="00286BB0"/>
    <w:rsid w:val="00286BFB"/>
    <w:rsid w:val="00286C40"/>
    <w:rsid w:val="00286CA2"/>
    <w:rsid w:val="00286D10"/>
    <w:rsid w:val="00286D3A"/>
    <w:rsid w:val="00286E24"/>
    <w:rsid w:val="00286E4C"/>
    <w:rsid w:val="00286EAE"/>
    <w:rsid w:val="00286F01"/>
    <w:rsid w:val="00286F36"/>
    <w:rsid w:val="00286FD8"/>
    <w:rsid w:val="00286FF3"/>
    <w:rsid w:val="00286FFA"/>
    <w:rsid w:val="002870A9"/>
    <w:rsid w:val="002871CB"/>
    <w:rsid w:val="0028727C"/>
    <w:rsid w:val="0028734A"/>
    <w:rsid w:val="00287402"/>
    <w:rsid w:val="002875E1"/>
    <w:rsid w:val="00287757"/>
    <w:rsid w:val="0028793B"/>
    <w:rsid w:val="0028794B"/>
    <w:rsid w:val="00287E80"/>
    <w:rsid w:val="00290052"/>
    <w:rsid w:val="0029022A"/>
    <w:rsid w:val="00290270"/>
    <w:rsid w:val="00290350"/>
    <w:rsid w:val="002905B7"/>
    <w:rsid w:val="0029069A"/>
    <w:rsid w:val="002906ED"/>
    <w:rsid w:val="00290744"/>
    <w:rsid w:val="0029080D"/>
    <w:rsid w:val="002908A0"/>
    <w:rsid w:val="00290ABA"/>
    <w:rsid w:val="00290C0A"/>
    <w:rsid w:val="00290C59"/>
    <w:rsid w:val="00290E91"/>
    <w:rsid w:val="00290F1A"/>
    <w:rsid w:val="00290FE9"/>
    <w:rsid w:val="00291016"/>
    <w:rsid w:val="00291191"/>
    <w:rsid w:val="00291197"/>
    <w:rsid w:val="002911E2"/>
    <w:rsid w:val="00291298"/>
    <w:rsid w:val="00291302"/>
    <w:rsid w:val="00291319"/>
    <w:rsid w:val="002914E2"/>
    <w:rsid w:val="00291696"/>
    <w:rsid w:val="00291754"/>
    <w:rsid w:val="00291A19"/>
    <w:rsid w:val="00291AE1"/>
    <w:rsid w:val="00291CFA"/>
    <w:rsid w:val="00291D40"/>
    <w:rsid w:val="00291EF2"/>
    <w:rsid w:val="00291F5A"/>
    <w:rsid w:val="00292206"/>
    <w:rsid w:val="00292262"/>
    <w:rsid w:val="0029244F"/>
    <w:rsid w:val="002924A8"/>
    <w:rsid w:val="002924C9"/>
    <w:rsid w:val="00292C1C"/>
    <w:rsid w:val="00292CBB"/>
    <w:rsid w:val="00292DB8"/>
    <w:rsid w:val="00292E2C"/>
    <w:rsid w:val="00292E34"/>
    <w:rsid w:val="00292E5B"/>
    <w:rsid w:val="00292FAF"/>
    <w:rsid w:val="00293153"/>
    <w:rsid w:val="002931E0"/>
    <w:rsid w:val="0029323D"/>
    <w:rsid w:val="00293320"/>
    <w:rsid w:val="002933E1"/>
    <w:rsid w:val="00293493"/>
    <w:rsid w:val="002934E3"/>
    <w:rsid w:val="002935F3"/>
    <w:rsid w:val="002936A2"/>
    <w:rsid w:val="0029376C"/>
    <w:rsid w:val="0029388A"/>
    <w:rsid w:val="0029389F"/>
    <w:rsid w:val="00293923"/>
    <w:rsid w:val="002939B9"/>
    <w:rsid w:val="002939E5"/>
    <w:rsid w:val="00293D70"/>
    <w:rsid w:val="00293DDE"/>
    <w:rsid w:val="00293F8F"/>
    <w:rsid w:val="0029406C"/>
    <w:rsid w:val="0029412D"/>
    <w:rsid w:val="002942EF"/>
    <w:rsid w:val="0029430A"/>
    <w:rsid w:val="00294335"/>
    <w:rsid w:val="002943AD"/>
    <w:rsid w:val="002945E3"/>
    <w:rsid w:val="0029482F"/>
    <w:rsid w:val="00294933"/>
    <w:rsid w:val="00294A41"/>
    <w:rsid w:val="00294A6F"/>
    <w:rsid w:val="00294B25"/>
    <w:rsid w:val="00294B73"/>
    <w:rsid w:val="00294BDB"/>
    <w:rsid w:val="00294C40"/>
    <w:rsid w:val="00294CA2"/>
    <w:rsid w:val="00294D36"/>
    <w:rsid w:val="00294DA0"/>
    <w:rsid w:val="00294E3A"/>
    <w:rsid w:val="00294F19"/>
    <w:rsid w:val="00295002"/>
    <w:rsid w:val="002950BB"/>
    <w:rsid w:val="002951A6"/>
    <w:rsid w:val="00295502"/>
    <w:rsid w:val="0029553E"/>
    <w:rsid w:val="00295743"/>
    <w:rsid w:val="00295843"/>
    <w:rsid w:val="00295947"/>
    <w:rsid w:val="00295CC3"/>
    <w:rsid w:val="00295CFD"/>
    <w:rsid w:val="00295D1A"/>
    <w:rsid w:val="00295E74"/>
    <w:rsid w:val="00295EE4"/>
    <w:rsid w:val="0029605E"/>
    <w:rsid w:val="002962C1"/>
    <w:rsid w:val="0029654D"/>
    <w:rsid w:val="0029657A"/>
    <w:rsid w:val="002965AD"/>
    <w:rsid w:val="002965FC"/>
    <w:rsid w:val="002966B8"/>
    <w:rsid w:val="002966FA"/>
    <w:rsid w:val="0029674E"/>
    <w:rsid w:val="00296809"/>
    <w:rsid w:val="002968E6"/>
    <w:rsid w:val="00296A0D"/>
    <w:rsid w:val="00296D45"/>
    <w:rsid w:val="00296D63"/>
    <w:rsid w:val="00296E63"/>
    <w:rsid w:val="00296F7A"/>
    <w:rsid w:val="00297278"/>
    <w:rsid w:val="00297288"/>
    <w:rsid w:val="002972E9"/>
    <w:rsid w:val="00297402"/>
    <w:rsid w:val="00297433"/>
    <w:rsid w:val="002976A4"/>
    <w:rsid w:val="00297718"/>
    <w:rsid w:val="0029778E"/>
    <w:rsid w:val="002977D2"/>
    <w:rsid w:val="002979E0"/>
    <w:rsid w:val="00297A69"/>
    <w:rsid w:val="00297A9B"/>
    <w:rsid w:val="00297AD1"/>
    <w:rsid w:val="00297AFF"/>
    <w:rsid w:val="00297B9D"/>
    <w:rsid w:val="00297C4B"/>
    <w:rsid w:val="00297C8D"/>
    <w:rsid w:val="00297DF1"/>
    <w:rsid w:val="00297F52"/>
    <w:rsid w:val="002A0201"/>
    <w:rsid w:val="002A0270"/>
    <w:rsid w:val="002A02CC"/>
    <w:rsid w:val="002A036E"/>
    <w:rsid w:val="002A0386"/>
    <w:rsid w:val="002A03BE"/>
    <w:rsid w:val="002A049A"/>
    <w:rsid w:val="002A04AB"/>
    <w:rsid w:val="002A04E8"/>
    <w:rsid w:val="002A0529"/>
    <w:rsid w:val="002A0573"/>
    <w:rsid w:val="002A06A0"/>
    <w:rsid w:val="002A06C4"/>
    <w:rsid w:val="002A0774"/>
    <w:rsid w:val="002A07F2"/>
    <w:rsid w:val="002A0862"/>
    <w:rsid w:val="002A08C0"/>
    <w:rsid w:val="002A08D4"/>
    <w:rsid w:val="002A09F4"/>
    <w:rsid w:val="002A0A0D"/>
    <w:rsid w:val="002A0C33"/>
    <w:rsid w:val="002A0C35"/>
    <w:rsid w:val="002A0CCA"/>
    <w:rsid w:val="002A1013"/>
    <w:rsid w:val="002A1032"/>
    <w:rsid w:val="002A10F8"/>
    <w:rsid w:val="002A1228"/>
    <w:rsid w:val="002A124D"/>
    <w:rsid w:val="002A13AE"/>
    <w:rsid w:val="002A13F2"/>
    <w:rsid w:val="002A1580"/>
    <w:rsid w:val="002A1709"/>
    <w:rsid w:val="002A1827"/>
    <w:rsid w:val="002A18A4"/>
    <w:rsid w:val="002A1B07"/>
    <w:rsid w:val="002A1BD8"/>
    <w:rsid w:val="002A1C29"/>
    <w:rsid w:val="002A1C68"/>
    <w:rsid w:val="002A1EDB"/>
    <w:rsid w:val="002A1FC8"/>
    <w:rsid w:val="002A2025"/>
    <w:rsid w:val="002A20AA"/>
    <w:rsid w:val="002A2111"/>
    <w:rsid w:val="002A21EB"/>
    <w:rsid w:val="002A2329"/>
    <w:rsid w:val="002A2566"/>
    <w:rsid w:val="002A256D"/>
    <w:rsid w:val="002A25CC"/>
    <w:rsid w:val="002A25F9"/>
    <w:rsid w:val="002A261E"/>
    <w:rsid w:val="002A2620"/>
    <w:rsid w:val="002A2732"/>
    <w:rsid w:val="002A28AB"/>
    <w:rsid w:val="002A294A"/>
    <w:rsid w:val="002A29C0"/>
    <w:rsid w:val="002A2C1C"/>
    <w:rsid w:val="002A2DC6"/>
    <w:rsid w:val="002A2E4D"/>
    <w:rsid w:val="002A3082"/>
    <w:rsid w:val="002A30A8"/>
    <w:rsid w:val="002A30B5"/>
    <w:rsid w:val="002A30FE"/>
    <w:rsid w:val="002A3151"/>
    <w:rsid w:val="002A31B8"/>
    <w:rsid w:val="002A329C"/>
    <w:rsid w:val="002A3386"/>
    <w:rsid w:val="002A33C6"/>
    <w:rsid w:val="002A34C3"/>
    <w:rsid w:val="002A35F7"/>
    <w:rsid w:val="002A3766"/>
    <w:rsid w:val="002A37E0"/>
    <w:rsid w:val="002A3880"/>
    <w:rsid w:val="002A3BBA"/>
    <w:rsid w:val="002A3C37"/>
    <w:rsid w:val="002A3F87"/>
    <w:rsid w:val="002A4172"/>
    <w:rsid w:val="002A4270"/>
    <w:rsid w:val="002A42E9"/>
    <w:rsid w:val="002A431C"/>
    <w:rsid w:val="002A442D"/>
    <w:rsid w:val="002A446F"/>
    <w:rsid w:val="002A455D"/>
    <w:rsid w:val="002A4610"/>
    <w:rsid w:val="002A4669"/>
    <w:rsid w:val="002A46C6"/>
    <w:rsid w:val="002A4833"/>
    <w:rsid w:val="002A490F"/>
    <w:rsid w:val="002A4991"/>
    <w:rsid w:val="002A4A05"/>
    <w:rsid w:val="002A4A08"/>
    <w:rsid w:val="002A4C3F"/>
    <w:rsid w:val="002A4DF2"/>
    <w:rsid w:val="002A4EB4"/>
    <w:rsid w:val="002A50EC"/>
    <w:rsid w:val="002A50FD"/>
    <w:rsid w:val="002A51A1"/>
    <w:rsid w:val="002A5242"/>
    <w:rsid w:val="002A5375"/>
    <w:rsid w:val="002A540C"/>
    <w:rsid w:val="002A54F4"/>
    <w:rsid w:val="002A555C"/>
    <w:rsid w:val="002A5640"/>
    <w:rsid w:val="002A574C"/>
    <w:rsid w:val="002A588F"/>
    <w:rsid w:val="002A58B2"/>
    <w:rsid w:val="002A5A87"/>
    <w:rsid w:val="002A5BE8"/>
    <w:rsid w:val="002A63BD"/>
    <w:rsid w:val="002A64CC"/>
    <w:rsid w:val="002A6827"/>
    <w:rsid w:val="002A68C9"/>
    <w:rsid w:val="002A6906"/>
    <w:rsid w:val="002A6C28"/>
    <w:rsid w:val="002A6C95"/>
    <w:rsid w:val="002A6DBF"/>
    <w:rsid w:val="002A701C"/>
    <w:rsid w:val="002A7085"/>
    <w:rsid w:val="002A720A"/>
    <w:rsid w:val="002A737B"/>
    <w:rsid w:val="002A7396"/>
    <w:rsid w:val="002A7409"/>
    <w:rsid w:val="002A742C"/>
    <w:rsid w:val="002A74FD"/>
    <w:rsid w:val="002A76C9"/>
    <w:rsid w:val="002A76FF"/>
    <w:rsid w:val="002A77F4"/>
    <w:rsid w:val="002A7814"/>
    <w:rsid w:val="002A7962"/>
    <w:rsid w:val="002A7A8E"/>
    <w:rsid w:val="002A7B83"/>
    <w:rsid w:val="002A7CF1"/>
    <w:rsid w:val="002A7E3D"/>
    <w:rsid w:val="002A7E8A"/>
    <w:rsid w:val="002A7FA5"/>
    <w:rsid w:val="002B033D"/>
    <w:rsid w:val="002B036C"/>
    <w:rsid w:val="002B04BB"/>
    <w:rsid w:val="002B05F9"/>
    <w:rsid w:val="002B064D"/>
    <w:rsid w:val="002B0700"/>
    <w:rsid w:val="002B076E"/>
    <w:rsid w:val="002B0790"/>
    <w:rsid w:val="002B08A1"/>
    <w:rsid w:val="002B0CE9"/>
    <w:rsid w:val="002B0D53"/>
    <w:rsid w:val="002B0D70"/>
    <w:rsid w:val="002B0E8A"/>
    <w:rsid w:val="002B0EB8"/>
    <w:rsid w:val="002B12C7"/>
    <w:rsid w:val="002B130E"/>
    <w:rsid w:val="002B133C"/>
    <w:rsid w:val="002B1374"/>
    <w:rsid w:val="002B1386"/>
    <w:rsid w:val="002B14ED"/>
    <w:rsid w:val="002B14FA"/>
    <w:rsid w:val="002B165D"/>
    <w:rsid w:val="002B181F"/>
    <w:rsid w:val="002B18CE"/>
    <w:rsid w:val="002B196F"/>
    <w:rsid w:val="002B1A8E"/>
    <w:rsid w:val="002B1B0C"/>
    <w:rsid w:val="002B1B1B"/>
    <w:rsid w:val="002B1BAC"/>
    <w:rsid w:val="002B1D56"/>
    <w:rsid w:val="002B1D91"/>
    <w:rsid w:val="002B1F8D"/>
    <w:rsid w:val="002B2061"/>
    <w:rsid w:val="002B21E7"/>
    <w:rsid w:val="002B2243"/>
    <w:rsid w:val="002B23DF"/>
    <w:rsid w:val="002B2441"/>
    <w:rsid w:val="002B2716"/>
    <w:rsid w:val="002B2784"/>
    <w:rsid w:val="002B27B6"/>
    <w:rsid w:val="002B28A5"/>
    <w:rsid w:val="002B2A81"/>
    <w:rsid w:val="002B2B6D"/>
    <w:rsid w:val="002B2DAC"/>
    <w:rsid w:val="002B2EBC"/>
    <w:rsid w:val="002B2ED3"/>
    <w:rsid w:val="002B31B7"/>
    <w:rsid w:val="002B3377"/>
    <w:rsid w:val="002B368C"/>
    <w:rsid w:val="002B375D"/>
    <w:rsid w:val="002B3784"/>
    <w:rsid w:val="002B37FE"/>
    <w:rsid w:val="002B387C"/>
    <w:rsid w:val="002B38EB"/>
    <w:rsid w:val="002B39E1"/>
    <w:rsid w:val="002B3A93"/>
    <w:rsid w:val="002B3B48"/>
    <w:rsid w:val="002B3B6E"/>
    <w:rsid w:val="002B3E08"/>
    <w:rsid w:val="002B4022"/>
    <w:rsid w:val="002B4094"/>
    <w:rsid w:val="002B42AA"/>
    <w:rsid w:val="002B42C6"/>
    <w:rsid w:val="002B4314"/>
    <w:rsid w:val="002B4473"/>
    <w:rsid w:val="002B447C"/>
    <w:rsid w:val="002B4514"/>
    <w:rsid w:val="002B45E4"/>
    <w:rsid w:val="002B4625"/>
    <w:rsid w:val="002B469F"/>
    <w:rsid w:val="002B4817"/>
    <w:rsid w:val="002B49F9"/>
    <w:rsid w:val="002B4BCC"/>
    <w:rsid w:val="002B4BF7"/>
    <w:rsid w:val="002B4D96"/>
    <w:rsid w:val="002B4FCA"/>
    <w:rsid w:val="002B5189"/>
    <w:rsid w:val="002B52A8"/>
    <w:rsid w:val="002B530B"/>
    <w:rsid w:val="002B5342"/>
    <w:rsid w:val="002B5366"/>
    <w:rsid w:val="002B5594"/>
    <w:rsid w:val="002B55B9"/>
    <w:rsid w:val="002B56C6"/>
    <w:rsid w:val="002B5780"/>
    <w:rsid w:val="002B57CB"/>
    <w:rsid w:val="002B5839"/>
    <w:rsid w:val="002B595D"/>
    <w:rsid w:val="002B597E"/>
    <w:rsid w:val="002B59AC"/>
    <w:rsid w:val="002B59BE"/>
    <w:rsid w:val="002B5A74"/>
    <w:rsid w:val="002B5B3E"/>
    <w:rsid w:val="002B5C08"/>
    <w:rsid w:val="002B5D42"/>
    <w:rsid w:val="002B5F1A"/>
    <w:rsid w:val="002B603E"/>
    <w:rsid w:val="002B6131"/>
    <w:rsid w:val="002B6192"/>
    <w:rsid w:val="002B648B"/>
    <w:rsid w:val="002B64A2"/>
    <w:rsid w:val="002B67DD"/>
    <w:rsid w:val="002B6D0F"/>
    <w:rsid w:val="002B6FA4"/>
    <w:rsid w:val="002B6FE4"/>
    <w:rsid w:val="002B7010"/>
    <w:rsid w:val="002B7027"/>
    <w:rsid w:val="002B706F"/>
    <w:rsid w:val="002B739E"/>
    <w:rsid w:val="002B73FD"/>
    <w:rsid w:val="002B7421"/>
    <w:rsid w:val="002B7454"/>
    <w:rsid w:val="002B7538"/>
    <w:rsid w:val="002B75F0"/>
    <w:rsid w:val="002B79BD"/>
    <w:rsid w:val="002B7A76"/>
    <w:rsid w:val="002B7AD0"/>
    <w:rsid w:val="002B7B25"/>
    <w:rsid w:val="002B7B6C"/>
    <w:rsid w:val="002B7C30"/>
    <w:rsid w:val="002B7C3C"/>
    <w:rsid w:val="002B7D05"/>
    <w:rsid w:val="002B7DB5"/>
    <w:rsid w:val="002B7F6A"/>
    <w:rsid w:val="002C0117"/>
    <w:rsid w:val="002C0247"/>
    <w:rsid w:val="002C02F5"/>
    <w:rsid w:val="002C04B0"/>
    <w:rsid w:val="002C051B"/>
    <w:rsid w:val="002C0651"/>
    <w:rsid w:val="002C0745"/>
    <w:rsid w:val="002C0798"/>
    <w:rsid w:val="002C0999"/>
    <w:rsid w:val="002C0B77"/>
    <w:rsid w:val="002C0CE4"/>
    <w:rsid w:val="002C0D9E"/>
    <w:rsid w:val="002C0DC4"/>
    <w:rsid w:val="002C0F28"/>
    <w:rsid w:val="002C0F71"/>
    <w:rsid w:val="002C0F90"/>
    <w:rsid w:val="002C1108"/>
    <w:rsid w:val="002C13FC"/>
    <w:rsid w:val="002C1577"/>
    <w:rsid w:val="002C17CE"/>
    <w:rsid w:val="002C1853"/>
    <w:rsid w:val="002C1856"/>
    <w:rsid w:val="002C197B"/>
    <w:rsid w:val="002C1996"/>
    <w:rsid w:val="002C19D9"/>
    <w:rsid w:val="002C1A04"/>
    <w:rsid w:val="002C1A56"/>
    <w:rsid w:val="002C1ADD"/>
    <w:rsid w:val="002C1BE7"/>
    <w:rsid w:val="002C1BEF"/>
    <w:rsid w:val="002C1CE8"/>
    <w:rsid w:val="002C1DF6"/>
    <w:rsid w:val="002C1EB7"/>
    <w:rsid w:val="002C1ECF"/>
    <w:rsid w:val="002C2057"/>
    <w:rsid w:val="002C2158"/>
    <w:rsid w:val="002C2272"/>
    <w:rsid w:val="002C2321"/>
    <w:rsid w:val="002C23F4"/>
    <w:rsid w:val="002C25CE"/>
    <w:rsid w:val="002C2665"/>
    <w:rsid w:val="002C279E"/>
    <w:rsid w:val="002C2C69"/>
    <w:rsid w:val="002C303E"/>
    <w:rsid w:val="002C30E5"/>
    <w:rsid w:val="002C3185"/>
    <w:rsid w:val="002C32C1"/>
    <w:rsid w:val="002C32FF"/>
    <w:rsid w:val="002C3432"/>
    <w:rsid w:val="002C34BA"/>
    <w:rsid w:val="002C3614"/>
    <w:rsid w:val="002C372C"/>
    <w:rsid w:val="002C38FB"/>
    <w:rsid w:val="002C3ACE"/>
    <w:rsid w:val="002C3B52"/>
    <w:rsid w:val="002C3C00"/>
    <w:rsid w:val="002C3CCB"/>
    <w:rsid w:val="002C3D3B"/>
    <w:rsid w:val="002C3F12"/>
    <w:rsid w:val="002C3F53"/>
    <w:rsid w:val="002C3FD9"/>
    <w:rsid w:val="002C4166"/>
    <w:rsid w:val="002C423E"/>
    <w:rsid w:val="002C42DA"/>
    <w:rsid w:val="002C4346"/>
    <w:rsid w:val="002C4368"/>
    <w:rsid w:val="002C43AD"/>
    <w:rsid w:val="002C44BA"/>
    <w:rsid w:val="002C44DD"/>
    <w:rsid w:val="002C4664"/>
    <w:rsid w:val="002C4676"/>
    <w:rsid w:val="002C46BA"/>
    <w:rsid w:val="002C46CC"/>
    <w:rsid w:val="002C4710"/>
    <w:rsid w:val="002C4827"/>
    <w:rsid w:val="002C4835"/>
    <w:rsid w:val="002C4870"/>
    <w:rsid w:val="002C4926"/>
    <w:rsid w:val="002C4948"/>
    <w:rsid w:val="002C4AA7"/>
    <w:rsid w:val="002C4B6A"/>
    <w:rsid w:val="002C4C9C"/>
    <w:rsid w:val="002C4D1C"/>
    <w:rsid w:val="002C4D63"/>
    <w:rsid w:val="002C4D9A"/>
    <w:rsid w:val="002C4E96"/>
    <w:rsid w:val="002C4ED3"/>
    <w:rsid w:val="002C5195"/>
    <w:rsid w:val="002C527D"/>
    <w:rsid w:val="002C53DC"/>
    <w:rsid w:val="002C5663"/>
    <w:rsid w:val="002C5697"/>
    <w:rsid w:val="002C572F"/>
    <w:rsid w:val="002C579C"/>
    <w:rsid w:val="002C58B3"/>
    <w:rsid w:val="002C590B"/>
    <w:rsid w:val="002C5A13"/>
    <w:rsid w:val="002C5ADB"/>
    <w:rsid w:val="002C5CC7"/>
    <w:rsid w:val="002C5E92"/>
    <w:rsid w:val="002C5EDF"/>
    <w:rsid w:val="002C6042"/>
    <w:rsid w:val="002C6051"/>
    <w:rsid w:val="002C61A1"/>
    <w:rsid w:val="002C61F1"/>
    <w:rsid w:val="002C6239"/>
    <w:rsid w:val="002C623D"/>
    <w:rsid w:val="002C634B"/>
    <w:rsid w:val="002C635B"/>
    <w:rsid w:val="002C638A"/>
    <w:rsid w:val="002C6430"/>
    <w:rsid w:val="002C6441"/>
    <w:rsid w:val="002C6445"/>
    <w:rsid w:val="002C6466"/>
    <w:rsid w:val="002C665A"/>
    <w:rsid w:val="002C6822"/>
    <w:rsid w:val="002C68A4"/>
    <w:rsid w:val="002C6950"/>
    <w:rsid w:val="002C6AEE"/>
    <w:rsid w:val="002C6C9E"/>
    <w:rsid w:val="002C6D01"/>
    <w:rsid w:val="002C6D8E"/>
    <w:rsid w:val="002C6DF8"/>
    <w:rsid w:val="002C6E68"/>
    <w:rsid w:val="002C726F"/>
    <w:rsid w:val="002C7288"/>
    <w:rsid w:val="002C7440"/>
    <w:rsid w:val="002C75FA"/>
    <w:rsid w:val="002C7624"/>
    <w:rsid w:val="002C7728"/>
    <w:rsid w:val="002C793D"/>
    <w:rsid w:val="002C7AFE"/>
    <w:rsid w:val="002C7DE1"/>
    <w:rsid w:val="002C7F86"/>
    <w:rsid w:val="002D0001"/>
    <w:rsid w:val="002D0028"/>
    <w:rsid w:val="002D0086"/>
    <w:rsid w:val="002D015B"/>
    <w:rsid w:val="002D01B7"/>
    <w:rsid w:val="002D01EC"/>
    <w:rsid w:val="002D0201"/>
    <w:rsid w:val="002D0339"/>
    <w:rsid w:val="002D03A3"/>
    <w:rsid w:val="002D0576"/>
    <w:rsid w:val="002D0621"/>
    <w:rsid w:val="002D0631"/>
    <w:rsid w:val="002D0861"/>
    <w:rsid w:val="002D0880"/>
    <w:rsid w:val="002D0A5B"/>
    <w:rsid w:val="002D0ADC"/>
    <w:rsid w:val="002D0B11"/>
    <w:rsid w:val="002D0D3E"/>
    <w:rsid w:val="002D0D49"/>
    <w:rsid w:val="002D0D6D"/>
    <w:rsid w:val="002D0ED3"/>
    <w:rsid w:val="002D0F97"/>
    <w:rsid w:val="002D0F9A"/>
    <w:rsid w:val="002D0FCD"/>
    <w:rsid w:val="002D12F1"/>
    <w:rsid w:val="002D1496"/>
    <w:rsid w:val="002D14A9"/>
    <w:rsid w:val="002D15EC"/>
    <w:rsid w:val="002D1616"/>
    <w:rsid w:val="002D16B2"/>
    <w:rsid w:val="002D16CE"/>
    <w:rsid w:val="002D1722"/>
    <w:rsid w:val="002D1746"/>
    <w:rsid w:val="002D17A1"/>
    <w:rsid w:val="002D17EB"/>
    <w:rsid w:val="002D18C5"/>
    <w:rsid w:val="002D18F2"/>
    <w:rsid w:val="002D1A40"/>
    <w:rsid w:val="002D1AFC"/>
    <w:rsid w:val="002D1B29"/>
    <w:rsid w:val="002D1C28"/>
    <w:rsid w:val="002D1DC8"/>
    <w:rsid w:val="002D1DDD"/>
    <w:rsid w:val="002D1E33"/>
    <w:rsid w:val="002D2004"/>
    <w:rsid w:val="002D2108"/>
    <w:rsid w:val="002D22E5"/>
    <w:rsid w:val="002D245D"/>
    <w:rsid w:val="002D2468"/>
    <w:rsid w:val="002D266E"/>
    <w:rsid w:val="002D26B3"/>
    <w:rsid w:val="002D2870"/>
    <w:rsid w:val="002D292A"/>
    <w:rsid w:val="002D2C6B"/>
    <w:rsid w:val="002D2D13"/>
    <w:rsid w:val="002D2D61"/>
    <w:rsid w:val="002D2DCC"/>
    <w:rsid w:val="002D2DD1"/>
    <w:rsid w:val="002D2E10"/>
    <w:rsid w:val="002D2EAE"/>
    <w:rsid w:val="002D2F27"/>
    <w:rsid w:val="002D3125"/>
    <w:rsid w:val="002D312D"/>
    <w:rsid w:val="002D3231"/>
    <w:rsid w:val="002D323E"/>
    <w:rsid w:val="002D3278"/>
    <w:rsid w:val="002D3381"/>
    <w:rsid w:val="002D33BF"/>
    <w:rsid w:val="002D3501"/>
    <w:rsid w:val="002D3595"/>
    <w:rsid w:val="002D3697"/>
    <w:rsid w:val="002D36D5"/>
    <w:rsid w:val="002D3747"/>
    <w:rsid w:val="002D3752"/>
    <w:rsid w:val="002D3798"/>
    <w:rsid w:val="002D3855"/>
    <w:rsid w:val="002D399A"/>
    <w:rsid w:val="002D3AA3"/>
    <w:rsid w:val="002D3B76"/>
    <w:rsid w:val="002D3BBA"/>
    <w:rsid w:val="002D3D65"/>
    <w:rsid w:val="002D3D80"/>
    <w:rsid w:val="002D3F47"/>
    <w:rsid w:val="002D3F64"/>
    <w:rsid w:val="002D3FB8"/>
    <w:rsid w:val="002D407B"/>
    <w:rsid w:val="002D41EE"/>
    <w:rsid w:val="002D4396"/>
    <w:rsid w:val="002D4425"/>
    <w:rsid w:val="002D4587"/>
    <w:rsid w:val="002D45FB"/>
    <w:rsid w:val="002D461A"/>
    <w:rsid w:val="002D4662"/>
    <w:rsid w:val="002D473E"/>
    <w:rsid w:val="002D4929"/>
    <w:rsid w:val="002D4A53"/>
    <w:rsid w:val="002D4BD3"/>
    <w:rsid w:val="002D4F04"/>
    <w:rsid w:val="002D5006"/>
    <w:rsid w:val="002D5080"/>
    <w:rsid w:val="002D5285"/>
    <w:rsid w:val="002D5326"/>
    <w:rsid w:val="002D5333"/>
    <w:rsid w:val="002D533A"/>
    <w:rsid w:val="002D5440"/>
    <w:rsid w:val="002D5517"/>
    <w:rsid w:val="002D55CF"/>
    <w:rsid w:val="002D57E5"/>
    <w:rsid w:val="002D5C2C"/>
    <w:rsid w:val="002D5D64"/>
    <w:rsid w:val="002D5D8D"/>
    <w:rsid w:val="002D5E08"/>
    <w:rsid w:val="002D5E44"/>
    <w:rsid w:val="002D5E9D"/>
    <w:rsid w:val="002D6109"/>
    <w:rsid w:val="002D6124"/>
    <w:rsid w:val="002D6194"/>
    <w:rsid w:val="002D62BB"/>
    <w:rsid w:val="002D6302"/>
    <w:rsid w:val="002D63E8"/>
    <w:rsid w:val="002D6715"/>
    <w:rsid w:val="002D6722"/>
    <w:rsid w:val="002D6802"/>
    <w:rsid w:val="002D6930"/>
    <w:rsid w:val="002D6B64"/>
    <w:rsid w:val="002D6EE4"/>
    <w:rsid w:val="002D7136"/>
    <w:rsid w:val="002D7180"/>
    <w:rsid w:val="002D7197"/>
    <w:rsid w:val="002D71F1"/>
    <w:rsid w:val="002D7288"/>
    <w:rsid w:val="002D72D2"/>
    <w:rsid w:val="002D733C"/>
    <w:rsid w:val="002D74DC"/>
    <w:rsid w:val="002D7613"/>
    <w:rsid w:val="002D7828"/>
    <w:rsid w:val="002D78AC"/>
    <w:rsid w:val="002D78CB"/>
    <w:rsid w:val="002D7960"/>
    <w:rsid w:val="002D7A21"/>
    <w:rsid w:val="002D7AF3"/>
    <w:rsid w:val="002D7B13"/>
    <w:rsid w:val="002D7B15"/>
    <w:rsid w:val="002D7B16"/>
    <w:rsid w:val="002D7B71"/>
    <w:rsid w:val="002DB174"/>
    <w:rsid w:val="002E0107"/>
    <w:rsid w:val="002E01FA"/>
    <w:rsid w:val="002E0387"/>
    <w:rsid w:val="002E0444"/>
    <w:rsid w:val="002E054B"/>
    <w:rsid w:val="002E0805"/>
    <w:rsid w:val="002E09F8"/>
    <w:rsid w:val="002E0A1C"/>
    <w:rsid w:val="002E0D58"/>
    <w:rsid w:val="002E0D6E"/>
    <w:rsid w:val="002E0D82"/>
    <w:rsid w:val="002E113C"/>
    <w:rsid w:val="002E118D"/>
    <w:rsid w:val="002E131B"/>
    <w:rsid w:val="002E13A5"/>
    <w:rsid w:val="002E13B5"/>
    <w:rsid w:val="002E13C4"/>
    <w:rsid w:val="002E1466"/>
    <w:rsid w:val="002E162E"/>
    <w:rsid w:val="002E1701"/>
    <w:rsid w:val="002E183A"/>
    <w:rsid w:val="002E1BC6"/>
    <w:rsid w:val="002E1C02"/>
    <w:rsid w:val="002E1C53"/>
    <w:rsid w:val="002E1EDA"/>
    <w:rsid w:val="002E1F18"/>
    <w:rsid w:val="002E1F25"/>
    <w:rsid w:val="002E1F6A"/>
    <w:rsid w:val="002E20B8"/>
    <w:rsid w:val="002E20FB"/>
    <w:rsid w:val="002E2170"/>
    <w:rsid w:val="002E2191"/>
    <w:rsid w:val="002E234E"/>
    <w:rsid w:val="002E237E"/>
    <w:rsid w:val="002E2511"/>
    <w:rsid w:val="002E25E4"/>
    <w:rsid w:val="002E2709"/>
    <w:rsid w:val="002E29AB"/>
    <w:rsid w:val="002E2B5E"/>
    <w:rsid w:val="002E2C8A"/>
    <w:rsid w:val="002E2CEC"/>
    <w:rsid w:val="002E2DCD"/>
    <w:rsid w:val="002E2DF7"/>
    <w:rsid w:val="002E2ECA"/>
    <w:rsid w:val="002E2FB6"/>
    <w:rsid w:val="002E3344"/>
    <w:rsid w:val="002E33D9"/>
    <w:rsid w:val="002E341D"/>
    <w:rsid w:val="002E34E4"/>
    <w:rsid w:val="002E3560"/>
    <w:rsid w:val="002E3894"/>
    <w:rsid w:val="002E38BC"/>
    <w:rsid w:val="002E3B91"/>
    <w:rsid w:val="002E3CA9"/>
    <w:rsid w:val="002E3CF8"/>
    <w:rsid w:val="002E3D68"/>
    <w:rsid w:val="002E3D85"/>
    <w:rsid w:val="002E3DF7"/>
    <w:rsid w:val="002E3EEF"/>
    <w:rsid w:val="002E3F1C"/>
    <w:rsid w:val="002E4002"/>
    <w:rsid w:val="002E4274"/>
    <w:rsid w:val="002E42B4"/>
    <w:rsid w:val="002E42BE"/>
    <w:rsid w:val="002E43E5"/>
    <w:rsid w:val="002E4403"/>
    <w:rsid w:val="002E44E8"/>
    <w:rsid w:val="002E455D"/>
    <w:rsid w:val="002E4580"/>
    <w:rsid w:val="002E4681"/>
    <w:rsid w:val="002E48F0"/>
    <w:rsid w:val="002E4922"/>
    <w:rsid w:val="002E4932"/>
    <w:rsid w:val="002E493D"/>
    <w:rsid w:val="002E4B0D"/>
    <w:rsid w:val="002E4C61"/>
    <w:rsid w:val="002E4CF2"/>
    <w:rsid w:val="002E4E4E"/>
    <w:rsid w:val="002E4E73"/>
    <w:rsid w:val="002E4FD4"/>
    <w:rsid w:val="002E506C"/>
    <w:rsid w:val="002E50B3"/>
    <w:rsid w:val="002E5145"/>
    <w:rsid w:val="002E533E"/>
    <w:rsid w:val="002E5414"/>
    <w:rsid w:val="002E5480"/>
    <w:rsid w:val="002E56B5"/>
    <w:rsid w:val="002E572A"/>
    <w:rsid w:val="002E5734"/>
    <w:rsid w:val="002E59BD"/>
    <w:rsid w:val="002E5AC7"/>
    <w:rsid w:val="002E5B13"/>
    <w:rsid w:val="002E5BD4"/>
    <w:rsid w:val="002E5DB3"/>
    <w:rsid w:val="002E5FD2"/>
    <w:rsid w:val="002E611A"/>
    <w:rsid w:val="002E614D"/>
    <w:rsid w:val="002E614E"/>
    <w:rsid w:val="002E61A9"/>
    <w:rsid w:val="002E61EA"/>
    <w:rsid w:val="002E623A"/>
    <w:rsid w:val="002E62A6"/>
    <w:rsid w:val="002E6373"/>
    <w:rsid w:val="002E6494"/>
    <w:rsid w:val="002E6497"/>
    <w:rsid w:val="002E64C3"/>
    <w:rsid w:val="002E6673"/>
    <w:rsid w:val="002E6822"/>
    <w:rsid w:val="002E686E"/>
    <w:rsid w:val="002E6C44"/>
    <w:rsid w:val="002E6C65"/>
    <w:rsid w:val="002E6D03"/>
    <w:rsid w:val="002E6F75"/>
    <w:rsid w:val="002E70ED"/>
    <w:rsid w:val="002E712A"/>
    <w:rsid w:val="002E7181"/>
    <w:rsid w:val="002E724C"/>
    <w:rsid w:val="002E72CB"/>
    <w:rsid w:val="002E7301"/>
    <w:rsid w:val="002E7354"/>
    <w:rsid w:val="002E7357"/>
    <w:rsid w:val="002E736F"/>
    <w:rsid w:val="002E74BF"/>
    <w:rsid w:val="002E74C7"/>
    <w:rsid w:val="002E7642"/>
    <w:rsid w:val="002E772A"/>
    <w:rsid w:val="002E776E"/>
    <w:rsid w:val="002E7810"/>
    <w:rsid w:val="002E7837"/>
    <w:rsid w:val="002E78C4"/>
    <w:rsid w:val="002E7AF1"/>
    <w:rsid w:val="002E7D78"/>
    <w:rsid w:val="002E7D79"/>
    <w:rsid w:val="002E7F1A"/>
    <w:rsid w:val="002E7F36"/>
    <w:rsid w:val="002E7F67"/>
    <w:rsid w:val="002F012B"/>
    <w:rsid w:val="002F0399"/>
    <w:rsid w:val="002F0406"/>
    <w:rsid w:val="002F04D6"/>
    <w:rsid w:val="002F0500"/>
    <w:rsid w:val="002F0822"/>
    <w:rsid w:val="002F086E"/>
    <w:rsid w:val="002F093A"/>
    <w:rsid w:val="002F097D"/>
    <w:rsid w:val="002F0A91"/>
    <w:rsid w:val="002F0E81"/>
    <w:rsid w:val="002F0F0A"/>
    <w:rsid w:val="002F0F55"/>
    <w:rsid w:val="002F11DE"/>
    <w:rsid w:val="002F121C"/>
    <w:rsid w:val="002F13CB"/>
    <w:rsid w:val="002F14E0"/>
    <w:rsid w:val="002F1557"/>
    <w:rsid w:val="002F1584"/>
    <w:rsid w:val="002F1593"/>
    <w:rsid w:val="002F15FC"/>
    <w:rsid w:val="002F1731"/>
    <w:rsid w:val="002F1862"/>
    <w:rsid w:val="002F18F2"/>
    <w:rsid w:val="002F1910"/>
    <w:rsid w:val="002F19B6"/>
    <w:rsid w:val="002F19DD"/>
    <w:rsid w:val="002F1A8A"/>
    <w:rsid w:val="002F1B25"/>
    <w:rsid w:val="002F1CB0"/>
    <w:rsid w:val="002F1E75"/>
    <w:rsid w:val="002F1ECB"/>
    <w:rsid w:val="002F20E6"/>
    <w:rsid w:val="002F218F"/>
    <w:rsid w:val="002F265F"/>
    <w:rsid w:val="002F266C"/>
    <w:rsid w:val="002F26BF"/>
    <w:rsid w:val="002F26E6"/>
    <w:rsid w:val="002F26E8"/>
    <w:rsid w:val="002F26EB"/>
    <w:rsid w:val="002F2746"/>
    <w:rsid w:val="002F2763"/>
    <w:rsid w:val="002F2855"/>
    <w:rsid w:val="002F295B"/>
    <w:rsid w:val="002F29F1"/>
    <w:rsid w:val="002F2A87"/>
    <w:rsid w:val="002F2C07"/>
    <w:rsid w:val="002F2C18"/>
    <w:rsid w:val="002F2E17"/>
    <w:rsid w:val="002F2F5F"/>
    <w:rsid w:val="002F30F5"/>
    <w:rsid w:val="002F310D"/>
    <w:rsid w:val="002F313A"/>
    <w:rsid w:val="002F31DE"/>
    <w:rsid w:val="002F325E"/>
    <w:rsid w:val="002F32CE"/>
    <w:rsid w:val="002F3704"/>
    <w:rsid w:val="002F370B"/>
    <w:rsid w:val="002F3717"/>
    <w:rsid w:val="002F374B"/>
    <w:rsid w:val="002F37A3"/>
    <w:rsid w:val="002F38D6"/>
    <w:rsid w:val="002F3A77"/>
    <w:rsid w:val="002F3A82"/>
    <w:rsid w:val="002F3AFD"/>
    <w:rsid w:val="002F3C69"/>
    <w:rsid w:val="002F3C95"/>
    <w:rsid w:val="002F3C9E"/>
    <w:rsid w:val="002F3EAE"/>
    <w:rsid w:val="002F3EB3"/>
    <w:rsid w:val="002F3FF2"/>
    <w:rsid w:val="002F4059"/>
    <w:rsid w:val="002F4191"/>
    <w:rsid w:val="002F41D2"/>
    <w:rsid w:val="002F428F"/>
    <w:rsid w:val="002F43D6"/>
    <w:rsid w:val="002F43E6"/>
    <w:rsid w:val="002F4416"/>
    <w:rsid w:val="002F4442"/>
    <w:rsid w:val="002F44D7"/>
    <w:rsid w:val="002F4565"/>
    <w:rsid w:val="002F4577"/>
    <w:rsid w:val="002F4587"/>
    <w:rsid w:val="002F4619"/>
    <w:rsid w:val="002F4676"/>
    <w:rsid w:val="002F46E4"/>
    <w:rsid w:val="002F47AA"/>
    <w:rsid w:val="002F48FD"/>
    <w:rsid w:val="002F49A5"/>
    <w:rsid w:val="002F4A2C"/>
    <w:rsid w:val="002F4A58"/>
    <w:rsid w:val="002F4B97"/>
    <w:rsid w:val="002F4C46"/>
    <w:rsid w:val="002F4C74"/>
    <w:rsid w:val="002F4FA3"/>
    <w:rsid w:val="002F5008"/>
    <w:rsid w:val="002F503B"/>
    <w:rsid w:val="002F5099"/>
    <w:rsid w:val="002F50A3"/>
    <w:rsid w:val="002F51BC"/>
    <w:rsid w:val="002F51C6"/>
    <w:rsid w:val="002F51ED"/>
    <w:rsid w:val="002F530A"/>
    <w:rsid w:val="002F541B"/>
    <w:rsid w:val="002F565D"/>
    <w:rsid w:val="002F566C"/>
    <w:rsid w:val="002F5720"/>
    <w:rsid w:val="002F57FE"/>
    <w:rsid w:val="002F581F"/>
    <w:rsid w:val="002F5A62"/>
    <w:rsid w:val="002F5CF9"/>
    <w:rsid w:val="002F5E47"/>
    <w:rsid w:val="002F5F6A"/>
    <w:rsid w:val="002F603F"/>
    <w:rsid w:val="002F60F7"/>
    <w:rsid w:val="002F6178"/>
    <w:rsid w:val="002F62AC"/>
    <w:rsid w:val="002F62D4"/>
    <w:rsid w:val="002F6395"/>
    <w:rsid w:val="002F63A7"/>
    <w:rsid w:val="002F6467"/>
    <w:rsid w:val="002F68DE"/>
    <w:rsid w:val="002F6C37"/>
    <w:rsid w:val="002F6E3D"/>
    <w:rsid w:val="002F6E3E"/>
    <w:rsid w:val="002F6E77"/>
    <w:rsid w:val="002F700C"/>
    <w:rsid w:val="002F706D"/>
    <w:rsid w:val="002F7363"/>
    <w:rsid w:val="002F7429"/>
    <w:rsid w:val="002F74A5"/>
    <w:rsid w:val="002F7609"/>
    <w:rsid w:val="002F760E"/>
    <w:rsid w:val="002F762B"/>
    <w:rsid w:val="002F7780"/>
    <w:rsid w:val="002F779C"/>
    <w:rsid w:val="002F794D"/>
    <w:rsid w:val="002F7AE9"/>
    <w:rsid w:val="002F7B1B"/>
    <w:rsid w:val="002F7D42"/>
    <w:rsid w:val="002F7D8E"/>
    <w:rsid w:val="002F7E14"/>
    <w:rsid w:val="002F7E4A"/>
    <w:rsid w:val="002F7E8B"/>
    <w:rsid w:val="002FE1CF"/>
    <w:rsid w:val="0030002D"/>
    <w:rsid w:val="003000CE"/>
    <w:rsid w:val="0030011E"/>
    <w:rsid w:val="00300182"/>
    <w:rsid w:val="003001A1"/>
    <w:rsid w:val="00300217"/>
    <w:rsid w:val="003002EE"/>
    <w:rsid w:val="0030049A"/>
    <w:rsid w:val="003004AB"/>
    <w:rsid w:val="0030058A"/>
    <w:rsid w:val="003006CF"/>
    <w:rsid w:val="0030086E"/>
    <w:rsid w:val="003008EC"/>
    <w:rsid w:val="00300906"/>
    <w:rsid w:val="003009CD"/>
    <w:rsid w:val="00300A5C"/>
    <w:rsid w:val="00300B5F"/>
    <w:rsid w:val="00300B75"/>
    <w:rsid w:val="00300CE1"/>
    <w:rsid w:val="00300E73"/>
    <w:rsid w:val="00300EA1"/>
    <w:rsid w:val="00300F53"/>
    <w:rsid w:val="003010F8"/>
    <w:rsid w:val="003011CD"/>
    <w:rsid w:val="003012EA"/>
    <w:rsid w:val="0030137C"/>
    <w:rsid w:val="003016CA"/>
    <w:rsid w:val="0030171C"/>
    <w:rsid w:val="00301987"/>
    <w:rsid w:val="003019E2"/>
    <w:rsid w:val="003019EB"/>
    <w:rsid w:val="00301A7E"/>
    <w:rsid w:val="00301B42"/>
    <w:rsid w:val="00301B95"/>
    <w:rsid w:val="00301D16"/>
    <w:rsid w:val="00301ECE"/>
    <w:rsid w:val="00301F9B"/>
    <w:rsid w:val="00302007"/>
    <w:rsid w:val="00302271"/>
    <w:rsid w:val="00302441"/>
    <w:rsid w:val="003024A0"/>
    <w:rsid w:val="003025D0"/>
    <w:rsid w:val="0030285E"/>
    <w:rsid w:val="003028C1"/>
    <w:rsid w:val="00302AF3"/>
    <w:rsid w:val="00302AF6"/>
    <w:rsid w:val="00302C38"/>
    <w:rsid w:val="00302C77"/>
    <w:rsid w:val="00302D2F"/>
    <w:rsid w:val="00302F10"/>
    <w:rsid w:val="00302FE9"/>
    <w:rsid w:val="00303137"/>
    <w:rsid w:val="003033D9"/>
    <w:rsid w:val="003034B3"/>
    <w:rsid w:val="003038FB"/>
    <w:rsid w:val="00303A2A"/>
    <w:rsid w:val="00303ACA"/>
    <w:rsid w:val="00303DBF"/>
    <w:rsid w:val="00303DD6"/>
    <w:rsid w:val="00303E22"/>
    <w:rsid w:val="00303EA3"/>
    <w:rsid w:val="00303F37"/>
    <w:rsid w:val="003040F8"/>
    <w:rsid w:val="00304188"/>
    <w:rsid w:val="003041B8"/>
    <w:rsid w:val="00304277"/>
    <w:rsid w:val="0030427F"/>
    <w:rsid w:val="00304350"/>
    <w:rsid w:val="00304352"/>
    <w:rsid w:val="003045AB"/>
    <w:rsid w:val="00304654"/>
    <w:rsid w:val="003046F5"/>
    <w:rsid w:val="00304743"/>
    <w:rsid w:val="00304792"/>
    <w:rsid w:val="003047E0"/>
    <w:rsid w:val="00304997"/>
    <w:rsid w:val="00304998"/>
    <w:rsid w:val="003049F3"/>
    <w:rsid w:val="00304A81"/>
    <w:rsid w:val="00304C68"/>
    <w:rsid w:val="00304CBE"/>
    <w:rsid w:val="00304D27"/>
    <w:rsid w:val="00304D74"/>
    <w:rsid w:val="00304D75"/>
    <w:rsid w:val="00304E4F"/>
    <w:rsid w:val="00304E83"/>
    <w:rsid w:val="00304FD5"/>
    <w:rsid w:val="00305005"/>
    <w:rsid w:val="00305115"/>
    <w:rsid w:val="00305122"/>
    <w:rsid w:val="00305219"/>
    <w:rsid w:val="003053B0"/>
    <w:rsid w:val="003053BC"/>
    <w:rsid w:val="003053F5"/>
    <w:rsid w:val="003054A9"/>
    <w:rsid w:val="003054C4"/>
    <w:rsid w:val="00305556"/>
    <w:rsid w:val="00305620"/>
    <w:rsid w:val="003056BE"/>
    <w:rsid w:val="0030574B"/>
    <w:rsid w:val="003057DC"/>
    <w:rsid w:val="00305826"/>
    <w:rsid w:val="003058F8"/>
    <w:rsid w:val="0030595B"/>
    <w:rsid w:val="0030599B"/>
    <w:rsid w:val="00305A5E"/>
    <w:rsid w:val="00305CAE"/>
    <w:rsid w:val="00305D2F"/>
    <w:rsid w:val="00305E08"/>
    <w:rsid w:val="00305E21"/>
    <w:rsid w:val="00305F7C"/>
    <w:rsid w:val="00306090"/>
    <w:rsid w:val="003060F4"/>
    <w:rsid w:val="003061E7"/>
    <w:rsid w:val="003063D7"/>
    <w:rsid w:val="00306419"/>
    <w:rsid w:val="00306479"/>
    <w:rsid w:val="0030658F"/>
    <w:rsid w:val="00306667"/>
    <w:rsid w:val="003066AC"/>
    <w:rsid w:val="0030677A"/>
    <w:rsid w:val="003068A4"/>
    <w:rsid w:val="003068D1"/>
    <w:rsid w:val="00306E4B"/>
    <w:rsid w:val="00306E57"/>
    <w:rsid w:val="00306F56"/>
    <w:rsid w:val="003070AF"/>
    <w:rsid w:val="00307323"/>
    <w:rsid w:val="003073A8"/>
    <w:rsid w:val="00307423"/>
    <w:rsid w:val="00307650"/>
    <w:rsid w:val="00307B1B"/>
    <w:rsid w:val="00307B7C"/>
    <w:rsid w:val="00307C56"/>
    <w:rsid w:val="00307D1C"/>
    <w:rsid w:val="00307D52"/>
    <w:rsid w:val="00307EE6"/>
    <w:rsid w:val="00309CDF"/>
    <w:rsid w:val="0031012A"/>
    <w:rsid w:val="0031014E"/>
    <w:rsid w:val="003102E3"/>
    <w:rsid w:val="00310667"/>
    <w:rsid w:val="00310781"/>
    <w:rsid w:val="00310AC0"/>
    <w:rsid w:val="00310AE3"/>
    <w:rsid w:val="00310CC5"/>
    <w:rsid w:val="00310D73"/>
    <w:rsid w:val="00310E0A"/>
    <w:rsid w:val="00310E0C"/>
    <w:rsid w:val="00310ED7"/>
    <w:rsid w:val="00311043"/>
    <w:rsid w:val="00311212"/>
    <w:rsid w:val="00311217"/>
    <w:rsid w:val="003112DC"/>
    <w:rsid w:val="00311344"/>
    <w:rsid w:val="0031139D"/>
    <w:rsid w:val="0031140E"/>
    <w:rsid w:val="00311412"/>
    <w:rsid w:val="00311569"/>
    <w:rsid w:val="003115C5"/>
    <w:rsid w:val="003115CA"/>
    <w:rsid w:val="00311823"/>
    <w:rsid w:val="003118F0"/>
    <w:rsid w:val="00311A52"/>
    <w:rsid w:val="00311D71"/>
    <w:rsid w:val="00311D81"/>
    <w:rsid w:val="00311E1B"/>
    <w:rsid w:val="00311E45"/>
    <w:rsid w:val="00311F31"/>
    <w:rsid w:val="00312238"/>
    <w:rsid w:val="003122F4"/>
    <w:rsid w:val="00312304"/>
    <w:rsid w:val="00312536"/>
    <w:rsid w:val="0031254B"/>
    <w:rsid w:val="00312587"/>
    <w:rsid w:val="00312661"/>
    <w:rsid w:val="00312718"/>
    <w:rsid w:val="0031277D"/>
    <w:rsid w:val="0031278F"/>
    <w:rsid w:val="0031282E"/>
    <w:rsid w:val="0031288A"/>
    <w:rsid w:val="003129A0"/>
    <w:rsid w:val="00312B6A"/>
    <w:rsid w:val="00312B6C"/>
    <w:rsid w:val="00312DB4"/>
    <w:rsid w:val="00312E20"/>
    <w:rsid w:val="00312E65"/>
    <w:rsid w:val="00312E79"/>
    <w:rsid w:val="00312EF6"/>
    <w:rsid w:val="003132EE"/>
    <w:rsid w:val="0031349D"/>
    <w:rsid w:val="00313859"/>
    <w:rsid w:val="003139BE"/>
    <w:rsid w:val="00313A40"/>
    <w:rsid w:val="00313BCA"/>
    <w:rsid w:val="00313C8F"/>
    <w:rsid w:val="00313CAA"/>
    <w:rsid w:val="00313E92"/>
    <w:rsid w:val="00313E98"/>
    <w:rsid w:val="00313E9C"/>
    <w:rsid w:val="00313FC6"/>
    <w:rsid w:val="00314087"/>
    <w:rsid w:val="003140FB"/>
    <w:rsid w:val="003142B5"/>
    <w:rsid w:val="003142CA"/>
    <w:rsid w:val="003142E1"/>
    <w:rsid w:val="003145BE"/>
    <w:rsid w:val="003145F7"/>
    <w:rsid w:val="003145FD"/>
    <w:rsid w:val="0031476D"/>
    <w:rsid w:val="003147AC"/>
    <w:rsid w:val="003148C6"/>
    <w:rsid w:val="00314901"/>
    <w:rsid w:val="00314918"/>
    <w:rsid w:val="0031499E"/>
    <w:rsid w:val="00314ABC"/>
    <w:rsid w:val="00314BC8"/>
    <w:rsid w:val="00314BF2"/>
    <w:rsid w:val="00314D13"/>
    <w:rsid w:val="00314DB3"/>
    <w:rsid w:val="00314F2E"/>
    <w:rsid w:val="00315120"/>
    <w:rsid w:val="003152DA"/>
    <w:rsid w:val="00315350"/>
    <w:rsid w:val="003153A9"/>
    <w:rsid w:val="00315417"/>
    <w:rsid w:val="0031546A"/>
    <w:rsid w:val="00315597"/>
    <w:rsid w:val="003157D8"/>
    <w:rsid w:val="003157F3"/>
    <w:rsid w:val="00315960"/>
    <w:rsid w:val="0031597F"/>
    <w:rsid w:val="0031598E"/>
    <w:rsid w:val="003159B7"/>
    <w:rsid w:val="00315B04"/>
    <w:rsid w:val="00315B85"/>
    <w:rsid w:val="00315B8A"/>
    <w:rsid w:val="00315C7D"/>
    <w:rsid w:val="00315D80"/>
    <w:rsid w:val="00315E79"/>
    <w:rsid w:val="00315F30"/>
    <w:rsid w:val="00315F34"/>
    <w:rsid w:val="00315F3A"/>
    <w:rsid w:val="0031602F"/>
    <w:rsid w:val="00316058"/>
    <w:rsid w:val="0031608C"/>
    <w:rsid w:val="003160A4"/>
    <w:rsid w:val="00316180"/>
    <w:rsid w:val="003162CB"/>
    <w:rsid w:val="003163A7"/>
    <w:rsid w:val="00316496"/>
    <w:rsid w:val="00316534"/>
    <w:rsid w:val="00316716"/>
    <w:rsid w:val="003168B1"/>
    <w:rsid w:val="003168BA"/>
    <w:rsid w:val="00316B58"/>
    <w:rsid w:val="00316BA3"/>
    <w:rsid w:val="00316C18"/>
    <w:rsid w:val="00316D39"/>
    <w:rsid w:val="00316EB2"/>
    <w:rsid w:val="00316EDF"/>
    <w:rsid w:val="00316FF4"/>
    <w:rsid w:val="003171A7"/>
    <w:rsid w:val="00317252"/>
    <w:rsid w:val="00317384"/>
    <w:rsid w:val="0031748A"/>
    <w:rsid w:val="003177C8"/>
    <w:rsid w:val="003178BD"/>
    <w:rsid w:val="0031792C"/>
    <w:rsid w:val="00317B46"/>
    <w:rsid w:val="00317BF9"/>
    <w:rsid w:val="00317C2D"/>
    <w:rsid w:val="00317D25"/>
    <w:rsid w:val="00317D97"/>
    <w:rsid w:val="00317DB0"/>
    <w:rsid w:val="00317E1F"/>
    <w:rsid w:val="00317E86"/>
    <w:rsid w:val="00317ED9"/>
    <w:rsid w:val="00317F5B"/>
    <w:rsid w:val="00317FEA"/>
    <w:rsid w:val="00320143"/>
    <w:rsid w:val="003201BE"/>
    <w:rsid w:val="003202FA"/>
    <w:rsid w:val="00320379"/>
    <w:rsid w:val="003203D9"/>
    <w:rsid w:val="003203E1"/>
    <w:rsid w:val="00320436"/>
    <w:rsid w:val="003204A5"/>
    <w:rsid w:val="00320590"/>
    <w:rsid w:val="0032089A"/>
    <w:rsid w:val="00320912"/>
    <w:rsid w:val="00320A0E"/>
    <w:rsid w:val="00320B20"/>
    <w:rsid w:val="00320B68"/>
    <w:rsid w:val="00320B7F"/>
    <w:rsid w:val="00320C42"/>
    <w:rsid w:val="00320CCE"/>
    <w:rsid w:val="00320DCB"/>
    <w:rsid w:val="00320DE9"/>
    <w:rsid w:val="00320E10"/>
    <w:rsid w:val="00320FD3"/>
    <w:rsid w:val="00320FD8"/>
    <w:rsid w:val="0032115D"/>
    <w:rsid w:val="0032118D"/>
    <w:rsid w:val="00321332"/>
    <w:rsid w:val="00321377"/>
    <w:rsid w:val="003213C7"/>
    <w:rsid w:val="003213DD"/>
    <w:rsid w:val="0032140E"/>
    <w:rsid w:val="0032147B"/>
    <w:rsid w:val="003214D0"/>
    <w:rsid w:val="00321515"/>
    <w:rsid w:val="003215E0"/>
    <w:rsid w:val="003215F8"/>
    <w:rsid w:val="0032161B"/>
    <w:rsid w:val="003216E3"/>
    <w:rsid w:val="00321847"/>
    <w:rsid w:val="00321990"/>
    <w:rsid w:val="00321998"/>
    <w:rsid w:val="00321A95"/>
    <w:rsid w:val="00321B02"/>
    <w:rsid w:val="00321B8E"/>
    <w:rsid w:val="00321C25"/>
    <w:rsid w:val="00321C87"/>
    <w:rsid w:val="00321D4D"/>
    <w:rsid w:val="00321E75"/>
    <w:rsid w:val="00322001"/>
    <w:rsid w:val="0032203C"/>
    <w:rsid w:val="003224F4"/>
    <w:rsid w:val="00322754"/>
    <w:rsid w:val="00322864"/>
    <w:rsid w:val="00322931"/>
    <w:rsid w:val="00322A44"/>
    <w:rsid w:val="00322C21"/>
    <w:rsid w:val="00322D7E"/>
    <w:rsid w:val="00322DAF"/>
    <w:rsid w:val="00322DF1"/>
    <w:rsid w:val="00322F71"/>
    <w:rsid w:val="003230A1"/>
    <w:rsid w:val="003230C1"/>
    <w:rsid w:val="003231BE"/>
    <w:rsid w:val="00323246"/>
    <w:rsid w:val="00323303"/>
    <w:rsid w:val="00323322"/>
    <w:rsid w:val="00323432"/>
    <w:rsid w:val="0032348E"/>
    <w:rsid w:val="003235CE"/>
    <w:rsid w:val="00323605"/>
    <w:rsid w:val="0032365A"/>
    <w:rsid w:val="00323667"/>
    <w:rsid w:val="0032384D"/>
    <w:rsid w:val="003239AC"/>
    <w:rsid w:val="00323AB6"/>
    <w:rsid w:val="00323CBC"/>
    <w:rsid w:val="00323E2A"/>
    <w:rsid w:val="00323E78"/>
    <w:rsid w:val="00323FD0"/>
    <w:rsid w:val="00323FDA"/>
    <w:rsid w:val="0032404F"/>
    <w:rsid w:val="00324105"/>
    <w:rsid w:val="003241FE"/>
    <w:rsid w:val="00324365"/>
    <w:rsid w:val="00324745"/>
    <w:rsid w:val="00324A68"/>
    <w:rsid w:val="00324BDF"/>
    <w:rsid w:val="00324CA3"/>
    <w:rsid w:val="00324CBD"/>
    <w:rsid w:val="00324CFB"/>
    <w:rsid w:val="00324E81"/>
    <w:rsid w:val="00325060"/>
    <w:rsid w:val="0032506B"/>
    <w:rsid w:val="003250E8"/>
    <w:rsid w:val="0032527A"/>
    <w:rsid w:val="003252D1"/>
    <w:rsid w:val="00325340"/>
    <w:rsid w:val="003253E8"/>
    <w:rsid w:val="0032544A"/>
    <w:rsid w:val="003254A5"/>
    <w:rsid w:val="0032553E"/>
    <w:rsid w:val="0032556F"/>
    <w:rsid w:val="003256BD"/>
    <w:rsid w:val="00325752"/>
    <w:rsid w:val="003257F2"/>
    <w:rsid w:val="00325993"/>
    <w:rsid w:val="003259CE"/>
    <w:rsid w:val="00325BA8"/>
    <w:rsid w:val="00325C89"/>
    <w:rsid w:val="00325C92"/>
    <w:rsid w:val="00325D38"/>
    <w:rsid w:val="00325E15"/>
    <w:rsid w:val="00325F1E"/>
    <w:rsid w:val="00325F61"/>
    <w:rsid w:val="0032629C"/>
    <w:rsid w:val="0032634B"/>
    <w:rsid w:val="00326465"/>
    <w:rsid w:val="00326574"/>
    <w:rsid w:val="0032657A"/>
    <w:rsid w:val="003267A5"/>
    <w:rsid w:val="003267E8"/>
    <w:rsid w:val="0032690A"/>
    <w:rsid w:val="00326942"/>
    <w:rsid w:val="00326A9F"/>
    <w:rsid w:val="00326CBC"/>
    <w:rsid w:val="00326EB9"/>
    <w:rsid w:val="00326FA0"/>
    <w:rsid w:val="00326FC2"/>
    <w:rsid w:val="0032702E"/>
    <w:rsid w:val="0032703C"/>
    <w:rsid w:val="0032714B"/>
    <w:rsid w:val="003273ED"/>
    <w:rsid w:val="003276A2"/>
    <w:rsid w:val="003277A1"/>
    <w:rsid w:val="00327840"/>
    <w:rsid w:val="00327851"/>
    <w:rsid w:val="0032786F"/>
    <w:rsid w:val="0032797F"/>
    <w:rsid w:val="00327B9A"/>
    <w:rsid w:val="00327CBF"/>
    <w:rsid w:val="00327CF4"/>
    <w:rsid w:val="00327DFA"/>
    <w:rsid w:val="00327EEE"/>
    <w:rsid w:val="003301BF"/>
    <w:rsid w:val="0033031E"/>
    <w:rsid w:val="0033032A"/>
    <w:rsid w:val="003303DD"/>
    <w:rsid w:val="003303EB"/>
    <w:rsid w:val="0033068C"/>
    <w:rsid w:val="00330735"/>
    <w:rsid w:val="003307C7"/>
    <w:rsid w:val="003308BD"/>
    <w:rsid w:val="00330920"/>
    <w:rsid w:val="00330BA2"/>
    <w:rsid w:val="00330BD8"/>
    <w:rsid w:val="00330C31"/>
    <w:rsid w:val="00330DEA"/>
    <w:rsid w:val="00330FE5"/>
    <w:rsid w:val="00330FE7"/>
    <w:rsid w:val="0033108B"/>
    <w:rsid w:val="003310C6"/>
    <w:rsid w:val="00331118"/>
    <w:rsid w:val="003311B9"/>
    <w:rsid w:val="003312C5"/>
    <w:rsid w:val="00331397"/>
    <w:rsid w:val="00331430"/>
    <w:rsid w:val="0033146D"/>
    <w:rsid w:val="00331534"/>
    <w:rsid w:val="0033183C"/>
    <w:rsid w:val="0033199F"/>
    <w:rsid w:val="00331CA8"/>
    <w:rsid w:val="00331EF1"/>
    <w:rsid w:val="00331F2F"/>
    <w:rsid w:val="00331F44"/>
    <w:rsid w:val="00331F5E"/>
    <w:rsid w:val="00331FD5"/>
    <w:rsid w:val="0033203C"/>
    <w:rsid w:val="0033210F"/>
    <w:rsid w:val="003321F7"/>
    <w:rsid w:val="0033227E"/>
    <w:rsid w:val="00332343"/>
    <w:rsid w:val="003324A7"/>
    <w:rsid w:val="0033263E"/>
    <w:rsid w:val="0033271D"/>
    <w:rsid w:val="00332935"/>
    <w:rsid w:val="00332941"/>
    <w:rsid w:val="0033299C"/>
    <w:rsid w:val="003329A5"/>
    <w:rsid w:val="003329DB"/>
    <w:rsid w:val="00332A26"/>
    <w:rsid w:val="00332A6A"/>
    <w:rsid w:val="00332A6F"/>
    <w:rsid w:val="00332B87"/>
    <w:rsid w:val="00332C18"/>
    <w:rsid w:val="00332C4C"/>
    <w:rsid w:val="00332C9F"/>
    <w:rsid w:val="00332D72"/>
    <w:rsid w:val="00332E7D"/>
    <w:rsid w:val="00332E9A"/>
    <w:rsid w:val="00332ED8"/>
    <w:rsid w:val="00332F53"/>
    <w:rsid w:val="00332F6D"/>
    <w:rsid w:val="00333038"/>
    <w:rsid w:val="003331FD"/>
    <w:rsid w:val="00333278"/>
    <w:rsid w:val="003332B2"/>
    <w:rsid w:val="003333EC"/>
    <w:rsid w:val="0033342A"/>
    <w:rsid w:val="003335A4"/>
    <w:rsid w:val="003335F9"/>
    <w:rsid w:val="00333651"/>
    <w:rsid w:val="00333681"/>
    <w:rsid w:val="003336E3"/>
    <w:rsid w:val="00333726"/>
    <w:rsid w:val="00333840"/>
    <w:rsid w:val="00333842"/>
    <w:rsid w:val="0033386D"/>
    <w:rsid w:val="00333930"/>
    <w:rsid w:val="003339D5"/>
    <w:rsid w:val="00333B08"/>
    <w:rsid w:val="00333BAD"/>
    <w:rsid w:val="00333BE0"/>
    <w:rsid w:val="00333D6D"/>
    <w:rsid w:val="00333D73"/>
    <w:rsid w:val="00333E6A"/>
    <w:rsid w:val="00334036"/>
    <w:rsid w:val="0033404A"/>
    <w:rsid w:val="003340AD"/>
    <w:rsid w:val="00334152"/>
    <w:rsid w:val="003341B5"/>
    <w:rsid w:val="00334203"/>
    <w:rsid w:val="00334220"/>
    <w:rsid w:val="0033429C"/>
    <w:rsid w:val="003343CA"/>
    <w:rsid w:val="0033446D"/>
    <w:rsid w:val="0033449C"/>
    <w:rsid w:val="003344F4"/>
    <w:rsid w:val="00334600"/>
    <w:rsid w:val="00334864"/>
    <w:rsid w:val="00334907"/>
    <w:rsid w:val="00334982"/>
    <w:rsid w:val="00334B20"/>
    <w:rsid w:val="00334CBB"/>
    <w:rsid w:val="00334CD3"/>
    <w:rsid w:val="00334E58"/>
    <w:rsid w:val="00334EC2"/>
    <w:rsid w:val="00334EDB"/>
    <w:rsid w:val="00334FCF"/>
    <w:rsid w:val="00335144"/>
    <w:rsid w:val="00335320"/>
    <w:rsid w:val="0033537A"/>
    <w:rsid w:val="003354EB"/>
    <w:rsid w:val="00335640"/>
    <w:rsid w:val="00335658"/>
    <w:rsid w:val="0033568C"/>
    <w:rsid w:val="00335699"/>
    <w:rsid w:val="0033572B"/>
    <w:rsid w:val="00335853"/>
    <w:rsid w:val="0033592B"/>
    <w:rsid w:val="00335956"/>
    <w:rsid w:val="0033598B"/>
    <w:rsid w:val="003359EA"/>
    <w:rsid w:val="00335A23"/>
    <w:rsid w:val="00335C36"/>
    <w:rsid w:val="00335CB8"/>
    <w:rsid w:val="00336187"/>
    <w:rsid w:val="003366F1"/>
    <w:rsid w:val="003367D8"/>
    <w:rsid w:val="00336828"/>
    <w:rsid w:val="003369C6"/>
    <w:rsid w:val="00336B91"/>
    <w:rsid w:val="00336C2D"/>
    <w:rsid w:val="00336C2F"/>
    <w:rsid w:val="00336E83"/>
    <w:rsid w:val="00336F65"/>
    <w:rsid w:val="00336FD6"/>
    <w:rsid w:val="0033723A"/>
    <w:rsid w:val="0033724D"/>
    <w:rsid w:val="003372DB"/>
    <w:rsid w:val="00337320"/>
    <w:rsid w:val="00337375"/>
    <w:rsid w:val="003373FB"/>
    <w:rsid w:val="0033752E"/>
    <w:rsid w:val="003377CF"/>
    <w:rsid w:val="00337991"/>
    <w:rsid w:val="00337AF3"/>
    <w:rsid w:val="00337C79"/>
    <w:rsid w:val="00337C84"/>
    <w:rsid w:val="00337C9F"/>
    <w:rsid w:val="00337DB8"/>
    <w:rsid w:val="00337E1F"/>
    <w:rsid w:val="00337F54"/>
    <w:rsid w:val="00337FB6"/>
    <w:rsid w:val="00337FCF"/>
    <w:rsid w:val="003400FC"/>
    <w:rsid w:val="00340151"/>
    <w:rsid w:val="0034022C"/>
    <w:rsid w:val="00340601"/>
    <w:rsid w:val="0034062D"/>
    <w:rsid w:val="00340728"/>
    <w:rsid w:val="00340778"/>
    <w:rsid w:val="00340841"/>
    <w:rsid w:val="0034091F"/>
    <w:rsid w:val="0034097E"/>
    <w:rsid w:val="00340AB6"/>
    <w:rsid w:val="00340C22"/>
    <w:rsid w:val="00340D9D"/>
    <w:rsid w:val="00340E02"/>
    <w:rsid w:val="00341030"/>
    <w:rsid w:val="00341049"/>
    <w:rsid w:val="00341111"/>
    <w:rsid w:val="00341121"/>
    <w:rsid w:val="0034134A"/>
    <w:rsid w:val="003413DE"/>
    <w:rsid w:val="003413E1"/>
    <w:rsid w:val="00341473"/>
    <w:rsid w:val="00341600"/>
    <w:rsid w:val="0034170C"/>
    <w:rsid w:val="00341748"/>
    <w:rsid w:val="003417FC"/>
    <w:rsid w:val="0034186C"/>
    <w:rsid w:val="003418DA"/>
    <w:rsid w:val="00341998"/>
    <w:rsid w:val="003419D9"/>
    <w:rsid w:val="00341A1F"/>
    <w:rsid w:val="00341B80"/>
    <w:rsid w:val="00341BE4"/>
    <w:rsid w:val="00341C1D"/>
    <w:rsid w:val="00341F9C"/>
    <w:rsid w:val="00342025"/>
    <w:rsid w:val="003420CA"/>
    <w:rsid w:val="003422FF"/>
    <w:rsid w:val="003423CC"/>
    <w:rsid w:val="00342662"/>
    <w:rsid w:val="003427D1"/>
    <w:rsid w:val="0034287B"/>
    <w:rsid w:val="00342A1B"/>
    <w:rsid w:val="00342A7A"/>
    <w:rsid w:val="00342C07"/>
    <w:rsid w:val="00342DEB"/>
    <w:rsid w:val="00342EC8"/>
    <w:rsid w:val="00342F02"/>
    <w:rsid w:val="00343022"/>
    <w:rsid w:val="00343082"/>
    <w:rsid w:val="0034311D"/>
    <w:rsid w:val="0034315E"/>
    <w:rsid w:val="003431BA"/>
    <w:rsid w:val="0034334C"/>
    <w:rsid w:val="003434D3"/>
    <w:rsid w:val="003434D5"/>
    <w:rsid w:val="00343554"/>
    <w:rsid w:val="00343560"/>
    <w:rsid w:val="00343628"/>
    <w:rsid w:val="00343852"/>
    <w:rsid w:val="00343897"/>
    <w:rsid w:val="0034391C"/>
    <w:rsid w:val="00343927"/>
    <w:rsid w:val="003439D5"/>
    <w:rsid w:val="00343BEA"/>
    <w:rsid w:val="00343C26"/>
    <w:rsid w:val="00343C8F"/>
    <w:rsid w:val="00343D57"/>
    <w:rsid w:val="00343D9A"/>
    <w:rsid w:val="00343DBE"/>
    <w:rsid w:val="00343E11"/>
    <w:rsid w:val="00343EAA"/>
    <w:rsid w:val="003440E5"/>
    <w:rsid w:val="00344148"/>
    <w:rsid w:val="003441DF"/>
    <w:rsid w:val="0034420A"/>
    <w:rsid w:val="0034425A"/>
    <w:rsid w:val="003443F8"/>
    <w:rsid w:val="003444E5"/>
    <w:rsid w:val="00344526"/>
    <w:rsid w:val="003445D6"/>
    <w:rsid w:val="003447A1"/>
    <w:rsid w:val="003447A4"/>
    <w:rsid w:val="003449CA"/>
    <w:rsid w:val="00344BA9"/>
    <w:rsid w:val="00344CA3"/>
    <w:rsid w:val="00344F0B"/>
    <w:rsid w:val="00345154"/>
    <w:rsid w:val="0034515C"/>
    <w:rsid w:val="00345409"/>
    <w:rsid w:val="00345460"/>
    <w:rsid w:val="00345471"/>
    <w:rsid w:val="003454A7"/>
    <w:rsid w:val="003455D3"/>
    <w:rsid w:val="003455EC"/>
    <w:rsid w:val="003456D4"/>
    <w:rsid w:val="00345767"/>
    <w:rsid w:val="00345806"/>
    <w:rsid w:val="00345824"/>
    <w:rsid w:val="00345861"/>
    <w:rsid w:val="0034586B"/>
    <w:rsid w:val="00345A85"/>
    <w:rsid w:val="00345B6E"/>
    <w:rsid w:val="00345C1F"/>
    <w:rsid w:val="00345D6A"/>
    <w:rsid w:val="00345E51"/>
    <w:rsid w:val="0034605C"/>
    <w:rsid w:val="0034636E"/>
    <w:rsid w:val="003464A1"/>
    <w:rsid w:val="003465B9"/>
    <w:rsid w:val="003466C9"/>
    <w:rsid w:val="00346749"/>
    <w:rsid w:val="003467D6"/>
    <w:rsid w:val="003468A6"/>
    <w:rsid w:val="00346903"/>
    <w:rsid w:val="003469FF"/>
    <w:rsid w:val="00346A32"/>
    <w:rsid w:val="00346A6E"/>
    <w:rsid w:val="00346C38"/>
    <w:rsid w:val="00346C6F"/>
    <w:rsid w:val="00346CEE"/>
    <w:rsid w:val="00346E26"/>
    <w:rsid w:val="00346F6F"/>
    <w:rsid w:val="0034701A"/>
    <w:rsid w:val="003471A1"/>
    <w:rsid w:val="0034742A"/>
    <w:rsid w:val="0034744B"/>
    <w:rsid w:val="0034778D"/>
    <w:rsid w:val="00347807"/>
    <w:rsid w:val="00347845"/>
    <w:rsid w:val="00347941"/>
    <w:rsid w:val="00347956"/>
    <w:rsid w:val="00347B7A"/>
    <w:rsid w:val="00347C56"/>
    <w:rsid w:val="00347C72"/>
    <w:rsid w:val="00347CD6"/>
    <w:rsid w:val="00347DD7"/>
    <w:rsid w:val="00347E67"/>
    <w:rsid w:val="00347E94"/>
    <w:rsid w:val="00347FEC"/>
    <w:rsid w:val="0035006B"/>
    <w:rsid w:val="00350088"/>
    <w:rsid w:val="0035008F"/>
    <w:rsid w:val="003500D2"/>
    <w:rsid w:val="003501E9"/>
    <w:rsid w:val="00350228"/>
    <w:rsid w:val="00350294"/>
    <w:rsid w:val="003502AB"/>
    <w:rsid w:val="003503B1"/>
    <w:rsid w:val="0035040C"/>
    <w:rsid w:val="0035069B"/>
    <w:rsid w:val="003507B9"/>
    <w:rsid w:val="00350A91"/>
    <w:rsid w:val="00350C0E"/>
    <w:rsid w:val="00350D3F"/>
    <w:rsid w:val="00351034"/>
    <w:rsid w:val="00351059"/>
    <w:rsid w:val="0035127A"/>
    <w:rsid w:val="003512E8"/>
    <w:rsid w:val="003513E1"/>
    <w:rsid w:val="003513E2"/>
    <w:rsid w:val="0035149D"/>
    <w:rsid w:val="00351750"/>
    <w:rsid w:val="00351898"/>
    <w:rsid w:val="003518EF"/>
    <w:rsid w:val="00351934"/>
    <w:rsid w:val="00351953"/>
    <w:rsid w:val="0035197F"/>
    <w:rsid w:val="00351988"/>
    <w:rsid w:val="00351E2C"/>
    <w:rsid w:val="00351E5C"/>
    <w:rsid w:val="00351E5F"/>
    <w:rsid w:val="00351F68"/>
    <w:rsid w:val="00351FE0"/>
    <w:rsid w:val="0035200C"/>
    <w:rsid w:val="00352228"/>
    <w:rsid w:val="0035241E"/>
    <w:rsid w:val="003524F0"/>
    <w:rsid w:val="0035252E"/>
    <w:rsid w:val="003525C4"/>
    <w:rsid w:val="00352697"/>
    <w:rsid w:val="00352915"/>
    <w:rsid w:val="00352A1D"/>
    <w:rsid w:val="00352A6F"/>
    <w:rsid w:val="00352AEF"/>
    <w:rsid w:val="00352CCE"/>
    <w:rsid w:val="00352E91"/>
    <w:rsid w:val="00352EFF"/>
    <w:rsid w:val="00352F63"/>
    <w:rsid w:val="00352FB1"/>
    <w:rsid w:val="003532AA"/>
    <w:rsid w:val="00353305"/>
    <w:rsid w:val="00353358"/>
    <w:rsid w:val="00353608"/>
    <w:rsid w:val="00353620"/>
    <w:rsid w:val="00353630"/>
    <w:rsid w:val="003536A6"/>
    <w:rsid w:val="003536C7"/>
    <w:rsid w:val="003536E1"/>
    <w:rsid w:val="00353803"/>
    <w:rsid w:val="00353863"/>
    <w:rsid w:val="00353C83"/>
    <w:rsid w:val="00353CD7"/>
    <w:rsid w:val="00353D7A"/>
    <w:rsid w:val="00354197"/>
    <w:rsid w:val="00354389"/>
    <w:rsid w:val="00354412"/>
    <w:rsid w:val="0035447E"/>
    <w:rsid w:val="0035448E"/>
    <w:rsid w:val="003544ED"/>
    <w:rsid w:val="00354529"/>
    <w:rsid w:val="003546E0"/>
    <w:rsid w:val="00354760"/>
    <w:rsid w:val="00354799"/>
    <w:rsid w:val="0035489B"/>
    <w:rsid w:val="003549CE"/>
    <w:rsid w:val="00354BC2"/>
    <w:rsid w:val="00354CEE"/>
    <w:rsid w:val="00354D68"/>
    <w:rsid w:val="00354E42"/>
    <w:rsid w:val="00354F60"/>
    <w:rsid w:val="00355179"/>
    <w:rsid w:val="003551C4"/>
    <w:rsid w:val="0035528F"/>
    <w:rsid w:val="0035550D"/>
    <w:rsid w:val="003556B9"/>
    <w:rsid w:val="003556CF"/>
    <w:rsid w:val="003558BC"/>
    <w:rsid w:val="003559B1"/>
    <w:rsid w:val="00355BF6"/>
    <w:rsid w:val="00355D39"/>
    <w:rsid w:val="00355EA9"/>
    <w:rsid w:val="00355FB0"/>
    <w:rsid w:val="003561FC"/>
    <w:rsid w:val="00356257"/>
    <w:rsid w:val="00356294"/>
    <w:rsid w:val="003564CC"/>
    <w:rsid w:val="003564DF"/>
    <w:rsid w:val="003565BB"/>
    <w:rsid w:val="003566B2"/>
    <w:rsid w:val="00356713"/>
    <w:rsid w:val="003569E7"/>
    <w:rsid w:val="00356A38"/>
    <w:rsid w:val="00356AB6"/>
    <w:rsid w:val="00356B59"/>
    <w:rsid w:val="00356BD3"/>
    <w:rsid w:val="00356BEB"/>
    <w:rsid w:val="00356D6C"/>
    <w:rsid w:val="00356D9F"/>
    <w:rsid w:val="00356F52"/>
    <w:rsid w:val="00356FA7"/>
    <w:rsid w:val="00356FD3"/>
    <w:rsid w:val="0035712F"/>
    <w:rsid w:val="00357216"/>
    <w:rsid w:val="00357380"/>
    <w:rsid w:val="003574C4"/>
    <w:rsid w:val="003575F5"/>
    <w:rsid w:val="00357704"/>
    <w:rsid w:val="0035774E"/>
    <w:rsid w:val="0035779C"/>
    <w:rsid w:val="003577F5"/>
    <w:rsid w:val="0035782C"/>
    <w:rsid w:val="0035785A"/>
    <w:rsid w:val="00357D57"/>
    <w:rsid w:val="00357EDC"/>
    <w:rsid w:val="00357F7B"/>
    <w:rsid w:val="00357F7F"/>
    <w:rsid w:val="0036000E"/>
    <w:rsid w:val="00360032"/>
    <w:rsid w:val="00360148"/>
    <w:rsid w:val="00360180"/>
    <w:rsid w:val="00360188"/>
    <w:rsid w:val="00360225"/>
    <w:rsid w:val="003604B1"/>
    <w:rsid w:val="003604E6"/>
    <w:rsid w:val="0036051C"/>
    <w:rsid w:val="0036060A"/>
    <w:rsid w:val="00360675"/>
    <w:rsid w:val="00360712"/>
    <w:rsid w:val="00360732"/>
    <w:rsid w:val="003608C8"/>
    <w:rsid w:val="00360993"/>
    <w:rsid w:val="003609C7"/>
    <w:rsid w:val="00360AE1"/>
    <w:rsid w:val="00360AFC"/>
    <w:rsid w:val="00360BB5"/>
    <w:rsid w:val="00360C7A"/>
    <w:rsid w:val="00360D8E"/>
    <w:rsid w:val="00360DFD"/>
    <w:rsid w:val="003610EF"/>
    <w:rsid w:val="003611A6"/>
    <w:rsid w:val="00361364"/>
    <w:rsid w:val="00361371"/>
    <w:rsid w:val="003613A4"/>
    <w:rsid w:val="003614BB"/>
    <w:rsid w:val="00361553"/>
    <w:rsid w:val="00361612"/>
    <w:rsid w:val="0036171D"/>
    <w:rsid w:val="0036185E"/>
    <w:rsid w:val="003618F6"/>
    <w:rsid w:val="00361A4B"/>
    <w:rsid w:val="00361A7B"/>
    <w:rsid w:val="00362063"/>
    <w:rsid w:val="00362113"/>
    <w:rsid w:val="003621B1"/>
    <w:rsid w:val="003621FA"/>
    <w:rsid w:val="00362209"/>
    <w:rsid w:val="00362258"/>
    <w:rsid w:val="0036226F"/>
    <w:rsid w:val="0036228D"/>
    <w:rsid w:val="00362353"/>
    <w:rsid w:val="00362436"/>
    <w:rsid w:val="0036255E"/>
    <w:rsid w:val="0036275F"/>
    <w:rsid w:val="003628C9"/>
    <w:rsid w:val="003629E6"/>
    <w:rsid w:val="00362A4E"/>
    <w:rsid w:val="00362C4C"/>
    <w:rsid w:val="00363244"/>
    <w:rsid w:val="0036353C"/>
    <w:rsid w:val="003635B9"/>
    <w:rsid w:val="0036363B"/>
    <w:rsid w:val="003637E6"/>
    <w:rsid w:val="003639A9"/>
    <w:rsid w:val="003639AD"/>
    <w:rsid w:val="00363A3E"/>
    <w:rsid w:val="00363A9F"/>
    <w:rsid w:val="00363C88"/>
    <w:rsid w:val="00363E06"/>
    <w:rsid w:val="00363E18"/>
    <w:rsid w:val="00363F05"/>
    <w:rsid w:val="00363F52"/>
    <w:rsid w:val="0036409C"/>
    <w:rsid w:val="003640A6"/>
    <w:rsid w:val="0036422C"/>
    <w:rsid w:val="0036423D"/>
    <w:rsid w:val="0036427C"/>
    <w:rsid w:val="00364298"/>
    <w:rsid w:val="00364313"/>
    <w:rsid w:val="0036432B"/>
    <w:rsid w:val="00364343"/>
    <w:rsid w:val="0036437F"/>
    <w:rsid w:val="0036449E"/>
    <w:rsid w:val="003645E8"/>
    <w:rsid w:val="0036464F"/>
    <w:rsid w:val="00364654"/>
    <w:rsid w:val="00364687"/>
    <w:rsid w:val="003646E9"/>
    <w:rsid w:val="00364774"/>
    <w:rsid w:val="0036480F"/>
    <w:rsid w:val="00364875"/>
    <w:rsid w:val="003648DA"/>
    <w:rsid w:val="003649DD"/>
    <w:rsid w:val="00364A98"/>
    <w:rsid w:val="00364BD0"/>
    <w:rsid w:val="00364D9A"/>
    <w:rsid w:val="00364E2B"/>
    <w:rsid w:val="00364E8E"/>
    <w:rsid w:val="00364F27"/>
    <w:rsid w:val="00364F91"/>
    <w:rsid w:val="00365046"/>
    <w:rsid w:val="00365155"/>
    <w:rsid w:val="0036515C"/>
    <w:rsid w:val="0036520A"/>
    <w:rsid w:val="00365295"/>
    <w:rsid w:val="0036532C"/>
    <w:rsid w:val="00365412"/>
    <w:rsid w:val="00365529"/>
    <w:rsid w:val="00365773"/>
    <w:rsid w:val="003658E0"/>
    <w:rsid w:val="003658E6"/>
    <w:rsid w:val="003659F2"/>
    <w:rsid w:val="00365C0C"/>
    <w:rsid w:val="00365C69"/>
    <w:rsid w:val="00365D5D"/>
    <w:rsid w:val="00365DB4"/>
    <w:rsid w:val="00365DD0"/>
    <w:rsid w:val="00365EFD"/>
    <w:rsid w:val="00366025"/>
    <w:rsid w:val="003661A7"/>
    <w:rsid w:val="00366208"/>
    <w:rsid w:val="003663F8"/>
    <w:rsid w:val="00366541"/>
    <w:rsid w:val="00366752"/>
    <w:rsid w:val="00366811"/>
    <w:rsid w:val="00366921"/>
    <w:rsid w:val="003669C6"/>
    <w:rsid w:val="00366A61"/>
    <w:rsid w:val="00366ACA"/>
    <w:rsid w:val="00366CCA"/>
    <w:rsid w:val="00367218"/>
    <w:rsid w:val="00367265"/>
    <w:rsid w:val="003677EC"/>
    <w:rsid w:val="00367936"/>
    <w:rsid w:val="00367A59"/>
    <w:rsid w:val="00367A8B"/>
    <w:rsid w:val="00367C06"/>
    <w:rsid w:val="00367C2F"/>
    <w:rsid w:val="00367D9E"/>
    <w:rsid w:val="00367DFB"/>
    <w:rsid w:val="00367EF6"/>
    <w:rsid w:val="00367F5A"/>
    <w:rsid w:val="00370014"/>
    <w:rsid w:val="003701FD"/>
    <w:rsid w:val="00370258"/>
    <w:rsid w:val="00370382"/>
    <w:rsid w:val="003703F9"/>
    <w:rsid w:val="0037044D"/>
    <w:rsid w:val="00370542"/>
    <w:rsid w:val="003706B6"/>
    <w:rsid w:val="00370706"/>
    <w:rsid w:val="003707FF"/>
    <w:rsid w:val="00370886"/>
    <w:rsid w:val="00370A87"/>
    <w:rsid w:val="00370A90"/>
    <w:rsid w:val="00370C85"/>
    <w:rsid w:val="00370CF8"/>
    <w:rsid w:val="00370F07"/>
    <w:rsid w:val="0037101B"/>
    <w:rsid w:val="003710E9"/>
    <w:rsid w:val="003711DD"/>
    <w:rsid w:val="0037126F"/>
    <w:rsid w:val="003712EA"/>
    <w:rsid w:val="0037143D"/>
    <w:rsid w:val="00371558"/>
    <w:rsid w:val="00371584"/>
    <w:rsid w:val="00371614"/>
    <w:rsid w:val="0037190A"/>
    <w:rsid w:val="0037195F"/>
    <w:rsid w:val="00371B8B"/>
    <w:rsid w:val="00371D7E"/>
    <w:rsid w:val="00371DA7"/>
    <w:rsid w:val="00371E2B"/>
    <w:rsid w:val="00371E4F"/>
    <w:rsid w:val="00371EEE"/>
    <w:rsid w:val="00371F20"/>
    <w:rsid w:val="00371F39"/>
    <w:rsid w:val="00371F76"/>
    <w:rsid w:val="003720FA"/>
    <w:rsid w:val="00372161"/>
    <w:rsid w:val="003721D2"/>
    <w:rsid w:val="00372298"/>
    <w:rsid w:val="003722E1"/>
    <w:rsid w:val="0037237C"/>
    <w:rsid w:val="003724BE"/>
    <w:rsid w:val="003726C5"/>
    <w:rsid w:val="0037274F"/>
    <w:rsid w:val="003727B2"/>
    <w:rsid w:val="0037283C"/>
    <w:rsid w:val="003729E6"/>
    <w:rsid w:val="00372DCA"/>
    <w:rsid w:val="00372F72"/>
    <w:rsid w:val="003733CA"/>
    <w:rsid w:val="003734FC"/>
    <w:rsid w:val="00373577"/>
    <w:rsid w:val="0037361A"/>
    <w:rsid w:val="00373771"/>
    <w:rsid w:val="003738B5"/>
    <w:rsid w:val="003738BF"/>
    <w:rsid w:val="00373A2B"/>
    <w:rsid w:val="00373A58"/>
    <w:rsid w:val="00373CB3"/>
    <w:rsid w:val="00373CF6"/>
    <w:rsid w:val="00373DB8"/>
    <w:rsid w:val="00373E43"/>
    <w:rsid w:val="00373F7F"/>
    <w:rsid w:val="00373FB6"/>
    <w:rsid w:val="00374003"/>
    <w:rsid w:val="003740E0"/>
    <w:rsid w:val="00374170"/>
    <w:rsid w:val="00374596"/>
    <w:rsid w:val="003745AB"/>
    <w:rsid w:val="003746FD"/>
    <w:rsid w:val="00374708"/>
    <w:rsid w:val="0037482A"/>
    <w:rsid w:val="00374AC2"/>
    <w:rsid w:val="00374CE9"/>
    <w:rsid w:val="0037507C"/>
    <w:rsid w:val="003750E6"/>
    <w:rsid w:val="00375150"/>
    <w:rsid w:val="003753B4"/>
    <w:rsid w:val="003753CF"/>
    <w:rsid w:val="00375426"/>
    <w:rsid w:val="0037560F"/>
    <w:rsid w:val="0037567C"/>
    <w:rsid w:val="00375685"/>
    <w:rsid w:val="00375900"/>
    <w:rsid w:val="00375906"/>
    <w:rsid w:val="00375A7A"/>
    <w:rsid w:val="00375BFB"/>
    <w:rsid w:val="00375C1F"/>
    <w:rsid w:val="00375D00"/>
    <w:rsid w:val="00375E40"/>
    <w:rsid w:val="00375ED1"/>
    <w:rsid w:val="0037612C"/>
    <w:rsid w:val="0037633E"/>
    <w:rsid w:val="0037636C"/>
    <w:rsid w:val="003764F1"/>
    <w:rsid w:val="00376505"/>
    <w:rsid w:val="00376A1B"/>
    <w:rsid w:val="00376ACA"/>
    <w:rsid w:val="00376B6C"/>
    <w:rsid w:val="0037719B"/>
    <w:rsid w:val="003771A9"/>
    <w:rsid w:val="003771EC"/>
    <w:rsid w:val="0037728B"/>
    <w:rsid w:val="0037728F"/>
    <w:rsid w:val="003772CA"/>
    <w:rsid w:val="00377319"/>
    <w:rsid w:val="00377359"/>
    <w:rsid w:val="003775E2"/>
    <w:rsid w:val="003776D8"/>
    <w:rsid w:val="00377763"/>
    <w:rsid w:val="0037787F"/>
    <w:rsid w:val="003778CD"/>
    <w:rsid w:val="00377904"/>
    <w:rsid w:val="0037795A"/>
    <w:rsid w:val="003779E8"/>
    <w:rsid w:val="00377A36"/>
    <w:rsid w:val="00377A85"/>
    <w:rsid w:val="00377D18"/>
    <w:rsid w:val="00377D90"/>
    <w:rsid w:val="00377DA0"/>
    <w:rsid w:val="00377EBD"/>
    <w:rsid w:val="00377F49"/>
    <w:rsid w:val="0038013D"/>
    <w:rsid w:val="003802EE"/>
    <w:rsid w:val="0038036E"/>
    <w:rsid w:val="003803D4"/>
    <w:rsid w:val="00380405"/>
    <w:rsid w:val="00380587"/>
    <w:rsid w:val="0038058B"/>
    <w:rsid w:val="00380601"/>
    <w:rsid w:val="0038067F"/>
    <w:rsid w:val="00380681"/>
    <w:rsid w:val="003806C2"/>
    <w:rsid w:val="00380A25"/>
    <w:rsid w:val="00380AC3"/>
    <w:rsid w:val="00380C71"/>
    <w:rsid w:val="00380C73"/>
    <w:rsid w:val="00380D91"/>
    <w:rsid w:val="00381097"/>
    <w:rsid w:val="00381184"/>
    <w:rsid w:val="003811C5"/>
    <w:rsid w:val="00381203"/>
    <w:rsid w:val="0038128B"/>
    <w:rsid w:val="00381329"/>
    <w:rsid w:val="003814AA"/>
    <w:rsid w:val="003815C9"/>
    <w:rsid w:val="00381679"/>
    <w:rsid w:val="00381691"/>
    <w:rsid w:val="0038186F"/>
    <w:rsid w:val="00381880"/>
    <w:rsid w:val="003818C0"/>
    <w:rsid w:val="003818EE"/>
    <w:rsid w:val="0038192E"/>
    <w:rsid w:val="00381A9E"/>
    <w:rsid w:val="00381DEB"/>
    <w:rsid w:val="00381E39"/>
    <w:rsid w:val="00381FF4"/>
    <w:rsid w:val="00382021"/>
    <w:rsid w:val="003822A6"/>
    <w:rsid w:val="003822E5"/>
    <w:rsid w:val="00382568"/>
    <w:rsid w:val="003826C4"/>
    <w:rsid w:val="003826E9"/>
    <w:rsid w:val="00382831"/>
    <w:rsid w:val="00382833"/>
    <w:rsid w:val="00382A21"/>
    <w:rsid w:val="00382C64"/>
    <w:rsid w:val="00382DC3"/>
    <w:rsid w:val="00382E18"/>
    <w:rsid w:val="00382E44"/>
    <w:rsid w:val="00382E73"/>
    <w:rsid w:val="00383118"/>
    <w:rsid w:val="00383143"/>
    <w:rsid w:val="0038339B"/>
    <w:rsid w:val="003835C8"/>
    <w:rsid w:val="00383616"/>
    <w:rsid w:val="003836A8"/>
    <w:rsid w:val="0038379A"/>
    <w:rsid w:val="00383B73"/>
    <w:rsid w:val="00383BA3"/>
    <w:rsid w:val="00383E3A"/>
    <w:rsid w:val="00383E3D"/>
    <w:rsid w:val="00383E63"/>
    <w:rsid w:val="0038401E"/>
    <w:rsid w:val="0038426C"/>
    <w:rsid w:val="003843DC"/>
    <w:rsid w:val="00384439"/>
    <w:rsid w:val="0038446F"/>
    <w:rsid w:val="003844EA"/>
    <w:rsid w:val="0038450B"/>
    <w:rsid w:val="00384513"/>
    <w:rsid w:val="0038455A"/>
    <w:rsid w:val="003845A1"/>
    <w:rsid w:val="003845C7"/>
    <w:rsid w:val="00384705"/>
    <w:rsid w:val="0038471A"/>
    <w:rsid w:val="003847D9"/>
    <w:rsid w:val="0038483E"/>
    <w:rsid w:val="0038484F"/>
    <w:rsid w:val="00384A4F"/>
    <w:rsid w:val="00384A5F"/>
    <w:rsid w:val="00384B65"/>
    <w:rsid w:val="00384BD2"/>
    <w:rsid w:val="00384BF8"/>
    <w:rsid w:val="00384C91"/>
    <w:rsid w:val="00384CA2"/>
    <w:rsid w:val="00384CDD"/>
    <w:rsid w:val="00384D91"/>
    <w:rsid w:val="00384EAD"/>
    <w:rsid w:val="00384EBC"/>
    <w:rsid w:val="00384EF0"/>
    <w:rsid w:val="00384FA6"/>
    <w:rsid w:val="00384FC6"/>
    <w:rsid w:val="003851C7"/>
    <w:rsid w:val="003852CA"/>
    <w:rsid w:val="00385424"/>
    <w:rsid w:val="00385490"/>
    <w:rsid w:val="003854B3"/>
    <w:rsid w:val="003854F0"/>
    <w:rsid w:val="00385612"/>
    <w:rsid w:val="003856C3"/>
    <w:rsid w:val="00385A6B"/>
    <w:rsid w:val="00385A6D"/>
    <w:rsid w:val="00385BA9"/>
    <w:rsid w:val="00385C28"/>
    <w:rsid w:val="00385D68"/>
    <w:rsid w:val="00385EEE"/>
    <w:rsid w:val="00385F0E"/>
    <w:rsid w:val="0038606F"/>
    <w:rsid w:val="003861C1"/>
    <w:rsid w:val="00386226"/>
    <w:rsid w:val="00386459"/>
    <w:rsid w:val="0038654D"/>
    <w:rsid w:val="003865D6"/>
    <w:rsid w:val="00386686"/>
    <w:rsid w:val="0038678D"/>
    <w:rsid w:val="00386A86"/>
    <w:rsid w:val="00386A8F"/>
    <w:rsid w:val="00386AA4"/>
    <w:rsid w:val="00386B1C"/>
    <w:rsid w:val="00386B2C"/>
    <w:rsid w:val="00386B52"/>
    <w:rsid w:val="00386BFA"/>
    <w:rsid w:val="00386CD4"/>
    <w:rsid w:val="00386D28"/>
    <w:rsid w:val="0038714C"/>
    <w:rsid w:val="003871FD"/>
    <w:rsid w:val="00387205"/>
    <w:rsid w:val="00387401"/>
    <w:rsid w:val="0038772C"/>
    <w:rsid w:val="00387846"/>
    <w:rsid w:val="003879F6"/>
    <w:rsid w:val="00387A15"/>
    <w:rsid w:val="00387C1E"/>
    <w:rsid w:val="00387C7A"/>
    <w:rsid w:val="00387D2C"/>
    <w:rsid w:val="00387D92"/>
    <w:rsid w:val="003900CA"/>
    <w:rsid w:val="0039013A"/>
    <w:rsid w:val="0039019C"/>
    <w:rsid w:val="00390208"/>
    <w:rsid w:val="00390403"/>
    <w:rsid w:val="0039040E"/>
    <w:rsid w:val="00390459"/>
    <w:rsid w:val="003904C3"/>
    <w:rsid w:val="00390571"/>
    <w:rsid w:val="00390581"/>
    <w:rsid w:val="003905B5"/>
    <w:rsid w:val="00390724"/>
    <w:rsid w:val="00390759"/>
    <w:rsid w:val="0039079F"/>
    <w:rsid w:val="00390828"/>
    <w:rsid w:val="00390860"/>
    <w:rsid w:val="003908A8"/>
    <w:rsid w:val="00390B3D"/>
    <w:rsid w:val="00390D53"/>
    <w:rsid w:val="00390DC2"/>
    <w:rsid w:val="00390DDB"/>
    <w:rsid w:val="00391223"/>
    <w:rsid w:val="00391324"/>
    <w:rsid w:val="00391426"/>
    <w:rsid w:val="00391537"/>
    <w:rsid w:val="003915F9"/>
    <w:rsid w:val="00391730"/>
    <w:rsid w:val="00391759"/>
    <w:rsid w:val="0039182A"/>
    <w:rsid w:val="00391854"/>
    <w:rsid w:val="003918BC"/>
    <w:rsid w:val="00391A00"/>
    <w:rsid w:val="00391A49"/>
    <w:rsid w:val="00391D96"/>
    <w:rsid w:val="00391E31"/>
    <w:rsid w:val="00391EE3"/>
    <w:rsid w:val="0039212B"/>
    <w:rsid w:val="00392208"/>
    <w:rsid w:val="003922DB"/>
    <w:rsid w:val="003923C7"/>
    <w:rsid w:val="003924F2"/>
    <w:rsid w:val="003926C2"/>
    <w:rsid w:val="003927E0"/>
    <w:rsid w:val="003927F1"/>
    <w:rsid w:val="00392807"/>
    <w:rsid w:val="003928D0"/>
    <w:rsid w:val="003929C2"/>
    <w:rsid w:val="00392BC1"/>
    <w:rsid w:val="00392D94"/>
    <w:rsid w:val="00392D9B"/>
    <w:rsid w:val="00392EF0"/>
    <w:rsid w:val="00392F7B"/>
    <w:rsid w:val="00393038"/>
    <w:rsid w:val="003930D7"/>
    <w:rsid w:val="00393129"/>
    <w:rsid w:val="003931D5"/>
    <w:rsid w:val="0039330D"/>
    <w:rsid w:val="003935A8"/>
    <w:rsid w:val="0039361F"/>
    <w:rsid w:val="0039371A"/>
    <w:rsid w:val="0039379C"/>
    <w:rsid w:val="00393A01"/>
    <w:rsid w:val="00393A3D"/>
    <w:rsid w:val="00393AE8"/>
    <w:rsid w:val="00393B5A"/>
    <w:rsid w:val="00393C32"/>
    <w:rsid w:val="00393C6F"/>
    <w:rsid w:val="00393EB7"/>
    <w:rsid w:val="00393EC8"/>
    <w:rsid w:val="00393F24"/>
    <w:rsid w:val="00393FAE"/>
    <w:rsid w:val="00393FE3"/>
    <w:rsid w:val="0039406B"/>
    <w:rsid w:val="0039419D"/>
    <w:rsid w:val="0039425B"/>
    <w:rsid w:val="00394448"/>
    <w:rsid w:val="0039484E"/>
    <w:rsid w:val="00394918"/>
    <w:rsid w:val="00394935"/>
    <w:rsid w:val="00394A86"/>
    <w:rsid w:val="00394C3C"/>
    <w:rsid w:val="00394C4E"/>
    <w:rsid w:val="00394C52"/>
    <w:rsid w:val="00394D06"/>
    <w:rsid w:val="00395483"/>
    <w:rsid w:val="00395518"/>
    <w:rsid w:val="00395541"/>
    <w:rsid w:val="0039555D"/>
    <w:rsid w:val="003957C7"/>
    <w:rsid w:val="00395865"/>
    <w:rsid w:val="00395954"/>
    <w:rsid w:val="003959DF"/>
    <w:rsid w:val="003959F2"/>
    <w:rsid w:val="00395A08"/>
    <w:rsid w:val="00395A3C"/>
    <w:rsid w:val="00395AAC"/>
    <w:rsid w:val="00395BE2"/>
    <w:rsid w:val="00395D0D"/>
    <w:rsid w:val="00395DC5"/>
    <w:rsid w:val="00395E51"/>
    <w:rsid w:val="00395F3F"/>
    <w:rsid w:val="00395FC1"/>
    <w:rsid w:val="00396003"/>
    <w:rsid w:val="00396122"/>
    <w:rsid w:val="003961A1"/>
    <w:rsid w:val="003961D6"/>
    <w:rsid w:val="003961FA"/>
    <w:rsid w:val="00396230"/>
    <w:rsid w:val="00396483"/>
    <w:rsid w:val="00396576"/>
    <w:rsid w:val="003966B4"/>
    <w:rsid w:val="003966F6"/>
    <w:rsid w:val="003967E7"/>
    <w:rsid w:val="00396862"/>
    <w:rsid w:val="00396A30"/>
    <w:rsid w:val="00396DD5"/>
    <w:rsid w:val="00396FBE"/>
    <w:rsid w:val="00397043"/>
    <w:rsid w:val="0039704F"/>
    <w:rsid w:val="00397070"/>
    <w:rsid w:val="003970B0"/>
    <w:rsid w:val="00397264"/>
    <w:rsid w:val="00397286"/>
    <w:rsid w:val="00397315"/>
    <w:rsid w:val="0039732D"/>
    <w:rsid w:val="003973B8"/>
    <w:rsid w:val="003974AF"/>
    <w:rsid w:val="00397617"/>
    <w:rsid w:val="00397743"/>
    <w:rsid w:val="003977F1"/>
    <w:rsid w:val="00397B08"/>
    <w:rsid w:val="00397B5B"/>
    <w:rsid w:val="00397D6E"/>
    <w:rsid w:val="00397DAB"/>
    <w:rsid w:val="00397DE5"/>
    <w:rsid w:val="00397DFF"/>
    <w:rsid w:val="00397F74"/>
    <w:rsid w:val="00397FFB"/>
    <w:rsid w:val="0039E343"/>
    <w:rsid w:val="003A003C"/>
    <w:rsid w:val="003A0060"/>
    <w:rsid w:val="003A0147"/>
    <w:rsid w:val="003A02CE"/>
    <w:rsid w:val="003A0384"/>
    <w:rsid w:val="003A0687"/>
    <w:rsid w:val="003A06A4"/>
    <w:rsid w:val="003A0759"/>
    <w:rsid w:val="003A076B"/>
    <w:rsid w:val="003A07EA"/>
    <w:rsid w:val="003A08E4"/>
    <w:rsid w:val="003A0980"/>
    <w:rsid w:val="003A0B86"/>
    <w:rsid w:val="003A0D85"/>
    <w:rsid w:val="003A0EF3"/>
    <w:rsid w:val="003A0F17"/>
    <w:rsid w:val="003A0F2D"/>
    <w:rsid w:val="003A1419"/>
    <w:rsid w:val="003A1825"/>
    <w:rsid w:val="003A1AB5"/>
    <w:rsid w:val="003A1C32"/>
    <w:rsid w:val="003A1C89"/>
    <w:rsid w:val="003A1D36"/>
    <w:rsid w:val="003A1D48"/>
    <w:rsid w:val="003A1DC4"/>
    <w:rsid w:val="003A1E6F"/>
    <w:rsid w:val="003A1EE3"/>
    <w:rsid w:val="003A1F6B"/>
    <w:rsid w:val="003A20C2"/>
    <w:rsid w:val="003A21C8"/>
    <w:rsid w:val="003A235F"/>
    <w:rsid w:val="003A275E"/>
    <w:rsid w:val="003A278E"/>
    <w:rsid w:val="003A285F"/>
    <w:rsid w:val="003A28FB"/>
    <w:rsid w:val="003A2946"/>
    <w:rsid w:val="003A2A97"/>
    <w:rsid w:val="003A2AE4"/>
    <w:rsid w:val="003A2BF7"/>
    <w:rsid w:val="003A2C13"/>
    <w:rsid w:val="003A2C44"/>
    <w:rsid w:val="003A2CFB"/>
    <w:rsid w:val="003A2D2E"/>
    <w:rsid w:val="003A2D73"/>
    <w:rsid w:val="003A2D90"/>
    <w:rsid w:val="003A2E78"/>
    <w:rsid w:val="003A2EE5"/>
    <w:rsid w:val="003A2F4F"/>
    <w:rsid w:val="003A3188"/>
    <w:rsid w:val="003A320E"/>
    <w:rsid w:val="003A33DD"/>
    <w:rsid w:val="003A353B"/>
    <w:rsid w:val="003A36A8"/>
    <w:rsid w:val="003A3737"/>
    <w:rsid w:val="003A3765"/>
    <w:rsid w:val="003A383A"/>
    <w:rsid w:val="003A39EA"/>
    <w:rsid w:val="003A3B50"/>
    <w:rsid w:val="003A3BD2"/>
    <w:rsid w:val="003A3BE4"/>
    <w:rsid w:val="003A3C5C"/>
    <w:rsid w:val="003A3EC9"/>
    <w:rsid w:val="003A40CF"/>
    <w:rsid w:val="003A437F"/>
    <w:rsid w:val="003A4590"/>
    <w:rsid w:val="003A46AA"/>
    <w:rsid w:val="003A46C6"/>
    <w:rsid w:val="003A477D"/>
    <w:rsid w:val="003A499D"/>
    <w:rsid w:val="003A49CF"/>
    <w:rsid w:val="003A4A9C"/>
    <w:rsid w:val="003A4ABF"/>
    <w:rsid w:val="003A4B1D"/>
    <w:rsid w:val="003A4B1F"/>
    <w:rsid w:val="003A4D46"/>
    <w:rsid w:val="003A4F13"/>
    <w:rsid w:val="003A5299"/>
    <w:rsid w:val="003A5445"/>
    <w:rsid w:val="003A546C"/>
    <w:rsid w:val="003A55E6"/>
    <w:rsid w:val="003A59CD"/>
    <w:rsid w:val="003A5A49"/>
    <w:rsid w:val="003A5AA3"/>
    <w:rsid w:val="003A5B59"/>
    <w:rsid w:val="003A5CED"/>
    <w:rsid w:val="003A5DA1"/>
    <w:rsid w:val="003A5EBB"/>
    <w:rsid w:val="003A5F4D"/>
    <w:rsid w:val="003A6108"/>
    <w:rsid w:val="003A61EA"/>
    <w:rsid w:val="003A63E6"/>
    <w:rsid w:val="003A6449"/>
    <w:rsid w:val="003A648A"/>
    <w:rsid w:val="003A6512"/>
    <w:rsid w:val="003A65D4"/>
    <w:rsid w:val="003A66FB"/>
    <w:rsid w:val="003A698F"/>
    <w:rsid w:val="003A69A4"/>
    <w:rsid w:val="003A6A4F"/>
    <w:rsid w:val="003A6AD4"/>
    <w:rsid w:val="003A6CE6"/>
    <w:rsid w:val="003A6CEB"/>
    <w:rsid w:val="003A6D2D"/>
    <w:rsid w:val="003A6D69"/>
    <w:rsid w:val="003A6DAD"/>
    <w:rsid w:val="003A6E17"/>
    <w:rsid w:val="003A6ECE"/>
    <w:rsid w:val="003A7043"/>
    <w:rsid w:val="003A70D4"/>
    <w:rsid w:val="003A711E"/>
    <w:rsid w:val="003A72F8"/>
    <w:rsid w:val="003A74DB"/>
    <w:rsid w:val="003A752A"/>
    <w:rsid w:val="003A75F0"/>
    <w:rsid w:val="003A7886"/>
    <w:rsid w:val="003A7AFA"/>
    <w:rsid w:val="003A7CE8"/>
    <w:rsid w:val="003A7D23"/>
    <w:rsid w:val="003A7D70"/>
    <w:rsid w:val="003A7ED1"/>
    <w:rsid w:val="003A7F99"/>
    <w:rsid w:val="003B00B4"/>
    <w:rsid w:val="003B00E2"/>
    <w:rsid w:val="003B014B"/>
    <w:rsid w:val="003B0158"/>
    <w:rsid w:val="003B02A0"/>
    <w:rsid w:val="003B0330"/>
    <w:rsid w:val="003B033A"/>
    <w:rsid w:val="003B040C"/>
    <w:rsid w:val="003B0467"/>
    <w:rsid w:val="003B04EA"/>
    <w:rsid w:val="003B05CE"/>
    <w:rsid w:val="003B0672"/>
    <w:rsid w:val="003B068D"/>
    <w:rsid w:val="003B071A"/>
    <w:rsid w:val="003B07AE"/>
    <w:rsid w:val="003B080C"/>
    <w:rsid w:val="003B0A01"/>
    <w:rsid w:val="003B0B40"/>
    <w:rsid w:val="003B0CB9"/>
    <w:rsid w:val="003B0CEF"/>
    <w:rsid w:val="003B0DF7"/>
    <w:rsid w:val="003B0E76"/>
    <w:rsid w:val="003B0EB1"/>
    <w:rsid w:val="003B0F56"/>
    <w:rsid w:val="003B1099"/>
    <w:rsid w:val="003B1179"/>
    <w:rsid w:val="003B12AA"/>
    <w:rsid w:val="003B134A"/>
    <w:rsid w:val="003B13E0"/>
    <w:rsid w:val="003B14E1"/>
    <w:rsid w:val="003B1504"/>
    <w:rsid w:val="003B17D3"/>
    <w:rsid w:val="003B1822"/>
    <w:rsid w:val="003B1944"/>
    <w:rsid w:val="003B19A6"/>
    <w:rsid w:val="003B1A99"/>
    <w:rsid w:val="003B1CB0"/>
    <w:rsid w:val="003B1DA6"/>
    <w:rsid w:val="003B1E48"/>
    <w:rsid w:val="003B1EC9"/>
    <w:rsid w:val="003B1F26"/>
    <w:rsid w:val="003B1FC5"/>
    <w:rsid w:val="003B1FFF"/>
    <w:rsid w:val="003B20C3"/>
    <w:rsid w:val="003B20D2"/>
    <w:rsid w:val="003B20E7"/>
    <w:rsid w:val="003B211D"/>
    <w:rsid w:val="003B219D"/>
    <w:rsid w:val="003B2647"/>
    <w:rsid w:val="003B26C4"/>
    <w:rsid w:val="003B26EB"/>
    <w:rsid w:val="003B2A11"/>
    <w:rsid w:val="003B2A2A"/>
    <w:rsid w:val="003B2B56"/>
    <w:rsid w:val="003B2C1D"/>
    <w:rsid w:val="003B2C6F"/>
    <w:rsid w:val="003B2E8C"/>
    <w:rsid w:val="003B3135"/>
    <w:rsid w:val="003B31AD"/>
    <w:rsid w:val="003B322B"/>
    <w:rsid w:val="003B328D"/>
    <w:rsid w:val="003B33AE"/>
    <w:rsid w:val="003B3499"/>
    <w:rsid w:val="003B3512"/>
    <w:rsid w:val="003B36BB"/>
    <w:rsid w:val="003B3803"/>
    <w:rsid w:val="003B38C0"/>
    <w:rsid w:val="003B38FB"/>
    <w:rsid w:val="003B39E5"/>
    <w:rsid w:val="003B3A42"/>
    <w:rsid w:val="003B3B1C"/>
    <w:rsid w:val="003B3B49"/>
    <w:rsid w:val="003B3B56"/>
    <w:rsid w:val="003B3B7B"/>
    <w:rsid w:val="003B3BE0"/>
    <w:rsid w:val="003B3BFC"/>
    <w:rsid w:val="003B3E1E"/>
    <w:rsid w:val="003B3E3C"/>
    <w:rsid w:val="003B3FF1"/>
    <w:rsid w:val="003B401F"/>
    <w:rsid w:val="003B41D4"/>
    <w:rsid w:val="003B46B3"/>
    <w:rsid w:val="003B4747"/>
    <w:rsid w:val="003B4829"/>
    <w:rsid w:val="003B4DB8"/>
    <w:rsid w:val="003B4DC3"/>
    <w:rsid w:val="003B4DC6"/>
    <w:rsid w:val="003B4DCA"/>
    <w:rsid w:val="003B4E81"/>
    <w:rsid w:val="003B4F19"/>
    <w:rsid w:val="003B5088"/>
    <w:rsid w:val="003B52F0"/>
    <w:rsid w:val="003B532B"/>
    <w:rsid w:val="003B5377"/>
    <w:rsid w:val="003B5633"/>
    <w:rsid w:val="003B56CA"/>
    <w:rsid w:val="003B5765"/>
    <w:rsid w:val="003B5921"/>
    <w:rsid w:val="003B5A24"/>
    <w:rsid w:val="003B5AD2"/>
    <w:rsid w:val="003B5BB9"/>
    <w:rsid w:val="003B5E1A"/>
    <w:rsid w:val="003B5F49"/>
    <w:rsid w:val="003B603D"/>
    <w:rsid w:val="003B6199"/>
    <w:rsid w:val="003B61F4"/>
    <w:rsid w:val="003B620C"/>
    <w:rsid w:val="003B6281"/>
    <w:rsid w:val="003B62F8"/>
    <w:rsid w:val="003B637D"/>
    <w:rsid w:val="003B63F6"/>
    <w:rsid w:val="003B649D"/>
    <w:rsid w:val="003B6657"/>
    <w:rsid w:val="003B6798"/>
    <w:rsid w:val="003B67C3"/>
    <w:rsid w:val="003B67D0"/>
    <w:rsid w:val="003B681D"/>
    <w:rsid w:val="003B681F"/>
    <w:rsid w:val="003B6937"/>
    <w:rsid w:val="003B6A31"/>
    <w:rsid w:val="003B6AEC"/>
    <w:rsid w:val="003B6B35"/>
    <w:rsid w:val="003B6B4D"/>
    <w:rsid w:val="003B6BAB"/>
    <w:rsid w:val="003B6D44"/>
    <w:rsid w:val="003B6D86"/>
    <w:rsid w:val="003B6DAF"/>
    <w:rsid w:val="003B6DB0"/>
    <w:rsid w:val="003B6DCF"/>
    <w:rsid w:val="003B6F2D"/>
    <w:rsid w:val="003B6F61"/>
    <w:rsid w:val="003B6F94"/>
    <w:rsid w:val="003B70C5"/>
    <w:rsid w:val="003B7678"/>
    <w:rsid w:val="003B7872"/>
    <w:rsid w:val="003B78DA"/>
    <w:rsid w:val="003B794D"/>
    <w:rsid w:val="003B79BB"/>
    <w:rsid w:val="003B79F1"/>
    <w:rsid w:val="003B7AFC"/>
    <w:rsid w:val="003B7B44"/>
    <w:rsid w:val="003B7B7D"/>
    <w:rsid w:val="003B7BB7"/>
    <w:rsid w:val="003B7BC1"/>
    <w:rsid w:val="003B7DDA"/>
    <w:rsid w:val="003B7E64"/>
    <w:rsid w:val="003C01D8"/>
    <w:rsid w:val="003C02E6"/>
    <w:rsid w:val="003C02E9"/>
    <w:rsid w:val="003C06E2"/>
    <w:rsid w:val="003C0700"/>
    <w:rsid w:val="003C0841"/>
    <w:rsid w:val="003C08B1"/>
    <w:rsid w:val="003C0A55"/>
    <w:rsid w:val="003C0A69"/>
    <w:rsid w:val="003C0B58"/>
    <w:rsid w:val="003C0C80"/>
    <w:rsid w:val="003C0CE8"/>
    <w:rsid w:val="003C0D57"/>
    <w:rsid w:val="003C0DDE"/>
    <w:rsid w:val="003C0E2A"/>
    <w:rsid w:val="003C0F82"/>
    <w:rsid w:val="003C1095"/>
    <w:rsid w:val="003C12BA"/>
    <w:rsid w:val="003C13D5"/>
    <w:rsid w:val="003C1446"/>
    <w:rsid w:val="003C14A5"/>
    <w:rsid w:val="003C14FE"/>
    <w:rsid w:val="003C156A"/>
    <w:rsid w:val="003C15F9"/>
    <w:rsid w:val="003C16F7"/>
    <w:rsid w:val="003C1819"/>
    <w:rsid w:val="003C186D"/>
    <w:rsid w:val="003C1BDB"/>
    <w:rsid w:val="003C1DC1"/>
    <w:rsid w:val="003C1E07"/>
    <w:rsid w:val="003C1E28"/>
    <w:rsid w:val="003C1EB4"/>
    <w:rsid w:val="003C1F53"/>
    <w:rsid w:val="003C1F74"/>
    <w:rsid w:val="003C20A4"/>
    <w:rsid w:val="003C211A"/>
    <w:rsid w:val="003C21AE"/>
    <w:rsid w:val="003C22FE"/>
    <w:rsid w:val="003C2307"/>
    <w:rsid w:val="003C2416"/>
    <w:rsid w:val="003C2495"/>
    <w:rsid w:val="003C24D7"/>
    <w:rsid w:val="003C2524"/>
    <w:rsid w:val="003C267F"/>
    <w:rsid w:val="003C278B"/>
    <w:rsid w:val="003C2A10"/>
    <w:rsid w:val="003C2C3D"/>
    <w:rsid w:val="003C2C62"/>
    <w:rsid w:val="003C2D20"/>
    <w:rsid w:val="003C2F63"/>
    <w:rsid w:val="003C3010"/>
    <w:rsid w:val="003C301A"/>
    <w:rsid w:val="003C3027"/>
    <w:rsid w:val="003C3168"/>
    <w:rsid w:val="003C317F"/>
    <w:rsid w:val="003C330E"/>
    <w:rsid w:val="003C3316"/>
    <w:rsid w:val="003C332C"/>
    <w:rsid w:val="003C332F"/>
    <w:rsid w:val="003C3539"/>
    <w:rsid w:val="003C3616"/>
    <w:rsid w:val="003C3708"/>
    <w:rsid w:val="003C3A2A"/>
    <w:rsid w:val="003C3AB1"/>
    <w:rsid w:val="003C3D1F"/>
    <w:rsid w:val="003C3D9D"/>
    <w:rsid w:val="003C3F5F"/>
    <w:rsid w:val="003C3F70"/>
    <w:rsid w:val="003C3FFC"/>
    <w:rsid w:val="003C4376"/>
    <w:rsid w:val="003C43A1"/>
    <w:rsid w:val="003C43FB"/>
    <w:rsid w:val="003C4423"/>
    <w:rsid w:val="003C449F"/>
    <w:rsid w:val="003C4644"/>
    <w:rsid w:val="003C46FF"/>
    <w:rsid w:val="003C482F"/>
    <w:rsid w:val="003C4831"/>
    <w:rsid w:val="003C48D0"/>
    <w:rsid w:val="003C4B4C"/>
    <w:rsid w:val="003C4B69"/>
    <w:rsid w:val="003C4BE4"/>
    <w:rsid w:val="003C4BF0"/>
    <w:rsid w:val="003C4C1B"/>
    <w:rsid w:val="003C4CA4"/>
    <w:rsid w:val="003C4D03"/>
    <w:rsid w:val="003C50C2"/>
    <w:rsid w:val="003C514C"/>
    <w:rsid w:val="003C519B"/>
    <w:rsid w:val="003C51D2"/>
    <w:rsid w:val="003C5363"/>
    <w:rsid w:val="003C5380"/>
    <w:rsid w:val="003C54D1"/>
    <w:rsid w:val="003C57AC"/>
    <w:rsid w:val="003C5A18"/>
    <w:rsid w:val="003C5AE1"/>
    <w:rsid w:val="003C5B50"/>
    <w:rsid w:val="003C5E99"/>
    <w:rsid w:val="003C61DB"/>
    <w:rsid w:val="003C627B"/>
    <w:rsid w:val="003C6288"/>
    <w:rsid w:val="003C62F7"/>
    <w:rsid w:val="003C6322"/>
    <w:rsid w:val="003C6536"/>
    <w:rsid w:val="003C65B8"/>
    <w:rsid w:val="003C662B"/>
    <w:rsid w:val="003C66BA"/>
    <w:rsid w:val="003C679E"/>
    <w:rsid w:val="003C6902"/>
    <w:rsid w:val="003C697E"/>
    <w:rsid w:val="003C6A2D"/>
    <w:rsid w:val="003C6D4E"/>
    <w:rsid w:val="003C6D6A"/>
    <w:rsid w:val="003C6D97"/>
    <w:rsid w:val="003C6DD6"/>
    <w:rsid w:val="003C6EE8"/>
    <w:rsid w:val="003C6FCF"/>
    <w:rsid w:val="003C6FE0"/>
    <w:rsid w:val="003C70FA"/>
    <w:rsid w:val="003C7176"/>
    <w:rsid w:val="003C71C1"/>
    <w:rsid w:val="003C727E"/>
    <w:rsid w:val="003C7720"/>
    <w:rsid w:val="003C7752"/>
    <w:rsid w:val="003C779C"/>
    <w:rsid w:val="003C77A4"/>
    <w:rsid w:val="003C7865"/>
    <w:rsid w:val="003C7891"/>
    <w:rsid w:val="003C79DD"/>
    <w:rsid w:val="003C7A28"/>
    <w:rsid w:val="003C7A4A"/>
    <w:rsid w:val="003C7B1F"/>
    <w:rsid w:val="003C7B98"/>
    <w:rsid w:val="003C7BA1"/>
    <w:rsid w:val="003C7D00"/>
    <w:rsid w:val="003C7E9D"/>
    <w:rsid w:val="003D00C1"/>
    <w:rsid w:val="003D0149"/>
    <w:rsid w:val="003D067E"/>
    <w:rsid w:val="003D0714"/>
    <w:rsid w:val="003D084F"/>
    <w:rsid w:val="003D08A1"/>
    <w:rsid w:val="003D0953"/>
    <w:rsid w:val="003D09C4"/>
    <w:rsid w:val="003D0B9E"/>
    <w:rsid w:val="003D0BD7"/>
    <w:rsid w:val="003D0C03"/>
    <w:rsid w:val="003D0C82"/>
    <w:rsid w:val="003D0DA8"/>
    <w:rsid w:val="003D0E21"/>
    <w:rsid w:val="003D0F36"/>
    <w:rsid w:val="003D10DC"/>
    <w:rsid w:val="003D1226"/>
    <w:rsid w:val="003D129B"/>
    <w:rsid w:val="003D1381"/>
    <w:rsid w:val="003D140A"/>
    <w:rsid w:val="003D148C"/>
    <w:rsid w:val="003D1522"/>
    <w:rsid w:val="003D153C"/>
    <w:rsid w:val="003D1556"/>
    <w:rsid w:val="003D156B"/>
    <w:rsid w:val="003D18BC"/>
    <w:rsid w:val="003D190C"/>
    <w:rsid w:val="003D1925"/>
    <w:rsid w:val="003D192E"/>
    <w:rsid w:val="003D1A0C"/>
    <w:rsid w:val="003D1ACC"/>
    <w:rsid w:val="003D1ACF"/>
    <w:rsid w:val="003D1B57"/>
    <w:rsid w:val="003D1B8E"/>
    <w:rsid w:val="003D1BC8"/>
    <w:rsid w:val="003D1D40"/>
    <w:rsid w:val="003D1E74"/>
    <w:rsid w:val="003D1ED9"/>
    <w:rsid w:val="003D1F63"/>
    <w:rsid w:val="003D2047"/>
    <w:rsid w:val="003D211A"/>
    <w:rsid w:val="003D2404"/>
    <w:rsid w:val="003D245D"/>
    <w:rsid w:val="003D247C"/>
    <w:rsid w:val="003D268F"/>
    <w:rsid w:val="003D27CE"/>
    <w:rsid w:val="003D286D"/>
    <w:rsid w:val="003D2933"/>
    <w:rsid w:val="003D29F3"/>
    <w:rsid w:val="003D2ADC"/>
    <w:rsid w:val="003D2BDC"/>
    <w:rsid w:val="003D2C90"/>
    <w:rsid w:val="003D2D93"/>
    <w:rsid w:val="003D2EBE"/>
    <w:rsid w:val="003D2FE2"/>
    <w:rsid w:val="003D31C7"/>
    <w:rsid w:val="003D3386"/>
    <w:rsid w:val="003D36C1"/>
    <w:rsid w:val="003D3787"/>
    <w:rsid w:val="003D3888"/>
    <w:rsid w:val="003D38D5"/>
    <w:rsid w:val="003D3A3C"/>
    <w:rsid w:val="003D3AE5"/>
    <w:rsid w:val="003D3B69"/>
    <w:rsid w:val="003D3B94"/>
    <w:rsid w:val="003D3C30"/>
    <w:rsid w:val="003D3C34"/>
    <w:rsid w:val="003D3C91"/>
    <w:rsid w:val="003D3C92"/>
    <w:rsid w:val="003D3E5D"/>
    <w:rsid w:val="003D3F5C"/>
    <w:rsid w:val="003D4068"/>
    <w:rsid w:val="003D43C3"/>
    <w:rsid w:val="003D448E"/>
    <w:rsid w:val="003D4525"/>
    <w:rsid w:val="003D498A"/>
    <w:rsid w:val="003D4C06"/>
    <w:rsid w:val="003D4C96"/>
    <w:rsid w:val="003D4CB5"/>
    <w:rsid w:val="003D4D64"/>
    <w:rsid w:val="003D4FB5"/>
    <w:rsid w:val="003D4FF9"/>
    <w:rsid w:val="003D50C6"/>
    <w:rsid w:val="003D5158"/>
    <w:rsid w:val="003D5324"/>
    <w:rsid w:val="003D5344"/>
    <w:rsid w:val="003D5463"/>
    <w:rsid w:val="003D549B"/>
    <w:rsid w:val="003D54C6"/>
    <w:rsid w:val="003D5769"/>
    <w:rsid w:val="003D5886"/>
    <w:rsid w:val="003D590E"/>
    <w:rsid w:val="003D5ADE"/>
    <w:rsid w:val="003D5C43"/>
    <w:rsid w:val="003D5E65"/>
    <w:rsid w:val="003D5F39"/>
    <w:rsid w:val="003D6103"/>
    <w:rsid w:val="003D6264"/>
    <w:rsid w:val="003D62E9"/>
    <w:rsid w:val="003D6446"/>
    <w:rsid w:val="003D64C7"/>
    <w:rsid w:val="003D6573"/>
    <w:rsid w:val="003D6600"/>
    <w:rsid w:val="003D6622"/>
    <w:rsid w:val="003D6735"/>
    <w:rsid w:val="003D673E"/>
    <w:rsid w:val="003D6752"/>
    <w:rsid w:val="003D67D4"/>
    <w:rsid w:val="003D688B"/>
    <w:rsid w:val="003D6B94"/>
    <w:rsid w:val="003D6C42"/>
    <w:rsid w:val="003D6C4C"/>
    <w:rsid w:val="003D6C5E"/>
    <w:rsid w:val="003D6EDF"/>
    <w:rsid w:val="003D7178"/>
    <w:rsid w:val="003D723B"/>
    <w:rsid w:val="003D723C"/>
    <w:rsid w:val="003D7441"/>
    <w:rsid w:val="003D75DA"/>
    <w:rsid w:val="003D7617"/>
    <w:rsid w:val="003D770D"/>
    <w:rsid w:val="003D781D"/>
    <w:rsid w:val="003D7976"/>
    <w:rsid w:val="003D79D0"/>
    <w:rsid w:val="003D79FC"/>
    <w:rsid w:val="003D7A13"/>
    <w:rsid w:val="003D7B60"/>
    <w:rsid w:val="003D7B78"/>
    <w:rsid w:val="003D7C2B"/>
    <w:rsid w:val="003D7D21"/>
    <w:rsid w:val="003D7DDD"/>
    <w:rsid w:val="003D7E4F"/>
    <w:rsid w:val="003D7ECF"/>
    <w:rsid w:val="003D7F21"/>
    <w:rsid w:val="003E025C"/>
    <w:rsid w:val="003E0330"/>
    <w:rsid w:val="003E043F"/>
    <w:rsid w:val="003E0634"/>
    <w:rsid w:val="003E06BA"/>
    <w:rsid w:val="003E0700"/>
    <w:rsid w:val="003E07F8"/>
    <w:rsid w:val="003E08D6"/>
    <w:rsid w:val="003E0A3A"/>
    <w:rsid w:val="003E0B97"/>
    <w:rsid w:val="003E0BF5"/>
    <w:rsid w:val="003E0D2A"/>
    <w:rsid w:val="003E0D5C"/>
    <w:rsid w:val="003E0DB0"/>
    <w:rsid w:val="003E0E12"/>
    <w:rsid w:val="003E0E79"/>
    <w:rsid w:val="003E1118"/>
    <w:rsid w:val="003E1409"/>
    <w:rsid w:val="003E1694"/>
    <w:rsid w:val="003E16F2"/>
    <w:rsid w:val="003E1740"/>
    <w:rsid w:val="003E176B"/>
    <w:rsid w:val="003E1847"/>
    <w:rsid w:val="003E18A2"/>
    <w:rsid w:val="003E1A79"/>
    <w:rsid w:val="003E1C00"/>
    <w:rsid w:val="003E1CEF"/>
    <w:rsid w:val="003E1E8F"/>
    <w:rsid w:val="003E1EF4"/>
    <w:rsid w:val="003E2022"/>
    <w:rsid w:val="003E20A1"/>
    <w:rsid w:val="003E2238"/>
    <w:rsid w:val="003E2265"/>
    <w:rsid w:val="003E22C1"/>
    <w:rsid w:val="003E22CF"/>
    <w:rsid w:val="003E236C"/>
    <w:rsid w:val="003E2385"/>
    <w:rsid w:val="003E251A"/>
    <w:rsid w:val="003E25A4"/>
    <w:rsid w:val="003E268A"/>
    <w:rsid w:val="003E27D8"/>
    <w:rsid w:val="003E2819"/>
    <w:rsid w:val="003E2A0E"/>
    <w:rsid w:val="003E2A8C"/>
    <w:rsid w:val="003E2AC0"/>
    <w:rsid w:val="003E2DA6"/>
    <w:rsid w:val="003E2F19"/>
    <w:rsid w:val="003E2F49"/>
    <w:rsid w:val="003E2FD6"/>
    <w:rsid w:val="003E2FE1"/>
    <w:rsid w:val="003E3015"/>
    <w:rsid w:val="003E3110"/>
    <w:rsid w:val="003E3130"/>
    <w:rsid w:val="003E3137"/>
    <w:rsid w:val="003E31AD"/>
    <w:rsid w:val="003E326D"/>
    <w:rsid w:val="003E3305"/>
    <w:rsid w:val="003E335A"/>
    <w:rsid w:val="003E3493"/>
    <w:rsid w:val="003E350E"/>
    <w:rsid w:val="003E35D9"/>
    <w:rsid w:val="003E3744"/>
    <w:rsid w:val="003E3781"/>
    <w:rsid w:val="003E37B9"/>
    <w:rsid w:val="003E3850"/>
    <w:rsid w:val="003E3865"/>
    <w:rsid w:val="003E388E"/>
    <w:rsid w:val="003E38B3"/>
    <w:rsid w:val="003E3910"/>
    <w:rsid w:val="003E3934"/>
    <w:rsid w:val="003E3938"/>
    <w:rsid w:val="003E39AF"/>
    <w:rsid w:val="003E39BA"/>
    <w:rsid w:val="003E3A52"/>
    <w:rsid w:val="003E3C36"/>
    <w:rsid w:val="003E3C74"/>
    <w:rsid w:val="003E3D22"/>
    <w:rsid w:val="003E3E35"/>
    <w:rsid w:val="003E3F8E"/>
    <w:rsid w:val="003E400B"/>
    <w:rsid w:val="003E40AC"/>
    <w:rsid w:val="003E42E4"/>
    <w:rsid w:val="003E44B0"/>
    <w:rsid w:val="003E44C6"/>
    <w:rsid w:val="003E46E0"/>
    <w:rsid w:val="003E47C3"/>
    <w:rsid w:val="003E480C"/>
    <w:rsid w:val="003E48A6"/>
    <w:rsid w:val="003E4971"/>
    <w:rsid w:val="003E4A62"/>
    <w:rsid w:val="003E4B0B"/>
    <w:rsid w:val="003E4B21"/>
    <w:rsid w:val="003E4BA5"/>
    <w:rsid w:val="003E4DB5"/>
    <w:rsid w:val="003E4E2A"/>
    <w:rsid w:val="003E4F4F"/>
    <w:rsid w:val="003E5152"/>
    <w:rsid w:val="003E5386"/>
    <w:rsid w:val="003E53A7"/>
    <w:rsid w:val="003E542C"/>
    <w:rsid w:val="003E5532"/>
    <w:rsid w:val="003E55E4"/>
    <w:rsid w:val="003E575E"/>
    <w:rsid w:val="003E5789"/>
    <w:rsid w:val="003E5841"/>
    <w:rsid w:val="003E59B9"/>
    <w:rsid w:val="003E5BAD"/>
    <w:rsid w:val="003E5BD5"/>
    <w:rsid w:val="003E5C70"/>
    <w:rsid w:val="003E60BC"/>
    <w:rsid w:val="003E6172"/>
    <w:rsid w:val="003E62DB"/>
    <w:rsid w:val="003E6361"/>
    <w:rsid w:val="003E6411"/>
    <w:rsid w:val="003E64AF"/>
    <w:rsid w:val="003E656E"/>
    <w:rsid w:val="003E658D"/>
    <w:rsid w:val="003E6656"/>
    <w:rsid w:val="003E6707"/>
    <w:rsid w:val="003E676A"/>
    <w:rsid w:val="003E6857"/>
    <w:rsid w:val="003E694B"/>
    <w:rsid w:val="003E6A52"/>
    <w:rsid w:val="003E6AB2"/>
    <w:rsid w:val="003E6AD6"/>
    <w:rsid w:val="003E6B84"/>
    <w:rsid w:val="003E6C7A"/>
    <w:rsid w:val="003E6C98"/>
    <w:rsid w:val="003E6D34"/>
    <w:rsid w:val="003E6D7B"/>
    <w:rsid w:val="003E6E5E"/>
    <w:rsid w:val="003E6F52"/>
    <w:rsid w:val="003E6F54"/>
    <w:rsid w:val="003E6F71"/>
    <w:rsid w:val="003E702F"/>
    <w:rsid w:val="003E748A"/>
    <w:rsid w:val="003E767A"/>
    <w:rsid w:val="003E7811"/>
    <w:rsid w:val="003E795D"/>
    <w:rsid w:val="003E797F"/>
    <w:rsid w:val="003E7A41"/>
    <w:rsid w:val="003E7AF6"/>
    <w:rsid w:val="003E7C8C"/>
    <w:rsid w:val="003E7CC2"/>
    <w:rsid w:val="003E7CD6"/>
    <w:rsid w:val="003E7D59"/>
    <w:rsid w:val="003E7E4E"/>
    <w:rsid w:val="003E7E69"/>
    <w:rsid w:val="003E7F1E"/>
    <w:rsid w:val="003F01A8"/>
    <w:rsid w:val="003F02BD"/>
    <w:rsid w:val="003F02E9"/>
    <w:rsid w:val="003F0334"/>
    <w:rsid w:val="003F047F"/>
    <w:rsid w:val="003F0562"/>
    <w:rsid w:val="003F05E3"/>
    <w:rsid w:val="003F0776"/>
    <w:rsid w:val="003F09F9"/>
    <w:rsid w:val="003F0ACD"/>
    <w:rsid w:val="003F0AF9"/>
    <w:rsid w:val="003F0D50"/>
    <w:rsid w:val="003F0E0F"/>
    <w:rsid w:val="003F0F70"/>
    <w:rsid w:val="003F0F8E"/>
    <w:rsid w:val="003F0FF7"/>
    <w:rsid w:val="003F1253"/>
    <w:rsid w:val="003F1257"/>
    <w:rsid w:val="003F1279"/>
    <w:rsid w:val="003F13D6"/>
    <w:rsid w:val="003F1558"/>
    <w:rsid w:val="003F15EA"/>
    <w:rsid w:val="003F1671"/>
    <w:rsid w:val="003F16AD"/>
    <w:rsid w:val="003F16E5"/>
    <w:rsid w:val="003F1746"/>
    <w:rsid w:val="003F17C3"/>
    <w:rsid w:val="003F17D3"/>
    <w:rsid w:val="003F1861"/>
    <w:rsid w:val="003F195E"/>
    <w:rsid w:val="003F1A68"/>
    <w:rsid w:val="003F1AC7"/>
    <w:rsid w:val="003F1AFF"/>
    <w:rsid w:val="003F1C3A"/>
    <w:rsid w:val="003F1FC4"/>
    <w:rsid w:val="003F20D1"/>
    <w:rsid w:val="003F2177"/>
    <w:rsid w:val="003F2196"/>
    <w:rsid w:val="003F23D2"/>
    <w:rsid w:val="003F2947"/>
    <w:rsid w:val="003F2E69"/>
    <w:rsid w:val="003F2FBD"/>
    <w:rsid w:val="003F30FA"/>
    <w:rsid w:val="003F3131"/>
    <w:rsid w:val="003F3186"/>
    <w:rsid w:val="003F3192"/>
    <w:rsid w:val="003F325E"/>
    <w:rsid w:val="003F3279"/>
    <w:rsid w:val="003F32AD"/>
    <w:rsid w:val="003F3312"/>
    <w:rsid w:val="003F3446"/>
    <w:rsid w:val="003F3489"/>
    <w:rsid w:val="003F3514"/>
    <w:rsid w:val="003F3523"/>
    <w:rsid w:val="003F35B2"/>
    <w:rsid w:val="003F36B3"/>
    <w:rsid w:val="003F36EF"/>
    <w:rsid w:val="003F3768"/>
    <w:rsid w:val="003F37E4"/>
    <w:rsid w:val="003F3820"/>
    <w:rsid w:val="003F3970"/>
    <w:rsid w:val="003F39F3"/>
    <w:rsid w:val="003F3A66"/>
    <w:rsid w:val="003F3D6C"/>
    <w:rsid w:val="003F3E38"/>
    <w:rsid w:val="003F3E7C"/>
    <w:rsid w:val="003F4039"/>
    <w:rsid w:val="003F4043"/>
    <w:rsid w:val="003F414F"/>
    <w:rsid w:val="003F4165"/>
    <w:rsid w:val="003F4281"/>
    <w:rsid w:val="003F482E"/>
    <w:rsid w:val="003F4AEB"/>
    <w:rsid w:val="003F511C"/>
    <w:rsid w:val="003F511D"/>
    <w:rsid w:val="003F5204"/>
    <w:rsid w:val="003F5225"/>
    <w:rsid w:val="003F523C"/>
    <w:rsid w:val="003F526C"/>
    <w:rsid w:val="003F52D5"/>
    <w:rsid w:val="003F52E3"/>
    <w:rsid w:val="003F534E"/>
    <w:rsid w:val="003F5387"/>
    <w:rsid w:val="003F54C6"/>
    <w:rsid w:val="003F56E9"/>
    <w:rsid w:val="003F582E"/>
    <w:rsid w:val="003F587E"/>
    <w:rsid w:val="003F58E5"/>
    <w:rsid w:val="003F598A"/>
    <w:rsid w:val="003F5A43"/>
    <w:rsid w:val="003F5D04"/>
    <w:rsid w:val="003F5DAF"/>
    <w:rsid w:val="003F5E47"/>
    <w:rsid w:val="003F6008"/>
    <w:rsid w:val="003F6049"/>
    <w:rsid w:val="003F63AB"/>
    <w:rsid w:val="003F63C8"/>
    <w:rsid w:val="003F641B"/>
    <w:rsid w:val="003F64CA"/>
    <w:rsid w:val="003F652C"/>
    <w:rsid w:val="003F6573"/>
    <w:rsid w:val="003F6662"/>
    <w:rsid w:val="003F675E"/>
    <w:rsid w:val="003F6938"/>
    <w:rsid w:val="003F6965"/>
    <w:rsid w:val="003F6A18"/>
    <w:rsid w:val="003F6A57"/>
    <w:rsid w:val="003F6AB1"/>
    <w:rsid w:val="003F6D01"/>
    <w:rsid w:val="003F6D3C"/>
    <w:rsid w:val="003F6D91"/>
    <w:rsid w:val="003F6F78"/>
    <w:rsid w:val="003F6FB2"/>
    <w:rsid w:val="003F7001"/>
    <w:rsid w:val="003F7058"/>
    <w:rsid w:val="003F74EF"/>
    <w:rsid w:val="003F7550"/>
    <w:rsid w:val="003F7721"/>
    <w:rsid w:val="003F7758"/>
    <w:rsid w:val="003F7783"/>
    <w:rsid w:val="003F77A0"/>
    <w:rsid w:val="003F77B0"/>
    <w:rsid w:val="003F789A"/>
    <w:rsid w:val="003F79AE"/>
    <w:rsid w:val="003F7A32"/>
    <w:rsid w:val="003F7A8C"/>
    <w:rsid w:val="003F7D44"/>
    <w:rsid w:val="003F7EB5"/>
    <w:rsid w:val="004000C0"/>
    <w:rsid w:val="0040014C"/>
    <w:rsid w:val="0040017B"/>
    <w:rsid w:val="0040023F"/>
    <w:rsid w:val="0040043A"/>
    <w:rsid w:val="00400470"/>
    <w:rsid w:val="004004D1"/>
    <w:rsid w:val="004006C6"/>
    <w:rsid w:val="0040073C"/>
    <w:rsid w:val="004008E6"/>
    <w:rsid w:val="0040091E"/>
    <w:rsid w:val="00400AEC"/>
    <w:rsid w:val="00400BB1"/>
    <w:rsid w:val="00400C6D"/>
    <w:rsid w:val="00400D0D"/>
    <w:rsid w:val="00400EB4"/>
    <w:rsid w:val="004010F9"/>
    <w:rsid w:val="0040111B"/>
    <w:rsid w:val="004011F2"/>
    <w:rsid w:val="00401302"/>
    <w:rsid w:val="0040132E"/>
    <w:rsid w:val="004014A9"/>
    <w:rsid w:val="00401650"/>
    <w:rsid w:val="004017DF"/>
    <w:rsid w:val="004018C3"/>
    <w:rsid w:val="00401A1F"/>
    <w:rsid w:val="00401B82"/>
    <w:rsid w:val="00401C91"/>
    <w:rsid w:val="00401FCC"/>
    <w:rsid w:val="004020DD"/>
    <w:rsid w:val="0040210F"/>
    <w:rsid w:val="00402332"/>
    <w:rsid w:val="00402371"/>
    <w:rsid w:val="004023E1"/>
    <w:rsid w:val="00402487"/>
    <w:rsid w:val="004024C3"/>
    <w:rsid w:val="004024E8"/>
    <w:rsid w:val="00402585"/>
    <w:rsid w:val="00402698"/>
    <w:rsid w:val="0040270C"/>
    <w:rsid w:val="0040275C"/>
    <w:rsid w:val="00402763"/>
    <w:rsid w:val="00402772"/>
    <w:rsid w:val="00402773"/>
    <w:rsid w:val="00402807"/>
    <w:rsid w:val="0040295C"/>
    <w:rsid w:val="00402A73"/>
    <w:rsid w:val="00402A98"/>
    <w:rsid w:val="00402AEB"/>
    <w:rsid w:val="00402C32"/>
    <w:rsid w:val="00402E98"/>
    <w:rsid w:val="00402ED4"/>
    <w:rsid w:val="00402F12"/>
    <w:rsid w:val="00402F82"/>
    <w:rsid w:val="00403084"/>
    <w:rsid w:val="004030F1"/>
    <w:rsid w:val="0040339A"/>
    <w:rsid w:val="00403439"/>
    <w:rsid w:val="004035BE"/>
    <w:rsid w:val="00403708"/>
    <w:rsid w:val="004037A4"/>
    <w:rsid w:val="00403A77"/>
    <w:rsid w:val="00403C6C"/>
    <w:rsid w:val="00403F07"/>
    <w:rsid w:val="00403F9E"/>
    <w:rsid w:val="00403FE8"/>
    <w:rsid w:val="0040401F"/>
    <w:rsid w:val="00404073"/>
    <w:rsid w:val="0040428C"/>
    <w:rsid w:val="0040445A"/>
    <w:rsid w:val="00404584"/>
    <w:rsid w:val="00404691"/>
    <w:rsid w:val="004047B7"/>
    <w:rsid w:val="00404955"/>
    <w:rsid w:val="00404B38"/>
    <w:rsid w:val="00404B3F"/>
    <w:rsid w:val="00404D75"/>
    <w:rsid w:val="00404ED8"/>
    <w:rsid w:val="00404F2C"/>
    <w:rsid w:val="0040506B"/>
    <w:rsid w:val="00405116"/>
    <w:rsid w:val="00405175"/>
    <w:rsid w:val="004053BD"/>
    <w:rsid w:val="004054A7"/>
    <w:rsid w:val="004056C2"/>
    <w:rsid w:val="00405791"/>
    <w:rsid w:val="00405915"/>
    <w:rsid w:val="00405940"/>
    <w:rsid w:val="00405A41"/>
    <w:rsid w:val="00405D58"/>
    <w:rsid w:val="00405D99"/>
    <w:rsid w:val="00405DA8"/>
    <w:rsid w:val="00405F86"/>
    <w:rsid w:val="004060F8"/>
    <w:rsid w:val="004064F1"/>
    <w:rsid w:val="00406577"/>
    <w:rsid w:val="00406578"/>
    <w:rsid w:val="00406623"/>
    <w:rsid w:val="0040664F"/>
    <w:rsid w:val="00406697"/>
    <w:rsid w:val="004066F0"/>
    <w:rsid w:val="00406C32"/>
    <w:rsid w:val="00406DB0"/>
    <w:rsid w:val="00406F11"/>
    <w:rsid w:val="00406F98"/>
    <w:rsid w:val="00406FB3"/>
    <w:rsid w:val="00406FB9"/>
    <w:rsid w:val="004070E7"/>
    <w:rsid w:val="00407136"/>
    <w:rsid w:val="00407142"/>
    <w:rsid w:val="004071F2"/>
    <w:rsid w:val="00407272"/>
    <w:rsid w:val="004072B2"/>
    <w:rsid w:val="0040733B"/>
    <w:rsid w:val="00407440"/>
    <w:rsid w:val="0040746A"/>
    <w:rsid w:val="0040757F"/>
    <w:rsid w:val="0040766D"/>
    <w:rsid w:val="004076B0"/>
    <w:rsid w:val="004077B3"/>
    <w:rsid w:val="004077E4"/>
    <w:rsid w:val="004078BE"/>
    <w:rsid w:val="00407988"/>
    <w:rsid w:val="004079BD"/>
    <w:rsid w:val="00407A27"/>
    <w:rsid w:val="00407BD0"/>
    <w:rsid w:val="00407D5B"/>
    <w:rsid w:val="00407E50"/>
    <w:rsid w:val="00407F94"/>
    <w:rsid w:val="0041003D"/>
    <w:rsid w:val="004100A1"/>
    <w:rsid w:val="00410322"/>
    <w:rsid w:val="0041043E"/>
    <w:rsid w:val="00410497"/>
    <w:rsid w:val="0041055F"/>
    <w:rsid w:val="00410776"/>
    <w:rsid w:val="004107AE"/>
    <w:rsid w:val="004107D5"/>
    <w:rsid w:val="004108D0"/>
    <w:rsid w:val="004109EF"/>
    <w:rsid w:val="00410B65"/>
    <w:rsid w:val="00410C09"/>
    <w:rsid w:val="00410C17"/>
    <w:rsid w:val="00410CAF"/>
    <w:rsid w:val="00410E12"/>
    <w:rsid w:val="00410E34"/>
    <w:rsid w:val="00410E86"/>
    <w:rsid w:val="00410FB3"/>
    <w:rsid w:val="0041108F"/>
    <w:rsid w:val="00411122"/>
    <w:rsid w:val="0041112D"/>
    <w:rsid w:val="004111D0"/>
    <w:rsid w:val="00411215"/>
    <w:rsid w:val="004112A3"/>
    <w:rsid w:val="00411311"/>
    <w:rsid w:val="0041136E"/>
    <w:rsid w:val="004113C9"/>
    <w:rsid w:val="004115D0"/>
    <w:rsid w:val="0041168B"/>
    <w:rsid w:val="0041176C"/>
    <w:rsid w:val="004117EC"/>
    <w:rsid w:val="00411851"/>
    <w:rsid w:val="0041189A"/>
    <w:rsid w:val="0041189D"/>
    <w:rsid w:val="004118B7"/>
    <w:rsid w:val="00411B25"/>
    <w:rsid w:val="00411C00"/>
    <w:rsid w:val="00411C54"/>
    <w:rsid w:val="0041208D"/>
    <w:rsid w:val="004120E0"/>
    <w:rsid w:val="0041210F"/>
    <w:rsid w:val="00412123"/>
    <w:rsid w:val="004121FF"/>
    <w:rsid w:val="00412269"/>
    <w:rsid w:val="004123B8"/>
    <w:rsid w:val="00412466"/>
    <w:rsid w:val="00412545"/>
    <w:rsid w:val="00412546"/>
    <w:rsid w:val="00412585"/>
    <w:rsid w:val="0041278F"/>
    <w:rsid w:val="0041283F"/>
    <w:rsid w:val="0041289B"/>
    <w:rsid w:val="00412A36"/>
    <w:rsid w:val="00412E86"/>
    <w:rsid w:val="00412EAC"/>
    <w:rsid w:val="00412F46"/>
    <w:rsid w:val="00412FB5"/>
    <w:rsid w:val="0041302A"/>
    <w:rsid w:val="0041317D"/>
    <w:rsid w:val="0041321A"/>
    <w:rsid w:val="00413269"/>
    <w:rsid w:val="004132E7"/>
    <w:rsid w:val="004132E9"/>
    <w:rsid w:val="004132F0"/>
    <w:rsid w:val="0041333B"/>
    <w:rsid w:val="0041363B"/>
    <w:rsid w:val="004136EC"/>
    <w:rsid w:val="0041372F"/>
    <w:rsid w:val="004137CB"/>
    <w:rsid w:val="004137D9"/>
    <w:rsid w:val="0041387E"/>
    <w:rsid w:val="004138C5"/>
    <w:rsid w:val="004138CA"/>
    <w:rsid w:val="004139AF"/>
    <w:rsid w:val="00413A30"/>
    <w:rsid w:val="00413C27"/>
    <w:rsid w:val="00413C79"/>
    <w:rsid w:val="00413D7A"/>
    <w:rsid w:val="00413EF9"/>
    <w:rsid w:val="00413F1B"/>
    <w:rsid w:val="004140C3"/>
    <w:rsid w:val="00414283"/>
    <w:rsid w:val="004143A0"/>
    <w:rsid w:val="004143F6"/>
    <w:rsid w:val="00414410"/>
    <w:rsid w:val="0041484F"/>
    <w:rsid w:val="004149DE"/>
    <w:rsid w:val="00414BCC"/>
    <w:rsid w:val="00414CA1"/>
    <w:rsid w:val="00414D1E"/>
    <w:rsid w:val="00414D4B"/>
    <w:rsid w:val="00414DCC"/>
    <w:rsid w:val="00414DEF"/>
    <w:rsid w:val="00414FB1"/>
    <w:rsid w:val="00415085"/>
    <w:rsid w:val="0041508A"/>
    <w:rsid w:val="004150F1"/>
    <w:rsid w:val="00415100"/>
    <w:rsid w:val="00415276"/>
    <w:rsid w:val="0041531D"/>
    <w:rsid w:val="0041534B"/>
    <w:rsid w:val="0041567C"/>
    <w:rsid w:val="004159FE"/>
    <w:rsid w:val="00415B4D"/>
    <w:rsid w:val="00415B75"/>
    <w:rsid w:val="00415C29"/>
    <w:rsid w:val="00415CA2"/>
    <w:rsid w:val="00415CC3"/>
    <w:rsid w:val="00415DE3"/>
    <w:rsid w:val="00415DE9"/>
    <w:rsid w:val="00415F16"/>
    <w:rsid w:val="00416082"/>
    <w:rsid w:val="004160CF"/>
    <w:rsid w:val="004160F7"/>
    <w:rsid w:val="0041619B"/>
    <w:rsid w:val="004161D6"/>
    <w:rsid w:val="0041637E"/>
    <w:rsid w:val="00416431"/>
    <w:rsid w:val="0041650F"/>
    <w:rsid w:val="004166C5"/>
    <w:rsid w:val="004167BD"/>
    <w:rsid w:val="00416924"/>
    <w:rsid w:val="00416C6C"/>
    <w:rsid w:val="00416DDA"/>
    <w:rsid w:val="00416E69"/>
    <w:rsid w:val="00417067"/>
    <w:rsid w:val="004170BB"/>
    <w:rsid w:val="0041710A"/>
    <w:rsid w:val="00417174"/>
    <w:rsid w:val="004171C0"/>
    <w:rsid w:val="00417296"/>
    <w:rsid w:val="004172B5"/>
    <w:rsid w:val="00417360"/>
    <w:rsid w:val="0041739F"/>
    <w:rsid w:val="004173EA"/>
    <w:rsid w:val="00417529"/>
    <w:rsid w:val="00417705"/>
    <w:rsid w:val="004177E7"/>
    <w:rsid w:val="00417843"/>
    <w:rsid w:val="00417901"/>
    <w:rsid w:val="00417965"/>
    <w:rsid w:val="00417CDD"/>
    <w:rsid w:val="00417D52"/>
    <w:rsid w:val="00417D76"/>
    <w:rsid w:val="00417EB7"/>
    <w:rsid w:val="00420026"/>
    <w:rsid w:val="004200AD"/>
    <w:rsid w:val="004201FE"/>
    <w:rsid w:val="0042052F"/>
    <w:rsid w:val="00420554"/>
    <w:rsid w:val="004206DD"/>
    <w:rsid w:val="004206F6"/>
    <w:rsid w:val="004206F8"/>
    <w:rsid w:val="0042075B"/>
    <w:rsid w:val="004207EA"/>
    <w:rsid w:val="00420A14"/>
    <w:rsid w:val="00420C03"/>
    <w:rsid w:val="00420CEC"/>
    <w:rsid w:val="00420D22"/>
    <w:rsid w:val="00420F75"/>
    <w:rsid w:val="00420F8F"/>
    <w:rsid w:val="00420F96"/>
    <w:rsid w:val="0042107B"/>
    <w:rsid w:val="0042115F"/>
    <w:rsid w:val="00421171"/>
    <w:rsid w:val="004212E4"/>
    <w:rsid w:val="004213C7"/>
    <w:rsid w:val="004213E7"/>
    <w:rsid w:val="00421432"/>
    <w:rsid w:val="00421462"/>
    <w:rsid w:val="0042158B"/>
    <w:rsid w:val="004217AA"/>
    <w:rsid w:val="004217ED"/>
    <w:rsid w:val="0042197A"/>
    <w:rsid w:val="00421992"/>
    <w:rsid w:val="004219A1"/>
    <w:rsid w:val="004219F8"/>
    <w:rsid w:val="00421B65"/>
    <w:rsid w:val="00421B79"/>
    <w:rsid w:val="00421FBE"/>
    <w:rsid w:val="00422002"/>
    <w:rsid w:val="0042218A"/>
    <w:rsid w:val="004221EB"/>
    <w:rsid w:val="00422346"/>
    <w:rsid w:val="00422383"/>
    <w:rsid w:val="004225B0"/>
    <w:rsid w:val="004225E7"/>
    <w:rsid w:val="00422777"/>
    <w:rsid w:val="004227E5"/>
    <w:rsid w:val="00422D57"/>
    <w:rsid w:val="00422DC7"/>
    <w:rsid w:val="00422E1E"/>
    <w:rsid w:val="00422E65"/>
    <w:rsid w:val="00422EE2"/>
    <w:rsid w:val="00423108"/>
    <w:rsid w:val="00423243"/>
    <w:rsid w:val="004233A7"/>
    <w:rsid w:val="00423B23"/>
    <w:rsid w:val="00423FF6"/>
    <w:rsid w:val="00424276"/>
    <w:rsid w:val="004243B1"/>
    <w:rsid w:val="004243D6"/>
    <w:rsid w:val="004244D7"/>
    <w:rsid w:val="004245FD"/>
    <w:rsid w:val="0042478D"/>
    <w:rsid w:val="00424A9E"/>
    <w:rsid w:val="00424B1E"/>
    <w:rsid w:val="00424BD8"/>
    <w:rsid w:val="00424F31"/>
    <w:rsid w:val="00425096"/>
    <w:rsid w:val="004250C9"/>
    <w:rsid w:val="004251DC"/>
    <w:rsid w:val="004251FA"/>
    <w:rsid w:val="00425272"/>
    <w:rsid w:val="00425434"/>
    <w:rsid w:val="004256DB"/>
    <w:rsid w:val="0042576B"/>
    <w:rsid w:val="004257C6"/>
    <w:rsid w:val="004258D5"/>
    <w:rsid w:val="00425962"/>
    <w:rsid w:val="00425AE9"/>
    <w:rsid w:val="00425B74"/>
    <w:rsid w:val="00425BCF"/>
    <w:rsid w:val="00425BF9"/>
    <w:rsid w:val="00425C37"/>
    <w:rsid w:val="00425C3E"/>
    <w:rsid w:val="00425C6F"/>
    <w:rsid w:val="00425E83"/>
    <w:rsid w:val="00425EFA"/>
    <w:rsid w:val="00425EFE"/>
    <w:rsid w:val="0042603C"/>
    <w:rsid w:val="004260A2"/>
    <w:rsid w:val="004261B2"/>
    <w:rsid w:val="004262A4"/>
    <w:rsid w:val="004263B0"/>
    <w:rsid w:val="00426494"/>
    <w:rsid w:val="0042659F"/>
    <w:rsid w:val="0042678C"/>
    <w:rsid w:val="00426837"/>
    <w:rsid w:val="0042687B"/>
    <w:rsid w:val="00426B41"/>
    <w:rsid w:val="00426BB7"/>
    <w:rsid w:val="00426D34"/>
    <w:rsid w:val="00426E8A"/>
    <w:rsid w:val="00426ECF"/>
    <w:rsid w:val="00426F90"/>
    <w:rsid w:val="00426FFF"/>
    <w:rsid w:val="00427036"/>
    <w:rsid w:val="0042704E"/>
    <w:rsid w:val="004270E2"/>
    <w:rsid w:val="0042710A"/>
    <w:rsid w:val="0042718B"/>
    <w:rsid w:val="004271AA"/>
    <w:rsid w:val="004271F9"/>
    <w:rsid w:val="00427213"/>
    <w:rsid w:val="00427397"/>
    <w:rsid w:val="0042740A"/>
    <w:rsid w:val="004274C2"/>
    <w:rsid w:val="004275EE"/>
    <w:rsid w:val="00427665"/>
    <w:rsid w:val="00427669"/>
    <w:rsid w:val="004277B3"/>
    <w:rsid w:val="00427C51"/>
    <w:rsid w:val="00427D38"/>
    <w:rsid w:val="00427F66"/>
    <w:rsid w:val="00427F76"/>
    <w:rsid w:val="00427FD7"/>
    <w:rsid w:val="004301CA"/>
    <w:rsid w:val="004302EB"/>
    <w:rsid w:val="004303E7"/>
    <w:rsid w:val="0043059E"/>
    <w:rsid w:val="0043064B"/>
    <w:rsid w:val="00430797"/>
    <w:rsid w:val="0043079D"/>
    <w:rsid w:val="004307EB"/>
    <w:rsid w:val="00430836"/>
    <w:rsid w:val="00430926"/>
    <w:rsid w:val="00430943"/>
    <w:rsid w:val="0043094A"/>
    <w:rsid w:val="0043095E"/>
    <w:rsid w:val="00430A11"/>
    <w:rsid w:val="00430BB0"/>
    <w:rsid w:val="00430BDD"/>
    <w:rsid w:val="00430CD0"/>
    <w:rsid w:val="00430D66"/>
    <w:rsid w:val="00430EF7"/>
    <w:rsid w:val="00431451"/>
    <w:rsid w:val="004314B3"/>
    <w:rsid w:val="00431655"/>
    <w:rsid w:val="00431657"/>
    <w:rsid w:val="00431692"/>
    <w:rsid w:val="00431717"/>
    <w:rsid w:val="004317AD"/>
    <w:rsid w:val="004319CF"/>
    <w:rsid w:val="00431BCD"/>
    <w:rsid w:val="00431D20"/>
    <w:rsid w:val="00431EA4"/>
    <w:rsid w:val="00431F41"/>
    <w:rsid w:val="00431F5C"/>
    <w:rsid w:val="00431F8F"/>
    <w:rsid w:val="00431FF2"/>
    <w:rsid w:val="0043201C"/>
    <w:rsid w:val="00432028"/>
    <w:rsid w:val="00432119"/>
    <w:rsid w:val="0043217F"/>
    <w:rsid w:val="0043226E"/>
    <w:rsid w:val="00432288"/>
    <w:rsid w:val="004322AE"/>
    <w:rsid w:val="0043234F"/>
    <w:rsid w:val="0043264A"/>
    <w:rsid w:val="004326DB"/>
    <w:rsid w:val="00432766"/>
    <w:rsid w:val="00432864"/>
    <w:rsid w:val="00432988"/>
    <w:rsid w:val="0043298E"/>
    <w:rsid w:val="00432BB1"/>
    <w:rsid w:val="00432E6A"/>
    <w:rsid w:val="00432EA4"/>
    <w:rsid w:val="00432ECC"/>
    <w:rsid w:val="00432F50"/>
    <w:rsid w:val="00432FBB"/>
    <w:rsid w:val="004330AC"/>
    <w:rsid w:val="00433359"/>
    <w:rsid w:val="004333D4"/>
    <w:rsid w:val="0043341A"/>
    <w:rsid w:val="004334BB"/>
    <w:rsid w:val="004334DC"/>
    <w:rsid w:val="00433536"/>
    <w:rsid w:val="0043357E"/>
    <w:rsid w:val="004335A6"/>
    <w:rsid w:val="0043374C"/>
    <w:rsid w:val="00433792"/>
    <w:rsid w:val="0043383D"/>
    <w:rsid w:val="00433877"/>
    <w:rsid w:val="00433899"/>
    <w:rsid w:val="00433A01"/>
    <w:rsid w:val="00433A6E"/>
    <w:rsid w:val="00433B0C"/>
    <w:rsid w:val="00433C44"/>
    <w:rsid w:val="00433FCF"/>
    <w:rsid w:val="0043408D"/>
    <w:rsid w:val="00434096"/>
    <w:rsid w:val="0043415C"/>
    <w:rsid w:val="00434362"/>
    <w:rsid w:val="004343C6"/>
    <w:rsid w:val="004343CA"/>
    <w:rsid w:val="00434781"/>
    <w:rsid w:val="00434789"/>
    <w:rsid w:val="0043480F"/>
    <w:rsid w:val="0043488C"/>
    <w:rsid w:val="004348B9"/>
    <w:rsid w:val="00434904"/>
    <w:rsid w:val="00434AE9"/>
    <w:rsid w:val="00434C9E"/>
    <w:rsid w:val="00434D72"/>
    <w:rsid w:val="00434EA3"/>
    <w:rsid w:val="00434FB9"/>
    <w:rsid w:val="0043528A"/>
    <w:rsid w:val="004352C6"/>
    <w:rsid w:val="0043541C"/>
    <w:rsid w:val="004354BE"/>
    <w:rsid w:val="00435718"/>
    <w:rsid w:val="004358EB"/>
    <w:rsid w:val="00435D73"/>
    <w:rsid w:val="00435E2E"/>
    <w:rsid w:val="00435E5F"/>
    <w:rsid w:val="00435F1B"/>
    <w:rsid w:val="00435FF4"/>
    <w:rsid w:val="00436073"/>
    <w:rsid w:val="00436158"/>
    <w:rsid w:val="00436289"/>
    <w:rsid w:val="004362A8"/>
    <w:rsid w:val="00436447"/>
    <w:rsid w:val="004364BA"/>
    <w:rsid w:val="00436504"/>
    <w:rsid w:val="00436559"/>
    <w:rsid w:val="0043655C"/>
    <w:rsid w:val="004366C3"/>
    <w:rsid w:val="004368B8"/>
    <w:rsid w:val="004368C6"/>
    <w:rsid w:val="004368E6"/>
    <w:rsid w:val="00436AFA"/>
    <w:rsid w:val="00436B43"/>
    <w:rsid w:val="00436B6A"/>
    <w:rsid w:val="00436B9D"/>
    <w:rsid w:val="00436E82"/>
    <w:rsid w:val="00436F07"/>
    <w:rsid w:val="00436F1A"/>
    <w:rsid w:val="00436FEA"/>
    <w:rsid w:val="0043702F"/>
    <w:rsid w:val="0043720C"/>
    <w:rsid w:val="0043721E"/>
    <w:rsid w:val="004372E8"/>
    <w:rsid w:val="0043736D"/>
    <w:rsid w:val="00437380"/>
    <w:rsid w:val="00437512"/>
    <w:rsid w:val="0043751A"/>
    <w:rsid w:val="00437613"/>
    <w:rsid w:val="00437691"/>
    <w:rsid w:val="004376A3"/>
    <w:rsid w:val="004376BF"/>
    <w:rsid w:val="00437731"/>
    <w:rsid w:val="004377E5"/>
    <w:rsid w:val="004377FC"/>
    <w:rsid w:val="004378B0"/>
    <w:rsid w:val="00437B5C"/>
    <w:rsid w:val="00437BB8"/>
    <w:rsid w:val="00437CAF"/>
    <w:rsid w:val="00437D25"/>
    <w:rsid w:val="00437D87"/>
    <w:rsid w:val="00437DCA"/>
    <w:rsid w:val="00437F59"/>
    <w:rsid w:val="0044027D"/>
    <w:rsid w:val="00440282"/>
    <w:rsid w:val="004404B9"/>
    <w:rsid w:val="004404FD"/>
    <w:rsid w:val="0044055C"/>
    <w:rsid w:val="00440686"/>
    <w:rsid w:val="00440819"/>
    <w:rsid w:val="00440825"/>
    <w:rsid w:val="0044086C"/>
    <w:rsid w:val="004408CA"/>
    <w:rsid w:val="00440977"/>
    <w:rsid w:val="00440A6B"/>
    <w:rsid w:val="00440AC3"/>
    <w:rsid w:val="00440B38"/>
    <w:rsid w:val="00440C33"/>
    <w:rsid w:val="00440C7D"/>
    <w:rsid w:val="00440CAF"/>
    <w:rsid w:val="00440D56"/>
    <w:rsid w:val="00440DA1"/>
    <w:rsid w:val="00440E2C"/>
    <w:rsid w:val="0044103A"/>
    <w:rsid w:val="00441065"/>
    <w:rsid w:val="0044107B"/>
    <w:rsid w:val="00441206"/>
    <w:rsid w:val="0044128C"/>
    <w:rsid w:val="00441534"/>
    <w:rsid w:val="0044169C"/>
    <w:rsid w:val="00441776"/>
    <w:rsid w:val="004417A0"/>
    <w:rsid w:val="004417BB"/>
    <w:rsid w:val="004417EA"/>
    <w:rsid w:val="0044183D"/>
    <w:rsid w:val="00441A06"/>
    <w:rsid w:val="00441B0F"/>
    <w:rsid w:val="00441BD3"/>
    <w:rsid w:val="00441D31"/>
    <w:rsid w:val="00441DDA"/>
    <w:rsid w:val="00442228"/>
    <w:rsid w:val="0044235A"/>
    <w:rsid w:val="00442690"/>
    <w:rsid w:val="004426EC"/>
    <w:rsid w:val="0044270C"/>
    <w:rsid w:val="00442810"/>
    <w:rsid w:val="004428C4"/>
    <w:rsid w:val="004428D1"/>
    <w:rsid w:val="004429F7"/>
    <w:rsid w:val="00442A27"/>
    <w:rsid w:val="00442A42"/>
    <w:rsid w:val="00442AE9"/>
    <w:rsid w:val="00442BE3"/>
    <w:rsid w:val="00442C80"/>
    <w:rsid w:val="00442CD9"/>
    <w:rsid w:val="00442D29"/>
    <w:rsid w:val="00442D3A"/>
    <w:rsid w:val="00442F4D"/>
    <w:rsid w:val="00442F95"/>
    <w:rsid w:val="00443128"/>
    <w:rsid w:val="00443269"/>
    <w:rsid w:val="00443408"/>
    <w:rsid w:val="0044354B"/>
    <w:rsid w:val="004436F0"/>
    <w:rsid w:val="004438FE"/>
    <w:rsid w:val="004439D6"/>
    <w:rsid w:val="00443B27"/>
    <w:rsid w:val="00443BDA"/>
    <w:rsid w:val="00443BEC"/>
    <w:rsid w:val="00443EE8"/>
    <w:rsid w:val="00444262"/>
    <w:rsid w:val="00444440"/>
    <w:rsid w:val="00444457"/>
    <w:rsid w:val="00444873"/>
    <w:rsid w:val="00444AC3"/>
    <w:rsid w:val="00444BE0"/>
    <w:rsid w:val="00444D37"/>
    <w:rsid w:val="00444D69"/>
    <w:rsid w:val="00444DF6"/>
    <w:rsid w:val="00444E84"/>
    <w:rsid w:val="004450FE"/>
    <w:rsid w:val="00445162"/>
    <w:rsid w:val="004451BE"/>
    <w:rsid w:val="0044525E"/>
    <w:rsid w:val="00445340"/>
    <w:rsid w:val="00445343"/>
    <w:rsid w:val="00445351"/>
    <w:rsid w:val="00445393"/>
    <w:rsid w:val="0044543A"/>
    <w:rsid w:val="0044563E"/>
    <w:rsid w:val="00445672"/>
    <w:rsid w:val="00445776"/>
    <w:rsid w:val="004457CC"/>
    <w:rsid w:val="00445851"/>
    <w:rsid w:val="00445867"/>
    <w:rsid w:val="0044587D"/>
    <w:rsid w:val="0044589A"/>
    <w:rsid w:val="004458CA"/>
    <w:rsid w:val="004458E0"/>
    <w:rsid w:val="00445C98"/>
    <w:rsid w:val="00445CB1"/>
    <w:rsid w:val="00445D07"/>
    <w:rsid w:val="00445DCA"/>
    <w:rsid w:val="00445DD8"/>
    <w:rsid w:val="004462BF"/>
    <w:rsid w:val="00446315"/>
    <w:rsid w:val="0044633E"/>
    <w:rsid w:val="00446414"/>
    <w:rsid w:val="00446469"/>
    <w:rsid w:val="00446522"/>
    <w:rsid w:val="0044667D"/>
    <w:rsid w:val="004466D4"/>
    <w:rsid w:val="00446704"/>
    <w:rsid w:val="0044672D"/>
    <w:rsid w:val="004468B6"/>
    <w:rsid w:val="004469B4"/>
    <w:rsid w:val="004469F5"/>
    <w:rsid w:val="00446A28"/>
    <w:rsid w:val="00446AA5"/>
    <w:rsid w:val="00446B23"/>
    <w:rsid w:val="00446B81"/>
    <w:rsid w:val="00446B8F"/>
    <w:rsid w:val="00446E36"/>
    <w:rsid w:val="00446F70"/>
    <w:rsid w:val="0044708B"/>
    <w:rsid w:val="004470C0"/>
    <w:rsid w:val="004471AA"/>
    <w:rsid w:val="0044727F"/>
    <w:rsid w:val="0044729D"/>
    <w:rsid w:val="00447428"/>
    <w:rsid w:val="004474D3"/>
    <w:rsid w:val="004474E1"/>
    <w:rsid w:val="004475ED"/>
    <w:rsid w:val="00447664"/>
    <w:rsid w:val="00447783"/>
    <w:rsid w:val="00447851"/>
    <w:rsid w:val="00447967"/>
    <w:rsid w:val="0044796A"/>
    <w:rsid w:val="00447B01"/>
    <w:rsid w:val="00447C3D"/>
    <w:rsid w:val="00447ECA"/>
    <w:rsid w:val="00447F79"/>
    <w:rsid w:val="00447FD2"/>
    <w:rsid w:val="00450080"/>
    <w:rsid w:val="00450113"/>
    <w:rsid w:val="004502A3"/>
    <w:rsid w:val="00450334"/>
    <w:rsid w:val="0045033F"/>
    <w:rsid w:val="0045066D"/>
    <w:rsid w:val="00450891"/>
    <w:rsid w:val="004509C3"/>
    <w:rsid w:val="00450AE8"/>
    <w:rsid w:val="00450C08"/>
    <w:rsid w:val="00450C40"/>
    <w:rsid w:val="00450C8D"/>
    <w:rsid w:val="00450CCD"/>
    <w:rsid w:val="00450D36"/>
    <w:rsid w:val="00450DDC"/>
    <w:rsid w:val="00450E30"/>
    <w:rsid w:val="00450E76"/>
    <w:rsid w:val="004510D9"/>
    <w:rsid w:val="0045115A"/>
    <w:rsid w:val="00451160"/>
    <w:rsid w:val="00451209"/>
    <w:rsid w:val="0045146A"/>
    <w:rsid w:val="004514E7"/>
    <w:rsid w:val="00451528"/>
    <w:rsid w:val="0045164A"/>
    <w:rsid w:val="00451658"/>
    <w:rsid w:val="0045168B"/>
    <w:rsid w:val="004519FE"/>
    <w:rsid w:val="00451B29"/>
    <w:rsid w:val="00451C00"/>
    <w:rsid w:val="00451D04"/>
    <w:rsid w:val="00451DDD"/>
    <w:rsid w:val="00451F93"/>
    <w:rsid w:val="00451FCE"/>
    <w:rsid w:val="00452096"/>
    <w:rsid w:val="00452126"/>
    <w:rsid w:val="0045214C"/>
    <w:rsid w:val="004521D2"/>
    <w:rsid w:val="00452257"/>
    <w:rsid w:val="004523EF"/>
    <w:rsid w:val="00452466"/>
    <w:rsid w:val="004528D6"/>
    <w:rsid w:val="00452952"/>
    <w:rsid w:val="00452979"/>
    <w:rsid w:val="00452A4E"/>
    <w:rsid w:val="00452A8D"/>
    <w:rsid w:val="00452BD9"/>
    <w:rsid w:val="00452D09"/>
    <w:rsid w:val="00452EF8"/>
    <w:rsid w:val="00452FCF"/>
    <w:rsid w:val="00452FD2"/>
    <w:rsid w:val="0045302C"/>
    <w:rsid w:val="00453198"/>
    <w:rsid w:val="00453278"/>
    <w:rsid w:val="00453374"/>
    <w:rsid w:val="004534D7"/>
    <w:rsid w:val="0045350A"/>
    <w:rsid w:val="004538D7"/>
    <w:rsid w:val="00453916"/>
    <w:rsid w:val="00453A37"/>
    <w:rsid w:val="00453B1D"/>
    <w:rsid w:val="00453BA9"/>
    <w:rsid w:val="00453D09"/>
    <w:rsid w:val="00453D47"/>
    <w:rsid w:val="00453DF2"/>
    <w:rsid w:val="00453E41"/>
    <w:rsid w:val="004540E0"/>
    <w:rsid w:val="0045413A"/>
    <w:rsid w:val="004541BF"/>
    <w:rsid w:val="00454426"/>
    <w:rsid w:val="0045453B"/>
    <w:rsid w:val="004547FD"/>
    <w:rsid w:val="00454813"/>
    <w:rsid w:val="00454926"/>
    <w:rsid w:val="0045495E"/>
    <w:rsid w:val="00454A1F"/>
    <w:rsid w:val="00454ABB"/>
    <w:rsid w:val="00454ACA"/>
    <w:rsid w:val="00454C33"/>
    <w:rsid w:val="00454D19"/>
    <w:rsid w:val="00454E1F"/>
    <w:rsid w:val="00454EAA"/>
    <w:rsid w:val="00454F22"/>
    <w:rsid w:val="00455002"/>
    <w:rsid w:val="0045516B"/>
    <w:rsid w:val="00455186"/>
    <w:rsid w:val="004553EA"/>
    <w:rsid w:val="00455472"/>
    <w:rsid w:val="0045567A"/>
    <w:rsid w:val="0045597E"/>
    <w:rsid w:val="0045599D"/>
    <w:rsid w:val="00455CD2"/>
    <w:rsid w:val="00455D1B"/>
    <w:rsid w:val="00455D71"/>
    <w:rsid w:val="00456163"/>
    <w:rsid w:val="00456195"/>
    <w:rsid w:val="00456433"/>
    <w:rsid w:val="00456441"/>
    <w:rsid w:val="004565E5"/>
    <w:rsid w:val="00456741"/>
    <w:rsid w:val="00456911"/>
    <w:rsid w:val="0045693C"/>
    <w:rsid w:val="00456AF1"/>
    <w:rsid w:val="00456B34"/>
    <w:rsid w:val="00456C45"/>
    <w:rsid w:val="00456C9C"/>
    <w:rsid w:val="00456D1C"/>
    <w:rsid w:val="00456D80"/>
    <w:rsid w:val="00456E33"/>
    <w:rsid w:val="00456F28"/>
    <w:rsid w:val="00456F5C"/>
    <w:rsid w:val="00456FD7"/>
    <w:rsid w:val="00456FDA"/>
    <w:rsid w:val="00457265"/>
    <w:rsid w:val="0045732F"/>
    <w:rsid w:val="00457412"/>
    <w:rsid w:val="00457457"/>
    <w:rsid w:val="00457479"/>
    <w:rsid w:val="004574BB"/>
    <w:rsid w:val="004575B4"/>
    <w:rsid w:val="004575D6"/>
    <w:rsid w:val="004575E6"/>
    <w:rsid w:val="004575F0"/>
    <w:rsid w:val="00457647"/>
    <w:rsid w:val="00457746"/>
    <w:rsid w:val="004577E0"/>
    <w:rsid w:val="00457928"/>
    <w:rsid w:val="00457AE6"/>
    <w:rsid w:val="00457AFC"/>
    <w:rsid w:val="00457C3D"/>
    <w:rsid w:val="00457C80"/>
    <w:rsid w:val="00457D73"/>
    <w:rsid w:val="00457E67"/>
    <w:rsid w:val="00460055"/>
    <w:rsid w:val="004600B6"/>
    <w:rsid w:val="0046013F"/>
    <w:rsid w:val="00460157"/>
    <w:rsid w:val="0046033A"/>
    <w:rsid w:val="004603C3"/>
    <w:rsid w:val="0046057C"/>
    <w:rsid w:val="004605CF"/>
    <w:rsid w:val="00460638"/>
    <w:rsid w:val="0046065C"/>
    <w:rsid w:val="00460684"/>
    <w:rsid w:val="004608AC"/>
    <w:rsid w:val="004608D8"/>
    <w:rsid w:val="00460A08"/>
    <w:rsid w:val="00460B13"/>
    <w:rsid w:val="00460CE1"/>
    <w:rsid w:val="00460D17"/>
    <w:rsid w:val="00460D3C"/>
    <w:rsid w:val="00460F6E"/>
    <w:rsid w:val="00460FE0"/>
    <w:rsid w:val="00461045"/>
    <w:rsid w:val="004610DC"/>
    <w:rsid w:val="004610E7"/>
    <w:rsid w:val="0046124A"/>
    <w:rsid w:val="00461417"/>
    <w:rsid w:val="00461533"/>
    <w:rsid w:val="00461582"/>
    <w:rsid w:val="004615B1"/>
    <w:rsid w:val="004615BE"/>
    <w:rsid w:val="004615D3"/>
    <w:rsid w:val="00461822"/>
    <w:rsid w:val="00461A8A"/>
    <w:rsid w:val="00461ABE"/>
    <w:rsid w:val="00461B3B"/>
    <w:rsid w:val="00461BB5"/>
    <w:rsid w:val="00461D71"/>
    <w:rsid w:val="00461DAB"/>
    <w:rsid w:val="004621BD"/>
    <w:rsid w:val="0046228F"/>
    <w:rsid w:val="004622DF"/>
    <w:rsid w:val="004623C0"/>
    <w:rsid w:val="00462529"/>
    <w:rsid w:val="004625A0"/>
    <w:rsid w:val="004625C5"/>
    <w:rsid w:val="00462755"/>
    <w:rsid w:val="00462782"/>
    <w:rsid w:val="00462841"/>
    <w:rsid w:val="004628A0"/>
    <w:rsid w:val="00462902"/>
    <w:rsid w:val="00462994"/>
    <w:rsid w:val="00462A15"/>
    <w:rsid w:val="00462A40"/>
    <w:rsid w:val="00462A84"/>
    <w:rsid w:val="00462AEB"/>
    <w:rsid w:val="00462B34"/>
    <w:rsid w:val="00462B4A"/>
    <w:rsid w:val="00462C34"/>
    <w:rsid w:val="00462C3A"/>
    <w:rsid w:val="00462D73"/>
    <w:rsid w:val="00462D8D"/>
    <w:rsid w:val="00462DF1"/>
    <w:rsid w:val="00462E75"/>
    <w:rsid w:val="00462E8A"/>
    <w:rsid w:val="00462EA0"/>
    <w:rsid w:val="00463121"/>
    <w:rsid w:val="004632BE"/>
    <w:rsid w:val="00463705"/>
    <w:rsid w:val="00463709"/>
    <w:rsid w:val="0046380B"/>
    <w:rsid w:val="00463880"/>
    <w:rsid w:val="0046394E"/>
    <w:rsid w:val="004639D9"/>
    <w:rsid w:val="00463A13"/>
    <w:rsid w:val="00463A2F"/>
    <w:rsid w:val="00463C59"/>
    <w:rsid w:val="00463E1A"/>
    <w:rsid w:val="00463E86"/>
    <w:rsid w:val="0046416C"/>
    <w:rsid w:val="00464207"/>
    <w:rsid w:val="00464257"/>
    <w:rsid w:val="004642C6"/>
    <w:rsid w:val="004642D0"/>
    <w:rsid w:val="00464321"/>
    <w:rsid w:val="00464388"/>
    <w:rsid w:val="004643BA"/>
    <w:rsid w:val="00464550"/>
    <w:rsid w:val="00464710"/>
    <w:rsid w:val="0046471B"/>
    <w:rsid w:val="0046481B"/>
    <w:rsid w:val="0046485B"/>
    <w:rsid w:val="0046498B"/>
    <w:rsid w:val="00464A2A"/>
    <w:rsid w:val="00464AB7"/>
    <w:rsid w:val="00464AFF"/>
    <w:rsid w:val="00464B00"/>
    <w:rsid w:val="00464B95"/>
    <w:rsid w:val="00464BC3"/>
    <w:rsid w:val="00464C28"/>
    <w:rsid w:val="00464CA4"/>
    <w:rsid w:val="00464CD8"/>
    <w:rsid w:val="00464F04"/>
    <w:rsid w:val="00465029"/>
    <w:rsid w:val="00465092"/>
    <w:rsid w:val="004652E6"/>
    <w:rsid w:val="00465344"/>
    <w:rsid w:val="004654FC"/>
    <w:rsid w:val="00465583"/>
    <w:rsid w:val="0046563E"/>
    <w:rsid w:val="00465641"/>
    <w:rsid w:val="00465645"/>
    <w:rsid w:val="004656C5"/>
    <w:rsid w:val="0046580F"/>
    <w:rsid w:val="00465855"/>
    <w:rsid w:val="004659C8"/>
    <w:rsid w:val="004659D6"/>
    <w:rsid w:val="00465B9C"/>
    <w:rsid w:val="00465BF8"/>
    <w:rsid w:val="00465C25"/>
    <w:rsid w:val="00465C58"/>
    <w:rsid w:val="00465DBF"/>
    <w:rsid w:val="00465EC7"/>
    <w:rsid w:val="00466042"/>
    <w:rsid w:val="0046631F"/>
    <w:rsid w:val="00466377"/>
    <w:rsid w:val="00466379"/>
    <w:rsid w:val="0046639F"/>
    <w:rsid w:val="00466422"/>
    <w:rsid w:val="0046644F"/>
    <w:rsid w:val="00466534"/>
    <w:rsid w:val="004665C6"/>
    <w:rsid w:val="00466767"/>
    <w:rsid w:val="00466A61"/>
    <w:rsid w:val="00466A96"/>
    <w:rsid w:val="00466B5D"/>
    <w:rsid w:val="00466BA8"/>
    <w:rsid w:val="00466BE0"/>
    <w:rsid w:val="00466C6D"/>
    <w:rsid w:val="00466CA8"/>
    <w:rsid w:val="00466D58"/>
    <w:rsid w:val="00466E9D"/>
    <w:rsid w:val="004670C6"/>
    <w:rsid w:val="00467156"/>
    <w:rsid w:val="0046722A"/>
    <w:rsid w:val="004674BD"/>
    <w:rsid w:val="00467514"/>
    <w:rsid w:val="004675E9"/>
    <w:rsid w:val="004675FE"/>
    <w:rsid w:val="00467637"/>
    <w:rsid w:val="00467708"/>
    <w:rsid w:val="004677CC"/>
    <w:rsid w:val="00467883"/>
    <w:rsid w:val="00467959"/>
    <w:rsid w:val="00467B04"/>
    <w:rsid w:val="00467BFF"/>
    <w:rsid w:val="00467C5C"/>
    <w:rsid w:val="00467CAF"/>
    <w:rsid w:val="00467DC4"/>
    <w:rsid w:val="00467FB0"/>
    <w:rsid w:val="0046E543"/>
    <w:rsid w:val="00470057"/>
    <w:rsid w:val="00470172"/>
    <w:rsid w:val="004701D4"/>
    <w:rsid w:val="0047037A"/>
    <w:rsid w:val="00470582"/>
    <w:rsid w:val="004705C7"/>
    <w:rsid w:val="00470711"/>
    <w:rsid w:val="004707D0"/>
    <w:rsid w:val="00470855"/>
    <w:rsid w:val="004709EE"/>
    <w:rsid w:val="00470B4A"/>
    <w:rsid w:val="00470BD1"/>
    <w:rsid w:val="00470BD3"/>
    <w:rsid w:val="00470F07"/>
    <w:rsid w:val="00471016"/>
    <w:rsid w:val="00471125"/>
    <w:rsid w:val="00471138"/>
    <w:rsid w:val="00471154"/>
    <w:rsid w:val="00471345"/>
    <w:rsid w:val="004713C2"/>
    <w:rsid w:val="004713E4"/>
    <w:rsid w:val="00471412"/>
    <w:rsid w:val="0047162F"/>
    <w:rsid w:val="00471A38"/>
    <w:rsid w:val="00471B67"/>
    <w:rsid w:val="00471D61"/>
    <w:rsid w:val="00471DB3"/>
    <w:rsid w:val="00471E2F"/>
    <w:rsid w:val="00471E73"/>
    <w:rsid w:val="004720A0"/>
    <w:rsid w:val="004720FA"/>
    <w:rsid w:val="00472375"/>
    <w:rsid w:val="0047241E"/>
    <w:rsid w:val="00472421"/>
    <w:rsid w:val="00472588"/>
    <w:rsid w:val="004726F0"/>
    <w:rsid w:val="00472862"/>
    <w:rsid w:val="0047293C"/>
    <w:rsid w:val="00472AB0"/>
    <w:rsid w:val="00472B34"/>
    <w:rsid w:val="00473151"/>
    <w:rsid w:val="004733B0"/>
    <w:rsid w:val="0047365C"/>
    <w:rsid w:val="004736B5"/>
    <w:rsid w:val="004737F5"/>
    <w:rsid w:val="00473813"/>
    <w:rsid w:val="0047385F"/>
    <w:rsid w:val="004739A9"/>
    <w:rsid w:val="004739F7"/>
    <w:rsid w:val="00473BAB"/>
    <w:rsid w:val="00473BE8"/>
    <w:rsid w:val="00473CBA"/>
    <w:rsid w:val="00473CDB"/>
    <w:rsid w:val="00473D2B"/>
    <w:rsid w:val="00473E2D"/>
    <w:rsid w:val="00473EBF"/>
    <w:rsid w:val="00473F24"/>
    <w:rsid w:val="004740F4"/>
    <w:rsid w:val="004741B8"/>
    <w:rsid w:val="0047425B"/>
    <w:rsid w:val="00474325"/>
    <w:rsid w:val="004743A7"/>
    <w:rsid w:val="00474491"/>
    <w:rsid w:val="004744E2"/>
    <w:rsid w:val="00474733"/>
    <w:rsid w:val="0047482C"/>
    <w:rsid w:val="00474BCD"/>
    <w:rsid w:val="00474C3F"/>
    <w:rsid w:val="00474C5B"/>
    <w:rsid w:val="00474D29"/>
    <w:rsid w:val="00474DA2"/>
    <w:rsid w:val="00474DA4"/>
    <w:rsid w:val="00474E3B"/>
    <w:rsid w:val="00475023"/>
    <w:rsid w:val="00475097"/>
    <w:rsid w:val="004750CD"/>
    <w:rsid w:val="004751B3"/>
    <w:rsid w:val="00475430"/>
    <w:rsid w:val="0047547F"/>
    <w:rsid w:val="0047562D"/>
    <w:rsid w:val="00475944"/>
    <w:rsid w:val="00475C7F"/>
    <w:rsid w:val="00475CD8"/>
    <w:rsid w:val="00475FAE"/>
    <w:rsid w:val="00476032"/>
    <w:rsid w:val="0047606C"/>
    <w:rsid w:val="00476288"/>
    <w:rsid w:val="0047628A"/>
    <w:rsid w:val="004763D3"/>
    <w:rsid w:val="004764FB"/>
    <w:rsid w:val="00476662"/>
    <w:rsid w:val="004768CE"/>
    <w:rsid w:val="00476912"/>
    <w:rsid w:val="00476936"/>
    <w:rsid w:val="00476A3C"/>
    <w:rsid w:val="00476A4D"/>
    <w:rsid w:val="00476B68"/>
    <w:rsid w:val="00476C37"/>
    <w:rsid w:val="00476D6F"/>
    <w:rsid w:val="00476DD9"/>
    <w:rsid w:val="00476F52"/>
    <w:rsid w:val="0047714B"/>
    <w:rsid w:val="004771E1"/>
    <w:rsid w:val="004771EE"/>
    <w:rsid w:val="0047728D"/>
    <w:rsid w:val="004774BC"/>
    <w:rsid w:val="00477540"/>
    <w:rsid w:val="00477676"/>
    <w:rsid w:val="00477834"/>
    <w:rsid w:val="004778D5"/>
    <w:rsid w:val="004779FD"/>
    <w:rsid w:val="00477CEC"/>
    <w:rsid w:val="00477D1A"/>
    <w:rsid w:val="00477F3D"/>
    <w:rsid w:val="00477F4C"/>
    <w:rsid w:val="00480309"/>
    <w:rsid w:val="00480480"/>
    <w:rsid w:val="0048076E"/>
    <w:rsid w:val="00480847"/>
    <w:rsid w:val="004809F8"/>
    <w:rsid w:val="00480AE5"/>
    <w:rsid w:val="00480B64"/>
    <w:rsid w:val="00480BDD"/>
    <w:rsid w:val="00480BE7"/>
    <w:rsid w:val="00480C06"/>
    <w:rsid w:val="00480C10"/>
    <w:rsid w:val="00480D6B"/>
    <w:rsid w:val="00480D85"/>
    <w:rsid w:val="00480EE0"/>
    <w:rsid w:val="00480F80"/>
    <w:rsid w:val="00480FA0"/>
    <w:rsid w:val="00480FF3"/>
    <w:rsid w:val="00481181"/>
    <w:rsid w:val="00481191"/>
    <w:rsid w:val="004811C2"/>
    <w:rsid w:val="0048135D"/>
    <w:rsid w:val="004813BE"/>
    <w:rsid w:val="004813C7"/>
    <w:rsid w:val="00481527"/>
    <w:rsid w:val="00481564"/>
    <w:rsid w:val="00481679"/>
    <w:rsid w:val="004817C4"/>
    <w:rsid w:val="004817C7"/>
    <w:rsid w:val="0048180D"/>
    <w:rsid w:val="00481A37"/>
    <w:rsid w:val="00481A63"/>
    <w:rsid w:val="00481B9C"/>
    <w:rsid w:val="00481BD5"/>
    <w:rsid w:val="00481C57"/>
    <w:rsid w:val="00481CB9"/>
    <w:rsid w:val="00481EA7"/>
    <w:rsid w:val="0048200F"/>
    <w:rsid w:val="0048210F"/>
    <w:rsid w:val="0048215A"/>
    <w:rsid w:val="004821F9"/>
    <w:rsid w:val="00482253"/>
    <w:rsid w:val="00482301"/>
    <w:rsid w:val="00482305"/>
    <w:rsid w:val="00482389"/>
    <w:rsid w:val="004824B8"/>
    <w:rsid w:val="0048252F"/>
    <w:rsid w:val="00482691"/>
    <w:rsid w:val="00482714"/>
    <w:rsid w:val="00482842"/>
    <w:rsid w:val="0048285C"/>
    <w:rsid w:val="00482897"/>
    <w:rsid w:val="004828B2"/>
    <w:rsid w:val="004828EE"/>
    <w:rsid w:val="00482923"/>
    <w:rsid w:val="004829F4"/>
    <w:rsid w:val="00482A59"/>
    <w:rsid w:val="00482B40"/>
    <w:rsid w:val="00482BF8"/>
    <w:rsid w:val="00482CE1"/>
    <w:rsid w:val="00482D27"/>
    <w:rsid w:val="00482EB9"/>
    <w:rsid w:val="00483057"/>
    <w:rsid w:val="004830A9"/>
    <w:rsid w:val="00483138"/>
    <w:rsid w:val="004831F7"/>
    <w:rsid w:val="00483215"/>
    <w:rsid w:val="004833DF"/>
    <w:rsid w:val="0048352D"/>
    <w:rsid w:val="00483581"/>
    <w:rsid w:val="004835E5"/>
    <w:rsid w:val="00483668"/>
    <w:rsid w:val="00483693"/>
    <w:rsid w:val="004837AC"/>
    <w:rsid w:val="00483888"/>
    <w:rsid w:val="00483C43"/>
    <w:rsid w:val="00483CC3"/>
    <w:rsid w:val="00483DE8"/>
    <w:rsid w:val="00483F21"/>
    <w:rsid w:val="00483F7E"/>
    <w:rsid w:val="00483FAB"/>
    <w:rsid w:val="004840FB"/>
    <w:rsid w:val="0048411A"/>
    <w:rsid w:val="00484160"/>
    <w:rsid w:val="0048419E"/>
    <w:rsid w:val="004841F4"/>
    <w:rsid w:val="004842A8"/>
    <w:rsid w:val="0048445D"/>
    <w:rsid w:val="00484863"/>
    <w:rsid w:val="004848B7"/>
    <w:rsid w:val="00484A6A"/>
    <w:rsid w:val="00484A8D"/>
    <w:rsid w:val="00484BEF"/>
    <w:rsid w:val="00484CE3"/>
    <w:rsid w:val="00484DB5"/>
    <w:rsid w:val="00484F8A"/>
    <w:rsid w:val="004851E5"/>
    <w:rsid w:val="0048540F"/>
    <w:rsid w:val="00485675"/>
    <w:rsid w:val="00485832"/>
    <w:rsid w:val="00485857"/>
    <w:rsid w:val="004858F7"/>
    <w:rsid w:val="00485A37"/>
    <w:rsid w:val="00485BAA"/>
    <w:rsid w:val="00485DF4"/>
    <w:rsid w:val="00485E98"/>
    <w:rsid w:val="00485F5D"/>
    <w:rsid w:val="00486228"/>
    <w:rsid w:val="00486284"/>
    <w:rsid w:val="00486327"/>
    <w:rsid w:val="00486338"/>
    <w:rsid w:val="00486339"/>
    <w:rsid w:val="00486370"/>
    <w:rsid w:val="0048657A"/>
    <w:rsid w:val="0048668C"/>
    <w:rsid w:val="0048670E"/>
    <w:rsid w:val="00486726"/>
    <w:rsid w:val="004867E8"/>
    <w:rsid w:val="00486853"/>
    <w:rsid w:val="0048698D"/>
    <w:rsid w:val="00486AE4"/>
    <w:rsid w:val="00486B53"/>
    <w:rsid w:val="00486B62"/>
    <w:rsid w:val="00486C05"/>
    <w:rsid w:val="00486C4A"/>
    <w:rsid w:val="00486E40"/>
    <w:rsid w:val="0048701E"/>
    <w:rsid w:val="004870A5"/>
    <w:rsid w:val="00487418"/>
    <w:rsid w:val="0048758F"/>
    <w:rsid w:val="004876B4"/>
    <w:rsid w:val="004877CD"/>
    <w:rsid w:val="0048793B"/>
    <w:rsid w:val="00487969"/>
    <w:rsid w:val="004879E6"/>
    <w:rsid w:val="00487BBA"/>
    <w:rsid w:val="00487BBC"/>
    <w:rsid w:val="00487BE5"/>
    <w:rsid w:val="00487C7F"/>
    <w:rsid w:val="00487CBB"/>
    <w:rsid w:val="00487E1E"/>
    <w:rsid w:val="00490012"/>
    <w:rsid w:val="004900C5"/>
    <w:rsid w:val="004900FC"/>
    <w:rsid w:val="00490216"/>
    <w:rsid w:val="004902EC"/>
    <w:rsid w:val="0049040E"/>
    <w:rsid w:val="00490518"/>
    <w:rsid w:val="00490543"/>
    <w:rsid w:val="00490583"/>
    <w:rsid w:val="00490642"/>
    <w:rsid w:val="004908A3"/>
    <w:rsid w:val="00490BBF"/>
    <w:rsid w:val="00490E21"/>
    <w:rsid w:val="00490EC5"/>
    <w:rsid w:val="00490EDB"/>
    <w:rsid w:val="00490F14"/>
    <w:rsid w:val="0049108D"/>
    <w:rsid w:val="004910E5"/>
    <w:rsid w:val="0049117E"/>
    <w:rsid w:val="00491193"/>
    <w:rsid w:val="00491220"/>
    <w:rsid w:val="00491238"/>
    <w:rsid w:val="0049138A"/>
    <w:rsid w:val="0049138F"/>
    <w:rsid w:val="004913BA"/>
    <w:rsid w:val="004913CF"/>
    <w:rsid w:val="004913EE"/>
    <w:rsid w:val="0049171F"/>
    <w:rsid w:val="0049174E"/>
    <w:rsid w:val="00491751"/>
    <w:rsid w:val="004917BF"/>
    <w:rsid w:val="00491804"/>
    <w:rsid w:val="0049185D"/>
    <w:rsid w:val="00491B58"/>
    <w:rsid w:val="00491BC0"/>
    <w:rsid w:val="00491CB7"/>
    <w:rsid w:val="00491CED"/>
    <w:rsid w:val="00491DF5"/>
    <w:rsid w:val="00491E28"/>
    <w:rsid w:val="00491E34"/>
    <w:rsid w:val="00491E8B"/>
    <w:rsid w:val="0049204F"/>
    <w:rsid w:val="00492217"/>
    <w:rsid w:val="004922CF"/>
    <w:rsid w:val="00492491"/>
    <w:rsid w:val="00492622"/>
    <w:rsid w:val="0049272A"/>
    <w:rsid w:val="004927D2"/>
    <w:rsid w:val="0049283D"/>
    <w:rsid w:val="00492A09"/>
    <w:rsid w:val="00492A18"/>
    <w:rsid w:val="00492AB4"/>
    <w:rsid w:val="00492C12"/>
    <w:rsid w:val="00492CD3"/>
    <w:rsid w:val="00492D5B"/>
    <w:rsid w:val="00492D84"/>
    <w:rsid w:val="00492D88"/>
    <w:rsid w:val="00492E44"/>
    <w:rsid w:val="00492F2C"/>
    <w:rsid w:val="0049312B"/>
    <w:rsid w:val="004932DF"/>
    <w:rsid w:val="0049333C"/>
    <w:rsid w:val="004933C4"/>
    <w:rsid w:val="00493436"/>
    <w:rsid w:val="00493656"/>
    <w:rsid w:val="00493802"/>
    <w:rsid w:val="00493832"/>
    <w:rsid w:val="0049384D"/>
    <w:rsid w:val="00493897"/>
    <w:rsid w:val="0049390E"/>
    <w:rsid w:val="00493921"/>
    <w:rsid w:val="0049395E"/>
    <w:rsid w:val="00493A82"/>
    <w:rsid w:val="00493ADC"/>
    <w:rsid w:val="00493AEE"/>
    <w:rsid w:val="00493C39"/>
    <w:rsid w:val="00493D97"/>
    <w:rsid w:val="00493DD0"/>
    <w:rsid w:val="00493DDB"/>
    <w:rsid w:val="00493EEE"/>
    <w:rsid w:val="00493F52"/>
    <w:rsid w:val="00493FA6"/>
    <w:rsid w:val="00494034"/>
    <w:rsid w:val="004940BF"/>
    <w:rsid w:val="004940F1"/>
    <w:rsid w:val="00494109"/>
    <w:rsid w:val="00494115"/>
    <w:rsid w:val="004941A7"/>
    <w:rsid w:val="0049422E"/>
    <w:rsid w:val="004942E4"/>
    <w:rsid w:val="0049438D"/>
    <w:rsid w:val="0049454B"/>
    <w:rsid w:val="004945D0"/>
    <w:rsid w:val="004948CC"/>
    <w:rsid w:val="004948E6"/>
    <w:rsid w:val="00494AD4"/>
    <w:rsid w:val="00494AF9"/>
    <w:rsid w:val="00494B50"/>
    <w:rsid w:val="00494C26"/>
    <w:rsid w:val="00494CC1"/>
    <w:rsid w:val="00494D16"/>
    <w:rsid w:val="00494DF7"/>
    <w:rsid w:val="00495086"/>
    <w:rsid w:val="0049517A"/>
    <w:rsid w:val="00495188"/>
    <w:rsid w:val="00495228"/>
    <w:rsid w:val="00495260"/>
    <w:rsid w:val="00495323"/>
    <w:rsid w:val="00495674"/>
    <w:rsid w:val="004956A8"/>
    <w:rsid w:val="00495753"/>
    <w:rsid w:val="0049588D"/>
    <w:rsid w:val="0049594B"/>
    <w:rsid w:val="0049597A"/>
    <w:rsid w:val="004959CF"/>
    <w:rsid w:val="00495B1E"/>
    <w:rsid w:val="00495D2E"/>
    <w:rsid w:val="00495FE3"/>
    <w:rsid w:val="004960A9"/>
    <w:rsid w:val="004960C4"/>
    <w:rsid w:val="00496164"/>
    <w:rsid w:val="004961F9"/>
    <w:rsid w:val="0049639E"/>
    <w:rsid w:val="004964D2"/>
    <w:rsid w:val="004964E7"/>
    <w:rsid w:val="00496532"/>
    <w:rsid w:val="004966B7"/>
    <w:rsid w:val="00496732"/>
    <w:rsid w:val="004968FC"/>
    <w:rsid w:val="00496A9A"/>
    <w:rsid w:val="00496B9D"/>
    <w:rsid w:val="00496BC5"/>
    <w:rsid w:val="00496BCA"/>
    <w:rsid w:val="00496C31"/>
    <w:rsid w:val="00496D7F"/>
    <w:rsid w:val="00496DF6"/>
    <w:rsid w:val="00496F8A"/>
    <w:rsid w:val="00496FC9"/>
    <w:rsid w:val="004971A7"/>
    <w:rsid w:val="0049727D"/>
    <w:rsid w:val="004974D6"/>
    <w:rsid w:val="0049765E"/>
    <w:rsid w:val="004976E3"/>
    <w:rsid w:val="00497767"/>
    <w:rsid w:val="004977CF"/>
    <w:rsid w:val="004977DF"/>
    <w:rsid w:val="004977EF"/>
    <w:rsid w:val="00497839"/>
    <w:rsid w:val="00497AC8"/>
    <w:rsid w:val="00497B9C"/>
    <w:rsid w:val="00497CEB"/>
    <w:rsid w:val="00497D2C"/>
    <w:rsid w:val="00497D2F"/>
    <w:rsid w:val="00497D4D"/>
    <w:rsid w:val="00497D86"/>
    <w:rsid w:val="00497FF8"/>
    <w:rsid w:val="004A0217"/>
    <w:rsid w:val="004A05AA"/>
    <w:rsid w:val="004A066F"/>
    <w:rsid w:val="004A07C2"/>
    <w:rsid w:val="004A081D"/>
    <w:rsid w:val="004A0A1D"/>
    <w:rsid w:val="004A0AD1"/>
    <w:rsid w:val="004A0BBA"/>
    <w:rsid w:val="004A0C0E"/>
    <w:rsid w:val="004A0F11"/>
    <w:rsid w:val="004A1020"/>
    <w:rsid w:val="004A1039"/>
    <w:rsid w:val="004A1105"/>
    <w:rsid w:val="004A1188"/>
    <w:rsid w:val="004A12DA"/>
    <w:rsid w:val="004A1371"/>
    <w:rsid w:val="004A13E1"/>
    <w:rsid w:val="004A155F"/>
    <w:rsid w:val="004A1638"/>
    <w:rsid w:val="004A1868"/>
    <w:rsid w:val="004A1896"/>
    <w:rsid w:val="004A1910"/>
    <w:rsid w:val="004A196C"/>
    <w:rsid w:val="004A1984"/>
    <w:rsid w:val="004A1AC0"/>
    <w:rsid w:val="004A1BE8"/>
    <w:rsid w:val="004A1BEB"/>
    <w:rsid w:val="004A1C03"/>
    <w:rsid w:val="004A1D81"/>
    <w:rsid w:val="004A1E88"/>
    <w:rsid w:val="004A1E9C"/>
    <w:rsid w:val="004A1FBC"/>
    <w:rsid w:val="004A201D"/>
    <w:rsid w:val="004A2059"/>
    <w:rsid w:val="004A21A6"/>
    <w:rsid w:val="004A21E7"/>
    <w:rsid w:val="004A2428"/>
    <w:rsid w:val="004A2438"/>
    <w:rsid w:val="004A244D"/>
    <w:rsid w:val="004A252E"/>
    <w:rsid w:val="004A254F"/>
    <w:rsid w:val="004A257A"/>
    <w:rsid w:val="004A266F"/>
    <w:rsid w:val="004A271B"/>
    <w:rsid w:val="004A27E7"/>
    <w:rsid w:val="004A2AC9"/>
    <w:rsid w:val="004A2C24"/>
    <w:rsid w:val="004A2C9D"/>
    <w:rsid w:val="004A2D13"/>
    <w:rsid w:val="004A2DF5"/>
    <w:rsid w:val="004A2E34"/>
    <w:rsid w:val="004A2F27"/>
    <w:rsid w:val="004A2F3F"/>
    <w:rsid w:val="004A2F5F"/>
    <w:rsid w:val="004A31E5"/>
    <w:rsid w:val="004A3267"/>
    <w:rsid w:val="004A3292"/>
    <w:rsid w:val="004A3322"/>
    <w:rsid w:val="004A3427"/>
    <w:rsid w:val="004A3521"/>
    <w:rsid w:val="004A363D"/>
    <w:rsid w:val="004A3693"/>
    <w:rsid w:val="004A36AC"/>
    <w:rsid w:val="004A3735"/>
    <w:rsid w:val="004A3770"/>
    <w:rsid w:val="004A37F9"/>
    <w:rsid w:val="004A38F7"/>
    <w:rsid w:val="004A39F0"/>
    <w:rsid w:val="004A3A7B"/>
    <w:rsid w:val="004A3AA2"/>
    <w:rsid w:val="004A3AB4"/>
    <w:rsid w:val="004A3B1B"/>
    <w:rsid w:val="004A3BFD"/>
    <w:rsid w:val="004A3D39"/>
    <w:rsid w:val="004A3F92"/>
    <w:rsid w:val="004A404C"/>
    <w:rsid w:val="004A4099"/>
    <w:rsid w:val="004A41B8"/>
    <w:rsid w:val="004A41D4"/>
    <w:rsid w:val="004A4293"/>
    <w:rsid w:val="004A42C0"/>
    <w:rsid w:val="004A44C6"/>
    <w:rsid w:val="004A44F2"/>
    <w:rsid w:val="004A45AC"/>
    <w:rsid w:val="004A45D2"/>
    <w:rsid w:val="004A4726"/>
    <w:rsid w:val="004A4854"/>
    <w:rsid w:val="004A4A24"/>
    <w:rsid w:val="004A4A58"/>
    <w:rsid w:val="004A4A6A"/>
    <w:rsid w:val="004A4B6A"/>
    <w:rsid w:val="004A4C7F"/>
    <w:rsid w:val="004A4CB6"/>
    <w:rsid w:val="004A4DBF"/>
    <w:rsid w:val="004A4FD5"/>
    <w:rsid w:val="004A5175"/>
    <w:rsid w:val="004A542C"/>
    <w:rsid w:val="004A560E"/>
    <w:rsid w:val="004A5804"/>
    <w:rsid w:val="004A5997"/>
    <w:rsid w:val="004A5A3F"/>
    <w:rsid w:val="004A5A6D"/>
    <w:rsid w:val="004A5B21"/>
    <w:rsid w:val="004A5B78"/>
    <w:rsid w:val="004A5B82"/>
    <w:rsid w:val="004A5DE9"/>
    <w:rsid w:val="004A6126"/>
    <w:rsid w:val="004A6314"/>
    <w:rsid w:val="004A631D"/>
    <w:rsid w:val="004A64D7"/>
    <w:rsid w:val="004A656D"/>
    <w:rsid w:val="004A68DA"/>
    <w:rsid w:val="004A6986"/>
    <w:rsid w:val="004A6A68"/>
    <w:rsid w:val="004A6B29"/>
    <w:rsid w:val="004A6C03"/>
    <w:rsid w:val="004A6DBA"/>
    <w:rsid w:val="004A6E80"/>
    <w:rsid w:val="004A6FD4"/>
    <w:rsid w:val="004A6FD6"/>
    <w:rsid w:val="004A727B"/>
    <w:rsid w:val="004A7364"/>
    <w:rsid w:val="004A73E6"/>
    <w:rsid w:val="004A7422"/>
    <w:rsid w:val="004A7443"/>
    <w:rsid w:val="004A74AE"/>
    <w:rsid w:val="004A779A"/>
    <w:rsid w:val="004A77E8"/>
    <w:rsid w:val="004A788E"/>
    <w:rsid w:val="004A7B0B"/>
    <w:rsid w:val="004A7B3B"/>
    <w:rsid w:val="004A7B47"/>
    <w:rsid w:val="004A7BD3"/>
    <w:rsid w:val="004A7C99"/>
    <w:rsid w:val="004A7D3E"/>
    <w:rsid w:val="004A7D3F"/>
    <w:rsid w:val="004A7E29"/>
    <w:rsid w:val="004A7E66"/>
    <w:rsid w:val="004A7F3E"/>
    <w:rsid w:val="004B0147"/>
    <w:rsid w:val="004B02F7"/>
    <w:rsid w:val="004B0390"/>
    <w:rsid w:val="004B03E9"/>
    <w:rsid w:val="004B03FE"/>
    <w:rsid w:val="004B0524"/>
    <w:rsid w:val="004B076D"/>
    <w:rsid w:val="004B0770"/>
    <w:rsid w:val="004B07C2"/>
    <w:rsid w:val="004B0A14"/>
    <w:rsid w:val="004B0A86"/>
    <w:rsid w:val="004B0B87"/>
    <w:rsid w:val="004B0B95"/>
    <w:rsid w:val="004B0CD2"/>
    <w:rsid w:val="004B1027"/>
    <w:rsid w:val="004B12B5"/>
    <w:rsid w:val="004B137E"/>
    <w:rsid w:val="004B1433"/>
    <w:rsid w:val="004B1598"/>
    <w:rsid w:val="004B15E6"/>
    <w:rsid w:val="004B1782"/>
    <w:rsid w:val="004B18FF"/>
    <w:rsid w:val="004B1A4C"/>
    <w:rsid w:val="004B1D00"/>
    <w:rsid w:val="004B1D8A"/>
    <w:rsid w:val="004B1E56"/>
    <w:rsid w:val="004B1EB5"/>
    <w:rsid w:val="004B205B"/>
    <w:rsid w:val="004B211B"/>
    <w:rsid w:val="004B2180"/>
    <w:rsid w:val="004B2395"/>
    <w:rsid w:val="004B23B3"/>
    <w:rsid w:val="004B23F1"/>
    <w:rsid w:val="004B24A1"/>
    <w:rsid w:val="004B25FB"/>
    <w:rsid w:val="004B2668"/>
    <w:rsid w:val="004B27F6"/>
    <w:rsid w:val="004B281D"/>
    <w:rsid w:val="004B28D4"/>
    <w:rsid w:val="004B2903"/>
    <w:rsid w:val="004B2971"/>
    <w:rsid w:val="004B2982"/>
    <w:rsid w:val="004B2B72"/>
    <w:rsid w:val="004B2BEA"/>
    <w:rsid w:val="004B2C80"/>
    <w:rsid w:val="004B2F33"/>
    <w:rsid w:val="004B3073"/>
    <w:rsid w:val="004B30FE"/>
    <w:rsid w:val="004B317F"/>
    <w:rsid w:val="004B31C7"/>
    <w:rsid w:val="004B3391"/>
    <w:rsid w:val="004B33BC"/>
    <w:rsid w:val="004B340A"/>
    <w:rsid w:val="004B3485"/>
    <w:rsid w:val="004B34A2"/>
    <w:rsid w:val="004B3864"/>
    <w:rsid w:val="004B38F0"/>
    <w:rsid w:val="004B39DF"/>
    <w:rsid w:val="004B3A20"/>
    <w:rsid w:val="004B3A57"/>
    <w:rsid w:val="004B3D3A"/>
    <w:rsid w:val="004B3E30"/>
    <w:rsid w:val="004B3F65"/>
    <w:rsid w:val="004B401F"/>
    <w:rsid w:val="004B4097"/>
    <w:rsid w:val="004B40FB"/>
    <w:rsid w:val="004B4130"/>
    <w:rsid w:val="004B4150"/>
    <w:rsid w:val="004B4183"/>
    <w:rsid w:val="004B4185"/>
    <w:rsid w:val="004B41AC"/>
    <w:rsid w:val="004B42E8"/>
    <w:rsid w:val="004B4554"/>
    <w:rsid w:val="004B4647"/>
    <w:rsid w:val="004B470A"/>
    <w:rsid w:val="004B4CB2"/>
    <w:rsid w:val="004B4CDA"/>
    <w:rsid w:val="004B4CE2"/>
    <w:rsid w:val="004B4E09"/>
    <w:rsid w:val="004B50C4"/>
    <w:rsid w:val="004B50CC"/>
    <w:rsid w:val="004B5162"/>
    <w:rsid w:val="004B51C8"/>
    <w:rsid w:val="004B51F2"/>
    <w:rsid w:val="004B53A4"/>
    <w:rsid w:val="004B56EF"/>
    <w:rsid w:val="004B5708"/>
    <w:rsid w:val="004B576A"/>
    <w:rsid w:val="004B57F1"/>
    <w:rsid w:val="004B596A"/>
    <w:rsid w:val="004B5B25"/>
    <w:rsid w:val="004B5BC9"/>
    <w:rsid w:val="004B5C39"/>
    <w:rsid w:val="004B5D5B"/>
    <w:rsid w:val="004B5D6C"/>
    <w:rsid w:val="004B5D7B"/>
    <w:rsid w:val="004B61DD"/>
    <w:rsid w:val="004B636A"/>
    <w:rsid w:val="004B63E6"/>
    <w:rsid w:val="004B64FE"/>
    <w:rsid w:val="004B6528"/>
    <w:rsid w:val="004B6954"/>
    <w:rsid w:val="004B6975"/>
    <w:rsid w:val="004B6A4E"/>
    <w:rsid w:val="004B6A5B"/>
    <w:rsid w:val="004B6AA9"/>
    <w:rsid w:val="004B6CC4"/>
    <w:rsid w:val="004B6D51"/>
    <w:rsid w:val="004B6E3A"/>
    <w:rsid w:val="004B6F51"/>
    <w:rsid w:val="004B71A0"/>
    <w:rsid w:val="004B72A5"/>
    <w:rsid w:val="004B7396"/>
    <w:rsid w:val="004B7411"/>
    <w:rsid w:val="004B747F"/>
    <w:rsid w:val="004B74E8"/>
    <w:rsid w:val="004B7538"/>
    <w:rsid w:val="004B7544"/>
    <w:rsid w:val="004B7590"/>
    <w:rsid w:val="004B75CF"/>
    <w:rsid w:val="004B7680"/>
    <w:rsid w:val="004B7723"/>
    <w:rsid w:val="004B7963"/>
    <w:rsid w:val="004B79A1"/>
    <w:rsid w:val="004B7A09"/>
    <w:rsid w:val="004B7EA8"/>
    <w:rsid w:val="004B7FB4"/>
    <w:rsid w:val="004C003F"/>
    <w:rsid w:val="004C01FC"/>
    <w:rsid w:val="004C0359"/>
    <w:rsid w:val="004C0410"/>
    <w:rsid w:val="004C042A"/>
    <w:rsid w:val="004C057E"/>
    <w:rsid w:val="004C065F"/>
    <w:rsid w:val="004C06D7"/>
    <w:rsid w:val="004C08DB"/>
    <w:rsid w:val="004C08F0"/>
    <w:rsid w:val="004C0976"/>
    <w:rsid w:val="004C0A09"/>
    <w:rsid w:val="004C0CC9"/>
    <w:rsid w:val="004C0DC5"/>
    <w:rsid w:val="004C0EEB"/>
    <w:rsid w:val="004C0F1A"/>
    <w:rsid w:val="004C1147"/>
    <w:rsid w:val="004C1184"/>
    <w:rsid w:val="004C1370"/>
    <w:rsid w:val="004C139B"/>
    <w:rsid w:val="004C1401"/>
    <w:rsid w:val="004C14C8"/>
    <w:rsid w:val="004C1515"/>
    <w:rsid w:val="004C153F"/>
    <w:rsid w:val="004C16B7"/>
    <w:rsid w:val="004C17E8"/>
    <w:rsid w:val="004C18D7"/>
    <w:rsid w:val="004C19D2"/>
    <w:rsid w:val="004C1A26"/>
    <w:rsid w:val="004C1B25"/>
    <w:rsid w:val="004C1CEB"/>
    <w:rsid w:val="004C1D48"/>
    <w:rsid w:val="004C1D7E"/>
    <w:rsid w:val="004C1E50"/>
    <w:rsid w:val="004C204F"/>
    <w:rsid w:val="004C238F"/>
    <w:rsid w:val="004C239F"/>
    <w:rsid w:val="004C24F3"/>
    <w:rsid w:val="004C25D4"/>
    <w:rsid w:val="004C2728"/>
    <w:rsid w:val="004C27AD"/>
    <w:rsid w:val="004C28B0"/>
    <w:rsid w:val="004C2BC8"/>
    <w:rsid w:val="004C2CCB"/>
    <w:rsid w:val="004C2D33"/>
    <w:rsid w:val="004C2DD5"/>
    <w:rsid w:val="004C2E4F"/>
    <w:rsid w:val="004C2EA0"/>
    <w:rsid w:val="004C2F9F"/>
    <w:rsid w:val="004C3019"/>
    <w:rsid w:val="004C30D2"/>
    <w:rsid w:val="004C310C"/>
    <w:rsid w:val="004C313F"/>
    <w:rsid w:val="004C31AC"/>
    <w:rsid w:val="004C31B9"/>
    <w:rsid w:val="004C322B"/>
    <w:rsid w:val="004C34E7"/>
    <w:rsid w:val="004C362C"/>
    <w:rsid w:val="004C3753"/>
    <w:rsid w:val="004C383A"/>
    <w:rsid w:val="004C3875"/>
    <w:rsid w:val="004C3897"/>
    <w:rsid w:val="004C3993"/>
    <w:rsid w:val="004C3A5B"/>
    <w:rsid w:val="004C3AB8"/>
    <w:rsid w:val="004C3E28"/>
    <w:rsid w:val="004C3E9D"/>
    <w:rsid w:val="004C3EDA"/>
    <w:rsid w:val="004C3F8E"/>
    <w:rsid w:val="004C40F1"/>
    <w:rsid w:val="004C41FA"/>
    <w:rsid w:val="004C4374"/>
    <w:rsid w:val="004C43B5"/>
    <w:rsid w:val="004C4437"/>
    <w:rsid w:val="004C44BA"/>
    <w:rsid w:val="004C4638"/>
    <w:rsid w:val="004C4656"/>
    <w:rsid w:val="004C46A8"/>
    <w:rsid w:val="004C4736"/>
    <w:rsid w:val="004C481F"/>
    <w:rsid w:val="004C488A"/>
    <w:rsid w:val="004C49C8"/>
    <w:rsid w:val="004C4B9C"/>
    <w:rsid w:val="004C4CB1"/>
    <w:rsid w:val="004C4D5D"/>
    <w:rsid w:val="004C4DBA"/>
    <w:rsid w:val="004C4E50"/>
    <w:rsid w:val="004C4F24"/>
    <w:rsid w:val="004C4F3F"/>
    <w:rsid w:val="004C50B9"/>
    <w:rsid w:val="004C5172"/>
    <w:rsid w:val="004C52CC"/>
    <w:rsid w:val="004C5644"/>
    <w:rsid w:val="004C56F7"/>
    <w:rsid w:val="004C579B"/>
    <w:rsid w:val="004C5950"/>
    <w:rsid w:val="004C59A7"/>
    <w:rsid w:val="004C5A08"/>
    <w:rsid w:val="004C5AE6"/>
    <w:rsid w:val="004C5B28"/>
    <w:rsid w:val="004C5B65"/>
    <w:rsid w:val="004C5C00"/>
    <w:rsid w:val="004C5C94"/>
    <w:rsid w:val="004C5D13"/>
    <w:rsid w:val="004C5D30"/>
    <w:rsid w:val="004C5E84"/>
    <w:rsid w:val="004C5FB3"/>
    <w:rsid w:val="004C6321"/>
    <w:rsid w:val="004C6441"/>
    <w:rsid w:val="004C649B"/>
    <w:rsid w:val="004C6528"/>
    <w:rsid w:val="004C6536"/>
    <w:rsid w:val="004C682B"/>
    <w:rsid w:val="004C6832"/>
    <w:rsid w:val="004C6886"/>
    <w:rsid w:val="004C6891"/>
    <w:rsid w:val="004C68C4"/>
    <w:rsid w:val="004C6903"/>
    <w:rsid w:val="004C693D"/>
    <w:rsid w:val="004C69E2"/>
    <w:rsid w:val="004C6A50"/>
    <w:rsid w:val="004C6A8C"/>
    <w:rsid w:val="004C6B1E"/>
    <w:rsid w:val="004C6E5E"/>
    <w:rsid w:val="004C716D"/>
    <w:rsid w:val="004C7271"/>
    <w:rsid w:val="004C7374"/>
    <w:rsid w:val="004C73C2"/>
    <w:rsid w:val="004C7460"/>
    <w:rsid w:val="004C75D4"/>
    <w:rsid w:val="004C76B1"/>
    <w:rsid w:val="004C76D2"/>
    <w:rsid w:val="004C7774"/>
    <w:rsid w:val="004C778A"/>
    <w:rsid w:val="004C78BB"/>
    <w:rsid w:val="004C797F"/>
    <w:rsid w:val="004C7AB6"/>
    <w:rsid w:val="004C7AE1"/>
    <w:rsid w:val="004C7C77"/>
    <w:rsid w:val="004C7CCF"/>
    <w:rsid w:val="004C7CED"/>
    <w:rsid w:val="004C7F17"/>
    <w:rsid w:val="004C7FB5"/>
    <w:rsid w:val="004C7FD9"/>
    <w:rsid w:val="004D003A"/>
    <w:rsid w:val="004D0097"/>
    <w:rsid w:val="004D02A2"/>
    <w:rsid w:val="004D045B"/>
    <w:rsid w:val="004D084B"/>
    <w:rsid w:val="004D0927"/>
    <w:rsid w:val="004D0BAB"/>
    <w:rsid w:val="004D0BBD"/>
    <w:rsid w:val="004D0CA5"/>
    <w:rsid w:val="004D0E92"/>
    <w:rsid w:val="004D0EB8"/>
    <w:rsid w:val="004D102F"/>
    <w:rsid w:val="004D1253"/>
    <w:rsid w:val="004D125A"/>
    <w:rsid w:val="004D12F5"/>
    <w:rsid w:val="004D14B1"/>
    <w:rsid w:val="004D15B1"/>
    <w:rsid w:val="004D15D7"/>
    <w:rsid w:val="004D161E"/>
    <w:rsid w:val="004D16EC"/>
    <w:rsid w:val="004D17F4"/>
    <w:rsid w:val="004D1AEC"/>
    <w:rsid w:val="004D1AF7"/>
    <w:rsid w:val="004D1BA2"/>
    <w:rsid w:val="004D1C18"/>
    <w:rsid w:val="004D1C5D"/>
    <w:rsid w:val="004D1C94"/>
    <w:rsid w:val="004D1E40"/>
    <w:rsid w:val="004D20DD"/>
    <w:rsid w:val="004D226E"/>
    <w:rsid w:val="004D22C8"/>
    <w:rsid w:val="004D23F6"/>
    <w:rsid w:val="004D254B"/>
    <w:rsid w:val="004D25E4"/>
    <w:rsid w:val="004D282D"/>
    <w:rsid w:val="004D28B7"/>
    <w:rsid w:val="004D2936"/>
    <w:rsid w:val="004D2988"/>
    <w:rsid w:val="004D2BC7"/>
    <w:rsid w:val="004D2BE5"/>
    <w:rsid w:val="004D2C4D"/>
    <w:rsid w:val="004D2C6B"/>
    <w:rsid w:val="004D303F"/>
    <w:rsid w:val="004D3072"/>
    <w:rsid w:val="004D31EE"/>
    <w:rsid w:val="004D3247"/>
    <w:rsid w:val="004D326C"/>
    <w:rsid w:val="004D3551"/>
    <w:rsid w:val="004D3593"/>
    <w:rsid w:val="004D35FE"/>
    <w:rsid w:val="004D36D0"/>
    <w:rsid w:val="004D3729"/>
    <w:rsid w:val="004D378F"/>
    <w:rsid w:val="004D3877"/>
    <w:rsid w:val="004D3918"/>
    <w:rsid w:val="004D3A30"/>
    <w:rsid w:val="004D3A53"/>
    <w:rsid w:val="004D3B28"/>
    <w:rsid w:val="004D3C1D"/>
    <w:rsid w:val="004D3C6D"/>
    <w:rsid w:val="004D3D0A"/>
    <w:rsid w:val="004D3D97"/>
    <w:rsid w:val="004D4124"/>
    <w:rsid w:val="004D41E3"/>
    <w:rsid w:val="004D4347"/>
    <w:rsid w:val="004D43D0"/>
    <w:rsid w:val="004D463A"/>
    <w:rsid w:val="004D469D"/>
    <w:rsid w:val="004D4811"/>
    <w:rsid w:val="004D48E8"/>
    <w:rsid w:val="004D4A6F"/>
    <w:rsid w:val="004D4A98"/>
    <w:rsid w:val="004D4B2E"/>
    <w:rsid w:val="004D4B43"/>
    <w:rsid w:val="004D4C36"/>
    <w:rsid w:val="004D4C53"/>
    <w:rsid w:val="004D4DC7"/>
    <w:rsid w:val="004D4EAF"/>
    <w:rsid w:val="004D4FBB"/>
    <w:rsid w:val="004D503B"/>
    <w:rsid w:val="004D5094"/>
    <w:rsid w:val="004D5097"/>
    <w:rsid w:val="004D5292"/>
    <w:rsid w:val="004D538E"/>
    <w:rsid w:val="004D54BC"/>
    <w:rsid w:val="004D5656"/>
    <w:rsid w:val="004D57B1"/>
    <w:rsid w:val="004D5893"/>
    <w:rsid w:val="004D58CA"/>
    <w:rsid w:val="004D58E4"/>
    <w:rsid w:val="004D599B"/>
    <w:rsid w:val="004D5B25"/>
    <w:rsid w:val="004D5B60"/>
    <w:rsid w:val="004D5B88"/>
    <w:rsid w:val="004D5D94"/>
    <w:rsid w:val="004D5E5B"/>
    <w:rsid w:val="004D5EB4"/>
    <w:rsid w:val="004D5F93"/>
    <w:rsid w:val="004D5F96"/>
    <w:rsid w:val="004D5FC8"/>
    <w:rsid w:val="004D6025"/>
    <w:rsid w:val="004D6080"/>
    <w:rsid w:val="004D60FD"/>
    <w:rsid w:val="004D62D8"/>
    <w:rsid w:val="004D6392"/>
    <w:rsid w:val="004D63AA"/>
    <w:rsid w:val="004D63BB"/>
    <w:rsid w:val="004D63E9"/>
    <w:rsid w:val="004D6669"/>
    <w:rsid w:val="004D669F"/>
    <w:rsid w:val="004D6744"/>
    <w:rsid w:val="004D675D"/>
    <w:rsid w:val="004D6768"/>
    <w:rsid w:val="004D6817"/>
    <w:rsid w:val="004D6964"/>
    <w:rsid w:val="004D6A17"/>
    <w:rsid w:val="004D6A2B"/>
    <w:rsid w:val="004D6ACD"/>
    <w:rsid w:val="004D6BAB"/>
    <w:rsid w:val="004D6C3F"/>
    <w:rsid w:val="004D6C89"/>
    <w:rsid w:val="004D6E0A"/>
    <w:rsid w:val="004D6E45"/>
    <w:rsid w:val="004D6F56"/>
    <w:rsid w:val="004D6FF7"/>
    <w:rsid w:val="004D7326"/>
    <w:rsid w:val="004D73A1"/>
    <w:rsid w:val="004D75F0"/>
    <w:rsid w:val="004D7761"/>
    <w:rsid w:val="004D79CE"/>
    <w:rsid w:val="004D7AA5"/>
    <w:rsid w:val="004D7B67"/>
    <w:rsid w:val="004D7BEF"/>
    <w:rsid w:val="004D7DDA"/>
    <w:rsid w:val="004D7E49"/>
    <w:rsid w:val="004D7E8A"/>
    <w:rsid w:val="004E02FA"/>
    <w:rsid w:val="004E03F3"/>
    <w:rsid w:val="004E0483"/>
    <w:rsid w:val="004E04CE"/>
    <w:rsid w:val="004E05DB"/>
    <w:rsid w:val="004E0643"/>
    <w:rsid w:val="004E070F"/>
    <w:rsid w:val="004E0BF7"/>
    <w:rsid w:val="004E0D25"/>
    <w:rsid w:val="004E0EC4"/>
    <w:rsid w:val="004E0F51"/>
    <w:rsid w:val="004E0FC3"/>
    <w:rsid w:val="004E111D"/>
    <w:rsid w:val="004E11B1"/>
    <w:rsid w:val="004E124B"/>
    <w:rsid w:val="004E138D"/>
    <w:rsid w:val="004E139E"/>
    <w:rsid w:val="004E13AE"/>
    <w:rsid w:val="004E140E"/>
    <w:rsid w:val="004E1476"/>
    <w:rsid w:val="004E14BB"/>
    <w:rsid w:val="004E1847"/>
    <w:rsid w:val="004E18A7"/>
    <w:rsid w:val="004E19D1"/>
    <w:rsid w:val="004E1E38"/>
    <w:rsid w:val="004E1EEF"/>
    <w:rsid w:val="004E1F33"/>
    <w:rsid w:val="004E1F71"/>
    <w:rsid w:val="004E1F89"/>
    <w:rsid w:val="004E20B9"/>
    <w:rsid w:val="004E2348"/>
    <w:rsid w:val="004E23C2"/>
    <w:rsid w:val="004E240E"/>
    <w:rsid w:val="004E2791"/>
    <w:rsid w:val="004E283E"/>
    <w:rsid w:val="004E28A3"/>
    <w:rsid w:val="004E2919"/>
    <w:rsid w:val="004E2A18"/>
    <w:rsid w:val="004E2BBC"/>
    <w:rsid w:val="004E2C0C"/>
    <w:rsid w:val="004E2EC6"/>
    <w:rsid w:val="004E2EF5"/>
    <w:rsid w:val="004E2EF6"/>
    <w:rsid w:val="004E30D8"/>
    <w:rsid w:val="004E32E6"/>
    <w:rsid w:val="004E336B"/>
    <w:rsid w:val="004E35E1"/>
    <w:rsid w:val="004E3649"/>
    <w:rsid w:val="004E36C4"/>
    <w:rsid w:val="004E36C9"/>
    <w:rsid w:val="004E385E"/>
    <w:rsid w:val="004E38DE"/>
    <w:rsid w:val="004E3A37"/>
    <w:rsid w:val="004E3A8C"/>
    <w:rsid w:val="004E3BA4"/>
    <w:rsid w:val="004E3D31"/>
    <w:rsid w:val="004E3DA6"/>
    <w:rsid w:val="004E3DC7"/>
    <w:rsid w:val="004E3E00"/>
    <w:rsid w:val="004E40C0"/>
    <w:rsid w:val="004E4182"/>
    <w:rsid w:val="004E4194"/>
    <w:rsid w:val="004E41B7"/>
    <w:rsid w:val="004E428F"/>
    <w:rsid w:val="004E4339"/>
    <w:rsid w:val="004E43A0"/>
    <w:rsid w:val="004E43ED"/>
    <w:rsid w:val="004E4470"/>
    <w:rsid w:val="004E46D9"/>
    <w:rsid w:val="004E4776"/>
    <w:rsid w:val="004E4849"/>
    <w:rsid w:val="004E492E"/>
    <w:rsid w:val="004E4A5B"/>
    <w:rsid w:val="004E4B17"/>
    <w:rsid w:val="004E4B68"/>
    <w:rsid w:val="004E4C28"/>
    <w:rsid w:val="004E4E6C"/>
    <w:rsid w:val="004E4E88"/>
    <w:rsid w:val="004E4E8B"/>
    <w:rsid w:val="004E5059"/>
    <w:rsid w:val="004E5270"/>
    <w:rsid w:val="004E52C1"/>
    <w:rsid w:val="004E52EC"/>
    <w:rsid w:val="004E5390"/>
    <w:rsid w:val="004E5468"/>
    <w:rsid w:val="004E54B9"/>
    <w:rsid w:val="004E54D1"/>
    <w:rsid w:val="004E55D5"/>
    <w:rsid w:val="004E5618"/>
    <w:rsid w:val="004E564F"/>
    <w:rsid w:val="004E5743"/>
    <w:rsid w:val="004E5860"/>
    <w:rsid w:val="004E588C"/>
    <w:rsid w:val="004E5B36"/>
    <w:rsid w:val="004E5CB2"/>
    <w:rsid w:val="004E5D4E"/>
    <w:rsid w:val="004E6075"/>
    <w:rsid w:val="004E60FA"/>
    <w:rsid w:val="004E61E0"/>
    <w:rsid w:val="004E61FA"/>
    <w:rsid w:val="004E6266"/>
    <w:rsid w:val="004E62B2"/>
    <w:rsid w:val="004E62F6"/>
    <w:rsid w:val="004E646F"/>
    <w:rsid w:val="004E653A"/>
    <w:rsid w:val="004E655D"/>
    <w:rsid w:val="004E661F"/>
    <w:rsid w:val="004E66C3"/>
    <w:rsid w:val="004E6716"/>
    <w:rsid w:val="004E6792"/>
    <w:rsid w:val="004E691F"/>
    <w:rsid w:val="004E69B3"/>
    <w:rsid w:val="004E6ACD"/>
    <w:rsid w:val="004E6C13"/>
    <w:rsid w:val="004E6C44"/>
    <w:rsid w:val="004E6C72"/>
    <w:rsid w:val="004E6CB3"/>
    <w:rsid w:val="004E6D10"/>
    <w:rsid w:val="004E6E7B"/>
    <w:rsid w:val="004E6EB6"/>
    <w:rsid w:val="004E6EF9"/>
    <w:rsid w:val="004E6F71"/>
    <w:rsid w:val="004E6FDE"/>
    <w:rsid w:val="004E7146"/>
    <w:rsid w:val="004E735C"/>
    <w:rsid w:val="004E736C"/>
    <w:rsid w:val="004E746B"/>
    <w:rsid w:val="004E74BF"/>
    <w:rsid w:val="004E7507"/>
    <w:rsid w:val="004E7559"/>
    <w:rsid w:val="004E7739"/>
    <w:rsid w:val="004E78F2"/>
    <w:rsid w:val="004E796E"/>
    <w:rsid w:val="004E79DE"/>
    <w:rsid w:val="004E7BAB"/>
    <w:rsid w:val="004E7C7C"/>
    <w:rsid w:val="004E7CA2"/>
    <w:rsid w:val="004E7D32"/>
    <w:rsid w:val="004E7D8B"/>
    <w:rsid w:val="004E7DF9"/>
    <w:rsid w:val="004E7E1B"/>
    <w:rsid w:val="004E7FCE"/>
    <w:rsid w:val="004E9B20"/>
    <w:rsid w:val="004F006B"/>
    <w:rsid w:val="004F01EB"/>
    <w:rsid w:val="004F029E"/>
    <w:rsid w:val="004F03EE"/>
    <w:rsid w:val="004F03F1"/>
    <w:rsid w:val="004F0481"/>
    <w:rsid w:val="004F052B"/>
    <w:rsid w:val="004F05E0"/>
    <w:rsid w:val="004F061E"/>
    <w:rsid w:val="004F06F8"/>
    <w:rsid w:val="004F077F"/>
    <w:rsid w:val="004F083D"/>
    <w:rsid w:val="004F0841"/>
    <w:rsid w:val="004F0883"/>
    <w:rsid w:val="004F0B57"/>
    <w:rsid w:val="004F0B7A"/>
    <w:rsid w:val="004F0C3F"/>
    <w:rsid w:val="004F0DAC"/>
    <w:rsid w:val="004F0E79"/>
    <w:rsid w:val="004F0FD1"/>
    <w:rsid w:val="004F106B"/>
    <w:rsid w:val="004F10AD"/>
    <w:rsid w:val="004F1107"/>
    <w:rsid w:val="004F1404"/>
    <w:rsid w:val="004F152A"/>
    <w:rsid w:val="004F1682"/>
    <w:rsid w:val="004F16C4"/>
    <w:rsid w:val="004F186E"/>
    <w:rsid w:val="004F1997"/>
    <w:rsid w:val="004F1D1E"/>
    <w:rsid w:val="004F1D6E"/>
    <w:rsid w:val="004F1E4C"/>
    <w:rsid w:val="004F1E9E"/>
    <w:rsid w:val="004F201F"/>
    <w:rsid w:val="004F224A"/>
    <w:rsid w:val="004F2315"/>
    <w:rsid w:val="004F23EC"/>
    <w:rsid w:val="004F2409"/>
    <w:rsid w:val="004F2535"/>
    <w:rsid w:val="004F25AD"/>
    <w:rsid w:val="004F2649"/>
    <w:rsid w:val="004F26DE"/>
    <w:rsid w:val="004F2755"/>
    <w:rsid w:val="004F27D3"/>
    <w:rsid w:val="004F2863"/>
    <w:rsid w:val="004F294F"/>
    <w:rsid w:val="004F29B0"/>
    <w:rsid w:val="004F2A35"/>
    <w:rsid w:val="004F2B06"/>
    <w:rsid w:val="004F2CE6"/>
    <w:rsid w:val="004F2E8C"/>
    <w:rsid w:val="004F2EC1"/>
    <w:rsid w:val="004F2FC3"/>
    <w:rsid w:val="004F301E"/>
    <w:rsid w:val="004F30C5"/>
    <w:rsid w:val="004F30DB"/>
    <w:rsid w:val="004F3357"/>
    <w:rsid w:val="004F3396"/>
    <w:rsid w:val="004F33AB"/>
    <w:rsid w:val="004F3492"/>
    <w:rsid w:val="004F34FA"/>
    <w:rsid w:val="004F367F"/>
    <w:rsid w:val="004F3777"/>
    <w:rsid w:val="004F387A"/>
    <w:rsid w:val="004F38CD"/>
    <w:rsid w:val="004F3B7C"/>
    <w:rsid w:val="004F3BBC"/>
    <w:rsid w:val="004F3D68"/>
    <w:rsid w:val="004F3D73"/>
    <w:rsid w:val="004F3DC7"/>
    <w:rsid w:val="004F3E32"/>
    <w:rsid w:val="004F40E4"/>
    <w:rsid w:val="004F444D"/>
    <w:rsid w:val="004F447E"/>
    <w:rsid w:val="004F44C1"/>
    <w:rsid w:val="004F4597"/>
    <w:rsid w:val="004F45CB"/>
    <w:rsid w:val="004F460B"/>
    <w:rsid w:val="004F464E"/>
    <w:rsid w:val="004F470D"/>
    <w:rsid w:val="004F47C6"/>
    <w:rsid w:val="004F48A1"/>
    <w:rsid w:val="004F4A1A"/>
    <w:rsid w:val="004F4A1B"/>
    <w:rsid w:val="004F4B04"/>
    <w:rsid w:val="004F4BBF"/>
    <w:rsid w:val="004F4BFB"/>
    <w:rsid w:val="004F4D14"/>
    <w:rsid w:val="004F4DBC"/>
    <w:rsid w:val="004F4E1E"/>
    <w:rsid w:val="004F4EEE"/>
    <w:rsid w:val="004F5054"/>
    <w:rsid w:val="004F50C9"/>
    <w:rsid w:val="004F5231"/>
    <w:rsid w:val="004F52CB"/>
    <w:rsid w:val="004F52DF"/>
    <w:rsid w:val="004F5314"/>
    <w:rsid w:val="004F53C6"/>
    <w:rsid w:val="004F5484"/>
    <w:rsid w:val="004F54B2"/>
    <w:rsid w:val="004F552E"/>
    <w:rsid w:val="004F5542"/>
    <w:rsid w:val="004F5662"/>
    <w:rsid w:val="004F56D2"/>
    <w:rsid w:val="004F5762"/>
    <w:rsid w:val="004F5837"/>
    <w:rsid w:val="004F5B0A"/>
    <w:rsid w:val="004F5BE8"/>
    <w:rsid w:val="004F5BF1"/>
    <w:rsid w:val="004F5C9B"/>
    <w:rsid w:val="004F5EB9"/>
    <w:rsid w:val="004F5EDA"/>
    <w:rsid w:val="004F5EDD"/>
    <w:rsid w:val="004F5F59"/>
    <w:rsid w:val="004F5F8A"/>
    <w:rsid w:val="004F5FA1"/>
    <w:rsid w:val="004F5FAC"/>
    <w:rsid w:val="004F62DF"/>
    <w:rsid w:val="004F6528"/>
    <w:rsid w:val="004F6573"/>
    <w:rsid w:val="004F657F"/>
    <w:rsid w:val="004F66C5"/>
    <w:rsid w:val="004F66D5"/>
    <w:rsid w:val="004F671F"/>
    <w:rsid w:val="004F67AF"/>
    <w:rsid w:val="004F69AA"/>
    <w:rsid w:val="004F69D8"/>
    <w:rsid w:val="004F6A5B"/>
    <w:rsid w:val="004F6A93"/>
    <w:rsid w:val="004F6A98"/>
    <w:rsid w:val="004F6AE0"/>
    <w:rsid w:val="004F6B10"/>
    <w:rsid w:val="004F6B2A"/>
    <w:rsid w:val="004F6DB9"/>
    <w:rsid w:val="004F6E2C"/>
    <w:rsid w:val="004F6E57"/>
    <w:rsid w:val="004F6ECF"/>
    <w:rsid w:val="004F6F19"/>
    <w:rsid w:val="004F705C"/>
    <w:rsid w:val="004F70A1"/>
    <w:rsid w:val="004F70EC"/>
    <w:rsid w:val="004F70F1"/>
    <w:rsid w:val="004F70F4"/>
    <w:rsid w:val="004F7296"/>
    <w:rsid w:val="004F74B7"/>
    <w:rsid w:val="004F7750"/>
    <w:rsid w:val="004F777A"/>
    <w:rsid w:val="004F77A2"/>
    <w:rsid w:val="004F78F9"/>
    <w:rsid w:val="004F7939"/>
    <w:rsid w:val="004F79E7"/>
    <w:rsid w:val="004F7C2C"/>
    <w:rsid w:val="004F7C45"/>
    <w:rsid w:val="004F7C49"/>
    <w:rsid w:val="004F7C52"/>
    <w:rsid w:val="004F7CBC"/>
    <w:rsid w:val="004F7D48"/>
    <w:rsid w:val="004F7D9A"/>
    <w:rsid w:val="004F7DE8"/>
    <w:rsid w:val="004F7F58"/>
    <w:rsid w:val="004F7F91"/>
    <w:rsid w:val="004F7F9E"/>
    <w:rsid w:val="00500000"/>
    <w:rsid w:val="0050009F"/>
    <w:rsid w:val="005000CA"/>
    <w:rsid w:val="005000E1"/>
    <w:rsid w:val="005001C5"/>
    <w:rsid w:val="005001F5"/>
    <w:rsid w:val="00500206"/>
    <w:rsid w:val="00500586"/>
    <w:rsid w:val="00500782"/>
    <w:rsid w:val="0050083F"/>
    <w:rsid w:val="00500A53"/>
    <w:rsid w:val="00500A7A"/>
    <w:rsid w:val="00500BF0"/>
    <w:rsid w:val="00500C46"/>
    <w:rsid w:val="00500C7A"/>
    <w:rsid w:val="00500D8E"/>
    <w:rsid w:val="00500DB1"/>
    <w:rsid w:val="00500F72"/>
    <w:rsid w:val="00500FD7"/>
    <w:rsid w:val="005010E3"/>
    <w:rsid w:val="0050116A"/>
    <w:rsid w:val="005013DA"/>
    <w:rsid w:val="00501401"/>
    <w:rsid w:val="0050167A"/>
    <w:rsid w:val="00501753"/>
    <w:rsid w:val="00501778"/>
    <w:rsid w:val="005018C9"/>
    <w:rsid w:val="005018D2"/>
    <w:rsid w:val="005019D2"/>
    <w:rsid w:val="005019D7"/>
    <w:rsid w:val="00501B38"/>
    <w:rsid w:val="00501BC5"/>
    <w:rsid w:val="00501CDA"/>
    <w:rsid w:val="00501DAA"/>
    <w:rsid w:val="00501E72"/>
    <w:rsid w:val="00502037"/>
    <w:rsid w:val="00502173"/>
    <w:rsid w:val="00502193"/>
    <w:rsid w:val="0050230A"/>
    <w:rsid w:val="0050230B"/>
    <w:rsid w:val="00502356"/>
    <w:rsid w:val="0050243E"/>
    <w:rsid w:val="0050244E"/>
    <w:rsid w:val="00502503"/>
    <w:rsid w:val="0050254B"/>
    <w:rsid w:val="00502623"/>
    <w:rsid w:val="0050263C"/>
    <w:rsid w:val="0050269B"/>
    <w:rsid w:val="0050270B"/>
    <w:rsid w:val="00502788"/>
    <w:rsid w:val="00502797"/>
    <w:rsid w:val="0050288B"/>
    <w:rsid w:val="00502893"/>
    <w:rsid w:val="00502D0E"/>
    <w:rsid w:val="00502D68"/>
    <w:rsid w:val="00502F5B"/>
    <w:rsid w:val="00503058"/>
    <w:rsid w:val="005031C8"/>
    <w:rsid w:val="0050320A"/>
    <w:rsid w:val="0050324B"/>
    <w:rsid w:val="005032D2"/>
    <w:rsid w:val="0050340F"/>
    <w:rsid w:val="0050341B"/>
    <w:rsid w:val="00503456"/>
    <w:rsid w:val="0050353E"/>
    <w:rsid w:val="005035E6"/>
    <w:rsid w:val="005038AE"/>
    <w:rsid w:val="00503C0B"/>
    <w:rsid w:val="00503C9E"/>
    <w:rsid w:val="00503CAB"/>
    <w:rsid w:val="00503E9F"/>
    <w:rsid w:val="00503F46"/>
    <w:rsid w:val="00504019"/>
    <w:rsid w:val="005040C8"/>
    <w:rsid w:val="00504128"/>
    <w:rsid w:val="00504171"/>
    <w:rsid w:val="005041E9"/>
    <w:rsid w:val="005042E1"/>
    <w:rsid w:val="005044F7"/>
    <w:rsid w:val="00504668"/>
    <w:rsid w:val="005046B3"/>
    <w:rsid w:val="00504AD5"/>
    <w:rsid w:val="00504B4A"/>
    <w:rsid w:val="00504B72"/>
    <w:rsid w:val="00504C39"/>
    <w:rsid w:val="00504CFB"/>
    <w:rsid w:val="00504DF5"/>
    <w:rsid w:val="00504E8C"/>
    <w:rsid w:val="00504EE9"/>
    <w:rsid w:val="00504F12"/>
    <w:rsid w:val="00504F70"/>
    <w:rsid w:val="0050501B"/>
    <w:rsid w:val="005051CE"/>
    <w:rsid w:val="005052AC"/>
    <w:rsid w:val="005052D5"/>
    <w:rsid w:val="0050531A"/>
    <w:rsid w:val="00505354"/>
    <w:rsid w:val="00505361"/>
    <w:rsid w:val="005053EE"/>
    <w:rsid w:val="00505586"/>
    <w:rsid w:val="00505594"/>
    <w:rsid w:val="005056F9"/>
    <w:rsid w:val="00505785"/>
    <w:rsid w:val="00505A50"/>
    <w:rsid w:val="00505AA1"/>
    <w:rsid w:val="00505AF9"/>
    <w:rsid w:val="00505B42"/>
    <w:rsid w:val="00505B45"/>
    <w:rsid w:val="00505BD5"/>
    <w:rsid w:val="00505E08"/>
    <w:rsid w:val="00505E11"/>
    <w:rsid w:val="00505E3A"/>
    <w:rsid w:val="00505E3B"/>
    <w:rsid w:val="00505E3C"/>
    <w:rsid w:val="00505EF3"/>
    <w:rsid w:val="0050647A"/>
    <w:rsid w:val="005066A6"/>
    <w:rsid w:val="005066D4"/>
    <w:rsid w:val="005067F5"/>
    <w:rsid w:val="00506805"/>
    <w:rsid w:val="00506868"/>
    <w:rsid w:val="0050688F"/>
    <w:rsid w:val="005068EE"/>
    <w:rsid w:val="00506920"/>
    <w:rsid w:val="005069A9"/>
    <w:rsid w:val="005069CC"/>
    <w:rsid w:val="00506CE3"/>
    <w:rsid w:val="00506D79"/>
    <w:rsid w:val="00506EF7"/>
    <w:rsid w:val="00507070"/>
    <w:rsid w:val="005070C7"/>
    <w:rsid w:val="005074F5"/>
    <w:rsid w:val="0050750B"/>
    <w:rsid w:val="00507511"/>
    <w:rsid w:val="00507688"/>
    <w:rsid w:val="005077EF"/>
    <w:rsid w:val="0050785C"/>
    <w:rsid w:val="0050785F"/>
    <w:rsid w:val="00507913"/>
    <w:rsid w:val="00507931"/>
    <w:rsid w:val="00507A98"/>
    <w:rsid w:val="00507A9D"/>
    <w:rsid w:val="00507B13"/>
    <w:rsid w:val="00507C2D"/>
    <w:rsid w:val="00507D15"/>
    <w:rsid w:val="00507D5F"/>
    <w:rsid w:val="00507E5F"/>
    <w:rsid w:val="00507F35"/>
    <w:rsid w:val="00510175"/>
    <w:rsid w:val="00510180"/>
    <w:rsid w:val="00510245"/>
    <w:rsid w:val="00510391"/>
    <w:rsid w:val="005103F5"/>
    <w:rsid w:val="00510426"/>
    <w:rsid w:val="0051045E"/>
    <w:rsid w:val="00510470"/>
    <w:rsid w:val="00510543"/>
    <w:rsid w:val="0051058C"/>
    <w:rsid w:val="005105FF"/>
    <w:rsid w:val="005106CC"/>
    <w:rsid w:val="0051072D"/>
    <w:rsid w:val="005107F9"/>
    <w:rsid w:val="00510B66"/>
    <w:rsid w:val="00510F60"/>
    <w:rsid w:val="005113F6"/>
    <w:rsid w:val="00511458"/>
    <w:rsid w:val="0051145E"/>
    <w:rsid w:val="0051146B"/>
    <w:rsid w:val="005114D9"/>
    <w:rsid w:val="0051151A"/>
    <w:rsid w:val="005116A2"/>
    <w:rsid w:val="00511786"/>
    <w:rsid w:val="00511C10"/>
    <w:rsid w:val="00511CBB"/>
    <w:rsid w:val="00511D46"/>
    <w:rsid w:val="00511ED8"/>
    <w:rsid w:val="00511F73"/>
    <w:rsid w:val="00511F97"/>
    <w:rsid w:val="00512053"/>
    <w:rsid w:val="0051206A"/>
    <w:rsid w:val="005120F9"/>
    <w:rsid w:val="005121F9"/>
    <w:rsid w:val="00512226"/>
    <w:rsid w:val="0051223E"/>
    <w:rsid w:val="0051233C"/>
    <w:rsid w:val="00512352"/>
    <w:rsid w:val="005123CF"/>
    <w:rsid w:val="00512488"/>
    <w:rsid w:val="005124BB"/>
    <w:rsid w:val="005125EA"/>
    <w:rsid w:val="005126FA"/>
    <w:rsid w:val="0051277C"/>
    <w:rsid w:val="0051279B"/>
    <w:rsid w:val="005127A1"/>
    <w:rsid w:val="005127DD"/>
    <w:rsid w:val="0051281E"/>
    <w:rsid w:val="00512826"/>
    <w:rsid w:val="0051285F"/>
    <w:rsid w:val="005128DF"/>
    <w:rsid w:val="00512B05"/>
    <w:rsid w:val="00512B2D"/>
    <w:rsid w:val="00512B90"/>
    <w:rsid w:val="00512C4F"/>
    <w:rsid w:val="00512EF6"/>
    <w:rsid w:val="00512F7C"/>
    <w:rsid w:val="005130E0"/>
    <w:rsid w:val="005132EA"/>
    <w:rsid w:val="00513336"/>
    <w:rsid w:val="005133DD"/>
    <w:rsid w:val="00513405"/>
    <w:rsid w:val="0051340B"/>
    <w:rsid w:val="00513617"/>
    <w:rsid w:val="00513625"/>
    <w:rsid w:val="005136B0"/>
    <w:rsid w:val="0051370E"/>
    <w:rsid w:val="005137A1"/>
    <w:rsid w:val="00513848"/>
    <w:rsid w:val="00513C54"/>
    <w:rsid w:val="00513DBC"/>
    <w:rsid w:val="00513E64"/>
    <w:rsid w:val="00513EDA"/>
    <w:rsid w:val="00513F67"/>
    <w:rsid w:val="00513F6E"/>
    <w:rsid w:val="005140B7"/>
    <w:rsid w:val="005140B8"/>
    <w:rsid w:val="00514245"/>
    <w:rsid w:val="00514252"/>
    <w:rsid w:val="005143BA"/>
    <w:rsid w:val="005143ED"/>
    <w:rsid w:val="0051448B"/>
    <w:rsid w:val="005144DF"/>
    <w:rsid w:val="00514501"/>
    <w:rsid w:val="0051452F"/>
    <w:rsid w:val="005145DF"/>
    <w:rsid w:val="00514643"/>
    <w:rsid w:val="005146B8"/>
    <w:rsid w:val="0051490D"/>
    <w:rsid w:val="00514A29"/>
    <w:rsid w:val="00514A89"/>
    <w:rsid w:val="00514ADD"/>
    <w:rsid w:val="00514B07"/>
    <w:rsid w:val="00514B19"/>
    <w:rsid w:val="00514D8A"/>
    <w:rsid w:val="00514E0A"/>
    <w:rsid w:val="00514E2E"/>
    <w:rsid w:val="00514E5E"/>
    <w:rsid w:val="00514E80"/>
    <w:rsid w:val="00515170"/>
    <w:rsid w:val="0051518C"/>
    <w:rsid w:val="0051523C"/>
    <w:rsid w:val="0051523F"/>
    <w:rsid w:val="00515256"/>
    <w:rsid w:val="00515610"/>
    <w:rsid w:val="0051571E"/>
    <w:rsid w:val="00515810"/>
    <w:rsid w:val="005158D0"/>
    <w:rsid w:val="00515AA6"/>
    <w:rsid w:val="00515AB5"/>
    <w:rsid w:val="00515B46"/>
    <w:rsid w:val="00515BC6"/>
    <w:rsid w:val="00515D5B"/>
    <w:rsid w:val="00515DDD"/>
    <w:rsid w:val="00515E09"/>
    <w:rsid w:val="00515FAD"/>
    <w:rsid w:val="00516053"/>
    <w:rsid w:val="00516200"/>
    <w:rsid w:val="00516214"/>
    <w:rsid w:val="00516392"/>
    <w:rsid w:val="005163DB"/>
    <w:rsid w:val="00516444"/>
    <w:rsid w:val="00516574"/>
    <w:rsid w:val="005166BE"/>
    <w:rsid w:val="00516790"/>
    <w:rsid w:val="0051686A"/>
    <w:rsid w:val="00516903"/>
    <w:rsid w:val="00516976"/>
    <w:rsid w:val="00516A1A"/>
    <w:rsid w:val="00516CBA"/>
    <w:rsid w:val="00516D53"/>
    <w:rsid w:val="00516D79"/>
    <w:rsid w:val="00516DDA"/>
    <w:rsid w:val="00516F4D"/>
    <w:rsid w:val="00516FC1"/>
    <w:rsid w:val="005172AE"/>
    <w:rsid w:val="005172F5"/>
    <w:rsid w:val="00517305"/>
    <w:rsid w:val="0051745F"/>
    <w:rsid w:val="00517683"/>
    <w:rsid w:val="005177C1"/>
    <w:rsid w:val="005177D5"/>
    <w:rsid w:val="005178A6"/>
    <w:rsid w:val="00517958"/>
    <w:rsid w:val="00517B10"/>
    <w:rsid w:val="00517B2E"/>
    <w:rsid w:val="00517D08"/>
    <w:rsid w:val="00517D77"/>
    <w:rsid w:val="00517D7B"/>
    <w:rsid w:val="00517D95"/>
    <w:rsid w:val="00517EC6"/>
    <w:rsid w:val="00517EED"/>
    <w:rsid w:val="00517F4C"/>
    <w:rsid w:val="0052007A"/>
    <w:rsid w:val="00520279"/>
    <w:rsid w:val="005204F9"/>
    <w:rsid w:val="00520561"/>
    <w:rsid w:val="005205D1"/>
    <w:rsid w:val="0052062C"/>
    <w:rsid w:val="0052065E"/>
    <w:rsid w:val="0052077A"/>
    <w:rsid w:val="00520854"/>
    <w:rsid w:val="005208DC"/>
    <w:rsid w:val="00520A12"/>
    <w:rsid w:val="00520B46"/>
    <w:rsid w:val="00520C10"/>
    <w:rsid w:val="00521057"/>
    <w:rsid w:val="0052107D"/>
    <w:rsid w:val="005210F5"/>
    <w:rsid w:val="00521224"/>
    <w:rsid w:val="005212F3"/>
    <w:rsid w:val="00521338"/>
    <w:rsid w:val="0052150B"/>
    <w:rsid w:val="00521719"/>
    <w:rsid w:val="00521755"/>
    <w:rsid w:val="005217E7"/>
    <w:rsid w:val="005219BD"/>
    <w:rsid w:val="00521A29"/>
    <w:rsid w:val="00521ACF"/>
    <w:rsid w:val="00521B5F"/>
    <w:rsid w:val="00521C7A"/>
    <w:rsid w:val="00521C86"/>
    <w:rsid w:val="00521D70"/>
    <w:rsid w:val="00521E1D"/>
    <w:rsid w:val="00521E4B"/>
    <w:rsid w:val="00521FB8"/>
    <w:rsid w:val="00521FC8"/>
    <w:rsid w:val="00521FF2"/>
    <w:rsid w:val="00522125"/>
    <w:rsid w:val="0052222E"/>
    <w:rsid w:val="0052226B"/>
    <w:rsid w:val="005223E0"/>
    <w:rsid w:val="00522437"/>
    <w:rsid w:val="00522524"/>
    <w:rsid w:val="00522613"/>
    <w:rsid w:val="00522722"/>
    <w:rsid w:val="00522A0C"/>
    <w:rsid w:val="00522BD1"/>
    <w:rsid w:val="00522E48"/>
    <w:rsid w:val="00522F0C"/>
    <w:rsid w:val="00523080"/>
    <w:rsid w:val="00523154"/>
    <w:rsid w:val="0052317B"/>
    <w:rsid w:val="005233A5"/>
    <w:rsid w:val="0052349C"/>
    <w:rsid w:val="00523501"/>
    <w:rsid w:val="005236EA"/>
    <w:rsid w:val="005238F1"/>
    <w:rsid w:val="00523956"/>
    <w:rsid w:val="00523C1E"/>
    <w:rsid w:val="00523C3A"/>
    <w:rsid w:val="00523E27"/>
    <w:rsid w:val="00523E69"/>
    <w:rsid w:val="00523FE2"/>
    <w:rsid w:val="0052410E"/>
    <w:rsid w:val="00524136"/>
    <w:rsid w:val="0052432C"/>
    <w:rsid w:val="005243A2"/>
    <w:rsid w:val="005243D5"/>
    <w:rsid w:val="00524507"/>
    <w:rsid w:val="00524577"/>
    <w:rsid w:val="005245E7"/>
    <w:rsid w:val="0052470C"/>
    <w:rsid w:val="00524742"/>
    <w:rsid w:val="0052475B"/>
    <w:rsid w:val="005247C9"/>
    <w:rsid w:val="00524882"/>
    <w:rsid w:val="005248AD"/>
    <w:rsid w:val="00524944"/>
    <w:rsid w:val="00524B65"/>
    <w:rsid w:val="00524BDA"/>
    <w:rsid w:val="00524C30"/>
    <w:rsid w:val="00524EEF"/>
    <w:rsid w:val="00524F26"/>
    <w:rsid w:val="00524FFA"/>
    <w:rsid w:val="005251E7"/>
    <w:rsid w:val="00525388"/>
    <w:rsid w:val="0052564C"/>
    <w:rsid w:val="00525689"/>
    <w:rsid w:val="005256EF"/>
    <w:rsid w:val="005258AC"/>
    <w:rsid w:val="005258B1"/>
    <w:rsid w:val="0052593F"/>
    <w:rsid w:val="005259DF"/>
    <w:rsid w:val="00525A37"/>
    <w:rsid w:val="00525B8E"/>
    <w:rsid w:val="00525C9E"/>
    <w:rsid w:val="00525D53"/>
    <w:rsid w:val="00525FA3"/>
    <w:rsid w:val="00525FAB"/>
    <w:rsid w:val="0052606A"/>
    <w:rsid w:val="005261B1"/>
    <w:rsid w:val="0052628F"/>
    <w:rsid w:val="0052629B"/>
    <w:rsid w:val="005262E3"/>
    <w:rsid w:val="0052634E"/>
    <w:rsid w:val="0052640B"/>
    <w:rsid w:val="00526463"/>
    <w:rsid w:val="00526560"/>
    <w:rsid w:val="00526619"/>
    <w:rsid w:val="00526623"/>
    <w:rsid w:val="0052663E"/>
    <w:rsid w:val="005269D5"/>
    <w:rsid w:val="005269D6"/>
    <w:rsid w:val="00526B6D"/>
    <w:rsid w:val="00526E4E"/>
    <w:rsid w:val="00526EF8"/>
    <w:rsid w:val="00526F78"/>
    <w:rsid w:val="00526FD5"/>
    <w:rsid w:val="00527018"/>
    <w:rsid w:val="005270F0"/>
    <w:rsid w:val="00527137"/>
    <w:rsid w:val="005273D8"/>
    <w:rsid w:val="0052757E"/>
    <w:rsid w:val="0052775F"/>
    <w:rsid w:val="00527B17"/>
    <w:rsid w:val="00527B76"/>
    <w:rsid w:val="00527B9F"/>
    <w:rsid w:val="00527BF6"/>
    <w:rsid w:val="00527CA7"/>
    <w:rsid w:val="00527D2B"/>
    <w:rsid w:val="00527D7F"/>
    <w:rsid w:val="0052BCB3"/>
    <w:rsid w:val="005300FC"/>
    <w:rsid w:val="00530104"/>
    <w:rsid w:val="0053026F"/>
    <w:rsid w:val="00530315"/>
    <w:rsid w:val="00530318"/>
    <w:rsid w:val="005304A5"/>
    <w:rsid w:val="005304AA"/>
    <w:rsid w:val="00530570"/>
    <w:rsid w:val="00530651"/>
    <w:rsid w:val="00530755"/>
    <w:rsid w:val="005307EA"/>
    <w:rsid w:val="0053082C"/>
    <w:rsid w:val="00530836"/>
    <w:rsid w:val="0053086B"/>
    <w:rsid w:val="00530889"/>
    <w:rsid w:val="00530893"/>
    <w:rsid w:val="00530CE4"/>
    <w:rsid w:val="00530D02"/>
    <w:rsid w:val="00530D72"/>
    <w:rsid w:val="00530D77"/>
    <w:rsid w:val="00530EBE"/>
    <w:rsid w:val="00531084"/>
    <w:rsid w:val="0053110D"/>
    <w:rsid w:val="00531137"/>
    <w:rsid w:val="00531280"/>
    <w:rsid w:val="00531319"/>
    <w:rsid w:val="00531364"/>
    <w:rsid w:val="005313CF"/>
    <w:rsid w:val="0053154C"/>
    <w:rsid w:val="00531559"/>
    <w:rsid w:val="0053160A"/>
    <w:rsid w:val="0053164F"/>
    <w:rsid w:val="0053170B"/>
    <w:rsid w:val="00531937"/>
    <w:rsid w:val="00531B06"/>
    <w:rsid w:val="00531CDD"/>
    <w:rsid w:val="00531D0C"/>
    <w:rsid w:val="00531D16"/>
    <w:rsid w:val="00531E01"/>
    <w:rsid w:val="00531F68"/>
    <w:rsid w:val="0053200E"/>
    <w:rsid w:val="00532012"/>
    <w:rsid w:val="005320CB"/>
    <w:rsid w:val="005320ED"/>
    <w:rsid w:val="005320F5"/>
    <w:rsid w:val="00532182"/>
    <w:rsid w:val="00532205"/>
    <w:rsid w:val="005324F3"/>
    <w:rsid w:val="005325FF"/>
    <w:rsid w:val="00532657"/>
    <w:rsid w:val="00532850"/>
    <w:rsid w:val="005328D7"/>
    <w:rsid w:val="00532981"/>
    <w:rsid w:val="005329AE"/>
    <w:rsid w:val="00532A08"/>
    <w:rsid w:val="00532B77"/>
    <w:rsid w:val="00532C14"/>
    <w:rsid w:val="00532C77"/>
    <w:rsid w:val="00532E83"/>
    <w:rsid w:val="00532EA3"/>
    <w:rsid w:val="00533071"/>
    <w:rsid w:val="00533108"/>
    <w:rsid w:val="005331AA"/>
    <w:rsid w:val="005333C4"/>
    <w:rsid w:val="00533417"/>
    <w:rsid w:val="00533441"/>
    <w:rsid w:val="00533487"/>
    <w:rsid w:val="005334F6"/>
    <w:rsid w:val="00533563"/>
    <w:rsid w:val="005335C6"/>
    <w:rsid w:val="005335EC"/>
    <w:rsid w:val="00533742"/>
    <w:rsid w:val="0053377A"/>
    <w:rsid w:val="005337E9"/>
    <w:rsid w:val="0053381C"/>
    <w:rsid w:val="00533867"/>
    <w:rsid w:val="00533A74"/>
    <w:rsid w:val="00533DF8"/>
    <w:rsid w:val="00533F1F"/>
    <w:rsid w:val="005340D1"/>
    <w:rsid w:val="005341F8"/>
    <w:rsid w:val="0053433C"/>
    <w:rsid w:val="00534439"/>
    <w:rsid w:val="00534476"/>
    <w:rsid w:val="0053466C"/>
    <w:rsid w:val="005346E3"/>
    <w:rsid w:val="005346F2"/>
    <w:rsid w:val="00534780"/>
    <w:rsid w:val="00534792"/>
    <w:rsid w:val="0053483A"/>
    <w:rsid w:val="0053491C"/>
    <w:rsid w:val="00534AC2"/>
    <w:rsid w:val="00534B35"/>
    <w:rsid w:val="00534BAE"/>
    <w:rsid w:val="00534CBF"/>
    <w:rsid w:val="00534E21"/>
    <w:rsid w:val="005350FC"/>
    <w:rsid w:val="0053510B"/>
    <w:rsid w:val="00535419"/>
    <w:rsid w:val="00535550"/>
    <w:rsid w:val="00535562"/>
    <w:rsid w:val="00535575"/>
    <w:rsid w:val="005355F3"/>
    <w:rsid w:val="00535738"/>
    <w:rsid w:val="005358F1"/>
    <w:rsid w:val="00535947"/>
    <w:rsid w:val="0053595D"/>
    <w:rsid w:val="00535A57"/>
    <w:rsid w:val="00535A62"/>
    <w:rsid w:val="00535A7D"/>
    <w:rsid w:val="00535B75"/>
    <w:rsid w:val="00535B8D"/>
    <w:rsid w:val="00535CD4"/>
    <w:rsid w:val="00535CDE"/>
    <w:rsid w:val="00535D44"/>
    <w:rsid w:val="00535D6E"/>
    <w:rsid w:val="00535D8F"/>
    <w:rsid w:val="00535EA4"/>
    <w:rsid w:val="00535EF1"/>
    <w:rsid w:val="00535FB7"/>
    <w:rsid w:val="00536030"/>
    <w:rsid w:val="00536071"/>
    <w:rsid w:val="0053619F"/>
    <w:rsid w:val="0053628F"/>
    <w:rsid w:val="00536741"/>
    <w:rsid w:val="005367D7"/>
    <w:rsid w:val="005368CE"/>
    <w:rsid w:val="00536A8F"/>
    <w:rsid w:val="00536BB3"/>
    <w:rsid w:val="00536CAB"/>
    <w:rsid w:val="00536D90"/>
    <w:rsid w:val="00536E4A"/>
    <w:rsid w:val="00536E7C"/>
    <w:rsid w:val="00536EBA"/>
    <w:rsid w:val="00536FFD"/>
    <w:rsid w:val="005370E8"/>
    <w:rsid w:val="00537308"/>
    <w:rsid w:val="00537330"/>
    <w:rsid w:val="00537422"/>
    <w:rsid w:val="0053762A"/>
    <w:rsid w:val="0053769B"/>
    <w:rsid w:val="005376E4"/>
    <w:rsid w:val="005376F3"/>
    <w:rsid w:val="005379D4"/>
    <w:rsid w:val="00537A3F"/>
    <w:rsid w:val="00537A63"/>
    <w:rsid w:val="00537B5B"/>
    <w:rsid w:val="00537BDE"/>
    <w:rsid w:val="00537C97"/>
    <w:rsid w:val="00537DB0"/>
    <w:rsid w:val="00537DB9"/>
    <w:rsid w:val="005401AC"/>
    <w:rsid w:val="005401FA"/>
    <w:rsid w:val="0054026B"/>
    <w:rsid w:val="0054041D"/>
    <w:rsid w:val="005404E4"/>
    <w:rsid w:val="0054055A"/>
    <w:rsid w:val="005406DF"/>
    <w:rsid w:val="005406EE"/>
    <w:rsid w:val="0054077E"/>
    <w:rsid w:val="00540792"/>
    <w:rsid w:val="005408DF"/>
    <w:rsid w:val="005408F2"/>
    <w:rsid w:val="005409C3"/>
    <w:rsid w:val="00540A98"/>
    <w:rsid w:val="00540BF6"/>
    <w:rsid w:val="00540C1C"/>
    <w:rsid w:val="00540E44"/>
    <w:rsid w:val="00540FFF"/>
    <w:rsid w:val="00541139"/>
    <w:rsid w:val="005411BD"/>
    <w:rsid w:val="00541425"/>
    <w:rsid w:val="00541456"/>
    <w:rsid w:val="005414BA"/>
    <w:rsid w:val="005414C7"/>
    <w:rsid w:val="00541527"/>
    <w:rsid w:val="00541776"/>
    <w:rsid w:val="005417C1"/>
    <w:rsid w:val="00541937"/>
    <w:rsid w:val="00541A07"/>
    <w:rsid w:val="00541A6E"/>
    <w:rsid w:val="00541BBB"/>
    <w:rsid w:val="00541BD3"/>
    <w:rsid w:val="00541BD4"/>
    <w:rsid w:val="00541F2B"/>
    <w:rsid w:val="005420CA"/>
    <w:rsid w:val="00542317"/>
    <w:rsid w:val="005424F4"/>
    <w:rsid w:val="005425EE"/>
    <w:rsid w:val="00542961"/>
    <w:rsid w:val="00542A0A"/>
    <w:rsid w:val="00542B31"/>
    <w:rsid w:val="00542E1F"/>
    <w:rsid w:val="00542EB0"/>
    <w:rsid w:val="00543037"/>
    <w:rsid w:val="0054309C"/>
    <w:rsid w:val="00543138"/>
    <w:rsid w:val="0054343F"/>
    <w:rsid w:val="005435BA"/>
    <w:rsid w:val="005436A0"/>
    <w:rsid w:val="005437EE"/>
    <w:rsid w:val="0054380F"/>
    <w:rsid w:val="0054392A"/>
    <w:rsid w:val="00543984"/>
    <w:rsid w:val="005439D2"/>
    <w:rsid w:val="00543A42"/>
    <w:rsid w:val="00543B24"/>
    <w:rsid w:val="00543B8A"/>
    <w:rsid w:val="00543D3C"/>
    <w:rsid w:val="00543E15"/>
    <w:rsid w:val="00543E79"/>
    <w:rsid w:val="00543FDA"/>
    <w:rsid w:val="00544005"/>
    <w:rsid w:val="00544041"/>
    <w:rsid w:val="00544160"/>
    <w:rsid w:val="00544284"/>
    <w:rsid w:val="00544393"/>
    <w:rsid w:val="0054461D"/>
    <w:rsid w:val="0054479B"/>
    <w:rsid w:val="005447B4"/>
    <w:rsid w:val="005449EC"/>
    <w:rsid w:val="00544C34"/>
    <w:rsid w:val="00544D76"/>
    <w:rsid w:val="00544D94"/>
    <w:rsid w:val="0054502B"/>
    <w:rsid w:val="0054511B"/>
    <w:rsid w:val="0054511F"/>
    <w:rsid w:val="00545126"/>
    <w:rsid w:val="005451AF"/>
    <w:rsid w:val="005451CA"/>
    <w:rsid w:val="005454D4"/>
    <w:rsid w:val="005456D0"/>
    <w:rsid w:val="00545771"/>
    <w:rsid w:val="00545834"/>
    <w:rsid w:val="005458BF"/>
    <w:rsid w:val="00545929"/>
    <w:rsid w:val="00545935"/>
    <w:rsid w:val="0054599C"/>
    <w:rsid w:val="005459EE"/>
    <w:rsid w:val="00545B42"/>
    <w:rsid w:val="00545B5C"/>
    <w:rsid w:val="00545CF4"/>
    <w:rsid w:val="00545DDF"/>
    <w:rsid w:val="00545F28"/>
    <w:rsid w:val="00545F90"/>
    <w:rsid w:val="00545FB9"/>
    <w:rsid w:val="00546296"/>
    <w:rsid w:val="005462B3"/>
    <w:rsid w:val="005464F9"/>
    <w:rsid w:val="005465B5"/>
    <w:rsid w:val="00546744"/>
    <w:rsid w:val="0054679C"/>
    <w:rsid w:val="005468B5"/>
    <w:rsid w:val="00546B33"/>
    <w:rsid w:val="00546B7D"/>
    <w:rsid w:val="00546C38"/>
    <w:rsid w:val="00546D77"/>
    <w:rsid w:val="00546DF7"/>
    <w:rsid w:val="00547032"/>
    <w:rsid w:val="00547175"/>
    <w:rsid w:val="0054720A"/>
    <w:rsid w:val="00547460"/>
    <w:rsid w:val="0054750D"/>
    <w:rsid w:val="00547740"/>
    <w:rsid w:val="0054784B"/>
    <w:rsid w:val="00547880"/>
    <w:rsid w:val="005478FF"/>
    <w:rsid w:val="00547925"/>
    <w:rsid w:val="00547A0A"/>
    <w:rsid w:val="00547ACF"/>
    <w:rsid w:val="00547B72"/>
    <w:rsid w:val="00547BD5"/>
    <w:rsid w:val="00547C4C"/>
    <w:rsid w:val="00547E46"/>
    <w:rsid w:val="00547F06"/>
    <w:rsid w:val="00550107"/>
    <w:rsid w:val="00550194"/>
    <w:rsid w:val="00550368"/>
    <w:rsid w:val="005504CB"/>
    <w:rsid w:val="00550634"/>
    <w:rsid w:val="005507A0"/>
    <w:rsid w:val="00550873"/>
    <w:rsid w:val="005508D0"/>
    <w:rsid w:val="00550A11"/>
    <w:rsid w:val="00550A5A"/>
    <w:rsid w:val="00550D8C"/>
    <w:rsid w:val="0055103D"/>
    <w:rsid w:val="0055118C"/>
    <w:rsid w:val="00551229"/>
    <w:rsid w:val="005512B8"/>
    <w:rsid w:val="0055160A"/>
    <w:rsid w:val="00551653"/>
    <w:rsid w:val="005516F5"/>
    <w:rsid w:val="00551725"/>
    <w:rsid w:val="005518F1"/>
    <w:rsid w:val="0055193A"/>
    <w:rsid w:val="00551980"/>
    <w:rsid w:val="00551A15"/>
    <w:rsid w:val="00551CB6"/>
    <w:rsid w:val="00551E2A"/>
    <w:rsid w:val="00551E87"/>
    <w:rsid w:val="00551E89"/>
    <w:rsid w:val="00551F67"/>
    <w:rsid w:val="00552064"/>
    <w:rsid w:val="0055209D"/>
    <w:rsid w:val="005520D6"/>
    <w:rsid w:val="0055218E"/>
    <w:rsid w:val="005521CF"/>
    <w:rsid w:val="005521D6"/>
    <w:rsid w:val="0055233A"/>
    <w:rsid w:val="00552343"/>
    <w:rsid w:val="0055252D"/>
    <w:rsid w:val="005525D3"/>
    <w:rsid w:val="00552626"/>
    <w:rsid w:val="005526C8"/>
    <w:rsid w:val="0055272A"/>
    <w:rsid w:val="00552850"/>
    <w:rsid w:val="005528AC"/>
    <w:rsid w:val="00552A13"/>
    <w:rsid w:val="00552BBD"/>
    <w:rsid w:val="00552BD9"/>
    <w:rsid w:val="00552D8B"/>
    <w:rsid w:val="00552E44"/>
    <w:rsid w:val="00553079"/>
    <w:rsid w:val="005531A4"/>
    <w:rsid w:val="00553332"/>
    <w:rsid w:val="00553476"/>
    <w:rsid w:val="00553522"/>
    <w:rsid w:val="005535BA"/>
    <w:rsid w:val="005535C5"/>
    <w:rsid w:val="0055360B"/>
    <w:rsid w:val="00553791"/>
    <w:rsid w:val="005537A0"/>
    <w:rsid w:val="005537A5"/>
    <w:rsid w:val="00553897"/>
    <w:rsid w:val="005538EE"/>
    <w:rsid w:val="00553952"/>
    <w:rsid w:val="00553B32"/>
    <w:rsid w:val="00553B95"/>
    <w:rsid w:val="00553D04"/>
    <w:rsid w:val="00553DA3"/>
    <w:rsid w:val="00553ED9"/>
    <w:rsid w:val="00553F0D"/>
    <w:rsid w:val="00553F3A"/>
    <w:rsid w:val="00553FB7"/>
    <w:rsid w:val="00554075"/>
    <w:rsid w:val="0055409D"/>
    <w:rsid w:val="00554116"/>
    <w:rsid w:val="005544DA"/>
    <w:rsid w:val="0055459F"/>
    <w:rsid w:val="00554609"/>
    <w:rsid w:val="00554638"/>
    <w:rsid w:val="0055487D"/>
    <w:rsid w:val="005548B7"/>
    <w:rsid w:val="00554A88"/>
    <w:rsid w:val="00554A96"/>
    <w:rsid w:val="00554B0C"/>
    <w:rsid w:val="00554B39"/>
    <w:rsid w:val="00554B49"/>
    <w:rsid w:val="00554C2C"/>
    <w:rsid w:val="00554CD0"/>
    <w:rsid w:val="00554E4C"/>
    <w:rsid w:val="005550C2"/>
    <w:rsid w:val="0055516C"/>
    <w:rsid w:val="005551E0"/>
    <w:rsid w:val="0055522B"/>
    <w:rsid w:val="00555465"/>
    <w:rsid w:val="00555588"/>
    <w:rsid w:val="005556DB"/>
    <w:rsid w:val="005557DA"/>
    <w:rsid w:val="005557E3"/>
    <w:rsid w:val="00555915"/>
    <w:rsid w:val="00555920"/>
    <w:rsid w:val="00555977"/>
    <w:rsid w:val="00555A5B"/>
    <w:rsid w:val="00555AB0"/>
    <w:rsid w:val="00555AC3"/>
    <w:rsid w:val="00555BA3"/>
    <w:rsid w:val="00555E75"/>
    <w:rsid w:val="00555F8C"/>
    <w:rsid w:val="00555FC0"/>
    <w:rsid w:val="005560DC"/>
    <w:rsid w:val="00556110"/>
    <w:rsid w:val="005562CF"/>
    <w:rsid w:val="00556375"/>
    <w:rsid w:val="005563B8"/>
    <w:rsid w:val="005563E3"/>
    <w:rsid w:val="00556428"/>
    <w:rsid w:val="00556440"/>
    <w:rsid w:val="00556505"/>
    <w:rsid w:val="0055669B"/>
    <w:rsid w:val="0055669E"/>
    <w:rsid w:val="005566B7"/>
    <w:rsid w:val="0055680A"/>
    <w:rsid w:val="005568E8"/>
    <w:rsid w:val="005568EA"/>
    <w:rsid w:val="00556A1C"/>
    <w:rsid w:val="00556AAB"/>
    <w:rsid w:val="00556B4A"/>
    <w:rsid w:val="00556CA7"/>
    <w:rsid w:val="00556CFF"/>
    <w:rsid w:val="00556D71"/>
    <w:rsid w:val="00556EB4"/>
    <w:rsid w:val="00556F08"/>
    <w:rsid w:val="00556FC6"/>
    <w:rsid w:val="005570B1"/>
    <w:rsid w:val="0055720E"/>
    <w:rsid w:val="00557263"/>
    <w:rsid w:val="0055737B"/>
    <w:rsid w:val="0055737D"/>
    <w:rsid w:val="0055751C"/>
    <w:rsid w:val="0055757F"/>
    <w:rsid w:val="0055768C"/>
    <w:rsid w:val="005577AA"/>
    <w:rsid w:val="0055785E"/>
    <w:rsid w:val="0055789D"/>
    <w:rsid w:val="0055793C"/>
    <w:rsid w:val="00557A04"/>
    <w:rsid w:val="00557AFF"/>
    <w:rsid w:val="00557B6A"/>
    <w:rsid w:val="00557B72"/>
    <w:rsid w:val="00557B86"/>
    <w:rsid w:val="00557CB6"/>
    <w:rsid w:val="00557D02"/>
    <w:rsid w:val="00560011"/>
    <w:rsid w:val="005600B3"/>
    <w:rsid w:val="005600C4"/>
    <w:rsid w:val="005602D7"/>
    <w:rsid w:val="00560701"/>
    <w:rsid w:val="00560767"/>
    <w:rsid w:val="005609E5"/>
    <w:rsid w:val="00560B66"/>
    <w:rsid w:val="00560C74"/>
    <w:rsid w:val="00560F25"/>
    <w:rsid w:val="00561105"/>
    <w:rsid w:val="0056111C"/>
    <w:rsid w:val="0056124C"/>
    <w:rsid w:val="005612C4"/>
    <w:rsid w:val="00561391"/>
    <w:rsid w:val="005613A3"/>
    <w:rsid w:val="00561482"/>
    <w:rsid w:val="0056166A"/>
    <w:rsid w:val="00561685"/>
    <w:rsid w:val="005617AA"/>
    <w:rsid w:val="005617BA"/>
    <w:rsid w:val="0056186D"/>
    <w:rsid w:val="0056186F"/>
    <w:rsid w:val="0056189C"/>
    <w:rsid w:val="005619F1"/>
    <w:rsid w:val="00561BF9"/>
    <w:rsid w:val="00561C25"/>
    <w:rsid w:val="00561CC7"/>
    <w:rsid w:val="00561D5A"/>
    <w:rsid w:val="00561EDF"/>
    <w:rsid w:val="005620E6"/>
    <w:rsid w:val="0056214C"/>
    <w:rsid w:val="005621B2"/>
    <w:rsid w:val="005621C8"/>
    <w:rsid w:val="0056220A"/>
    <w:rsid w:val="005622DE"/>
    <w:rsid w:val="005623C7"/>
    <w:rsid w:val="00562555"/>
    <w:rsid w:val="005625DF"/>
    <w:rsid w:val="00562667"/>
    <w:rsid w:val="005627CE"/>
    <w:rsid w:val="005627D0"/>
    <w:rsid w:val="005628B8"/>
    <w:rsid w:val="005629DA"/>
    <w:rsid w:val="00562AF2"/>
    <w:rsid w:val="00562F6A"/>
    <w:rsid w:val="0056303C"/>
    <w:rsid w:val="00563068"/>
    <w:rsid w:val="00563081"/>
    <w:rsid w:val="005630CE"/>
    <w:rsid w:val="00563129"/>
    <w:rsid w:val="00563342"/>
    <w:rsid w:val="00563439"/>
    <w:rsid w:val="0056349B"/>
    <w:rsid w:val="00563534"/>
    <w:rsid w:val="0056359B"/>
    <w:rsid w:val="00563719"/>
    <w:rsid w:val="0056374C"/>
    <w:rsid w:val="005637A6"/>
    <w:rsid w:val="00563834"/>
    <w:rsid w:val="005639C5"/>
    <w:rsid w:val="00563B17"/>
    <w:rsid w:val="00563B66"/>
    <w:rsid w:val="00563D36"/>
    <w:rsid w:val="00563DE1"/>
    <w:rsid w:val="00563EE8"/>
    <w:rsid w:val="0056401D"/>
    <w:rsid w:val="0056403D"/>
    <w:rsid w:val="005640E1"/>
    <w:rsid w:val="00564246"/>
    <w:rsid w:val="005642CF"/>
    <w:rsid w:val="00564323"/>
    <w:rsid w:val="00564452"/>
    <w:rsid w:val="005646C8"/>
    <w:rsid w:val="005647F8"/>
    <w:rsid w:val="00564813"/>
    <w:rsid w:val="0056487F"/>
    <w:rsid w:val="00564881"/>
    <w:rsid w:val="00564928"/>
    <w:rsid w:val="00564B48"/>
    <w:rsid w:val="00564BA3"/>
    <w:rsid w:val="00564D9D"/>
    <w:rsid w:val="00564E82"/>
    <w:rsid w:val="00564EF1"/>
    <w:rsid w:val="005651D0"/>
    <w:rsid w:val="00565308"/>
    <w:rsid w:val="00565581"/>
    <w:rsid w:val="005655D2"/>
    <w:rsid w:val="00565789"/>
    <w:rsid w:val="00565A2D"/>
    <w:rsid w:val="00565A35"/>
    <w:rsid w:val="00565B8C"/>
    <w:rsid w:val="00565BC5"/>
    <w:rsid w:val="00565BE7"/>
    <w:rsid w:val="00565D86"/>
    <w:rsid w:val="00565FD3"/>
    <w:rsid w:val="005661A8"/>
    <w:rsid w:val="0056635B"/>
    <w:rsid w:val="005663AE"/>
    <w:rsid w:val="005663DC"/>
    <w:rsid w:val="0056646C"/>
    <w:rsid w:val="005665A3"/>
    <w:rsid w:val="00566660"/>
    <w:rsid w:val="005666EB"/>
    <w:rsid w:val="005669B4"/>
    <w:rsid w:val="005669CA"/>
    <w:rsid w:val="00566C04"/>
    <w:rsid w:val="00566C1E"/>
    <w:rsid w:val="00566C81"/>
    <w:rsid w:val="00566D5C"/>
    <w:rsid w:val="00566DE7"/>
    <w:rsid w:val="00566F0D"/>
    <w:rsid w:val="00566FFC"/>
    <w:rsid w:val="00567060"/>
    <w:rsid w:val="00567061"/>
    <w:rsid w:val="00567140"/>
    <w:rsid w:val="00567172"/>
    <w:rsid w:val="0056738B"/>
    <w:rsid w:val="005673A7"/>
    <w:rsid w:val="005674F6"/>
    <w:rsid w:val="0056756F"/>
    <w:rsid w:val="005675AE"/>
    <w:rsid w:val="005675F3"/>
    <w:rsid w:val="005675F9"/>
    <w:rsid w:val="00567714"/>
    <w:rsid w:val="00567886"/>
    <w:rsid w:val="00567A0C"/>
    <w:rsid w:val="00567B0B"/>
    <w:rsid w:val="00567C1D"/>
    <w:rsid w:val="00567C74"/>
    <w:rsid w:val="00567CE4"/>
    <w:rsid w:val="00567ED5"/>
    <w:rsid w:val="0057001E"/>
    <w:rsid w:val="0057004E"/>
    <w:rsid w:val="00570065"/>
    <w:rsid w:val="00570144"/>
    <w:rsid w:val="005701CA"/>
    <w:rsid w:val="00570220"/>
    <w:rsid w:val="005702E8"/>
    <w:rsid w:val="00570312"/>
    <w:rsid w:val="0057038A"/>
    <w:rsid w:val="005704D7"/>
    <w:rsid w:val="00570597"/>
    <w:rsid w:val="00570606"/>
    <w:rsid w:val="00570808"/>
    <w:rsid w:val="0057083B"/>
    <w:rsid w:val="0057088D"/>
    <w:rsid w:val="00570919"/>
    <w:rsid w:val="00570997"/>
    <w:rsid w:val="005709B5"/>
    <w:rsid w:val="00570A36"/>
    <w:rsid w:val="00570B35"/>
    <w:rsid w:val="00570DA8"/>
    <w:rsid w:val="00571013"/>
    <w:rsid w:val="0057105F"/>
    <w:rsid w:val="005712AD"/>
    <w:rsid w:val="0057162B"/>
    <w:rsid w:val="00571664"/>
    <w:rsid w:val="005718FF"/>
    <w:rsid w:val="00571B41"/>
    <w:rsid w:val="00571C11"/>
    <w:rsid w:val="00571C33"/>
    <w:rsid w:val="00571EC2"/>
    <w:rsid w:val="00571F54"/>
    <w:rsid w:val="00571FE5"/>
    <w:rsid w:val="00571FF8"/>
    <w:rsid w:val="00572051"/>
    <w:rsid w:val="0057213C"/>
    <w:rsid w:val="0057215F"/>
    <w:rsid w:val="005721AB"/>
    <w:rsid w:val="005721FD"/>
    <w:rsid w:val="00572261"/>
    <w:rsid w:val="0057227A"/>
    <w:rsid w:val="00572367"/>
    <w:rsid w:val="005723A2"/>
    <w:rsid w:val="00572550"/>
    <w:rsid w:val="00572955"/>
    <w:rsid w:val="00572A89"/>
    <w:rsid w:val="00572B68"/>
    <w:rsid w:val="00572D62"/>
    <w:rsid w:val="00572D9C"/>
    <w:rsid w:val="005732AA"/>
    <w:rsid w:val="00573323"/>
    <w:rsid w:val="0057341F"/>
    <w:rsid w:val="0057353C"/>
    <w:rsid w:val="005735B5"/>
    <w:rsid w:val="005735D2"/>
    <w:rsid w:val="005735D6"/>
    <w:rsid w:val="0057387B"/>
    <w:rsid w:val="00573ADA"/>
    <w:rsid w:val="00573BD2"/>
    <w:rsid w:val="00573CC7"/>
    <w:rsid w:val="00573D15"/>
    <w:rsid w:val="00574171"/>
    <w:rsid w:val="00574191"/>
    <w:rsid w:val="0057473D"/>
    <w:rsid w:val="005747A5"/>
    <w:rsid w:val="00574806"/>
    <w:rsid w:val="0057486D"/>
    <w:rsid w:val="00574914"/>
    <w:rsid w:val="005749D6"/>
    <w:rsid w:val="00574CFC"/>
    <w:rsid w:val="00574D05"/>
    <w:rsid w:val="00574E57"/>
    <w:rsid w:val="00574E6D"/>
    <w:rsid w:val="00574E83"/>
    <w:rsid w:val="00575164"/>
    <w:rsid w:val="005751D8"/>
    <w:rsid w:val="00575335"/>
    <w:rsid w:val="005754CF"/>
    <w:rsid w:val="005754F4"/>
    <w:rsid w:val="00575601"/>
    <w:rsid w:val="00575680"/>
    <w:rsid w:val="005756A9"/>
    <w:rsid w:val="0057571E"/>
    <w:rsid w:val="00575781"/>
    <w:rsid w:val="005758D9"/>
    <w:rsid w:val="00575A0F"/>
    <w:rsid w:val="00575BE0"/>
    <w:rsid w:val="00575C01"/>
    <w:rsid w:val="00575C50"/>
    <w:rsid w:val="00575CA7"/>
    <w:rsid w:val="00575E64"/>
    <w:rsid w:val="00575EF5"/>
    <w:rsid w:val="00575FC8"/>
    <w:rsid w:val="00576121"/>
    <w:rsid w:val="005761AA"/>
    <w:rsid w:val="00576231"/>
    <w:rsid w:val="005764E3"/>
    <w:rsid w:val="005765FD"/>
    <w:rsid w:val="005766FC"/>
    <w:rsid w:val="00576886"/>
    <w:rsid w:val="005768B6"/>
    <w:rsid w:val="005768EA"/>
    <w:rsid w:val="005769EA"/>
    <w:rsid w:val="00576A32"/>
    <w:rsid w:val="00576B73"/>
    <w:rsid w:val="00576C1B"/>
    <w:rsid w:val="00576C6F"/>
    <w:rsid w:val="00576D94"/>
    <w:rsid w:val="00576DFA"/>
    <w:rsid w:val="00576ECA"/>
    <w:rsid w:val="00576F57"/>
    <w:rsid w:val="005771C4"/>
    <w:rsid w:val="0057722F"/>
    <w:rsid w:val="00577312"/>
    <w:rsid w:val="0057733D"/>
    <w:rsid w:val="0057748D"/>
    <w:rsid w:val="00577496"/>
    <w:rsid w:val="00577672"/>
    <w:rsid w:val="005777EA"/>
    <w:rsid w:val="00577805"/>
    <w:rsid w:val="005778E4"/>
    <w:rsid w:val="00577C20"/>
    <w:rsid w:val="00577C71"/>
    <w:rsid w:val="00577CC5"/>
    <w:rsid w:val="00577CCB"/>
    <w:rsid w:val="00577CF8"/>
    <w:rsid w:val="00577D10"/>
    <w:rsid w:val="00577D24"/>
    <w:rsid w:val="00577DB6"/>
    <w:rsid w:val="00577E85"/>
    <w:rsid w:val="00577F1C"/>
    <w:rsid w:val="00577F73"/>
    <w:rsid w:val="00577FD1"/>
    <w:rsid w:val="00577FDD"/>
    <w:rsid w:val="0058022A"/>
    <w:rsid w:val="00580252"/>
    <w:rsid w:val="005802F6"/>
    <w:rsid w:val="00580365"/>
    <w:rsid w:val="00580450"/>
    <w:rsid w:val="00580679"/>
    <w:rsid w:val="00580782"/>
    <w:rsid w:val="00580911"/>
    <w:rsid w:val="00580B2D"/>
    <w:rsid w:val="00580C12"/>
    <w:rsid w:val="00580C70"/>
    <w:rsid w:val="00580FB9"/>
    <w:rsid w:val="00581218"/>
    <w:rsid w:val="00581278"/>
    <w:rsid w:val="005812A0"/>
    <w:rsid w:val="00581306"/>
    <w:rsid w:val="0058138B"/>
    <w:rsid w:val="005814E2"/>
    <w:rsid w:val="005815A6"/>
    <w:rsid w:val="005817AD"/>
    <w:rsid w:val="0058189F"/>
    <w:rsid w:val="005818D2"/>
    <w:rsid w:val="00581A48"/>
    <w:rsid w:val="00581AC2"/>
    <w:rsid w:val="00581B13"/>
    <w:rsid w:val="00581C4A"/>
    <w:rsid w:val="00581D44"/>
    <w:rsid w:val="00581D99"/>
    <w:rsid w:val="00581F61"/>
    <w:rsid w:val="00581FE3"/>
    <w:rsid w:val="0058202C"/>
    <w:rsid w:val="005821B9"/>
    <w:rsid w:val="00582215"/>
    <w:rsid w:val="005822A5"/>
    <w:rsid w:val="00582431"/>
    <w:rsid w:val="005824C7"/>
    <w:rsid w:val="0058255A"/>
    <w:rsid w:val="005826CF"/>
    <w:rsid w:val="00582832"/>
    <w:rsid w:val="005828E9"/>
    <w:rsid w:val="00582944"/>
    <w:rsid w:val="00582A5C"/>
    <w:rsid w:val="00582C02"/>
    <w:rsid w:val="00582C22"/>
    <w:rsid w:val="00582CBB"/>
    <w:rsid w:val="00582D2A"/>
    <w:rsid w:val="00582F29"/>
    <w:rsid w:val="00582F88"/>
    <w:rsid w:val="00582FA7"/>
    <w:rsid w:val="0058308A"/>
    <w:rsid w:val="0058308D"/>
    <w:rsid w:val="00583199"/>
    <w:rsid w:val="005832C7"/>
    <w:rsid w:val="0058337A"/>
    <w:rsid w:val="0058340B"/>
    <w:rsid w:val="0058347D"/>
    <w:rsid w:val="005834A6"/>
    <w:rsid w:val="00583637"/>
    <w:rsid w:val="005836C7"/>
    <w:rsid w:val="00583716"/>
    <w:rsid w:val="00583719"/>
    <w:rsid w:val="005837AF"/>
    <w:rsid w:val="005838FC"/>
    <w:rsid w:val="00583957"/>
    <w:rsid w:val="00583A29"/>
    <w:rsid w:val="00583A7D"/>
    <w:rsid w:val="00583AD2"/>
    <w:rsid w:val="00583B62"/>
    <w:rsid w:val="00583B82"/>
    <w:rsid w:val="00583BF1"/>
    <w:rsid w:val="00583C67"/>
    <w:rsid w:val="00583C7E"/>
    <w:rsid w:val="00583CA9"/>
    <w:rsid w:val="00583DCA"/>
    <w:rsid w:val="00584057"/>
    <w:rsid w:val="005842EF"/>
    <w:rsid w:val="0058437F"/>
    <w:rsid w:val="005843B3"/>
    <w:rsid w:val="005843D6"/>
    <w:rsid w:val="00584406"/>
    <w:rsid w:val="00584445"/>
    <w:rsid w:val="005844E5"/>
    <w:rsid w:val="0058469B"/>
    <w:rsid w:val="005846A2"/>
    <w:rsid w:val="005846B8"/>
    <w:rsid w:val="00584726"/>
    <w:rsid w:val="005847AC"/>
    <w:rsid w:val="0058488B"/>
    <w:rsid w:val="005848D7"/>
    <w:rsid w:val="00584A20"/>
    <w:rsid w:val="00584CE9"/>
    <w:rsid w:val="00584E06"/>
    <w:rsid w:val="00584E93"/>
    <w:rsid w:val="00584F50"/>
    <w:rsid w:val="00584FF6"/>
    <w:rsid w:val="00585095"/>
    <w:rsid w:val="005850F0"/>
    <w:rsid w:val="005851A5"/>
    <w:rsid w:val="005853AD"/>
    <w:rsid w:val="005855AA"/>
    <w:rsid w:val="005857A8"/>
    <w:rsid w:val="00585854"/>
    <w:rsid w:val="00585C17"/>
    <w:rsid w:val="00585C3E"/>
    <w:rsid w:val="00585C8B"/>
    <w:rsid w:val="00585D04"/>
    <w:rsid w:val="00585D67"/>
    <w:rsid w:val="00585D93"/>
    <w:rsid w:val="00585EFD"/>
    <w:rsid w:val="00585F40"/>
    <w:rsid w:val="00585F9C"/>
    <w:rsid w:val="005860B3"/>
    <w:rsid w:val="00586179"/>
    <w:rsid w:val="005863CE"/>
    <w:rsid w:val="005865DA"/>
    <w:rsid w:val="0058661C"/>
    <w:rsid w:val="005866C1"/>
    <w:rsid w:val="005867C1"/>
    <w:rsid w:val="005867C8"/>
    <w:rsid w:val="005868C6"/>
    <w:rsid w:val="00586909"/>
    <w:rsid w:val="00586918"/>
    <w:rsid w:val="005869DC"/>
    <w:rsid w:val="00586B97"/>
    <w:rsid w:val="00586BE1"/>
    <w:rsid w:val="00586CA9"/>
    <w:rsid w:val="00586D55"/>
    <w:rsid w:val="00586D95"/>
    <w:rsid w:val="00586DD9"/>
    <w:rsid w:val="005871B6"/>
    <w:rsid w:val="00587292"/>
    <w:rsid w:val="00587357"/>
    <w:rsid w:val="0058736F"/>
    <w:rsid w:val="00587448"/>
    <w:rsid w:val="00587525"/>
    <w:rsid w:val="00587534"/>
    <w:rsid w:val="0058757F"/>
    <w:rsid w:val="0058759D"/>
    <w:rsid w:val="00587651"/>
    <w:rsid w:val="00587C15"/>
    <w:rsid w:val="00587C88"/>
    <w:rsid w:val="00587E6F"/>
    <w:rsid w:val="00587F8D"/>
    <w:rsid w:val="00587FCC"/>
    <w:rsid w:val="00590164"/>
    <w:rsid w:val="00590287"/>
    <w:rsid w:val="00590447"/>
    <w:rsid w:val="0059045D"/>
    <w:rsid w:val="005904B6"/>
    <w:rsid w:val="005904C4"/>
    <w:rsid w:val="005904EC"/>
    <w:rsid w:val="00590569"/>
    <w:rsid w:val="00590647"/>
    <w:rsid w:val="005906F2"/>
    <w:rsid w:val="00590791"/>
    <w:rsid w:val="00590BFA"/>
    <w:rsid w:val="00590C32"/>
    <w:rsid w:val="00590CB5"/>
    <w:rsid w:val="00590D24"/>
    <w:rsid w:val="00590F32"/>
    <w:rsid w:val="00590FE2"/>
    <w:rsid w:val="005910C5"/>
    <w:rsid w:val="005911D3"/>
    <w:rsid w:val="005915D1"/>
    <w:rsid w:val="005915DE"/>
    <w:rsid w:val="005917E1"/>
    <w:rsid w:val="00591876"/>
    <w:rsid w:val="005919EC"/>
    <w:rsid w:val="00591B93"/>
    <w:rsid w:val="00591BB2"/>
    <w:rsid w:val="00591BD0"/>
    <w:rsid w:val="00591D80"/>
    <w:rsid w:val="00592016"/>
    <w:rsid w:val="005920C6"/>
    <w:rsid w:val="00592279"/>
    <w:rsid w:val="00592381"/>
    <w:rsid w:val="005923AA"/>
    <w:rsid w:val="0059241D"/>
    <w:rsid w:val="005924AC"/>
    <w:rsid w:val="00592530"/>
    <w:rsid w:val="005928E2"/>
    <w:rsid w:val="0059292E"/>
    <w:rsid w:val="00592BCD"/>
    <w:rsid w:val="00592BD6"/>
    <w:rsid w:val="00592DF5"/>
    <w:rsid w:val="00592E0B"/>
    <w:rsid w:val="00592E60"/>
    <w:rsid w:val="00592E7B"/>
    <w:rsid w:val="005931F2"/>
    <w:rsid w:val="005932BE"/>
    <w:rsid w:val="005932E5"/>
    <w:rsid w:val="005936E7"/>
    <w:rsid w:val="0059381E"/>
    <w:rsid w:val="00593824"/>
    <w:rsid w:val="00593BDD"/>
    <w:rsid w:val="00593C1B"/>
    <w:rsid w:val="00593D86"/>
    <w:rsid w:val="00593DF7"/>
    <w:rsid w:val="00593E02"/>
    <w:rsid w:val="00593E09"/>
    <w:rsid w:val="00593E52"/>
    <w:rsid w:val="00593EBE"/>
    <w:rsid w:val="00593EBF"/>
    <w:rsid w:val="00593F61"/>
    <w:rsid w:val="005945B7"/>
    <w:rsid w:val="00594633"/>
    <w:rsid w:val="00594700"/>
    <w:rsid w:val="005948ED"/>
    <w:rsid w:val="00594954"/>
    <w:rsid w:val="00594966"/>
    <w:rsid w:val="00594B6B"/>
    <w:rsid w:val="00594C80"/>
    <w:rsid w:val="00594CFC"/>
    <w:rsid w:val="00594D00"/>
    <w:rsid w:val="00594E0F"/>
    <w:rsid w:val="00594E5D"/>
    <w:rsid w:val="005950AD"/>
    <w:rsid w:val="00595207"/>
    <w:rsid w:val="0059529A"/>
    <w:rsid w:val="005953EB"/>
    <w:rsid w:val="00595695"/>
    <w:rsid w:val="00595696"/>
    <w:rsid w:val="005957A1"/>
    <w:rsid w:val="00595872"/>
    <w:rsid w:val="00595A12"/>
    <w:rsid w:val="00595A41"/>
    <w:rsid w:val="00595A4F"/>
    <w:rsid w:val="00595A67"/>
    <w:rsid w:val="00595B33"/>
    <w:rsid w:val="00595E58"/>
    <w:rsid w:val="00595FC3"/>
    <w:rsid w:val="0059605D"/>
    <w:rsid w:val="00596131"/>
    <w:rsid w:val="00596222"/>
    <w:rsid w:val="0059639D"/>
    <w:rsid w:val="00596529"/>
    <w:rsid w:val="005965A8"/>
    <w:rsid w:val="005965C2"/>
    <w:rsid w:val="005965E0"/>
    <w:rsid w:val="005965F3"/>
    <w:rsid w:val="00596670"/>
    <w:rsid w:val="005966F8"/>
    <w:rsid w:val="005968A2"/>
    <w:rsid w:val="00596981"/>
    <w:rsid w:val="00596A09"/>
    <w:rsid w:val="00596B32"/>
    <w:rsid w:val="00596C20"/>
    <w:rsid w:val="00596C3E"/>
    <w:rsid w:val="00596D3D"/>
    <w:rsid w:val="00596DC9"/>
    <w:rsid w:val="00596E91"/>
    <w:rsid w:val="00596EE2"/>
    <w:rsid w:val="0059724C"/>
    <w:rsid w:val="0059728D"/>
    <w:rsid w:val="00597362"/>
    <w:rsid w:val="00597432"/>
    <w:rsid w:val="00597565"/>
    <w:rsid w:val="005976DC"/>
    <w:rsid w:val="00597796"/>
    <w:rsid w:val="005977A1"/>
    <w:rsid w:val="00597803"/>
    <w:rsid w:val="00597904"/>
    <w:rsid w:val="0059795F"/>
    <w:rsid w:val="00597A6B"/>
    <w:rsid w:val="00597EAB"/>
    <w:rsid w:val="00597F54"/>
    <w:rsid w:val="005A0001"/>
    <w:rsid w:val="005A00AE"/>
    <w:rsid w:val="005A010D"/>
    <w:rsid w:val="005A02A2"/>
    <w:rsid w:val="005A03C5"/>
    <w:rsid w:val="005A03DA"/>
    <w:rsid w:val="005A0472"/>
    <w:rsid w:val="005A047E"/>
    <w:rsid w:val="005A04FF"/>
    <w:rsid w:val="005A0559"/>
    <w:rsid w:val="005A055A"/>
    <w:rsid w:val="005A05BA"/>
    <w:rsid w:val="005A0AA7"/>
    <w:rsid w:val="005A0AE4"/>
    <w:rsid w:val="005A0BEE"/>
    <w:rsid w:val="005A0BFE"/>
    <w:rsid w:val="005A0C34"/>
    <w:rsid w:val="005A0C6D"/>
    <w:rsid w:val="005A0D3E"/>
    <w:rsid w:val="005A0D85"/>
    <w:rsid w:val="005A0DC6"/>
    <w:rsid w:val="005A0E46"/>
    <w:rsid w:val="005A0ED3"/>
    <w:rsid w:val="005A0FA5"/>
    <w:rsid w:val="005A1073"/>
    <w:rsid w:val="005A1234"/>
    <w:rsid w:val="005A125C"/>
    <w:rsid w:val="005A12C2"/>
    <w:rsid w:val="005A130A"/>
    <w:rsid w:val="005A142E"/>
    <w:rsid w:val="005A1501"/>
    <w:rsid w:val="005A15A8"/>
    <w:rsid w:val="005A165E"/>
    <w:rsid w:val="005A171B"/>
    <w:rsid w:val="005A17DD"/>
    <w:rsid w:val="005A17E6"/>
    <w:rsid w:val="005A1813"/>
    <w:rsid w:val="005A188C"/>
    <w:rsid w:val="005A18FD"/>
    <w:rsid w:val="005A19C2"/>
    <w:rsid w:val="005A1C84"/>
    <w:rsid w:val="005A1C8C"/>
    <w:rsid w:val="005A1FCC"/>
    <w:rsid w:val="005A2132"/>
    <w:rsid w:val="005A224A"/>
    <w:rsid w:val="005A230B"/>
    <w:rsid w:val="005A237B"/>
    <w:rsid w:val="005A24EB"/>
    <w:rsid w:val="005A255F"/>
    <w:rsid w:val="005A2568"/>
    <w:rsid w:val="005A268C"/>
    <w:rsid w:val="005A2748"/>
    <w:rsid w:val="005A274F"/>
    <w:rsid w:val="005A27A0"/>
    <w:rsid w:val="005A27D7"/>
    <w:rsid w:val="005A29B0"/>
    <w:rsid w:val="005A29EF"/>
    <w:rsid w:val="005A2A11"/>
    <w:rsid w:val="005A2C24"/>
    <w:rsid w:val="005A2C9A"/>
    <w:rsid w:val="005A2CA2"/>
    <w:rsid w:val="005A2CDC"/>
    <w:rsid w:val="005A2E69"/>
    <w:rsid w:val="005A3200"/>
    <w:rsid w:val="005A33DE"/>
    <w:rsid w:val="005A3449"/>
    <w:rsid w:val="005A3460"/>
    <w:rsid w:val="005A359C"/>
    <w:rsid w:val="005A35BA"/>
    <w:rsid w:val="005A35C7"/>
    <w:rsid w:val="005A3610"/>
    <w:rsid w:val="005A366E"/>
    <w:rsid w:val="005A37F8"/>
    <w:rsid w:val="005A38BA"/>
    <w:rsid w:val="005A3933"/>
    <w:rsid w:val="005A3949"/>
    <w:rsid w:val="005A394E"/>
    <w:rsid w:val="005A3988"/>
    <w:rsid w:val="005A39CF"/>
    <w:rsid w:val="005A3B76"/>
    <w:rsid w:val="005A3C07"/>
    <w:rsid w:val="005A3D3A"/>
    <w:rsid w:val="005A3D50"/>
    <w:rsid w:val="005A3D56"/>
    <w:rsid w:val="005A40BD"/>
    <w:rsid w:val="005A4103"/>
    <w:rsid w:val="005A4120"/>
    <w:rsid w:val="005A4297"/>
    <w:rsid w:val="005A4321"/>
    <w:rsid w:val="005A448C"/>
    <w:rsid w:val="005A4563"/>
    <w:rsid w:val="005A458C"/>
    <w:rsid w:val="005A45A6"/>
    <w:rsid w:val="005A45AC"/>
    <w:rsid w:val="005A45E5"/>
    <w:rsid w:val="005A46D8"/>
    <w:rsid w:val="005A4729"/>
    <w:rsid w:val="005A4982"/>
    <w:rsid w:val="005A4CB2"/>
    <w:rsid w:val="005A4CD5"/>
    <w:rsid w:val="005A4D64"/>
    <w:rsid w:val="005A4EC0"/>
    <w:rsid w:val="005A4F08"/>
    <w:rsid w:val="005A4F42"/>
    <w:rsid w:val="005A4F99"/>
    <w:rsid w:val="005A5068"/>
    <w:rsid w:val="005A50D8"/>
    <w:rsid w:val="005A524E"/>
    <w:rsid w:val="005A52F0"/>
    <w:rsid w:val="005A5402"/>
    <w:rsid w:val="005A5415"/>
    <w:rsid w:val="005A5615"/>
    <w:rsid w:val="005A56EB"/>
    <w:rsid w:val="005A57D9"/>
    <w:rsid w:val="005A5A29"/>
    <w:rsid w:val="005A5B3C"/>
    <w:rsid w:val="005A5BFB"/>
    <w:rsid w:val="005A5C27"/>
    <w:rsid w:val="005A5CB2"/>
    <w:rsid w:val="005A5E11"/>
    <w:rsid w:val="005A5E17"/>
    <w:rsid w:val="005A5EA1"/>
    <w:rsid w:val="005A5EA8"/>
    <w:rsid w:val="005A60F5"/>
    <w:rsid w:val="005A654D"/>
    <w:rsid w:val="005A6567"/>
    <w:rsid w:val="005A65B9"/>
    <w:rsid w:val="005A66A0"/>
    <w:rsid w:val="005A66F0"/>
    <w:rsid w:val="005A670D"/>
    <w:rsid w:val="005A6721"/>
    <w:rsid w:val="005A6742"/>
    <w:rsid w:val="005A6798"/>
    <w:rsid w:val="005A67A3"/>
    <w:rsid w:val="005A67C0"/>
    <w:rsid w:val="005A6965"/>
    <w:rsid w:val="005A6983"/>
    <w:rsid w:val="005A6A35"/>
    <w:rsid w:val="005A6BB3"/>
    <w:rsid w:val="005A6C05"/>
    <w:rsid w:val="005A6CD5"/>
    <w:rsid w:val="005A6D6F"/>
    <w:rsid w:val="005A6E10"/>
    <w:rsid w:val="005A6E8B"/>
    <w:rsid w:val="005A6F29"/>
    <w:rsid w:val="005A707D"/>
    <w:rsid w:val="005A70C3"/>
    <w:rsid w:val="005A72DD"/>
    <w:rsid w:val="005A734B"/>
    <w:rsid w:val="005A74AC"/>
    <w:rsid w:val="005A7546"/>
    <w:rsid w:val="005A76E6"/>
    <w:rsid w:val="005A7705"/>
    <w:rsid w:val="005A77A7"/>
    <w:rsid w:val="005A7AC3"/>
    <w:rsid w:val="005A7AE4"/>
    <w:rsid w:val="005A7BBD"/>
    <w:rsid w:val="005A7BD0"/>
    <w:rsid w:val="005A7CF3"/>
    <w:rsid w:val="005A7D8F"/>
    <w:rsid w:val="005A7E6B"/>
    <w:rsid w:val="005A7F44"/>
    <w:rsid w:val="005A7F8C"/>
    <w:rsid w:val="005B0025"/>
    <w:rsid w:val="005B0214"/>
    <w:rsid w:val="005B0265"/>
    <w:rsid w:val="005B0322"/>
    <w:rsid w:val="005B036D"/>
    <w:rsid w:val="005B03A9"/>
    <w:rsid w:val="005B04A8"/>
    <w:rsid w:val="005B052B"/>
    <w:rsid w:val="005B0566"/>
    <w:rsid w:val="005B06E1"/>
    <w:rsid w:val="005B06F2"/>
    <w:rsid w:val="005B08FF"/>
    <w:rsid w:val="005B095A"/>
    <w:rsid w:val="005B0968"/>
    <w:rsid w:val="005B0DB9"/>
    <w:rsid w:val="005B0DE1"/>
    <w:rsid w:val="005B0EFD"/>
    <w:rsid w:val="005B115A"/>
    <w:rsid w:val="005B1199"/>
    <w:rsid w:val="005B135D"/>
    <w:rsid w:val="005B13DB"/>
    <w:rsid w:val="005B143A"/>
    <w:rsid w:val="005B151A"/>
    <w:rsid w:val="005B1704"/>
    <w:rsid w:val="005B1888"/>
    <w:rsid w:val="005B1908"/>
    <w:rsid w:val="005B1AD5"/>
    <w:rsid w:val="005B1BB7"/>
    <w:rsid w:val="005B1C22"/>
    <w:rsid w:val="005B1E99"/>
    <w:rsid w:val="005B2122"/>
    <w:rsid w:val="005B21D0"/>
    <w:rsid w:val="005B2225"/>
    <w:rsid w:val="005B2230"/>
    <w:rsid w:val="005B22A2"/>
    <w:rsid w:val="005B2413"/>
    <w:rsid w:val="005B24D6"/>
    <w:rsid w:val="005B250F"/>
    <w:rsid w:val="005B2581"/>
    <w:rsid w:val="005B27CF"/>
    <w:rsid w:val="005B2A2F"/>
    <w:rsid w:val="005B2AE7"/>
    <w:rsid w:val="005B2B52"/>
    <w:rsid w:val="005B2CDB"/>
    <w:rsid w:val="005B2DB4"/>
    <w:rsid w:val="005B3027"/>
    <w:rsid w:val="005B302E"/>
    <w:rsid w:val="005B3039"/>
    <w:rsid w:val="005B30AC"/>
    <w:rsid w:val="005B3121"/>
    <w:rsid w:val="005B3133"/>
    <w:rsid w:val="005B32A1"/>
    <w:rsid w:val="005B330C"/>
    <w:rsid w:val="005B3328"/>
    <w:rsid w:val="005B33E9"/>
    <w:rsid w:val="005B344C"/>
    <w:rsid w:val="005B35D7"/>
    <w:rsid w:val="005B3727"/>
    <w:rsid w:val="005B381C"/>
    <w:rsid w:val="005B38D2"/>
    <w:rsid w:val="005B3936"/>
    <w:rsid w:val="005B3A2F"/>
    <w:rsid w:val="005B3CA0"/>
    <w:rsid w:val="005B3DDD"/>
    <w:rsid w:val="005B3EA0"/>
    <w:rsid w:val="005B3EE0"/>
    <w:rsid w:val="005B421E"/>
    <w:rsid w:val="005B4360"/>
    <w:rsid w:val="005B446D"/>
    <w:rsid w:val="005B44B1"/>
    <w:rsid w:val="005B45E5"/>
    <w:rsid w:val="005B46AA"/>
    <w:rsid w:val="005B470F"/>
    <w:rsid w:val="005B4720"/>
    <w:rsid w:val="005B47EA"/>
    <w:rsid w:val="005B484A"/>
    <w:rsid w:val="005B48B1"/>
    <w:rsid w:val="005B4991"/>
    <w:rsid w:val="005B49CD"/>
    <w:rsid w:val="005B49EF"/>
    <w:rsid w:val="005B4A79"/>
    <w:rsid w:val="005B4BBF"/>
    <w:rsid w:val="005B4C2D"/>
    <w:rsid w:val="005B4DE3"/>
    <w:rsid w:val="005B4E37"/>
    <w:rsid w:val="005B4EA0"/>
    <w:rsid w:val="005B4EA1"/>
    <w:rsid w:val="005B4F6F"/>
    <w:rsid w:val="005B5398"/>
    <w:rsid w:val="005B543B"/>
    <w:rsid w:val="005B5472"/>
    <w:rsid w:val="005B54E2"/>
    <w:rsid w:val="005B551A"/>
    <w:rsid w:val="005B55AC"/>
    <w:rsid w:val="005B5735"/>
    <w:rsid w:val="005B5885"/>
    <w:rsid w:val="005B5892"/>
    <w:rsid w:val="005B5AE9"/>
    <w:rsid w:val="005B5B80"/>
    <w:rsid w:val="005B5D12"/>
    <w:rsid w:val="005B5D13"/>
    <w:rsid w:val="005B5D21"/>
    <w:rsid w:val="005B5F45"/>
    <w:rsid w:val="005B5F71"/>
    <w:rsid w:val="005B60E4"/>
    <w:rsid w:val="005B61FE"/>
    <w:rsid w:val="005B630F"/>
    <w:rsid w:val="005B6370"/>
    <w:rsid w:val="005B65ED"/>
    <w:rsid w:val="005B6603"/>
    <w:rsid w:val="005B661D"/>
    <w:rsid w:val="005B6671"/>
    <w:rsid w:val="005B669E"/>
    <w:rsid w:val="005B6709"/>
    <w:rsid w:val="005B6AB5"/>
    <w:rsid w:val="005B6AB6"/>
    <w:rsid w:val="005B6B3C"/>
    <w:rsid w:val="005B6E4B"/>
    <w:rsid w:val="005B6E6F"/>
    <w:rsid w:val="005B6E72"/>
    <w:rsid w:val="005B6F1D"/>
    <w:rsid w:val="005B6F6D"/>
    <w:rsid w:val="005B7118"/>
    <w:rsid w:val="005B73E1"/>
    <w:rsid w:val="005B7589"/>
    <w:rsid w:val="005B75D1"/>
    <w:rsid w:val="005B7615"/>
    <w:rsid w:val="005B766F"/>
    <w:rsid w:val="005B76D5"/>
    <w:rsid w:val="005B782E"/>
    <w:rsid w:val="005B7841"/>
    <w:rsid w:val="005B786A"/>
    <w:rsid w:val="005B78BE"/>
    <w:rsid w:val="005B7BC6"/>
    <w:rsid w:val="005B7D9D"/>
    <w:rsid w:val="005B7EB8"/>
    <w:rsid w:val="005B7F18"/>
    <w:rsid w:val="005B7FE7"/>
    <w:rsid w:val="005C0136"/>
    <w:rsid w:val="005C02E1"/>
    <w:rsid w:val="005C04D2"/>
    <w:rsid w:val="005C0516"/>
    <w:rsid w:val="005C0521"/>
    <w:rsid w:val="005C0607"/>
    <w:rsid w:val="005C0635"/>
    <w:rsid w:val="005C0728"/>
    <w:rsid w:val="005C0A17"/>
    <w:rsid w:val="005C0B93"/>
    <w:rsid w:val="005C0C21"/>
    <w:rsid w:val="005C0CB9"/>
    <w:rsid w:val="005C0D26"/>
    <w:rsid w:val="005C0DA5"/>
    <w:rsid w:val="005C0EB2"/>
    <w:rsid w:val="005C0F58"/>
    <w:rsid w:val="005C104A"/>
    <w:rsid w:val="005C105B"/>
    <w:rsid w:val="005C125B"/>
    <w:rsid w:val="005C12AF"/>
    <w:rsid w:val="005C1387"/>
    <w:rsid w:val="005C13F6"/>
    <w:rsid w:val="005C1451"/>
    <w:rsid w:val="005C1491"/>
    <w:rsid w:val="005C1492"/>
    <w:rsid w:val="005C1719"/>
    <w:rsid w:val="005C184F"/>
    <w:rsid w:val="005C1923"/>
    <w:rsid w:val="005C197A"/>
    <w:rsid w:val="005C1A14"/>
    <w:rsid w:val="005C1D35"/>
    <w:rsid w:val="005C1D98"/>
    <w:rsid w:val="005C1E1F"/>
    <w:rsid w:val="005C1E65"/>
    <w:rsid w:val="005C1FE4"/>
    <w:rsid w:val="005C205B"/>
    <w:rsid w:val="005C2086"/>
    <w:rsid w:val="005C20DE"/>
    <w:rsid w:val="005C21F2"/>
    <w:rsid w:val="005C22B7"/>
    <w:rsid w:val="005C2418"/>
    <w:rsid w:val="005C2500"/>
    <w:rsid w:val="005C250D"/>
    <w:rsid w:val="005C2805"/>
    <w:rsid w:val="005C2865"/>
    <w:rsid w:val="005C2970"/>
    <w:rsid w:val="005C2D47"/>
    <w:rsid w:val="005C2D70"/>
    <w:rsid w:val="005C2ECB"/>
    <w:rsid w:val="005C2EF3"/>
    <w:rsid w:val="005C2F82"/>
    <w:rsid w:val="005C3062"/>
    <w:rsid w:val="005C31B7"/>
    <w:rsid w:val="005C320E"/>
    <w:rsid w:val="005C3260"/>
    <w:rsid w:val="005C3318"/>
    <w:rsid w:val="005C358F"/>
    <w:rsid w:val="005C37FE"/>
    <w:rsid w:val="005C386C"/>
    <w:rsid w:val="005C38E9"/>
    <w:rsid w:val="005C3907"/>
    <w:rsid w:val="005C3B38"/>
    <w:rsid w:val="005C3B62"/>
    <w:rsid w:val="005C3BD4"/>
    <w:rsid w:val="005C3D2D"/>
    <w:rsid w:val="005C3D35"/>
    <w:rsid w:val="005C3DE8"/>
    <w:rsid w:val="005C3EA7"/>
    <w:rsid w:val="005C40E1"/>
    <w:rsid w:val="005C417F"/>
    <w:rsid w:val="005C424C"/>
    <w:rsid w:val="005C42A0"/>
    <w:rsid w:val="005C43A6"/>
    <w:rsid w:val="005C43C3"/>
    <w:rsid w:val="005C4584"/>
    <w:rsid w:val="005C46CF"/>
    <w:rsid w:val="005C4766"/>
    <w:rsid w:val="005C4802"/>
    <w:rsid w:val="005C4953"/>
    <w:rsid w:val="005C4954"/>
    <w:rsid w:val="005C4C29"/>
    <w:rsid w:val="005C4C92"/>
    <w:rsid w:val="005C4CBC"/>
    <w:rsid w:val="005C4E3E"/>
    <w:rsid w:val="005C4E93"/>
    <w:rsid w:val="005C4F4A"/>
    <w:rsid w:val="005C4FCB"/>
    <w:rsid w:val="005C5105"/>
    <w:rsid w:val="005C512A"/>
    <w:rsid w:val="005C5143"/>
    <w:rsid w:val="005C51DB"/>
    <w:rsid w:val="005C5222"/>
    <w:rsid w:val="005C5353"/>
    <w:rsid w:val="005C5367"/>
    <w:rsid w:val="005C53B4"/>
    <w:rsid w:val="005C54E4"/>
    <w:rsid w:val="005C568D"/>
    <w:rsid w:val="005C57AE"/>
    <w:rsid w:val="005C57BF"/>
    <w:rsid w:val="005C5900"/>
    <w:rsid w:val="005C5940"/>
    <w:rsid w:val="005C5A97"/>
    <w:rsid w:val="005C5AAC"/>
    <w:rsid w:val="005C5B74"/>
    <w:rsid w:val="005C5BE1"/>
    <w:rsid w:val="005C5E8A"/>
    <w:rsid w:val="005C5F9F"/>
    <w:rsid w:val="005C60F0"/>
    <w:rsid w:val="005C60F2"/>
    <w:rsid w:val="005C611A"/>
    <w:rsid w:val="005C6130"/>
    <w:rsid w:val="005C621E"/>
    <w:rsid w:val="005C63C2"/>
    <w:rsid w:val="005C64AF"/>
    <w:rsid w:val="005C64B6"/>
    <w:rsid w:val="005C6539"/>
    <w:rsid w:val="005C677F"/>
    <w:rsid w:val="005C6854"/>
    <w:rsid w:val="005C6B83"/>
    <w:rsid w:val="005C6B8B"/>
    <w:rsid w:val="005C6C1C"/>
    <w:rsid w:val="005C6CDB"/>
    <w:rsid w:val="005C6FF3"/>
    <w:rsid w:val="005C715B"/>
    <w:rsid w:val="005C71B5"/>
    <w:rsid w:val="005C73F1"/>
    <w:rsid w:val="005C7509"/>
    <w:rsid w:val="005C7562"/>
    <w:rsid w:val="005C75A7"/>
    <w:rsid w:val="005C794D"/>
    <w:rsid w:val="005C795B"/>
    <w:rsid w:val="005C7B77"/>
    <w:rsid w:val="005C7B9D"/>
    <w:rsid w:val="005C7BF2"/>
    <w:rsid w:val="005C7D3B"/>
    <w:rsid w:val="005C7EC2"/>
    <w:rsid w:val="005C7EF1"/>
    <w:rsid w:val="005C7F0A"/>
    <w:rsid w:val="005C7FE7"/>
    <w:rsid w:val="005CE91C"/>
    <w:rsid w:val="005D0146"/>
    <w:rsid w:val="005D014D"/>
    <w:rsid w:val="005D01D6"/>
    <w:rsid w:val="005D0270"/>
    <w:rsid w:val="005D0328"/>
    <w:rsid w:val="005D03AD"/>
    <w:rsid w:val="005D03ED"/>
    <w:rsid w:val="005D0521"/>
    <w:rsid w:val="005D0583"/>
    <w:rsid w:val="005D0719"/>
    <w:rsid w:val="005D081C"/>
    <w:rsid w:val="005D0845"/>
    <w:rsid w:val="005D0850"/>
    <w:rsid w:val="005D09A3"/>
    <w:rsid w:val="005D0A77"/>
    <w:rsid w:val="005D0A8C"/>
    <w:rsid w:val="005D0AA6"/>
    <w:rsid w:val="005D0AF4"/>
    <w:rsid w:val="005D0BED"/>
    <w:rsid w:val="005D0C13"/>
    <w:rsid w:val="005D0C54"/>
    <w:rsid w:val="005D0E2F"/>
    <w:rsid w:val="005D0EB9"/>
    <w:rsid w:val="005D0F3D"/>
    <w:rsid w:val="005D0FFC"/>
    <w:rsid w:val="005D1012"/>
    <w:rsid w:val="005D105D"/>
    <w:rsid w:val="005D1110"/>
    <w:rsid w:val="005D13E0"/>
    <w:rsid w:val="005D160A"/>
    <w:rsid w:val="005D162C"/>
    <w:rsid w:val="005D1691"/>
    <w:rsid w:val="005D1715"/>
    <w:rsid w:val="005D1728"/>
    <w:rsid w:val="005D1742"/>
    <w:rsid w:val="005D1777"/>
    <w:rsid w:val="005D1CAF"/>
    <w:rsid w:val="005D1D20"/>
    <w:rsid w:val="005D1D21"/>
    <w:rsid w:val="005D1DC6"/>
    <w:rsid w:val="005D1E3B"/>
    <w:rsid w:val="005D1E53"/>
    <w:rsid w:val="005D2012"/>
    <w:rsid w:val="005D217A"/>
    <w:rsid w:val="005D235A"/>
    <w:rsid w:val="005D2492"/>
    <w:rsid w:val="005D2551"/>
    <w:rsid w:val="005D2779"/>
    <w:rsid w:val="005D2823"/>
    <w:rsid w:val="005D2881"/>
    <w:rsid w:val="005D2B12"/>
    <w:rsid w:val="005D2C46"/>
    <w:rsid w:val="005D2DA3"/>
    <w:rsid w:val="005D2E03"/>
    <w:rsid w:val="005D2E70"/>
    <w:rsid w:val="005D2FD1"/>
    <w:rsid w:val="005D3080"/>
    <w:rsid w:val="005D3164"/>
    <w:rsid w:val="005D3172"/>
    <w:rsid w:val="005D320B"/>
    <w:rsid w:val="005D325B"/>
    <w:rsid w:val="005D33B7"/>
    <w:rsid w:val="005D34B6"/>
    <w:rsid w:val="005D382B"/>
    <w:rsid w:val="005D399C"/>
    <w:rsid w:val="005D3A22"/>
    <w:rsid w:val="005D3AC6"/>
    <w:rsid w:val="005D3C2D"/>
    <w:rsid w:val="005D3D8E"/>
    <w:rsid w:val="005D3EA9"/>
    <w:rsid w:val="005D3F69"/>
    <w:rsid w:val="005D4053"/>
    <w:rsid w:val="005D40F7"/>
    <w:rsid w:val="005D414F"/>
    <w:rsid w:val="005D41C4"/>
    <w:rsid w:val="005D420D"/>
    <w:rsid w:val="005D4239"/>
    <w:rsid w:val="005D42AA"/>
    <w:rsid w:val="005D437D"/>
    <w:rsid w:val="005D445B"/>
    <w:rsid w:val="005D4592"/>
    <w:rsid w:val="005D48AD"/>
    <w:rsid w:val="005D495A"/>
    <w:rsid w:val="005D49B0"/>
    <w:rsid w:val="005D49DD"/>
    <w:rsid w:val="005D4BA6"/>
    <w:rsid w:val="005D4E6D"/>
    <w:rsid w:val="005D4F46"/>
    <w:rsid w:val="005D4F7A"/>
    <w:rsid w:val="005D5182"/>
    <w:rsid w:val="005D51CB"/>
    <w:rsid w:val="005D52E7"/>
    <w:rsid w:val="005D534C"/>
    <w:rsid w:val="005D535C"/>
    <w:rsid w:val="005D5364"/>
    <w:rsid w:val="005D53F1"/>
    <w:rsid w:val="005D54F5"/>
    <w:rsid w:val="005D55CB"/>
    <w:rsid w:val="005D55D9"/>
    <w:rsid w:val="005D56C9"/>
    <w:rsid w:val="005D58C0"/>
    <w:rsid w:val="005D5A0E"/>
    <w:rsid w:val="005D5A38"/>
    <w:rsid w:val="005D5A91"/>
    <w:rsid w:val="005D5B0E"/>
    <w:rsid w:val="005D5B3A"/>
    <w:rsid w:val="005D5B7C"/>
    <w:rsid w:val="005D5CAC"/>
    <w:rsid w:val="005D6055"/>
    <w:rsid w:val="005D6076"/>
    <w:rsid w:val="005D607A"/>
    <w:rsid w:val="005D60B5"/>
    <w:rsid w:val="005D61A3"/>
    <w:rsid w:val="005D6448"/>
    <w:rsid w:val="005D6587"/>
    <w:rsid w:val="005D6594"/>
    <w:rsid w:val="005D66F0"/>
    <w:rsid w:val="005D679D"/>
    <w:rsid w:val="005D68E3"/>
    <w:rsid w:val="005D692A"/>
    <w:rsid w:val="005D6B35"/>
    <w:rsid w:val="005D6BCB"/>
    <w:rsid w:val="005D6DF3"/>
    <w:rsid w:val="005D6E8F"/>
    <w:rsid w:val="005D6F57"/>
    <w:rsid w:val="005D706B"/>
    <w:rsid w:val="005D70CA"/>
    <w:rsid w:val="005D71E6"/>
    <w:rsid w:val="005D721A"/>
    <w:rsid w:val="005D727A"/>
    <w:rsid w:val="005D7349"/>
    <w:rsid w:val="005D73F6"/>
    <w:rsid w:val="005D74A3"/>
    <w:rsid w:val="005D756A"/>
    <w:rsid w:val="005D777C"/>
    <w:rsid w:val="005D77A2"/>
    <w:rsid w:val="005D788F"/>
    <w:rsid w:val="005D7CE1"/>
    <w:rsid w:val="005E0189"/>
    <w:rsid w:val="005E02C2"/>
    <w:rsid w:val="005E0330"/>
    <w:rsid w:val="005E051B"/>
    <w:rsid w:val="005E0533"/>
    <w:rsid w:val="005E056F"/>
    <w:rsid w:val="005E080B"/>
    <w:rsid w:val="005E08DB"/>
    <w:rsid w:val="005E0982"/>
    <w:rsid w:val="005E09C2"/>
    <w:rsid w:val="005E09EE"/>
    <w:rsid w:val="005E0A6B"/>
    <w:rsid w:val="005E0AB6"/>
    <w:rsid w:val="005E0B7E"/>
    <w:rsid w:val="005E0C1F"/>
    <w:rsid w:val="005E0DFA"/>
    <w:rsid w:val="005E0ED8"/>
    <w:rsid w:val="005E0F57"/>
    <w:rsid w:val="005E0FD7"/>
    <w:rsid w:val="005E0FDA"/>
    <w:rsid w:val="005E11C2"/>
    <w:rsid w:val="005E1217"/>
    <w:rsid w:val="005E12B9"/>
    <w:rsid w:val="005E146C"/>
    <w:rsid w:val="005E14FA"/>
    <w:rsid w:val="005E159E"/>
    <w:rsid w:val="005E16C5"/>
    <w:rsid w:val="005E16CC"/>
    <w:rsid w:val="005E1749"/>
    <w:rsid w:val="005E198B"/>
    <w:rsid w:val="005E1A8F"/>
    <w:rsid w:val="005E1BCA"/>
    <w:rsid w:val="005E1C4E"/>
    <w:rsid w:val="005E1DF0"/>
    <w:rsid w:val="005E1E2F"/>
    <w:rsid w:val="005E1E59"/>
    <w:rsid w:val="005E1E78"/>
    <w:rsid w:val="005E1E8F"/>
    <w:rsid w:val="005E20CF"/>
    <w:rsid w:val="005E21C9"/>
    <w:rsid w:val="005E2266"/>
    <w:rsid w:val="005E23A1"/>
    <w:rsid w:val="005E2886"/>
    <w:rsid w:val="005E288D"/>
    <w:rsid w:val="005E2B98"/>
    <w:rsid w:val="005E2C44"/>
    <w:rsid w:val="005E2DF6"/>
    <w:rsid w:val="005E2EA4"/>
    <w:rsid w:val="005E2FBD"/>
    <w:rsid w:val="005E3032"/>
    <w:rsid w:val="005E30B5"/>
    <w:rsid w:val="005E31C5"/>
    <w:rsid w:val="005E31EA"/>
    <w:rsid w:val="005E341A"/>
    <w:rsid w:val="005E341F"/>
    <w:rsid w:val="005E34AD"/>
    <w:rsid w:val="005E36BF"/>
    <w:rsid w:val="005E3795"/>
    <w:rsid w:val="005E3851"/>
    <w:rsid w:val="005E3958"/>
    <w:rsid w:val="005E3A40"/>
    <w:rsid w:val="005E3B2C"/>
    <w:rsid w:val="005E3C1D"/>
    <w:rsid w:val="005E3C6B"/>
    <w:rsid w:val="005E3D5F"/>
    <w:rsid w:val="005E3E17"/>
    <w:rsid w:val="005E3E19"/>
    <w:rsid w:val="005E3ED6"/>
    <w:rsid w:val="005E4028"/>
    <w:rsid w:val="005E40F8"/>
    <w:rsid w:val="005E4201"/>
    <w:rsid w:val="005E432C"/>
    <w:rsid w:val="005E43F9"/>
    <w:rsid w:val="005E43FA"/>
    <w:rsid w:val="005E4509"/>
    <w:rsid w:val="005E4739"/>
    <w:rsid w:val="005E4805"/>
    <w:rsid w:val="005E4877"/>
    <w:rsid w:val="005E4A49"/>
    <w:rsid w:val="005E4B30"/>
    <w:rsid w:val="005E4B45"/>
    <w:rsid w:val="005E4C3F"/>
    <w:rsid w:val="005E4E39"/>
    <w:rsid w:val="005E4E5D"/>
    <w:rsid w:val="005E5163"/>
    <w:rsid w:val="005E527D"/>
    <w:rsid w:val="005E5369"/>
    <w:rsid w:val="005E536E"/>
    <w:rsid w:val="005E5429"/>
    <w:rsid w:val="005E561C"/>
    <w:rsid w:val="005E56FB"/>
    <w:rsid w:val="005E5885"/>
    <w:rsid w:val="005E5896"/>
    <w:rsid w:val="005E58BB"/>
    <w:rsid w:val="005E58EB"/>
    <w:rsid w:val="005E5B5E"/>
    <w:rsid w:val="005E5C06"/>
    <w:rsid w:val="005E5D11"/>
    <w:rsid w:val="005E5DC1"/>
    <w:rsid w:val="005E6131"/>
    <w:rsid w:val="005E61A8"/>
    <w:rsid w:val="005E61DC"/>
    <w:rsid w:val="005E64D3"/>
    <w:rsid w:val="005E64F4"/>
    <w:rsid w:val="005E65FF"/>
    <w:rsid w:val="005E6876"/>
    <w:rsid w:val="005E694C"/>
    <w:rsid w:val="005E695A"/>
    <w:rsid w:val="005E6B68"/>
    <w:rsid w:val="005E70C0"/>
    <w:rsid w:val="005E70F2"/>
    <w:rsid w:val="005E71D1"/>
    <w:rsid w:val="005E74DC"/>
    <w:rsid w:val="005E74EB"/>
    <w:rsid w:val="005E7512"/>
    <w:rsid w:val="005E75A5"/>
    <w:rsid w:val="005E762D"/>
    <w:rsid w:val="005E76AD"/>
    <w:rsid w:val="005E7893"/>
    <w:rsid w:val="005E7936"/>
    <w:rsid w:val="005E79A5"/>
    <w:rsid w:val="005E7A46"/>
    <w:rsid w:val="005E7A52"/>
    <w:rsid w:val="005E7AC7"/>
    <w:rsid w:val="005E7B26"/>
    <w:rsid w:val="005E7C08"/>
    <w:rsid w:val="005E7C55"/>
    <w:rsid w:val="005E7C99"/>
    <w:rsid w:val="005E7D22"/>
    <w:rsid w:val="005E7F05"/>
    <w:rsid w:val="005E7F44"/>
    <w:rsid w:val="005F0006"/>
    <w:rsid w:val="005F0195"/>
    <w:rsid w:val="005F0290"/>
    <w:rsid w:val="005F0398"/>
    <w:rsid w:val="005F0492"/>
    <w:rsid w:val="005F0495"/>
    <w:rsid w:val="005F07A6"/>
    <w:rsid w:val="005F07F7"/>
    <w:rsid w:val="005F07FB"/>
    <w:rsid w:val="005F083C"/>
    <w:rsid w:val="005F0891"/>
    <w:rsid w:val="005F0B3C"/>
    <w:rsid w:val="005F0D4F"/>
    <w:rsid w:val="005F0F9B"/>
    <w:rsid w:val="005F1103"/>
    <w:rsid w:val="005F1353"/>
    <w:rsid w:val="005F140C"/>
    <w:rsid w:val="005F148C"/>
    <w:rsid w:val="005F1553"/>
    <w:rsid w:val="005F168A"/>
    <w:rsid w:val="005F1697"/>
    <w:rsid w:val="005F16F1"/>
    <w:rsid w:val="005F17C4"/>
    <w:rsid w:val="005F1888"/>
    <w:rsid w:val="005F1D2E"/>
    <w:rsid w:val="005F1F84"/>
    <w:rsid w:val="005F21CF"/>
    <w:rsid w:val="005F227B"/>
    <w:rsid w:val="005F25A0"/>
    <w:rsid w:val="005F25B6"/>
    <w:rsid w:val="005F2708"/>
    <w:rsid w:val="005F279F"/>
    <w:rsid w:val="005F293B"/>
    <w:rsid w:val="005F2BE4"/>
    <w:rsid w:val="005F2CC3"/>
    <w:rsid w:val="005F2D1C"/>
    <w:rsid w:val="005F2F2E"/>
    <w:rsid w:val="005F3047"/>
    <w:rsid w:val="005F3159"/>
    <w:rsid w:val="005F3208"/>
    <w:rsid w:val="005F3241"/>
    <w:rsid w:val="005F32A5"/>
    <w:rsid w:val="005F32C6"/>
    <w:rsid w:val="005F3329"/>
    <w:rsid w:val="005F336A"/>
    <w:rsid w:val="005F3466"/>
    <w:rsid w:val="005F35EF"/>
    <w:rsid w:val="005F39A0"/>
    <w:rsid w:val="005F3AFF"/>
    <w:rsid w:val="005F3B08"/>
    <w:rsid w:val="005F3C00"/>
    <w:rsid w:val="005F3EC6"/>
    <w:rsid w:val="005F3F3F"/>
    <w:rsid w:val="005F3F49"/>
    <w:rsid w:val="005F40B7"/>
    <w:rsid w:val="005F4300"/>
    <w:rsid w:val="005F4345"/>
    <w:rsid w:val="005F4434"/>
    <w:rsid w:val="005F44B6"/>
    <w:rsid w:val="005F4604"/>
    <w:rsid w:val="005F4671"/>
    <w:rsid w:val="005F46BF"/>
    <w:rsid w:val="005F4903"/>
    <w:rsid w:val="005F4AFC"/>
    <w:rsid w:val="005F4C09"/>
    <w:rsid w:val="005F4CA7"/>
    <w:rsid w:val="005F4DF7"/>
    <w:rsid w:val="005F4ED8"/>
    <w:rsid w:val="005F4EE4"/>
    <w:rsid w:val="005F4F21"/>
    <w:rsid w:val="005F5308"/>
    <w:rsid w:val="005F5490"/>
    <w:rsid w:val="005F54A4"/>
    <w:rsid w:val="005F5594"/>
    <w:rsid w:val="005F561F"/>
    <w:rsid w:val="005F56E0"/>
    <w:rsid w:val="005F58F4"/>
    <w:rsid w:val="005F5912"/>
    <w:rsid w:val="005F5A0D"/>
    <w:rsid w:val="005F5DF5"/>
    <w:rsid w:val="005F62A8"/>
    <w:rsid w:val="005F6339"/>
    <w:rsid w:val="005F63EF"/>
    <w:rsid w:val="005F64D2"/>
    <w:rsid w:val="005F65D9"/>
    <w:rsid w:val="005F65FA"/>
    <w:rsid w:val="005F6741"/>
    <w:rsid w:val="005F679B"/>
    <w:rsid w:val="005F6BC0"/>
    <w:rsid w:val="005F6C37"/>
    <w:rsid w:val="005F6C45"/>
    <w:rsid w:val="005F6C6B"/>
    <w:rsid w:val="005F6E5C"/>
    <w:rsid w:val="005F6F0E"/>
    <w:rsid w:val="005F6F12"/>
    <w:rsid w:val="005F6F95"/>
    <w:rsid w:val="005F6FB5"/>
    <w:rsid w:val="005F7016"/>
    <w:rsid w:val="005F7043"/>
    <w:rsid w:val="005F70B4"/>
    <w:rsid w:val="005F70C4"/>
    <w:rsid w:val="005F7216"/>
    <w:rsid w:val="005F735E"/>
    <w:rsid w:val="005F7377"/>
    <w:rsid w:val="005F7439"/>
    <w:rsid w:val="005F7557"/>
    <w:rsid w:val="005F7579"/>
    <w:rsid w:val="005F75F4"/>
    <w:rsid w:val="005F7652"/>
    <w:rsid w:val="005F7655"/>
    <w:rsid w:val="005F7949"/>
    <w:rsid w:val="005F7999"/>
    <w:rsid w:val="005F7A51"/>
    <w:rsid w:val="005F7AA1"/>
    <w:rsid w:val="005F7AC8"/>
    <w:rsid w:val="005F7AE2"/>
    <w:rsid w:val="005F7B09"/>
    <w:rsid w:val="005F7BEC"/>
    <w:rsid w:val="005F7BFD"/>
    <w:rsid w:val="005F7C22"/>
    <w:rsid w:val="005F7C9F"/>
    <w:rsid w:val="005F7D30"/>
    <w:rsid w:val="005F7D42"/>
    <w:rsid w:val="005F7D4F"/>
    <w:rsid w:val="005F7D71"/>
    <w:rsid w:val="005F7D9C"/>
    <w:rsid w:val="005F7E17"/>
    <w:rsid w:val="005F7EFF"/>
    <w:rsid w:val="0060004E"/>
    <w:rsid w:val="00600064"/>
    <w:rsid w:val="00600195"/>
    <w:rsid w:val="006002A5"/>
    <w:rsid w:val="006004BF"/>
    <w:rsid w:val="006004EF"/>
    <w:rsid w:val="006006DA"/>
    <w:rsid w:val="006006EE"/>
    <w:rsid w:val="006007FB"/>
    <w:rsid w:val="00600969"/>
    <w:rsid w:val="00600988"/>
    <w:rsid w:val="006009F4"/>
    <w:rsid w:val="00600C4C"/>
    <w:rsid w:val="00600C64"/>
    <w:rsid w:val="00600CD9"/>
    <w:rsid w:val="00600D18"/>
    <w:rsid w:val="00600E55"/>
    <w:rsid w:val="00600E61"/>
    <w:rsid w:val="00600EB6"/>
    <w:rsid w:val="00600ED4"/>
    <w:rsid w:val="00600EDA"/>
    <w:rsid w:val="006011C1"/>
    <w:rsid w:val="0060128C"/>
    <w:rsid w:val="0060139D"/>
    <w:rsid w:val="006013D1"/>
    <w:rsid w:val="006016B5"/>
    <w:rsid w:val="006016B7"/>
    <w:rsid w:val="00601736"/>
    <w:rsid w:val="006017A1"/>
    <w:rsid w:val="006017DD"/>
    <w:rsid w:val="0060192A"/>
    <w:rsid w:val="00601A77"/>
    <w:rsid w:val="00601AB0"/>
    <w:rsid w:val="00601B2C"/>
    <w:rsid w:val="00601D57"/>
    <w:rsid w:val="00601D6B"/>
    <w:rsid w:val="00601FD2"/>
    <w:rsid w:val="00602060"/>
    <w:rsid w:val="00602576"/>
    <w:rsid w:val="00602582"/>
    <w:rsid w:val="006025CF"/>
    <w:rsid w:val="00602645"/>
    <w:rsid w:val="006026B8"/>
    <w:rsid w:val="00602825"/>
    <w:rsid w:val="0060284D"/>
    <w:rsid w:val="006028BC"/>
    <w:rsid w:val="006028C1"/>
    <w:rsid w:val="006028D4"/>
    <w:rsid w:val="00602B12"/>
    <w:rsid w:val="00602B30"/>
    <w:rsid w:val="00602C49"/>
    <w:rsid w:val="00602D3D"/>
    <w:rsid w:val="00602DD3"/>
    <w:rsid w:val="00602DD6"/>
    <w:rsid w:val="00602F6F"/>
    <w:rsid w:val="00602F9E"/>
    <w:rsid w:val="00603100"/>
    <w:rsid w:val="0060312D"/>
    <w:rsid w:val="006031A3"/>
    <w:rsid w:val="006031B7"/>
    <w:rsid w:val="00603297"/>
    <w:rsid w:val="0060350F"/>
    <w:rsid w:val="006036BB"/>
    <w:rsid w:val="00603841"/>
    <w:rsid w:val="0060388C"/>
    <w:rsid w:val="00603943"/>
    <w:rsid w:val="00603952"/>
    <w:rsid w:val="00603A34"/>
    <w:rsid w:val="00603AEC"/>
    <w:rsid w:val="00603B33"/>
    <w:rsid w:val="00603C71"/>
    <w:rsid w:val="00603FFD"/>
    <w:rsid w:val="006040D2"/>
    <w:rsid w:val="00604322"/>
    <w:rsid w:val="006045E2"/>
    <w:rsid w:val="006045FA"/>
    <w:rsid w:val="0060465F"/>
    <w:rsid w:val="006046BC"/>
    <w:rsid w:val="006048BE"/>
    <w:rsid w:val="00604BF1"/>
    <w:rsid w:val="00604D49"/>
    <w:rsid w:val="00604DAE"/>
    <w:rsid w:val="00604F5E"/>
    <w:rsid w:val="00605035"/>
    <w:rsid w:val="006050E2"/>
    <w:rsid w:val="00605167"/>
    <w:rsid w:val="00605316"/>
    <w:rsid w:val="00605341"/>
    <w:rsid w:val="006053FB"/>
    <w:rsid w:val="006053FF"/>
    <w:rsid w:val="0060544C"/>
    <w:rsid w:val="00605462"/>
    <w:rsid w:val="0060558B"/>
    <w:rsid w:val="00605780"/>
    <w:rsid w:val="0060583B"/>
    <w:rsid w:val="00605899"/>
    <w:rsid w:val="006058A0"/>
    <w:rsid w:val="0060597F"/>
    <w:rsid w:val="00605A42"/>
    <w:rsid w:val="00605A63"/>
    <w:rsid w:val="00605F33"/>
    <w:rsid w:val="00605FEC"/>
    <w:rsid w:val="00606227"/>
    <w:rsid w:val="006063A6"/>
    <w:rsid w:val="006065AB"/>
    <w:rsid w:val="006065C9"/>
    <w:rsid w:val="0060674F"/>
    <w:rsid w:val="006067CC"/>
    <w:rsid w:val="006067D3"/>
    <w:rsid w:val="006067DB"/>
    <w:rsid w:val="0060686F"/>
    <w:rsid w:val="0060687A"/>
    <w:rsid w:val="006068BE"/>
    <w:rsid w:val="00606909"/>
    <w:rsid w:val="00606AD8"/>
    <w:rsid w:val="00606BC0"/>
    <w:rsid w:val="00606BE1"/>
    <w:rsid w:val="00606BF9"/>
    <w:rsid w:val="00606C82"/>
    <w:rsid w:val="00606D24"/>
    <w:rsid w:val="00606D28"/>
    <w:rsid w:val="00606DEF"/>
    <w:rsid w:val="0060711A"/>
    <w:rsid w:val="006072EE"/>
    <w:rsid w:val="006072F4"/>
    <w:rsid w:val="00607364"/>
    <w:rsid w:val="00607371"/>
    <w:rsid w:val="00607388"/>
    <w:rsid w:val="00607438"/>
    <w:rsid w:val="006075BF"/>
    <w:rsid w:val="0060765A"/>
    <w:rsid w:val="00607699"/>
    <w:rsid w:val="00607724"/>
    <w:rsid w:val="00607785"/>
    <w:rsid w:val="0060791C"/>
    <w:rsid w:val="006079CD"/>
    <w:rsid w:val="00607A82"/>
    <w:rsid w:val="00607AEF"/>
    <w:rsid w:val="00607BA6"/>
    <w:rsid w:val="00607CF5"/>
    <w:rsid w:val="00607E65"/>
    <w:rsid w:val="00607F25"/>
    <w:rsid w:val="00607FED"/>
    <w:rsid w:val="00610031"/>
    <w:rsid w:val="00610042"/>
    <w:rsid w:val="00610222"/>
    <w:rsid w:val="006105E0"/>
    <w:rsid w:val="006106A4"/>
    <w:rsid w:val="006107AD"/>
    <w:rsid w:val="00610975"/>
    <w:rsid w:val="0061098A"/>
    <w:rsid w:val="006109AD"/>
    <w:rsid w:val="006109FD"/>
    <w:rsid w:val="00610B27"/>
    <w:rsid w:val="00610C51"/>
    <w:rsid w:val="00610C76"/>
    <w:rsid w:val="00610DC3"/>
    <w:rsid w:val="00610F05"/>
    <w:rsid w:val="00610F1F"/>
    <w:rsid w:val="00610F39"/>
    <w:rsid w:val="006110BC"/>
    <w:rsid w:val="006110E3"/>
    <w:rsid w:val="00611256"/>
    <w:rsid w:val="00611376"/>
    <w:rsid w:val="00611388"/>
    <w:rsid w:val="0061155F"/>
    <w:rsid w:val="006115C7"/>
    <w:rsid w:val="00611661"/>
    <w:rsid w:val="00611812"/>
    <w:rsid w:val="00611827"/>
    <w:rsid w:val="0061184F"/>
    <w:rsid w:val="00611964"/>
    <w:rsid w:val="00611B97"/>
    <w:rsid w:val="00611C48"/>
    <w:rsid w:val="00611C5E"/>
    <w:rsid w:val="00611E00"/>
    <w:rsid w:val="00611E71"/>
    <w:rsid w:val="00611EF5"/>
    <w:rsid w:val="00612209"/>
    <w:rsid w:val="00612299"/>
    <w:rsid w:val="006122DD"/>
    <w:rsid w:val="00612445"/>
    <w:rsid w:val="006124C3"/>
    <w:rsid w:val="0061250D"/>
    <w:rsid w:val="00612720"/>
    <w:rsid w:val="006127A4"/>
    <w:rsid w:val="0061298A"/>
    <w:rsid w:val="00612AE6"/>
    <w:rsid w:val="00612AEC"/>
    <w:rsid w:val="00612BD0"/>
    <w:rsid w:val="00612C57"/>
    <w:rsid w:val="00612CCB"/>
    <w:rsid w:val="00612D62"/>
    <w:rsid w:val="00612EF0"/>
    <w:rsid w:val="00612FB1"/>
    <w:rsid w:val="00613293"/>
    <w:rsid w:val="00613428"/>
    <w:rsid w:val="006134AB"/>
    <w:rsid w:val="00613571"/>
    <w:rsid w:val="006135B8"/>
    <w:rsid w:val="00613890"/>
    <w:rsid w:val="006138C5"/>
    <w:rsid w:val="00613ABA"/>
    <w:rsid w:val="00613BB7"/>
    <w:rsid w:val="00613CBC"/>
    <w:rsid w:val="00613D82"/>
    <w:rsid w:val="00613D9C"/>
    <w:rsid w:val="00613E2D"/>
    <w:rsid w:val="00613F5A"/>
    <w:rsid w:val="00613F91"/>
    <w:rsid w:val="0061403E"/>
    <w:rsid w:val="00614137"/>
    <w:rsid w:val="006141A7"/>
    <w:rsid w:val="006142C4"/>
    <w:rsid w:val="006142E4"/>
    <w:rsid w:val="006144EF"/>
    <w:rsid w:val="006145EB"/>
    <w:rsid w:val="0061461E"/>
    <w:rsid w:val="00614776"/>
    <w:rsid w:val="006147E8"/>
    <w:rsid w:val="00614849"/>
    <w:rsid w:val="00614857"/>
    <w:rsid w:val="00614A41"/>
    <w:rsid w:val="00614C03"/>
    <w:rsid w:val="00614CAA"/>
    <w:rsid w:val="00614E31"/>
    <w:rsid w:val="00614E33"/>
    <w:rsid w:val="00614E93"/>
    <w:rsid w:val="00614F65"/>
    <w:rsid w:val="00614F8A"/>
    <w:rsid w:val="0061513B"/>
    <w:rsid w:val="006151CF"/>
    <w:rsid w:val="00615276"/>
    <w:rsid w:val="00615297"/>
    <w:rsid w:val="00615452"/>
    <w:rsid w:val="0061545D"/>
    <w:rsid w:val="0061545E"/>
    <w:rsid w:val="00615651"/>
    <w:rsid w:val="00615724"/>
    <w:rsid w:val="00615731"/>
    <w:rsid w:val="00615764"/>
    <w:rsid w:val="006157D6"/>
    <w:rsid w:val="006158AD"/>
    <w:rsid w:val="0061593D"/>
    <w:rsid w:val="00615AC3"/>
    <w:rsid w:val="00615CEA"/>
    <w:rsid w:val="00615EBE"/>
    <w:rsid w:val="00615F74"/>
    <w:rsid w:val="00615FC4"/>
    <w:rsid w:val="00616157"/>
    <w:rsid w:val="0061630A"/>
    <w:rsid w:val="00616376"/>
    <w:rsid w:val="006166E5"/>
    <w:rsid w:val="006168F7"/>
    <w:rsid w:val="00616928"/>
    <w:rsid w:val="0061698C"/>
    <w:rsid w:val="00616A3B"/>
    <w:rsid w:val="00616B26"/>
    <w:rsid w:val="00616B70"/>
    <w:rsid w:val="00616CE0"/>
    <w:rsid w:val="00616E3C"/>
    <w:rsid w:val="00616F4B"/>
    <w:rsid w:val="0061707B"/>
    <w:rsid w:val="0061716E"/>
    <w:rsid w:val="0061719D"/>
    <w:rsid w:val="00617269"/>
    <w:rsid w:val="00617532"/>
    <w:rsid w:val="0061769E"/>
    <w:rsid w:val="00617752"/>
    <w:rsid w:val="006177B3"/>
    <w:rsid w:val="00617806"/>
    <w:rsid w:val="00617882"/>
    <w:rsid w:val="00617904"/>
    <w:rsid w:val="00617978"/>
    <w:rsid w:val="006179C1"/>
    <w:rsid w:val="006179E0"/>
    <w:rsid w:val="00617CA1"/>
    <w:rsid w:val="00617D5E"/>
    <w:rsid w:val="00617D7B"/>
    <w:rsid w:val="00617E98"/>
    <w:rsid w:val="00617EB7"/>
    <w:rsid w:val="00617F35"/>
    <w:rsid w:val="00617FD2"/>
    <w:rsid w:val="006200B1"/>
    <w:rsid w:val="006200D6"/>
    <w:rsid w:val="00620187"/>
    <w:rsid w:val="00620449"/>
    <w:rsid w:val="0062056D"/>
    <w:rsid w:val="0062056F"/>
    <w:rsid w:val="00620572"/>
    <w:rsid w:val="006205E4"/>
    <w:rsid w:val="0062060D"/>
    <w:rsid w:val="006206CF"/>
    <w:rsid w:val="006206FD"/>
    <w:rsid w:val="00620758"/>
    <w:rsid w:val="006207A4"/>
    <w:rsid w:val="006207DE"/>
    <w:rsid w:val="0062091C"/>
    <w:rsid w:val="00620A8B"/>
    <w:rsid w:val="00620B52"/>
    <w:rsid w:val="00620BE1"/>
    <w:rsid w:val="00620BEA"/>
    <w:rsid w:val="00620CB9"/>
    <w:rsid w:val="00620CFF"/>
    <w:rsid w:val="00620DD5"/>
    <w:rsid w:val="00620E97"/>
    <w:rsid w:val="00621260"/>
    <w:rsid w:val="0062126C"/>
    <w:rsid w:val="006213B1"/>
    <w:rsid w:val="0062143D"/>
    <w:rsid w:val="00621503"/>
    <w:rsid w:val="0062157A"/>
    <w:rsid w:val="00621790"/>
    <w:rsid w:val="006218A6"/>
    <w:rsid w:val="00621AD1"/>
    <w:rsid w:val="00621B58"/>
    <w:rsid w:val="00621C9E"/>
    <w:rsid w:val="00621D10"/>
    <w:rsid w:val="00621DB4"/>
    <w:rsid w:val="00622041"/>
    <w:rsid w:val="006220CA"/>
    <w:rsid w:val="006222C8"/>
    <w:rsid w:val="006223FA"/>
    <w:rsid w:val="006224B1"/>
    <w:rsid w:val="00622626"/>
    <w:rsid w:val="0062279F"/>
    <w:rsid w:val="00622A60"/>
    <w:rsid w:val="00622AB7"/>
    <w:rsid w:val="00622C1B"/>
    <w:rsid w:val="00622DAA"/>
    <w:rsid w:val="00622E86"/>
    <w:rsid w:val="00622F91"/>
    <w:rsid w:val="0062309A"/>
    <w:rsid w:val="0062323C"/>
    <w:rsid w:val="0062355F"/>
    <w:rsid w:val="00623567"/>
    <w:rsid w:val="00623570"/>
    <w:rsid w:val="006235E6"/>
    <w:rsid w:val="006236C8"/>
    <w:rsid w:val="00623804"/>
    <w:rsid w:val="00623823"/>
    <w:rsid w:val="006238FF"/>
    <w:rsid w:val="00623966"/>
    <w:rsid w:val="00623994"/>
    <w:rsid w:val="00623A2B"/>
    <w:rsid w:val="00623BF8"/>
    <w:rsid w:val="00623E5B"/>
    <w:rsid w:val="00623F53"/>
    <w:rsid w:val="00623F83"/>
    <w:rsid w:val="00623FED"/>
    <w:rsid w:val="006240F2"/>
    <w:rsid w:val="00624114"/>
    <w:rsid w:val="00624189"/>
    <w:rsid w:val="006242F8"/>
    <w:rsid w:val="00624323"/>
    <w:rsid w:val="0062436B"/>
    <w:rsid w:val="006244A3"/>
    <w:rsid w:val="006244E0"/>
    <w:rsid w:val="006248E3"/>
    <w:rsid w:val="006248E5"/>
    <w:rsid w:val="00624A81"/>
    <w:rsid w:val="00624B48"/>
    <w:rsid w:val="00624C30"/>
    <w:rsid w:val="0062515C"/>
    <w:rsid w:val="0062516D"/>
    <w:rsid w:val="006251CB"/>
    <w:rsid w:val="00625205"/>
    <w:rsid w:val="00625214"/>
    <w:rsid w:val="00625311"/>
    <w:rsid w:val="00625412"/>
    <w:rsid w:val="0062564C"/>
    <w:rsid w:val="006256B0"/>
    <w:rsid w:val="006256C7"/>
    <w:rsid w:val="00625788"/>
    <w:rsid w:val="0062581A"/>
    <w:rsid w:val="006258AB"/>
    <w:rsid w:val="006258FF"/>
    <w:rsid w:val="00625964"/>
    <w:rsid w:val="00625B9E"/>
    <w:rsid w:val="00625C24"/>
    <w:rsid w:val="00625E47"/>
    <w:rsid w:val="00625EDF"/>
    <w:rsid w:val="00626160"/>
    <w:rsid w:val="006262F1"/>
    <w:rsid w:val="006262F3"/>
    <w:rsid w:val="006262FE"/>
    <w:rsid w:val="00626445"/>
    <w:rsid w:val="0062661D"/>
    <w:rsid w:val="006267F5"/>
    <w:rsid w:val="006268AF"/>
    <w:rsid w:val="006268C5"/>
    <w:rsid w:val="0062692F"/>
    <w:rsid w:val="00626A88"/>
    <w:rsid w:val="00626AF5"/>
    <w:rsid w:val="00626CB6"/>
    <w:rsid w:val="00626F2E"/>
    <w:rsid w:val="00626F4B"/>
    <w:rsid w:val="00627080"/>
    <w:rsid w:val="0062725A"/>
    <w:rsid w:val="00627261"/>
    <w:rsid w:val="00627432"/>
    <w:rsid w:val="00627529"/>
    <w:rsid w:val="006275E6"/>
    <w:rsid w:val="0062768D"/>
    <w:rsid w:val="00627735"/>
    <w:rsid w:val="0062774B"/>
    <w:rsid w:val="0062780F"/>
    <w:rsid w:val="00627832"/>
    <w:rsid w:val="00627902"/>
    <w:rsid w:val="00627929"/>
    <w:rsid w:val="006279AF"/>
    <w:rsid w:val="00627B2A"/>
    <w:rsid w:val="00627B5E"/>
    <w:rsid w:val="00627BCE"/>
    <w:rsid w:val="00627CBC"/>
    <w:rsid w:val="00627DA5"/>
    <w:rsid w:val="00627E26"/>
    <w:rsid w:val="006300E9"/>
    <w:rsid w:val="0063043B"/>
    <w:rsid w:val="00630672"/>
    <w:rsid w:val="006307C6"/>
    <w:rsid w:val="00630820"/>
    <w:rsid w:val="00630896"/>
    <w:rsid w:val="00630983"/>
    <w:rsid w:val="00630B17"/>
    <w:rsid w:val="00630CF0"/>
    <w:rsid w:val="00630EF7"/>
    <w:rsid w:val="006312D5"/>
    <w:rsid w:val="006312F8"/>
    <w:rsid w:val="006312FD"/>
    <w:rsid w:val="00631394"/>
    <w:rsid w:val="006313A5"/>
    <w:rsid w:val="00631424"/>
    <w:rsid w:val="00631514"/>
    <w:rsid w:val="006316F7"/>
    <w:rsid w:val="006317D3"/>
    <w:rsid w:val="00631886"/>
    <w:rsid w:val="00631B9B"/>
    <w:rsid w:val="00631D19"/>
    <w:rsid w:val="00631D72"/>
    <w:rsid w:val="00631E3B"/>
    <w:rsid w:val="00631F38"/>
    <w:rsid w:val="00632044"/>
    <w:rsid w:val="00632140"/>
    <w:rsid w:val="00632143"/>
    <w:rsid w:val="0063228C"/>
    <w:rsid w:val="006322F3"/>
    <w:rsid w:val="006323CF"/>
    <w:rsid w:val="0063240F"/>
    <w:rsid w:val="0063241F"/>
    <w:rsid w:val="00632457"/>
    <w:rsid w:val="006324CA"/>
    <w:rsid w:val="0063279A"/>
    <w:rsid w:val="0063279C"/>
    <w:rsid w:val="00632A6C"/>
    <w:rsid w:val="00632AB6"/>
    <w:rsid w:val="00632BBB"/>
    <w:rsid w:val="00632E03"/>
    <w:rsid w:val="00632F83"/>
    <w:rsid w:val="00632FC4"/>
    <w:rsid w:val="00633137"/>
    <w:rsid w:val="00633261"/>
    <w:rsid w:val="0063329E"/>
    <w:rsid w:val="00633495"/>
    <w:rsid w:val="0063350A"/>
    <w:rsid w:val="0063361B"/>
    <w:rsid w:val="00633641"/>
    <w:rsid w:val="00633665"/>
    <w:rsid w:val="006336B1"/>
    <w:rsid w:val="006336B2"/>
    <w:rsid w:val="0063371F"/>
    <w:rsid w:val="00633827"/>
    <w:rsid w:val="00633A2E"/>
    <w:rsid w:val="00633A6A"/>
    <w:rsid w:val="00633A9D"/>
    <w:rsid w:val="00633AB6"/>
    <w:rsid w:val="00633BAD"/>
    <w:rsid w:val="00633CC9"/>
    <w:rsid w:val="00633D66"/>
    <w:rsid w:val="006340C0"/>
    <w:rsid w:val="006340C9"/>
    <w:rsid w:val="00634277"/>
    <w:rsid w:val="006342CD"/>
    <w:rsid w:val="006342E9"/>
    <w:rsid w:val="006343AA"/>
    <w:rsid w:val="006343D4"/>
    <w:rsid w:val="00634523"/>
    <w:rsid w:val="0063475A"/>
    <w:rsid w:val="006347F7"/>
    <w:rsid w:val="00634892"/>
    <w:rsid w:val="00634906"/>
    <w:rsid w:val="00634945"/>
    <w:rsid w:val="00634A77"/>
    <w:rsid w:val="00634A9D"/>
    <w:rsid w:val="00634DB2"/>
    <w:rsid w:val="00634EE8"/>
    <w:rsid w:val="00634F6F"/>
    <w:rsid w:val="00634F72"/>
    <w:rsid w:val="00634FB2"/>
    <w:rsid w:val="00635077"/>
    <w:rsid w:val="006350A1"/>
    <w:rsid w:val="00635149"/>
    <w:rsid w:val="006352C4"/>
    <w:rsid w:val="00635550"/>
    <w:rsid w:val="00635573"/>
    <w:rsid w:val="006356D0"/>
    <w:rsid w:val="006357DB"/>
    <w:rsid w:val="00635899"/>
    <w:rsid w:val="00635908"/>
    <w:rsid w:val="0063597D"/>
    <w:rsid w:val="006359F6"/>
    <w:rsid w:val="00635AED"/>
    <w:rsid w:val="00635C4A"/>
    <w:rsid w:val="00635D42"/>
    <w:rsid w:val="00635FC6"/>
    <w:rsid w:val="00636003"/>
    <w:rsid w:val="00636146"/>
    <w:rsid w:val="0063619B"/>
    <w:rsid w:val="0063640D"/>
    <w:rsid w:val="00636449"/>
    <w:rsid w:val="0063644A"/>
    <w:rsid w:val="00636A43"/>
    <w:rsid w:val="00636A73"/>
    <w:rsid w:val="00636AB3"/>
    <w:rsid w:val="00636B98"/>
    <w:rsid w:val="00636B9F"/>
    <w:rsid w:val="00636C27"/>
    <w:rsid w:val="00636C88"/>
    <w:rsid w:val="00636CEC"/>
    <w:rsid w:val="00636D1D"/>
    <w:rsid w:val="0063705E"/>
    <w:rsid w:val="0063707C"/>
    <w:rsid w:val="00637131"/>
    <w:rsid w:val="0063713E"/>
    <w:rsid w:val="00637156"/>
    <w:rsid w:val="006371F4"/>
    <w:rsid w:val="00637202"/>
    <w:rsid w:val="006372AE"/>
    <w:rsid w:val="0063732E"/>
    <w:rsid w:val="0063736B"/>
    <w:rsid w:val="00637684"/>
    <w:rsid w:val="0063778E"/>
    <w:rsid w:val="006377C5"/>
    <w:rsid w:val="0063786D"/>
    <w:rsid w:val="00637876"/>
    <w:rsid w:val="00637B01"/>
    <w:rsid w:val="00637BA4"/>
    <w:rsid w:val="00637BBA"/>
    <w:rsid w:val="00637C7A"/>
    <w:rsid w:val="00637D8A"/>
    <w:rsid w:val="00637E03"/>
    <w:rsid w:val="00637FB2"/>
    <w:rsid w:val="0064017A"/>
    <w:rsid w:val="00640180"/>
    <w:rsid w:val="00640182"/>
    <w:rsid w:val="0064036E"/>
    <w:rsid w:val="006403D1"/>
    <w:rsid w:val="00640563"/>
    <w:rsid w:val="0064060F"/>
    <w:rsid w:val="00640611"/>
    <w:rsid w:val="006407C4"/>
    <w:rsid w:val="00640BFB"/>
    <w:rsid w:val="00640C1D"/>
    <w:rsid w:val="00640E6D"/>
    <w:rsid w:val="00640F7A"/>
    <w:rsid w:val="00640FB5"/>
    <w:rsid w:val="00641005"/>
    <w:rsid w:val="0064107E"/>
    <w:rsid w:val="00641160"/>
    <w:rsid w:val="00641252"/>
    <w:rsid w:val="00641255"/>
    <w:rsid w:val="006413F5"/>
    <w:rsid w:val="00641414"/>
    <w:rsid w:val="00641423"/>
    <w:rsid w:val="0064143E"/>
    <w:rsid w:val="00641453"/>
    <w:rsid w:val="00641561"/>
    <w:rsid w:val="00641962"/>
    <w:rsid w:val="00641B4F"/>
    <w:rsid w:val="00641C07"/>
    <w:rsid w:val="00641D1F"/>
    <w:rsid w:val="00641D38"/>
    <w:rsid w:val="00641D79"/>
    <w:rsid w:val="00641D97"/>
    <w:rsid w:val="00641E1D"/>
    <w:rsid w:val="00641E80"/>
    <w:rsid w:val="00641EDA"/>
    <w:rsid w:val="00641F87"/>
    <w:rsid w:val="00641F96"/>
    <w:rsid w:val="00642027"/>
    <w:rsid w:val="0064203D"/>
    <w:rsid w:val="006420A0"/>
    <w:rsid w:val="00642156"/>
    <w:rsid w:val="00642202"/>
    <w:rsid w:val="0064221C"/>
    <w:rsid w:val="006422FC"/>
    <w:rsid w:val="00642329"/>
    <w:rsid w:val="006424C6"/>
    <w:rsid w:val="006426AC"/>
    <w:rsid w:val="006426D8"/>
    <w:rsid w:val="006427A4"/>
    <w:rsid w:val="0064281D"/>
    <w:rsid w:val="00642944"/>
    <w:rsid w:val="00642A38"/>
    <w:rsid w:val="00642D24"/>
    <w:rsid w:val="00642E1B"/>
    <w:rsid w:val="00642EBF"/>
    <w:rsid w:val="00643006"/>
    <w:rsid w:val="00643088"/>
    <w:rsid w:val="0064315B"/>
    <w:rsid w:val="00643179"/>
    <w:rsid w:val="0064331B"/>
    <w:rsid w:val="006433E4"/>
    <w:rsid w:val="00643515"/>
    <w:rsid w:val="00643728"/>
    <w:rsid w:val="006437FD"/>
    <w:rsid w:val="00643849"/>
    <w:rsid w:val="00643A47"/>
    <w:rsid w:val="00643A6B"/>
    <w:rsid w:val="00643BA2"/>
    <w:rsid w:val="00643BEC"/>
    <w:rsid w:val="00643D64"/>
    <w:rsid w:val="00643D8B"/>
    <w:rsid w:val="00643E65"/>
    <w:rsid w:val="00643FE7"/>
    <w:rsid w:val="00643FEB"/>
    <w:rsid w:val="006441ED"/>
    <w:rsid w:val="0064436A"/>
    <w:rsid w:val="00644634"/>
    <w:rsid w:val="006446B2"/>
    <w:rsid w:val="006446FA"/>
    <w:rsid w:val="00644710"/>
    <w:rsid w:val="006447B4"/>
    <w:rsid w:val="0064480A"/>
    <w:rsid w:val="00644848"/>
    <w:rsid w:val="006449E8"/>
    <w:rsid w:val="00644C14"/>
    <w:rsid w:val="00644D42"/>
    <w:rsid w:val="00644EDE"/>
    <w:rsid w:val="00644FFF"/>
    <w:rsid w:val="006450DF"/>
    <w:rsid w:val="0064520A"/>
    <w:rsid w:val="0064546A"/>
    <w:rsid w:val="0064567B"/>
    <w:rsid w:val="006457A5"/>
    <w:rsid w:val="00645A22"/>
    <w:rsid w:val="00645CA2"/>
    <w:rsid w:val="00645CC6"/>
    <w:rsid w:val="00645CF3"/>
    <w:rsid w:val="00645E10"/>
    <w:rsid w:val="00645E5F"/>
    <w:rsid w:val="006460EC"/>
    <w:rsid w:val="00646165"/>
    <w:rsid w:val="006462B6"/>
    <w:rsid w:val="006462F5"/>
    <w:rsid w:val="00646387"/>
    <w:rsid w:val="006464A0"/>
    <w:rsid w:val="006467AD"/>
    <w:rsid w:val="006467DF"/>
    <w:rsid w:val="006468C2"/>
    <w:rsid w:val="006468D2"/>
    <w:rsid w:val="006468D6"/>
    <w:rsid w:val="00646A48"/>
    <w:rsid w:val="00646B01"/>
    <w:rsid w:val="00646BA9"/>
    <w:rsid w:val="00646C3B"/>
    <w:rsid w:val="00646DA8"/>
    <w:rsid w:val="00646DEB"/>
    <w:rsid w:val="00646E8B"/>
    <w:rsid w:val="00646EFA"/>
    <w:rsid w:val="00646F45"/>
    <w:rsid w:val="00646F71"/>
    <w:rsid w:val="00647406"/>
    <w:rsid w:val="00647424"/>
    <w:rsid w:val="00647431"/>
    <w:rsid w:val="0064757D"/>
    <w:rsid w:val="00647590"/>
    <w:rsid w:val="006475A7"/>
    <w:rsid w:val="00647621"/>
    <w:rsid w:val="00647849"/>
    <w:rsid w:val="006478B9"/>
    <w:rsid w:val="006478DB"/>
    <w:rsid w:val="0064794B"/>
    <w:rsid w:val="00647B6D"/>
    <w:rsid w:val="00647BA4"/>
    <w:rsid w:val="00647D0D"/>
    <w:rsid w:val="00647D61"/>
    <w:rsid w:val="00647D71"/>
    <w:rsid w:val="00647EA6"/>
    <w:rsid w:val="00647EB4"/>
    <w:rsid w:val="00647EF8"/>
    <w:rsid w:val="00647EFD"/>
    <w:rsid w:val="00647F34"/>
    <w:rsid w:val="00650136"/>
    <w:rsid w:val="00650228"/>
    <w:rsid w:val="0065023D"/>
    <w:rsid w:val="00650379"/>
    <w:rsid w:val="00650436"/>
    <w:rsid w:val="00650463"/>
    <w:rsid w:val="006506F0"/>
    <w:rsid w:val="0065071B"/>
    <w:rsid w:val="006508DA"/>
    <w:rsid w:val="00650953"/>
    <w:rsid w:val="00650A4B"/>
    <w:rsid w:val="00650B64"/>
    <w:rsid w:val="00650CAE"/>
    <w:rsid w:val="00650DAB"/>
    <w:rsid w:val="006511D8"/>
    <w:rsid w:val="00651310"/>
    <w:rsid w:val="0065132A"/>
    <w:rsid w:val="00651369"/>
    <w:rsid w:val="00651459"/>
    <w:rsid w:val="00651485"/>
    <w:rsid w:val="0065156F"/>
    <w:rsid w:val="0065160B"/>
    <w:rsid w:val="00651621"/>
    <w:rsid w:val="006516C1"/>
    <w:rsid w:val="0065173C"/>
    <w:rsid w:val="006517A7"/>
    <w:rsid w:val="00651AB3"/>
    <w:rsid w:val="00651B99"/>
    <w:rsid w:val="00651F0A"/>
    <w:rsid w:val="00651F2D"/>
    <w:rsid w:val="006520CC"/>
    <w:rsid w:val="006520E0"/>
    <w:rsid w:val="00652272"/>
    <w:rsid w:val="006523AD"/>
    <w:rsid w:val="006524BB"/>
    <w:rsid w:val="00652583"/>
    <w:rsid w:val="00652778"/>
    <w:rsid w:val="006527BA"/>
    <w:rsid w:val="00652A7E"/>
    <w:rsid w:val="00652B23"/>
    <w:rsid w:val="00652B7B"/>
    <w:rsid w:val="00652D45"/>
    <w:rsid w:val="00653058"/>
    <w:rsid w:val="00653383"/>
    <w:rsid w:val="00653396"/>
    <w:rsid w:val="006533DA"/>
    <w:rsid w:val="006535A6"/>
    <w:rsid w:val="00653617"/>
    <w:rsid w:val="0065363A"/>
    <w:rsid w:val="006536AC"/>
    <w:rsid w:val="00653724"/>
    <w:rsid w:val="0065376F"/>
    <w:rsid w:val="00653774"/>
    <w:rsid w:val="00653852"/>
    <w:rsid w:val="00653875"/>
    <w:rsid w:val="00653A1E"/>
    <w:rsid w:val="00653B3C"/>
    <w:rsid w:val="00653B70"/>
    <w:rsid w:val="00653B97"/>
    <w:rsid w:val="00653E5F"/>
    <w:rsid w:val="00654001"/>
    <w:rsid w:val="0065401A"/>
    <w:rsid w:val="00654376"/>
    <w:rsid w:val="006544FC"/>
    <w:rsid w:val="0065451B"/>
    <w:rsid w:val="006548A0"/>
    <w:rsid w:val="006548CB"/>
    <w:rsid w:val="006548DF"/>
    <w:rsid w:val="006548F5"/>
    <w:rsid w:val="00654979"/>
    <w:rsid w:val="00654C31"/>
    <w:rsid w:val="00654CCC"/>
    <w:rsid w:val="00654E7A"/>
    <w:rsid w:val="00654ED7"/>
    <w:rsid w:val="00654EE5"/>
    <w:rsid w:val="00654F2E"/>
    <w:rsid w:val="00654FB4"/>
    <w:rsid w:val="00654FF2"/>
    <w:rsid w:val="0065508E"/>
    <w:rsid w:val="006550E8"/>
    <w:rsid w:val="006551DF"/>
    <w:rsid w:val="0065525D"/>
    <w:rsid w:val="0065553C"/>
    <w:rsid w:val="0065556E"/>
    <w:rsid w:val="006555D2"/>
    <w:rsid w:val="00655759"/>
    <w:rsid w:val="0065576C"/>
    <w:rsid w:val="00655821"/>
    <w:rsid w:val="00655A16"/>
    <w:rsid w:val="00655B1C"/>
    <w:rsid w:val="00655B8C"/>
    <w:rsid w:val="00655C3B"/>
    <w:rsid w:val="00655DE5"/>
    <w:rsid w:val="00655F0B"/>
    <w:rsid w:val="00655FD5"/>
    <w:rsid w:val="006560AE"/>
    <w:rsid w:val="006560FE"/>
    <w:rsid w:val="006561AB"/>
    <w:rsid w:val="006561F7"/>
    <w:rsid w:val="00656231"/>
    <w:rsid w:val="00656270"/>
    <w:rsid w:val="0065631A"/>
    <w:rsid w:val="00656424"/>
    <w:rsid w:val="00656549"/>
    <w:rsid w:val="0065665C"/>
    <w:rsid w:val="006566E8"/>
    <w:rsid w:val="00656747"/>
    <w:rsid w:val="00656767"/>
    <w:rsid w:val="0065683A"/>
    <w:rsid w:val="00656888"/>
    <w:rsid w:val="00656959"/>
    <w:rsid w:val="0065696E"/>
    <w:rsid w:val="006569B0"/>
    <w:rsid w:val="006569B8"/>
    <w:rsid w:val="00656C34"/>
    <w:rsid w:val="00656EB3"/>
    <w:rsid w:val="00657025"/>
    <w:rsid w:val="006570F4"/>
    <w:rsid w:val="0065711E"/>
    <w:rsid w:val="006571EC"/>
    <w:rsid w:val="00657211"/>
    <w:rsid w:val="00657235"/>
    <w:rsid w:val="0065726B"/>
    <w:rsid w:val="006572D9"/>
    <w:rsid w:val="006573A1"/>
    <w:rsid w:val="006573C2"/>
    <w:rsid w:val="00657429"/>
    <w:rsid w:val="00657671"/>
    <w:rsid w:val="00657890"/>
    <w:rsid w:val="0065795B"/>
    <w:rsid w:val="00657A1B"/>
    <w:rsid w:val="00657A67"/>
    <w:rsid w:val="00657A86"/>
    <w:rsid w:val="00657ADD"/>
    <w:rsid w:val="00657D04"/>
    <w:rsid w:val="00657D13"/>
    <w:rsid w:val="00657D32"/>
    <w:rsid w:val="00657DA5"/>
    <w:rsid w:val="00657EC2"/>
    <w:rsid w:val="00657FAE"/>
    <w:rsid w:val="0065C0EB"/>
    <w:rsid w:val="0066002D"/>
    <w:rsid w:val="00660190"/>
    <w:rsid w:val="00660231"/>
    <w:rsid w:val="006603A8"/>
    <w:rsid w:val="006604C6"/>
    <w:rsid w:val="006605D7"/>
    <w:rsid w:val="006606B7"/>
    <w:rsid w:val="006608E6"/>
    <w:rsid w:val="00660B08"/>
    <w:rsid w:val="00660B93"/>
    <w:rsid w:val="00660C93"/>
    <w:rsid w:val="00660CB4"/>
    <w:rsid w:val="00660D28"/>
    <w:rsid w:val="00660E39"/>
    <w:rsid w:val="00660FEC"/>
    <w:rsid w:val="00661049"/>
    <w:rsid w:val="00661199"/>
    <w:rsid w:val="006611C3"/>
    <w:rsid w:val="0066120D"/>
    <w:rsid w:val="006612F4"/>
    <w:rsid w:val="00661492"/>
    <w:rsid w:val="006614B3"/>
    <w:rsid w:val="00661554"/>
    <w:rsid w:val="006615EB"/>
    <w:rsid w:val="00661841"/>
    <w:rsid w:val="006618A6"/>
    <w:rsid w:val="00661962"/>
    <w:rsid w:val="00661969"/>
    <w:rsid w:val="00661988"/>
    <w:rsid w:val="00661BB4"/>
    <w:rsid w:val="00661CD5"/>
    <w:rsid w:val="00661D52"/>
    <w:rsid w:val="00661DA9"/>
    <w:rsid w:val="0066221A"/>
    <w:rsid w:val="00662242"/>
    <w:rsid w:val="006624A8"/>
    <w:rsid w:val="0066257F"/>
    <w:rsid w:val="00662639"/>
    <w:rsid w:val="006626EC"/>
    <w:rsid w:val="00662921"/>
    <w:rsid w:val="00662978"/>
    <w:rsid w:val="00662A7E"/>
    <w:rsid w:val="00662AB1"/>
    <w:rsid w:val="00662B1C"/>
    <w:rsid w:val="00662BCC"/>
    <w:rsid w:val="00662CF8"/>
    <w:rsid w:val="00662E70"/>
    <w:rsid w:val="00663076"/>
    <w:rsid w:val="00663274"/>
    <w:rsid w:val="006632D9"/>
    <w:rsid w:val="0066365A"/>
    <w:rsid w:val="0066388D"/>
    <w:rsid w:val="006638B3"/>
    <w:rsid w:val="006639C2"/>
    <w:rsid w:val="00663A84"/>
    <w:rsid w:val="00663AB9"/>
    <w:rsid w:val="00663B85"/>
    <w:rsid w:val="00663DA2"/>
    <w:rsid w:val="00663F55"/>
    <w:rsid w:val="00663F76"/>
    <w:rsid w:val="00664057"/>
    <w:rsid w:val="006641A2"/>
    <w:rsid w:val="0066445E"/>
    <w:rsid w:val="00664549"/>
    <w:rsid w:val="006647A9"/>
    <w:rsid w:val="006647C1"/>
    <w:rsid w:val="00664A93"/>
    <w:rsid w:val="00664AE4"/>
    <w:rsid w:val="00664C44"/>
    <w:rsid w:val="00664D04"/>
    <w:rsid w:val="00665078"/>
    <w:rsid w:val="00665084"/>
    <w:rsid w:val="00665146"/>
    <w:rsid w:val="006651CA"/>
    <w:rsid w:val="006651F4"/>
    <w:rsid w:val="006656F2"/>
    <w:rsid w:val="00665702"/>
    <w:rsid w:val="006657FF"/>
    <w:rsid w:val="0066581A"/>
    <w:rsid w:val="006658CB"/>
    <w:rsid w:val="0066594E"/>
    <w:rsid w:val="0066595D"/>
    <w:rsid w:val="00665A6D"/>
    <w:rsid w:val="00665B83"/>
    <w:rsid w:val="00665C87"/>
    <w:rsid w:val="00665CE1"/>
    <w:rsid w:val="00666194"/>
    <w:rsid w:val="0066627E"/>
    <w:rsid w:val="006664CB"/>
    <w:rsid w:val="006664EE"/>
    <w:rsid w:val="0066650E"/>
    <w:rsid w:val="0066684C"/>
    <w:rsid w:val="00666918"/>
    <w:rsid w:val="006669CF"/>
    <w:rsid w:val="006669E9"/>
    <w:rsid w:val="00666A64"/>
    <w:rsid w:val="00666ACE"/>
    <w:rsid w:val="00666BF9"/>
    <w:rsid w:val="00666BFA"/>
    <w:rsid w:val="00666DA4"/>
    <w:rsid w:val="00666DC8"/>
    <w:rsid w:val="00666E2A"/>
    <w:rsid w:val="00666EC6"/>
    <w:rsid w:val="00666EE4"/>
    <w:rsid w:val="00666F7F"/>
    <w:rsid w:val="00666FC7"/>
    <w:rsid w:val="0066709D"/>
    <w:rsid w:val="006670DE"/>
    <w:rsid w:val="00667161"/>
    <w:rsid w:val="0066721B"/>
    <w:rsid w:val="00667287"/>
    <w:rsid w:val="00667383"/>
    <w:rsid w:val="0066748E"/>
    <w:rsid w:val="0066754D"/>
    <w:rsid w:val="0066763C"/>
    <w:rsid w:val="00667710"/>
    <w:rsid w:val="006678AE"/>
    <w:rsid w:val="006678BC"/>
    <w:rsid w:val="00667B2C"/>
    <w:rsid w:val="00667BAB"/>
    <w:rsid w:val="00667BC8"/>
    <w:rsid w:val="00667BE6"/>
    <w:rsid w:val="00667D09"/>
    <w:rsid w:val="00667D30"/>
    <w:rsid w:val="00667DBA"/>
    <w:rsid w:val="00667DEF"/>
    <w:rsid w:val="00667E21"/>
    <w:rsid w:val="0066F844"/>
    <w:rsid w:val="0067011F"/>
    <w:rsid w:val="00670313"/>
    <w:rsid w:val="0067035A"/>
    <w:rsid w:val="006703BB"/>
    <w:rsid w:val="00670547"/>
    <w:rsid w:val="006706C0"/>
    <w:rsid w:val="0067072A"/>
    <w:rsid w:val="0067074D"/>
    <w:rsid w:val="006708D6"/>
    <w:rsid w:val="006708DE"/>
    <w:rsid w:val="006709F3"/>
    <w:rsid w:val="00670B37"/>
    <w:rsid w:val="00670BAB"/>
    <w:rsid w:val="00670BB5"/>
    <w:rsid w:val="00670E56"/>
    <w:rsid w:val="00670E5B"/>
    <w:rsid w:val="00670FDC"/>
    <w:rsid w:val="0067103A"/>
    <w:rsid w:val="0067104D"/>
    <w:rsid w:val="006711D8"/>
    <w:rsid w:val="00671326"/>
    <w:rsid w:val="006713B1"/>
    <w:rsid w:val="006713ED"/>
    <w:rsid w:val="006715BB"/>
    <w:rsid w:val="006716A8"/>
    <w:rsid w:val="0067185B"/>
    <w:rsid w:val="00671B59"/>
    <w:rsid w:val="00671BAC"/>
    <w:rsid w:val="00671C08"/>
    <w:rsid w:val="00671D31"/>
    <w:rsid w:val="00671D3C"/>
    <w:rsid w:val="00671D63"/>
    <w:rsid w:val="00671DDA"/>
    <w:rsid w:val="00671E2F"/>
    <w:rsid w:val="00671E38"/>
    <w:rsid w:val="00671E77"/>
    <w:rsid w:val="00671F9D"/>
    <w:rsid w:val="00671FCC"/>
    <w:rsid w:val="00672096"/>
    <w:rsid w:val="00672419"/>
    <w:rsid w:val="00672436"/>
    <w:rsid w:val="006724D0"/>
    <w:rsid w:val="0067256D"/>
    <w:rsid w:val="00672753"/>
    <w:rsid w:val="006727E1"/>
    <w:rsid w:val="006727FE"/>
    <w:rsid w:val="0067299D"/>
    <w:rsid w:val="00672A8C"/>
    <w:rsid w:val="00672BF7"/>
    <w:rsid w:val="00672CBF"/>
    <w:rsid w:val="00672CF6"/>
    <w:rsid w:val="00672E8A"/>
    <w:rsid w:val="006730E8"/>
    <w:rsid w:val="0067315C"/>
    <w:rsid w:val="006731D3"/>
    <w:rsid w:val="006733A8"/>
    <w:rsid w:val="006734D7"/>
    <w:rsid w:val="00673717"/>
    <w:rsid w:val="006737D0"/>
    <w:rsid w:val="00673847"/>
    <w:rsid w:val="006738E3"/>
    <w:rsid w:val="00673A18"/>
    <w:rsid w:val="00673BDF"/>
    <w:rsid w:val="00673D48"/>
    <w:rsid w:val="00673D50"/>
    <w:rsid w:val="00673DC6"/>
    <w:rsid w:val="00673E0D"/>
    <w:rsid w:val="00673F42"/>
    <w:rsid w:val="00673FE9"/>
    <w:rsid w:val="00674037"/>
    <w:rsid w:val="006742FB"/>
    <w:rsid w:val="00674376"/>
    <w:rsid w:val="006743E6"/>
    <w:rsid w:val="0067446D"/>
    <w:rsid w:val="006744BE"/>
    <w:rsid w:val="00674760"/>
    <w:rsid w:val="00674815"/>
    <w:rsid w:val="00674D2A"/>
    <w:rsid w:val="00674D8A"/>
    <w:rsid w:val="00674E13"/>
    <w:rsid w:val="00675165"/>
    <w:rsid w:val="00675284"/>
    <w:rsid w:val="00675480"/>
    <w:rsid w:val="006754AD"/>
    <w:rsid w:val="00675561"/>
    <w:rsid w:val="006756ED"/>
    <w:rsid w:val="00675704"/>
    <w:rsid w:val="006757AD"/>
    <w:rsid w:val="006758AA"/>
    <w:rsid w:val="006759CB"/>
    <w:rsid w:val="00675AD0"/>
    <w:rsid w:val="00675B2E"/>
    <w:rsid w:val="00675BC4"/>
    <w:rsid w:val="00675C82"/>
    <w:rsid w:val="00675DC5"/>
    <w:rsid w:val="00675E59"/>
    <w:rsid w:val="00675EFB"/>
    <w:rsid w:val="00675F50"/>
    <w:rsid w:val="00675FEE"/>
    <w:rsid w:val="00675FF2"/>
    <w:rsid w:val="00676010"/>
    <w:rsid w:val="00676092"/>
    <w:rsid w:val="00676103"/>
    <w:rsid w:val="0067610B"/>
    <w:rsid w:val="006761F6"/>
    <w:rsid w:val="00676326"/>
    <w:rsid w:val="006764CC"/>
    <w:rsid w:val="0067657E"/>
    <w:rsid w:val="006766E5"/>
    <w:rsid w:val="006767CB"/>
    <w:rsid w:val="00676878"/>
    <w:rsid w:val="0067692E"/>
    <w:rsid w:val="006769DE"/>
    <w:rsid w:val="00676A19"/>
    <w:rsid w:val="00676A1E"/>
    <w:rsid w:val="00676B2F"/>
    <w:rsid w:val="00676C73"/>
    <w:rsid w:val="00676CE4"/>
    <w:rsid w:val="00676E2A"/>
    <w:rsid w:val="0067713A"/>
    <w:rsid w:val="00677255"/>
    <w:rsid w:val="006772CC"/>
    <w:rsid w:val="00677353"/>
    <w:rsid w:val="00677388"/>
    <w:rsid w:val="006773AA"/>
    <w:rsid w:val="00677411"/>
    <w:rsid w:val="0067741C"/>
    <w:rsid w:val="00677498"/>
    <w:rsid w:val="006774DE"/>
    <w:rsid w:val="00677534"/>
    <w:rsid w:val="00677761"/>
    <w:rsid w:val="00677835"/>
    <w:rsid w:val="006778A0"/>
    <w:rsid w:val="006778EC"/>
    <w:rsid w:val="00677961"/>
    <w:rsid w:val="006779A7"/>
    <w:rsid w:val="006779AF"/>
    <w:rsid w:val="00677A62"/>
    <w:rsid w:val="00677AD6"/>
    <w:rsid w:val="00677B0A"/>
    <w:rsid w:val="00677B24"/>
    <w:rsid w:val="00677BC7"/>
    <w:rsid w:val="00677CEE"/>
    <w:rsid w:val="00677DCC"/>
    <w:rsid w:val="00677DD0"/>
    <w:rsid w:val="00677E05"/>
    <w:rsid w:val="00677F01"/>
    <w:rsid w:val="00677F33"/>
    <w:rsid w:val="00677F90"/>
    <w:rsid w:val="00677F99"/>
    <w:rsid w:val="0067D6EB"/>
    <w:rsid w:val="0068017E"/>
    <w:rsid w:val="00680315"/>
    <w:rsid w:val="006803C8"/>
    <w:rsid w:val="006803FE"/>
    <w:rsid w:val="00680557"/>
    <w:rsid w:val="0068063C"/>
    <w:rsid w:val="00680783"/>
    <w:rsid w:val="00680957"/>
    <w:rsid w:val="006809CD"/>
    <w:rsid w:val="00680A3A"/>
    <w:rsid w:val="00680D3B"/>
    <w:rsid w:val="00680D3E"/>
    <w:rsid w:val="00680ED6"/>
    <w:rsid w:val="00681065"/>
    <w:rsid w:val="0068131E"/>
    <w:rsid w:val="006813EB"/>
    <w:rsid w:val="0068153D"/>
    <w:rsid w:val="006815E1"/>
    <w:rsid w:val="006815E2"/>
    <w:rsid w:val="00681770"/>
    <w:rsid w:val="006818F7"/>
    <w:rsid w:val="0068192A"/>
    <w:rsid w:val="00681941"/>
    <w:rsid w:val="00681A89"/>
    <w:rsid w:val="00681AD8"/>
    <w:rsid w:val="00681BC2"/>
    <w:rsid w:val="00681BE5"/>
    <w:rsid w:val="00681C87"/>
    <w:rsid w:val="00681D48"/>
    <w:rsid w:val="00681D64"/>
    <w:rsid w:val="00681DE8"/>
    <w:rsid w:val="00681DF6"/>
    <w:rsid w:val="00681E11"/>
    <w:rsid w:val="00681F10"/>
    <w:rsid w:val="00681F31"/>
    <w:rsid w:val="006823C2"/>
    <w:rsid w:val="00682450"/>
    <w:rsid w:val="00682535"/>
    <w:rsid w:val="00682628"/>
    <w:rsid w:val="00682673"/>
    <w:rsid w:val="00682914"/>
    <w:rsid w:val="0068291E"/>
    <w:rsid w:val="006829F2"/>
    <w:rsid w:val="00682A88"/>
    <w:rsid w:val="00682B8A"/>
    <w:rsid w:val="00682D22"/>
    <w:rsid w:val="00682D2C"/>
    <w:rsid w:val="00682EEF"/>
    <w:rsid w:val="00682F08"/>
    <w:rsid w:val="00682F0A"/>
    <w:rsid w:val="00682F95"/>
    <w:rsid w:val="00683019"/>
    <w:rsid w:val="0068302A"/>
    <w:rsid w:val="00683065"/>
    <w:rsid w:val="006830F9"/>
    <w:rsid w:val="0068329B"/>
    <w:rsid w:val="0068347F"/>
    <w:rsid w:val="006834A0"/>
    <w:rsid w:val="006835BB"/>
    <w:rsid w:val="006835CB"/>
    <w:rsid w:val="006836BA"/>
    <w:rsid w:val="0068386F"/>
    <w:rsid w:val="006838BA"/>
    <w:rsid w:val="0068394B"/>
    <w:rsid w:val="006839C6"/>
    <w:rsid w:val="00683DC9"/>
    <w:rsid w:val="00683DEA"/>
    <w:rsid w:val="00683E91"/>
    <w:rsid w:val="00683E9E"/>
    <w:rsid w:val="00683FCF"/>
    <w:rsid w:val="0068421E"/>
    <w:rsid w:val="006842B2"/>
    <w:rsid w:val="006842BE"/>
    <w:rsid w:val="006842FF"/>
    <w:rsid w:val="006845E1"/>
    <w:rsid w:val="00684841"/>
    <w:rsid w:val="006848E6"/>
    <w:rsid w:val="00684AE8"/>
    <w:rsid w:val="00684C7C"/>
    <w:rsid w:val="00684C9C"/>
    <w:rsid w:val="00684E35"/>
    <w:rsid w:val="00684E51"/>
    <w:rsid w:val="00684EA9"/>
    <w:rsid w:val="00684EC9"/>
    <w:rsid w:val="006850FB"/>
    <w:rsid w:val="00685108"/>
    <w:rsid w:val="00685200"/>
    <w:rsid w:val="0068522B"/>
    <w:rsid w:val="00685237"/>
    <w:rsid w:val="00685299"/>
    <w:rsid w:val="00685389"/>
    <w:rsid w:val="006853A6"/>
    <w:rsid w:val="00685506"/>
    <w:rsid w:val="00685662"/>
    <w:rsid w:val="006856F3"/>
    <w:rsid w:val="006857D9"/>
    <w:rsid w:val="0068584D"/>
    <w:rsid w:val="00685957"/>
    <w:rsid w:val="00685959"/>
    <w:rsid w:val="00685B8E"/>
    <w:rsid w:val="00685BD9"/>
    <w:rsid w:val="00685BDE"/>
    <w:rsid w:val="00685BEB"/>
    <w:rsid w:val="00685E67"/>
    <w:rsid w:val="00685E6C"/>
    <w:rsid w:val="00685F79"/>
    <w:rsid w:val="00685FB8"/>
    <w:rsid w:val="00686193"/>
    <w:rsid w:val="006861CA"/>
    <w:rsid w:val="0068643E"/>
    <w:rsid w:val="006864B5"/>
    <w:rsid w:val="006864FC"/>
    <w:rsid w:val="00686614"/>
    <w:rsid w:val="006866DA"/>
    <w:rsid w:val="006867F8"/>
    <w:rsid w:val="00686922"/>
    <w:rsid w:val="0068693D"/>
    <w:rsid w:val="00686964"/>
    <w:rsid w:val="00686981"/>
    <w:rsid w:val="00686BB8"/>
    <w:rsid w:val="00686D10"/>
    <w:rsid w:val="00686DAD"/>
    <w:rsid w:val="00686E93"/>
    <w:rsid w:val="00686F92"/>
    <w:rsid w:val="00686FBD"/>
    <w:rsid w:val="0068705B"/>
    <w:rsid w:val="006872D7"/>
    <w:rsid w:val="0068742F"/>
    <w:rsid w:val="00687497"/>
    <w:rsid w:val="006874A1"/>
    <w:rsid w:val="006875B1"/>
    <w:rsid w:val="0068760F"/>
    <w:rsid w:val="00687638"/>
    <w:rsid w:val="00687869"/>
    <w:rsid w:val="00687A18"/>
    <w:rsid w:val="00687AC3"/>
    <w:rsid w:val="00687C57"/>
    <w:rsid w:val="00687D89"/>
    <w:rsid w:val="006900CF"/>
    <w:rsid w:val="006900F6"/>
    <w:rsid w:val="00690218"/>
    <w:rsid w:val="0069032F"/>
    <w:rsid w:val="00690516"/>
    <w:rsid w:val="0069070C"/>
    <w:rsid w:val="006907C5"/>
    <w:rsid w:val="00690884"/>
    <w:rsid w:val="006909DE"/>
    <w:rsid w:val="00690A51"/>
    <w:rsid w:val="00690A9F"/>
    <w:rsid w:val="00690B3C"/>
    <w:rsid w:val="00690B78"/>
    <w:rsid w:val="00690C63"/>
    <w:rsid w:val="00690D94"/>
    <w:rsid w:val="00690EDA"/>
    <w:rsid w:val="00691136"/>
    <w:rsid w:val="00691179"/>
    <w:rsid w:val="006911C6"/>
    <w:rsid w:val="00691436"/>
    <w:rsid w:val="006916C9"/>
    <w:rsid w:val="00691723"/>
    <w:rsid w:val="00691724"/>
    <w:rsid w:val="00691792"/>
    <w:rsid w:val="006919AB"/>
    <w:rsid w:val="00691A31"/>
    <w:rsid w:val="00691A8D"/>
    <w:rsid w:val="00691B7D"/>
    <w:rsid w:val="00691C5D"/>
    <w:rsid w:val="00691DE0"/>
    <w:rsid w:val="00691E16"/>
    <w:rsid w:val="00691E3D"/>
    <w:rsid w:val="00691FAD"/>
    <w:rsid w:val="0069200A"/>
    <w:rsid w:val="00692374"/>
    <w:rsid w:val="006923C7"/>
    <w:rsid w:val="006925D1"/>
    <w:rsid w:val="006927AB"/>
    <w:rsid w:val="00692A91"/>
    <w:rsid w:val="00692B01"/>
    <w:rsid w:val="00692FA8"/>
    <w:rsid w:val="006931C0"/>
    <w:rsid w:val="006932B3"/>
    <w:rsid w:val="006932C3"/>
    <w:rsid w:val="00693379"/>
    <w:rsid w:val="006933A7"/>
    <w:rsid w:val="006933AD"/>
    <w:rsid w:val="006933B0"/>
    <w:rsid w:val="006933DF"/>
    <w:rsid w:val="00693591"/>
    <w:rsid w:val="006935A4"/>
    <w:rsid w:val="00693627"/>
    <w:rsid w:val="006936EC"/>
    <w:rsid w:val="00693751"/>
    <w:rsid w:val="00693A63"/>
    <w:rsid w:val="00693C6C"/>
    <w:rsid w:val="00693E18"/>
    <w:rsid w:val="00693F8A"/>
    <w:rsid w:val="00693FA4"/>
    <w:rsid w:val="00693FF5"/>
    <w:rsid w:val="006940B4"/>
    <w:rsid w:val="006940EB"/>
    <w:rsid w:val="00694351"/>
    <w:rsid w:val="0069457C"/>
    <w:rsid w:val="0069458C"/>
    <w:rsid w:val="00694641"/>
    <w:rsid w:val="00694650"/>
    <w:rsid w:val="006946BA"/>
    <w:rsid w:val="00694960"/>
    <w:rsid w:val="00694C7B"/>
    <w:rsid w:val="00694C84"/>
    <w:rsid w:val="00694CF0"/>
    <w:rsid w:val="00694D0E"/>
    <w:rsid w:val="00694D5D"/>
    <w:rsid w:val="00694E12"/>
    <w:rsid w:val="00695010"/>
    <w:rsid w:val="0069513E"/>
    <w:rsid w:val="00695224"/>
    <w:rsid w:val="00695332"/>
    <w:rsid w:val="006953F9"/>
    <w:rsid w:val="0069582C"/>
    <w:rsid w:val="0069584C"/>
    <w:rsid w:val="00695CBD"/>
    <w:rsid w:val="00695DAD"/>
    <w:rsid w:val="00695E3B"/>
    <w:rsid w:val="00695F20"/>
    <w:rsid w:val="00696002"/>
    <w:rsid w:val="00696164"/>
    <w:rsid w:val="006966A8"/>
    <w:rsid w:val="006969AF"/>
    <w:rsid w:val="00696AFB"/>
    <w:rsid w:val="00696B44"/>
    <w:rsid w:val="00696CCC"/>
    <w:rsid w:val="00696CD6"/>
    <w:rsid w:val="00696DB1"/>
    <w:rsid w:val="00696DE3"/>
    <w:rsid w:val="00696FF9"/>
    <w:rsid w:val="00697204"/>
    <w:rsid w:val="006972E9"/>
    <w:rsid w:val="0069730C"/>
    <w:rsid w:val="00697386"/>
    <w:rsid w:val="0069738E"/>
    <w:rsid w:val="00697424"/>
    <w:rsid w:val="006974BC"/>
    <w:rsid w:val="006974F0"/>
    <w:rsid w:val="00697597"/>
    <w:rsid w:val="0069759D"/>
    <w:rsid w:val="006975D8"/>
    <w:rsid w:val="006975E5"/>
    <w:rsid w:val="00697701"/>
    <w:rsid w:val="00697732"/>
    <w:rsid w:val="00697845"/>
    <w:rsid w:val="0069784E"/>
    <w:rsid w:val="0069785C"/>
    <w:rsid w:val="006978C8"/>
    <w:rsid w:val="0069795D"/>
    <w:rsid w:val="00697AE2"/>
    <w:rsid w:val="00697D32"/>
    <w:rsid w:val="00697E2B"/>
    <w:rsid w:val="00697F7E"/>
    <w:rsid w:val="00697FEB"/>
    <w:rsid w:val="006A004F"/>
    <w:rsid w:val="006A00A8"/>
    <w:rsid w:val="006A03A8"/>
    <w:rsid w:val="006A03B9"/>
    <w:rsid w:val="006A06A5"/>
    <w:rsid w:val="006A06B5"/>
    <w:rsid w:val="006A0702"/>
    <w:rsid w:val="006A0B5A"/>
    <w:rsid w:val="006A0CC2"/>
    <w:rsid w:val="006A0D49"/>
    <w:rsid w:val="006A0F5D"/>
    <w:rsid w:val="006A102B"/>
    <w:rsid w:val="006A1080"/>
    <w:rsid w:val="006A114F"/>
    <w:rsid w:val="006A11B2"/>
    <w:rsid w:val="006A1359"/>
    <w:rsid w:val="006A13B7"/>
    <w:rsid w:val="006A1448"/>
    <w:rsid w:val="006A1477"/>
    <w:rsid w:val="006A1564"/>
    <w:rsid w:val="006A15A6"/>
    <w:rsid w:val="006A15CF"/>
    <w:rsid w:val="006A15EE"/>
    <w:rsid w:val="006A1714"/>
    <w:rsid w:val="006A1876"/>
    <w:rsid w:val="006A19C0"/>
    <w:rsid w:val="006A1AA8"/>
    <w:rsid w:val="006A1AC3"/>
    <w:rsid w:val="006A1B85"/>
    <w:rsid w:val="006A1C23"/>
    <w:rsid w:val="006A1C64"/>
    <w:rsid w:val="006A1F96"/>
    <w:rsid w:val="006A1FB0"/>
    <w:rsid w:val="006A1FC1"/>
    <w:rsid w:val="006A2024"/>
    <w:rsid w:val="006A20B6"/>
    <w:rsid w:val="006A2124"/>
    <w:rsid w:val="006A2443"/>
    <w:rsid w:val="006A24C9"/>
    <w:rsid w:val="006A2589"/>
    <w:rsid w:val="006A26C4"/>
    <w:rsid w:val="006A26CD"/>
    <w:rsid w:val="006A26D1"/>
    <w:rsid w:val="006A2899"/>
    <w:rsid w:val="006A293A"/>
    <w:rsid w:val="006A2A57"/>
    <w:rsid w:val="006A2F04"/>
    <w:rsid w:val="006A2F0E"/>
    <w:rsid w:val="006A3022"/>
    <w:rsid w:val="006A3030"/>
    <w:rsid w:val="006A30B0"/>
    <w:rsid w:val="006A31AF"/>
    <w:rsid w:val="006A32D3"/>
    <w:rsid w:val="006A3465"/>
    <w:rsid w:val="006A34A3"/>
    <w:rsid w:val="006A34A7"/>
    <w:rsid w:val="006A3631"/>
    <w:rsid w:val="006A369D"/>
    <w:rsid w:val="006A36F5"/>
    <w:rsid w:val="006A3718"/>
    <w:rsid w:val="006A39E0"/>
    <w:rsid w:val="006A3A09"/>
    <w:rsid w:val="006A3A78"/>
    <w:rsid w:val="006A3DFA"/>
    <w:rsid w:val="006A4316"/>
    <w:rsid w:val="006A44A4"/>
    <w:rsid w:val="006A456B"/>
    <w:rsid w:val="006A4609"/>
    <w:rsid w:val="006A4737"/>
    <w:rsid w:val="006A4812"/>
    <w:rsid w:val="006A488E"/>
    <w:rsid w:val="006A48ED"/>
    <w:rsid w:val="006A4B5D"/>
    <w:rsid w:val="006A4B97"/>
    <w:rsid w:val="006A4CBB"/>
    <w:rsid w:val="006A4EB0"/>
    <w:rsid w:val="006A5219"/>
    <w:rsid w:val="006A5302"/>
    <w:rsid w:val="006A5398"/>
    <w:rsid w:val="006A54D4"/>
    <w:rsid w:val="006A5540"/>
    <w:rsid w:val="006A56D4"/>
    <w:rsid w:val="006A579C"/>
    <w:rsid w:val="006A5963"/>
    <w:rsid w:val="006A5982"/>
    <w:rsid w:val="006A59CA"/>
    <w:rsid w:val="006A5B1A"/>
    <w:rsid w:val="006A5B51"/>
    <w:rsid w:val="006A5D25"/>
    <w:rsid w:val="006A5D7E"/>
    <w:rsid w:val="006A5DA9"/>
    <w:rsid w:val="006A5E2C"/>
    <w:rsid w:val="006A5E5C"/>
    <w:rsid w:val="006A5FD8"/>
    <w:rsid w:val="006A6068"/>
    <w:rsid w:val="006A6125"/>
    <w:rsid w:val="006A6153"/>
    <w:rsid w:val="006A63C6"/>
    <w:rsid w:val="006A65D4"/>
    <w:rsid w:val="006A663E"/>
    <w:rsid w:val="006A6722"/>
    <w:rsid w:val="006A6755"/>
    <w:rsid w:val="006A679B"/>
    <w:rsid w:val="006A6826"/>
    <w:rsid w:val="006A68D9"/>
    <w:rsid w:val="006A69B8"/>
    <w:rsid w:val="006A6AA1"/>
    <w:rsid w:val="006A6B57"/>
    <w:rsid w:val="006A6C09"/>
    <w:rsid w:val="006A6F79"/>
    <w:rsid w:val="006A7012"/>
    <w:rsid w:val="006A70AE"/>
    <w:rsid w:val="006A71AE"/>
    <w:rsid w:val="006A731B"/>
    <w:rsid w:val="006A742E"/>
    <w:rsid w:val="006A75C0"/>
    <w:rsid w:val="006A75EE"/>
    <w:rsid w:val="006A7654"/>
    <w:rsid w:val="006A7786"/>
    <w:rsid w:val="006A790B"/>
    <w:rsid w:val="006A7C44"/>
    <w:rsid w:val="006A7F25"/>
    <w:rsid w:val="006B030B"/>
    <w:rsid w:val="006B0354"/>
    <w:rsid w:val="006B037A"/>
    <w:rsid w:val="006B050E"/>
    <w:rsid w:val="006B0574"/>
    <w:rsid w:val="006B0580"/>
    <w:rsid w:val="006B0664"/>
    <w:rsid w:val="006B06A8"/>
    <w:rsid w:val="006B077D"/>
    <w:rsid w:val="006B08EC"/>
    <w:rsid w:val="006B09AB"/>
    <w:rsid w:val="006B0CDF"/>
    <w:rsid w:val="006B0D20"/>
    <w:rsid w:val="006B0DAF"/>
    <w:rsid w:val="006B1229"/>
    <w:rsid w:val="006B1343"/>
    <w:rsid w:val="006B1364"/>
    <w:rsid w:val="006B13B7"/>
    <w:rsid w:val="006B1446"/>
    <w:rsid w:val="006B1474"/>
    <w:rsid w:val="006B14C5"/>
    <w:rsid w:val="006B163D"/>
    <w:rsid w:val="006B1677"/>
    <w:rsid w:val="006B174C"/>
    <w:rsid w:val="006B182F"/>
    <w:rsid w:val="006B19BB"/>
    <w:rsid w:val="006B19CA"/>
    <w:rsid w:val="006B1ABA"/>
    <w:rsid w:val="006B1D18"/>
    <w:rsid w:val="006B1D97"/>
    <w:rsid w:val="006B1DDC"/>
    <w:rsid w:val="006B232A"/>
    <w:rsid w:val="006B23BE"/>
    <w:rsid w:val="006B2457"/>
    <w:rsid w:val="006B24D3"/>
    <w:rsid w:val="006B26D5"/>
    <w:rsid w:val="006B27BA"/>
    <w:rsid w:val="006B2848"/>
    <w:rsid w:val="006B28AF"/>
    <w:rsid w:val="006B2959"/>
    <w:rsid w:val="006B2A0F"/>
    <w:rsid w:val="006B2A5D"/>
    <w:rsid w:val="006B2AB0"/>
    <w:rsid w:val="006B2BF7"/>
    <w:rsid w:val="006B2D4C"/>
    <w:rsid w:val="006B2DAB"/>
    <w:rsid w:val="006B3037"/>
    <w:rsid w:val="006B3094"/>
    <w:rsid w:val="006B31E2"/>
    <w:rsid w:val="006B3353"/>
    <w:rsid w:val="006B338D"/>
    <w:rsid w:val="006B33EA"/>
    <w:rsid w:val="006B342C"/>
    <w:rsid w:val="006B3470"/>
    <w:rsid w:val="006B34D4"/>
    <w:rsid w:val="006B35B9"/>
    <w:rsid w:val="006B35D2"/>
    <w:rsid w:val="006B3733"/>
    <w:rsid w:val="006B378C"/>
    <w:rsid w:val="006B3945"/>
    <w:rsid w:val="006B3A02"/>
    <w:rsid w:val="006B3AB8"/>
    <w:rsid w:val="006B3AD8"/>
    <w:rsid w:val="006B3B62"/>
    <w:rsid w:val="006B3B66"/>
    <w:rsid w:val="006B3B6C"/>
    <w:rsid w:val="006B3B8C"/>
    <w:rsid w:val="006B3C6E"/>
    <w:rsid w:val="006B3CB1"/>
    <w:rsid w:val="006B3E2F"/>
    <w:rsid w:val="006B3E70"/>
    <w:rsid w:val="006B3ECC"/>
    <w:rsid w:val="006B3EE9"/>
    <w:rsid w:val="006B3F07"/>
    <w:rsid w:val="006B3FD3"/>
    <w:rsid w:val="006B4000"/>
    <w:rsid w:val="006B40A9"/>
    <w:rsid w:val="006B40BC"/>
    <w:rsid w:val="006B4129"/>
    <w:rsid w:val="006B41F3"/>
    <w:rsid w:val="006B4234"/>
    <w:rsid w:val="006B44F7"/>
    <w:rsid w:val="006B45FE"/>
    <w:rsid w:val="006B46B4"/>
    <w:rsid w:val="006B4830"/>
    <w:rsid w:val="006B4990"/>
    <w:rsid w:val="006B4BD3"/>
    <w:rsid w:val="006B4D77"/>
    <w:rsid w:val="006B4E34"/>
    <w:rsid w:val="006B4E95"/>
    <w:rsid w:val="006B4F1C"/>
    <w:rsid w:val="006B4F4F"/>
    <w:rsid w:val="006B4FDD"/>
    <w:rsid w:val="006B5088"/>
    <w:rsid w:val="006B50B1"/>
    <w:rsid w:val="006B514B"/>
    <w:rsid w:val="006B5312"/>
    <w:rsid w:val="006B532F"/>
    <w:rsid w:val="006B5450"/>
    <w:rsid w:val="006B5537"/>
    <w:rsid w:val="006B5709"/>
    <w:rsid w:val="006B571F"/>
    <w:rsid w:val="006B5C93"/>
    <w:rsid w:val="006B5CD7"/>
    <w:rsid w:val="006B5D03"/>
    <w:rsid w:val="006B5D4F"/>
    <w:rsid w:val="006B5EB2"/>
    <w:rsid w:val="006B5F34"/>
    <w:rsid w:val="006B5F56"/>
    <w:rsid w:val="006B6169"/>
    <w:rsid w:val="006B6408"/>
    <w:rsid w:val="006B64DF"/>
    <w:rsid w:val="006B658C"/>
    <w:rsid w:val="006B65CB"/>
    <w:rsid w:val="006B6761"/>
    <w:rsid w:val="006B67FF"/>
    <w:rsid w:val="006B691D"/>
    <w:rsid w:val="006B6980"/>
    <w:rsid w:val="006B6A2C"/>
    <w:rsid w:val="006B6A52"/>
    <w:rsid w:val="006B6A81"/>
    <w:rsid w:val="006B6AA7"/>
    <w:rsid w:val="006B6ACF"/>
    <w:rsid w:val="006B6BFD"/>
    <w:rsid w:val="006B6C23"/>
    <w:rsid w:val="006B6C72"/>
    <w:rsid w:val="006B6D88"/>
    <w:rsid w:val="006B6E6F"/>
    <w:rsid w:val="006B6E8E"/>
    <w:rsid w:val="006B6FE2"/>
    <w:rsid w:val="006B7010"/>
    <w:rsid w:val="006B70E5"/>
    <w:rsid w:val="006B7106"/>
    <w:rsid w:val="006B715E"/>
    <w:rsid w:val="006B717F"/>
    <w:rsid w:val="006B7192"/>
    <w:rsid w:val="006B73A3"/>
    <w:rsid w:val="006B73AF"/>
    <w:rsid w:val="006B76A3"/>
    <w:rsid w:val="006B7725"/>
    <w:rsid w:val="006B77BC"/>
    <w:rsid w:val="006B7A57"/>
    <w:rsid w:val="006B7A8C"/>
    <w:rsid w:val="006B7AA2"/>
    <w:rsid w:val="006B7B1F"/>
    <w:rsid w:val="006B7C7B"/>
    <w:rsid w:val="006B7C88"/>
    <w:rsid w:val="006B7C8F"/>
    <w:rsid w:val="006B7CBA"/>
    <w:rsid w:val="006C00DE"/>
    <w:rsid w:val="006C0311"/>
    <w:rsid w:val="006C04D0"/>
    <w:rsid w:val="006C04D4"/>
    <w:rsid w:val="006C04D7"/>
    <w:rsid w:val="006C04E0"/>
    <w:rsid w:val="006C056F"/>
    <w:rsid w:val="006C0612"/>
    <w:rsid w:val="006C06B6"/>
    <w:rsid w:val="006C088D"/>
    <w:rsid w:val="006C0AA0"/>
    <w:rsid w:val="006C0ACF"/>
    <w:rsid w:val="006C0AF4"/>
    <w:rsid w:val="006C0CD1"/>
    <w:rsid w:val="006C1013"/>
    <w:rsid w:val="006C1027"/>
    <w:rsid w:val="006C1029"/>
    <w:rsid w:val="006C13CB"/>
    <w:rsid w:val="006C141A"/>
    <w:rsid w:val="006C143E"/>
    <w:rsid w:val="006C1550"/>
    <w:rsid w:val="006C158D"/>
    <w:rsid w:val="006C15D5"/>
    <w:rsid w:val="006C1639"/>
    <w:rsid w:val="006C1673"/>
    <w:rsid w:val="006C1684"/>
    <w:rsid w:val="006C16CA"/>
    <w:rsid w:val="006C17C5"/>
    <w:rsid w:val="006C17DA"/>
    <w:rsid w:val="006C191C"/>
    <w:rsid w:val="006C1929"/>
    <w:rsid w:val="006C1B09"/>
    <w:rsid w:val="006C1D45"/>
    <w:rsid w:val="006C1E31"/>
    <w:rsid w:val="006C1FF4"/>
    <w:rsid w:val="006C203E"/>
    <w:rsid w:val="006C245F"/>
    <w:rsid w:val="006C2485"/>
    <w:rsid w:val="006C24B1"/>
    <w:rsid w:val="006C25B1"/>
    <w:rsid w:val="006C2747"/>
    <w:rsid w:val="006C27F9"/>
    <w:rsid w:val="006C290D"/>
    <w:rsid w:val="006C2AE8"/>
    <w:rsid w:val="006C2E1B"/>
    <w:rsid w:val="006C2EA3"/>
    <w:rsid w:val="006C316B"/>
    <w:rsid w:val="006C3331"/>
    <w:rsid w:val="006C33BF"/>
    <w:rsid w:val="006C36FC"/>
    <w:rsid w:val="006C3828"/>
    <w:rsid w:val="006C3873"/>
    <w:rsid w:val="006C3AB2"/>
    <w:rsid w:val="006C3B1D"/>
    <w:rsid w:val="006C3B26"/>
    <w:rsid w:val="006C3BD4"/>
    <w:rsid w:val="006C3C94"/>
    <w:rsid w:val="006C3CC4"/>
    <w:rsid w:val="006C3F84"/>
    <w:rsid w:val="006C40AB"/>
    <w:rsid w:val="006C421D"/>
    <w:rsid w:val="006C42E9"/>
    <w:rsid w:val="006C43AC"/>
    <w:rsid w:val="006C459A"/>
    <w:rsid w:val="006C45FF"/>
    <w:rsid w:val="006C4738"/>
    <w:rsid w:val="006C476A"/>
    <w:rsid w:val="006C4896"/>
    <w:rsid w:val="006C48F7"/>
    <w:rsid w:val="006C4A85"/>
    <w:rsid w:val="006C4B25"/>
    <w:rsid w:val="006C4B2A"/>
    <w:rsid w:val="006C4E55"/>
    <w:rsid w:val="006C502F"/>
    <w:rsid w:val="006C5044"/>
    <w:rsid w:val="006C50B7"/>
    <w:rsid w:val="006C5164"/>
    <w:rsid w:val="006C519F"/>
    <w:rsid w:val="006C525E"/>
    <w:rsid w:val="006C53FC"/>
    <w:rsid w:val="006C54CE"/>
    <w:rsid w:val="006C55A2"/>
    <w:rsid w:val="006C569D"/>
    <w:rsid w:val="006C56BC"/>
    <w:rsid w:val="006C5772"/>
    <w:rsid w:val="006C57D4"/>
    <w:rsid w:val="006C5940"/>
    <w:rsid w:val="006C5966"/>
    <w:rsid w:val="006C59A3"/>
    <w:rsid w:val="006C5A03"/>
    <w:rsid w:val="006C5A84"/>
    <w:rsid w:val="006C5B6D"/>
    <w:rsid w:val="006C5C2A"/>
    <w:rsid w:val="006C5E79"/>
    <w:rsid w:val="006C5F71"/>
    <w:rsid w:val="006C5F91"/>
    <w:rsid w:val="006C5FDD"/>
    <w:rsid w:val="006C606B"/>
    <w:rsid w:val="006C606D"/>
    <w:rsid w:val="006C616B"/>
    <w:rsid w:val="006C6197"/>
    <w:rsid w:val="006C65BE"/>
    <w:rsid w:val="006C67E3"/>
    <w:rsid w:val="006C680D"/>
    <w:rsid w:val="006C690B"/>
    <w:rsid w:val="006C69EA"/>
    <w:rsid w:val="006C6BEA"/>
    <w:rsid w:val="006C6C63"/>
    <w:rsid w:val="006C6DF8"/>
    <w:rsid w:val="006C6F70"/>
    <w:rsid w:val="006C7019"/>
    <w:rsid w:val="006C701A"/>
    <w:rsid w:val="006C708C"/>
    <w:rsid w:val="006C7273"/>
    <w:rsid w:val="006C7342"/>
    <w:rsid w:val="006C7397"/>
    <w:rsid w:val="006C73B0"/>
    <w:rsid w:val="006C73D5"/>
    <w:rsid w:val="006C74E2"/>
    <w:rsid w:val="006C750D"/>
    <w:rsid w:val="006C758B"/>
    <w:rsid w:val="006C7708"/>
    <w:rsid w:val="006C7794"/>
    <w:rsid w:val="006C788D"/>
    <w:rsid w:val="006C796B"/>
    <w:rsid w:val="006C79F2"/>
    <w:rsid w:val="006C7A47"/>
    <w:rsid w:val="006C7B99"/>
    <w:rsid w:val="006C7CC0"/>
    <w:rsid w:val="006CED52"/>
    <w:rsid w:val="006D0056"/>
    <w:rsid w:val="006D014D"/>
    <w:rsid w:val="006D015E"/>
    <w:rsid w:val="006D0199"/>
    <w:rsid w:val="006D01A8"/>
    <w:rsid w:val="006D0331"/>
    <w:rsid w:val="006D03B4"/>
    <w:rsid w:val="006D047B"/>
    <w:rsid w:val="006D0488"/>
    <w:rsid w:val="006D05F0"/>
    <w:rsid w:val="006D05FB"/>
    <w:rsid w:val="006D064B"/>
    <w:rsid w:val="006D06D6"/>
    <w:rsid w:val="006D0730"/>
    <w:rsid w:val="006D0827"/>
    <w:rsid w:val="006D0905"/>
    <w:rsid w:val="006D09E8"/>
    <w:rsid w:val="006D0D7F"/>
    <w:rsid w:val="006D0E2B"/>
    <w:rsid w:val="006D0E37"/>
    <w:rsid w:val="006D0E95"/>
    <w:rsid w:val="006D0FE4"/>
    <w:rsid w:val="006D0FEA"/>
    <w:rsid w:val="006D10FE"/>
    <w:rsid w:val="006D1161"/>
    <w:rsid w:val="006D1167"/>
    <w:rsid w:val="006D1184"/>
    <w:rsid w:val="006D120D"/>
    <w:rsid w:val="006D1237"/>
    <w:rsid w:val="006D124B"/>
    <w:rsid w:val="006D128C"/>
    <w:rsid w:val="006D13EC"/>
    <w:rsid w:val="006D149F"/>
    <w:rsid w:val="006D15C9"/>
    <w:rsid w:val="006D161B"/>
    <w:rsid w:val="006D17F7"/>
    <w:rsid w:val="006D18F4"/>
    <w:rsid w:val="006D1AAB"/>
    <w:rsid w:val="006D1C30"/>
    <w:rsid w:val="006D1DF3"/>
    <w:rsid w:val="006D1DFC"/>
    <w:rsid w:val="006D1F4D"/>
    <w:rsid w:val="006D205A"/>
    <w:rsid w:val="006D219D"/>
    <w:rsid w:val="006D21C0"/>
    <w:rsid w:val="006D2235"/>
    <w:rsid w:val="006D2488"/>
    <w:rsid w:val="006D2520"/>
    <w:rsid w:val="006D2682"/>
    <w:rsid w:val="006D2695"/>
    <w:rsid w:val="006D26F7"/>
    <w:rsid w:val="006D286E"/>
    <w:rsid w:val="006D2A02"/>
    <w:rsid w:val="006D2B15"/>
    <w:rsid w:val="006D2C0D"/>
    <w:rsid w:val="006D2C8E"/>
    <w:rsid w:val="006D2ED7"/>
    <w:rsid w:val="006D2FCD"/>
    <w:rsid w:val="006D2FED"/>
    <w:rsid w:val="006D3457"/>
    <w:rsid w:val="006D359C"/>
    <w:rsid w:val="006D37A2"/>
    <w:rsid w:val="006D3B5D"/>
    <w:rsid w:val="006D3D05"/>
    <w:rsid w:val="006D3E74"/>
    <w:rsid w:val="006D3F26"/>
    <w:rsid w:val="006D401D"/>
    <w:rsid w:val="006D40AA"/>
    <w:rsid w:val="006D40E6"/>
    <w:rsid w:val="006D41F6"/>
    <w:rsid w:val="006D4352"/>
    <w:rsid w:val="006D4363"/>
    <w:rsid w:val="006D4364"/>
    <w:rsid w:val="006D452D"/>
    <w:rsid w:val="006D45B0"/>
    <w:rsid w:val="006D4810"/>
    <w:rsid w:val="006D4B30"/>
    <w:rsid w:val="006D4C66"/>
    <w:rsid w:val="006D4D12"/>
    <w:rsid w:val="006D4DEE"/>
    <w:rsid w:val="006D4E0E"/>
    <w:rsid w:val="006D4F31"/>
    <w:rsid w:val="006D5018"/>
    <w:rsid w:val="006D505A"/>
    <w:rsid w:val="006D5107"/>
    <w:rsid w:val="006D517A"/>
    <w:rsid w:val="006D5349"/>
    <w:rsid w:val="006D5359"/>
    <w:rsid w:val="006D5365"/>
    <w:rsid w:val="006D545A"/>
    <w:rsid w:val="006D57E5"/>
    <w:rsid w:val="006D5984"/>
    <w:rsid w:val="006D5A82"/>
    <w:rsid w:val="006D5B60"/>
    <w:rsid w:val="006D5B87"/>
    <w:rsid w:val="006D5E07"/>
    <w:rsid w:val="006D5E89"/>
    <w:rsid w:val="006D5F78"/>
    <w:rsid w:val="006D6167"/>
    <w:rsid w:val="006D623E"/>
    <w:rsid w:val="006D6462"/>
    <w:rsid w:val="006D6473"/>
    <w:rsid w:val="006D6538"/>
    <w:rsid w:val="006D66C7"/>
    <w:rsid w:val="006D68BD"/>
    <w:rsid w:val="006D698A"/>
    <w:rsid w:val="006D699E"/>
    <w:rsid w:val="006D69B5"/>
    <w:rsid w:val="006D6A23"/>
    <w:rsid w:val="006D6A2A"/>
    <w:rsid w:val="006D6AD9"/>
    <w:rsid w:val="006D6AFC"/>
    <w:rsid w:val="006D6FE7"/>
    <w:rsid w:val="006D7089"/>
    <w:rsid w:val="006D71BE"/>
    <w:rsid w:val="006D7267"/>
    <w:rsid w:val="006D72AE"/>
    <w:rsid w:val="006D747D"/>
    <w:rsid w:val="006D74D4"/>
    <w:rsid w:val="006D7608"/>
    <w:rsid w:val="006D7635"/>
    <w:rsid w:val="006D7714"/>
    <w:rsid w:val="006D77F6"/>
    <w:rsid w:val="006D78FB"/>
    <w:rsid w:val="006D7AF9"/>
    <w:rsid w:val="006D7B37"/>
    <w:rsid w:val="006D7C32"/>
    <w:rsid w:val="006D7D4C"/>
    <w:rsid w:val="006D7EA1"/>
    <w:rsid w:val="006D7EE1"/>
    <w:rsid w:val="006E021C"/>
    <w:rsid w:val="006E0275"/>
    <w:rsid w:val="006E0307"/>
    <w:rsid w:val="006E0410"/>
    <w:rsid w:val="006E0502"/>
    <w:rsid w:val="006E0679"/>
    <w:rsid w:val="006E06E4"/>
    <w:rsid w:val="006E0725"/>
    <w:rsid w:val="006E0795"/>
    <w:rsid w:val="006E0829"/>
    <w:rsid w:val="006E08DB"/>
    <w:rsid w:val="006E095A"/>
    <w:rsid w:val="006E0994"/>
    <w:rsid w:val="006E0C6C"/>
    <w:rsid w:val="006E0C8E"/>
    <w:rsid w:val="006E0CDE"/>
    <w:rsid w:val="006E0D2A"/>
    <w:rsid w:val="006E0D2D"/>
    <w:rsid w:val="006E0EA1"/>
    <w:rsid w:val="006E0EFE"/>
    <w:rsid w:val="006E105A"/>
    <w:rsid w:val="006E115D"/>
    <w:rsid w:val="006E1224"/>
    <w:rsid w:val="006E12EB"/>
    <w:rsid w:val="006E1337"/>
    <w:rsid w:val="006E149B"/>
    <w:rsid w:val="006E1598"/>
    <w:rsid w:val="006E159D"/>
    <w:rsid w:val="006E162E"/>
    <w:rsid w:val="006E16D6"/>
    <w:rsid w:val="006E1763"/>
    <w:rsid w:val="006E182D"/>
    <w:rsid w:val="006E19EB"/>
    <w:rsid w:val="006E1AF4"/>
    <w:rsid w:val="006E1B2D"/>
    <w:rsid w:val="006E1C6D"/>
    <w:rsid w:val="006E1C7D"/>
    <w:rsid w:val="006E1D1A"/>
    <w:rsid w:val="006E1D8E"/>
    <w:rsid w:val="006E207A"/>
    <w:rsid w:val="006E213C"/>
    <w:rsid w:val="006E2162"/>
    <w:rsid w:val="006E21CC"/>
    <w:rsid w:val="006E227C"/>
    <w:rsid w:val="006E22BB"/>
    <w:rsid w:val="006E24C8"/>
    <w:rsid w:val="006E25F3"/>
    <w:rsid w:val="006E271E"/>
    <w:rsid w:val="006E27AF"/>
    <w:rsid w:val="006E2969"/>
    <w:rsid w:val="006E2A28"/>
    <w:rsid w:val="006E2AAD"/>
    <w:rsid w:val="006E2AD5"/>
    <w:rsid w:val="006E2C0E"/>
    <w:rsid w:val="006E2CDA"/>
    <w:rsid w:val="006E2CE0"/>
    <w:rsid w:val="006E2D12"/>
    <w:rsid w:val="006E2DBF"/>
    <w:rsid w:val="006E2E34"/>
    <w:rsid w:val="006E2ED6"/>
    <w:rsid w:val="006E31B2"/>
    <w:rsid w:val="006E321F"/>
    <w:rsid w:val="006E3229"/>
    <w:rsid w:val="006E32C0"/>
    <w:rsid w:val="006E32E1"/>
    <w:rsid w:val="006E340D"/>
    <w:rsid w:val="006E349C"/>
    <w:rsid w:val="006E3597"/>
    <w:rsid w:val="006E35AE"/>
    <w:rsid w:val="006E36C2"/>
    <w:rsid w:val="006E3944"/>
    <w:rsid w:val="006E3B4B"/>
    <w:rsid w:val="006E3EB0"/>
    <w:rsid w:val="006E3FC7"/>
    <w:rsid w:val="006E4013"/>
    <w:rsid w:val="006E41B5"/>
    <w:rsid w:val="006E4358"/>
    <w:rsid w:val="006E435C"/>
    <w:rsid w:val="006E44E2"/>
    <w:rsid w:val="006E4532"/>
    <w:rsid w:val="006E457E"/>
    <w:rsid w:val="006E4588"/>
    <w:rsid w:val="006E4634"/>
    <w:rsid w:val="006E4723"/>
    <w:rsid w:val="006E480F"/>
    <w:rsid w:val="006E49CA"/>
    <w:rsid w:val="006E4ABA"/>
    <w:rsid w:val="006E4C64"/>
    <w:rsid w:val="006E4D83"/>
    <w:rsid w:val="006E4E7D"/>
    <w:rsid w:val="006E4E95"/>
    <w:rsid w:val="006E4F37"/>
    <w:rsid w:val="006E5089"/>
    <w:rsid w:val="006E50B3"/>
    <w:rsid w:val="006E52E7"/>
    <w:rsid w:val="006E5392"/>
    <w:rsid w:val="006E5560"/>
    <w:rsid w:val="006E59DF"/>
    <w:rsid w:val="006E5BB0"/>
    <w:rsid w:val="006E5C5A"/>
    <w:rsid w:val="006E5C70"/>
    <w:rsid w:val="006E5CA9"/>
    <w:rsid w:val="006E5D4A"/>
    <w:rsid w:val="006E5D92"/>
    <w:rsid w:val="006E6025"/>
    <w:rsid w:val="006E6074"/>
    <w:rsid w:val="006E618F"/>
    <w:rsid w:val="006E61F4"/>
    <w:rsid w:val="006E6229"/>
    <w:rsid w:val="006E629E"/>
    <w:rsid w:val="006E63C8"/>
    <w:rsid w:val="006E6417"/>
    <w:rsid w:val="006E66A0"/>
    <w:rsid w:val="006E68A2"/>
    <w:rsid w:val="006E69EB"/>
    <w:rsid w:val="006E6B80"/>
    <w:rsid w:val="006E6DAE"/>
    <w:rsid w:val="006E6E14"/>
    <w:rsid w:val="006E6F15"/>
    <w:rsid w:val="006E7046"/>
    <w:rsid w:val="006E72B2"/>
    <w:rsid w:val="006E73CF"/>
    <w:rsid w:val="006E7AB4"/>
    <w:rsid w:val="006E7BA7"/>
    <w:rsid w:val="006E7BE9"/>
    <w:rsid w:val="006E7D3F"/>
    <w:rsid w:val="006E7D41"/>
    <w:rsid w:val="006E7E27"/>
    <w:rsid w:val="006E7E79"/>
    <w:rsid w:val="006E7FAC"/>
    <w:rsid w:val="006F0064"/>
    <w:rsid w:val="006F00E1"/>
    <w:rsid w:val="006F01B9"/>
    <w:rsid w:val="006F01E4"/>
    <w:rsid w:val="006F036F"/>
    <w:rsid w:val="006F0586"/>
    <w:rsid w:val="006F0594"/>
    <w:rsid w:val="006F06B3"/>
    <w:rsid w:val="006F08CD"/>
    <w:rsid w:val="006F0A40"/>
    <w:rsid w:val="006F0AA5"/>
    <w:rsid w:val="006F0B05"/>
    <w:rsid w:val="006F0C14"/>
    <w:rsid w:val="006F0C1A"/>
    <w:rsid w:val="006F0E98"/>
    <w:rsid w:val="006F10B2"/>
    <w:rsid w:val="006F1119"/>
    <w:rsid w:val="006F113F"/>
    <w:rsid w:val="006F1188"/>
    <w:rsid w:val="006F120E"/>
    <w:rsid w:val="006F1500"/>
    <w:rsid w:val="006F1618"/>
    <w:rsid w:val="006F161A"/>
    <w:rsid w:val="006F1683"/>
    <w:rsid w:val="006F182C"/>
    <w:rsid w:val="006F191E"/>
    <w:rsid w:val="006F1930"/>
    <w:rsid w:val="006F1A4B"/>
    <w:rsid w:val="006F1AFC"/>
    <w:rsid w:val="006F1B2E"/>
    <w:rsid w:val="006F1B65"/>
    <w:rsid w:val="006F1BE3"/>
    <w:rsid w:val="006F1D6F"/>
    <w:rsid w:val="006F1E1B"/>
    <w:rsid w:val="006F1F3C"/>
    <w:rsid w:val="006F2065"/>
    <w:rsid w:val="006F2239"/>
    <w:rsid w:val="006F22CE"/>
    <w:rsid w:val="006F2389"/>
    <w:rsid w:val="006F238C"/>
    <w:rsid w:val="006F23DD"/>
    <w:rsid w:val="006F2420"/>
    <w:rsid w:val="006F24CA"/>
    <w:rsid w:val="006F2728"/>
    <w:rsid w:val="006F2A01"/>
    <w:rsid w:val="006F2AE1"/>
    <w:rsid w:val="006F2C1C"/>
    <w:rsid w:val="006F2D1B"/>
    <w:rsid w:val="006F2D51"/>
    <w:rsid w:val="006F2D6E"/>
    <w:rsid w:val="006F2FAE"/>
    <w:rsid w:val="006F3033"/>
    <w:rsid w:val="006F31AC"/>
    <w:rsid w:val="006F31DB"/>
    <w:rsid w:val="006F321D"/>
    <w:rsid w:val="006F3251"/>
    <w:rsid w:val="006F3369"/>
    <w:rsid w:val="006F33CE"/>
    <w:rsid w:val="006F3451"/>
    <w:rsid w:val="006F37C4"/>
    <w:rsid w:val="006F3924"/>
    <w:rsid w:val="006F3A23"/>
    <w:rsid w:val="006F3A77"/>
    <w:rsid w:val="006F3B58"/>
    <w:rsid w:val="006F3C24"/>
    <w:rsid w:val="006F3C57"/>
    <w:rsid w:val="006F3CC2"/>
    <w:rsid w:val="006F3D29"/>
    <w:rsid w:val="006F408C"/>
    <w:rsid w:val="006F40A7"/>
    <w:rsid w:val="006F411B"/>
    <w:rsid w:val="006F42AC"/>
    <w:rsid w:val="006F4307"/>
    <w:rsid w:val="006F4431"/>
    <w:rsid w:val="006F44C1"/>
    <w:rsid w:val="006F44D3"/>
    <w:rsid w:val="006F4505"/>
    <w:rsid w:val="006F451C"/>
    <w:rsid w:val="006F45B6"/>
    <w:rsid w:val="006F468A"/>
    <w:rsid w:val="006F4699"/>
    <w:rsid w:val="006F46ED"/>
    <w:rsid w:val="006F47A8"/>
    <w:rsid w:val="006F4ADC"/>
    <w:rsid w:val="006F4F99"/>
    <w:rsid w:val="006F5052"/>
    <w:rsid w:val="006F5063"/>
    <w:rsid w:val="006F5121"/>
    <w:rsid w:val="006F518C"/>
    <w:rsid w:val="006F52E7"/>
    <w:rsid w:val="006F52F8"/>
    <w:rsid w:val="006F545A"/>
    <w:rsid w:val="006F54C2"/>
    <w:rsid w:val="006F5533"/>
    <w:rsid w:val="006F556D"/>
    <w:rsid w:val="006F5788"/>
    <w:rsid w:val="006F5906"/>
    <w:rsid w:val="006F59AB"/>
    <w:rsid w:val="006F59D4"/>
    <w:rsid w:val="006F59E1"/>
    <w:rsid w:val="006F5A92"/>
    <w:rsid w:val="006F5AE9"/>
    <w:rsid w:val="006F5B64"/>
    <w:rsid w:val="006F5DA4"/>
    <w:rsid w:val="006F5ED7"/>
    <w:rsid w:val="006F60CA"/>
    <w:rsid w:val="006F60FA"/>
    <w:rsid w:val="006F6122"/>
    <w:rsid w:val="006F6177"/>
    <w:rsid w:val="006F61CA"/>
    <w:rsid w:val="006F62B7"/>
    <w:rsid w:val="006F6380"/>
    <w:rsid w:val="006F64D5"/>
    <w:rsid w:val="006F6525"/>
    <w:rsid w:val="006F6744"/>
    <w:rsid w:val="006F6753"/>
    <w:rsid w:val="006F6970"/>
    <w:rsid w:val="006F69C3"/>
    <w:rsid w:val="006F6BA3"/>
    <w:rsid w:val="006F6BEB"/>
    <w:rsid w:val="006F6BF7"/>
    <w:rsid w:val="006F6C85"/>
    <w:rsid w:val="006F6CAB"/>
    <w:rsid w:val="006F7021"/>
    <w:rsid w:val="006F7033"/>
    <w:rsid w:val="006F7166"/>
    <w:rsid w:val="006F71A4"/>
    <w:rsid w:val="006F730D"/>
    <w:rsid w:val="006F741D"/>
    <w:rsid w:val="006F744A"/>
    <w:rsid w:val="006F7462"/>
    <w:rsid w:val="006F7795"/>
    <w:rsid w:val="006F77CC"/>
    <w:rsid w:val="006F77CE"/>
    <w:rsid w:val="006F7986"/>
    <w:rsid w:val="006F7996"/>
    <w:rsid w:val="006F79BC"/>
    <w:rsid w:val="006F7A9F"/>
    <w:rsid w:val="006F7AAE"/>
    <w:rsid w:val="006F7AAF"/>
    <w:rsid w:val="006F7B53"/>
    <w:rsid w:val="006F7B70"/>
    <w:rsid w:val="006F7BB7"/>
    <w:rsid w:val="006F7BFD"/>
    <w:rsid w:val="006F7D9A"/>
    <w:rsid w:val="006F7EC0"/>
    <w:rsid w:val="006F7F16"/>
    <w:rsid w:val="00700044"/>
    <w:rsid w:val="007002AA"/>
    <w:rsid w:val="00700443"/>
    <w:rsid w:val="007004EE"/>
    <w:rsid w:val="0070055E"/>
    <w:rsid w:val="0070060C"/>
    <w:rsid w:val="00700819"/>
    <w:rsid w:val="007008AA"/>
    <w:rsid w:val="007008DA"/>
    <w:rsid w:val="00700A20"/>
    <w:rsid w:val="00700A4A"/>
    <w:rsid w:val="00700A56"/>
    <w:rsid w:val="00700B44"/>
    <w:rsid w:val="00700B4A"/>
    <w:rsid w:val="00700D06"/>
    <w:rsid w:val="00701173"/>
    <w:rsid w:val="00701513"/>
    <w:rsid w:val="00701690"/>
    <w:rsid w:val="00701702"/>
    <w:rsid w:val="007017EA"/>
    <w:rsid w:val="0070184F"/>
    <w:rsid w:val="00701B57"/>
    <w:rsid w:val="00701B86"/>
    <w:rsid w:val="00701CAA"/>
    <w:rsid w:val="00701EC6"/>
    <w:rsid w:val="00701EF7"/>
    <w:rsid w:val="00701F34"/>
    <w:rsid w:val="00701F7E"/>
    <w:rsid w:val="007020FC"/>
    <w:rsid w:val="0070231A"/>
    <w:rsid w:val="00702325"/>
    <w:rsid w:val="00702371"/>
    <w:rsid w:val="00702372"/>
    <w:rsid w:val="00702488"/>
    <w:rsid w:val="0070258F"/>
    <w:rsid w:val="00702678"/>
    <w:rsid w:val="00702713"/>
    <w:rsid w:val="007027C7"/>
    <w:rsid w:val="0070283C"/>
    <w:rsid w:val="007029DC"/>
    <w:rsid w:val="00702BB2"/>
    <w:rsid w:val="00702C31"/>
    <w:rsid w:val="00702D75"/>
    <w:rsid w:val="00702DBD"/>
    <w:rsid w:val="00702F0D"/>
    <w:rsid w:val="0070309E"/>
    <w:rsid w:val="007030C9"/>
    <w:rsid w:val="007032B6"/>
    <w:rsid w:val="00703389"/>
    <w:rsid w:val="007034D8"/>
    <w:rsid w:val="0070355F"/>
    <w:rsid w:val="007035EA"/>
    <w:rsid w:val="00703619"/>
    <w:rsid w:val="0070385E"/>
    <w:rsid w:val="00703A2D"/>
    <w:rsid w:val="00703B98"/>
    <w:rsid w:val="00703C40"/>
    <w:rsid w:val="00703C7F"/>
    <w:rsid w:val="00703C8C"/>
    <w:rsid w:val="00703D66"/>
    <w:rsid w:val="00703D7F"/>
    <w:rsid w:val="00703DDF"/>
    <w:rsid w:val="00703F77"/>
    <w:rsid w:val="00703FD8"/>
    <w:rsid w:val="00703FF2"/>
    <w:rsid w:val="0070405D"/>
    <w:rsid w:val="007042AA"/>
    <w:rsid w:val="007042BA"/>
    <w:rsid w:val="00704305"/>
    <w:rsid w:val="007045CD"/>
    <w:rsid w:val="007045FF"/>
    <w:rsid w:val="007046CC"/>
    <w:rsid w:val="00704770"/>
    <w:rsid w:val="007048D5"/>
    <w:rsid w:val="007048EE"/>
    <w:rsid w:val="007048F6"/>
    <w:rsid w:val="00704BBA"/>
    <w:rsid w:val="00704C69"/>
    <w:rsid w:val="00704D15"/>
    <w:rsid w:val="00705004"/>
    <w:rsid w:val="00705043"/>
    <w:rsid w:val="0070509D"/>
    <w:rsid w:val="007050A5"/>
    <w:rsid w:val="0070514C"/>
    <w:rsid w:val="00705162"/>
    <w:rsid w:val="00705196"/>
    <w:rsid w:val="007051D8"/>
    <w:rsid w:val="00705214"/>
    <w:rsid w:val="00705271"/>
    <w:rsid w:val="007052C6"/>
    <w:rsid w:val="0070533F"/>
    <w:rsid w:val="00705372"/>
    <w:rsid w:val="00705437"/>
    <w:rsid w:val="0070549D"/>
    <w:rsid w:val="007055B6"/>
    <w:rsid w:val="007055D6"/>
    <w:rsid w:val="00705602"/>
    <w:rsid w:val="007056BE"/>
    <w:rsid w:val="0070572C"/>
    <w:rsid w:val="00705873"/>
    <w:rsid w:val="007059ED"/>
    <w:rsid w:val="007059F3"/>
    <w:rsid w:val="00705A56"/>
    <w:rsid w:val="00705AFB"/>
    <w:rsid w:val="00705E25"/>
    <w:rsid w:val="0070618E"/>
    <w:rsid w:val="007061AE"/>
    <w:rsid w:val="0070621C"/>
    <w:rsid w:val="00706609"/>
    <w:rsid w:val="00706787"/>
    <w:rsid w:val="0070685A"/>
    <w:rsid w:val="007068A3"/>
    <w:rsid w:val="00706ABB"/>
    <w:rsid w:val="00706D6C"/>
    <w:rsid w:val="00706DF9"/>
    <w:rsid w:val="00706E7B"/>
    <w:rsid w:val="00707003"/>
    <w:rsid w:val="0070702C"/>
    <w:rsid w:val="007070A8"/>
    <w:rsid w:val="007070AA"/>
    <w:rsid w:val="007071E3"/>
    <w:rsid w:val="007071F7"/>
    <w:rsid w:val="007072E6"/>
    <w:rsid w:val="00707411"/>
    <w:rsid w:val="007074E5"/>
    <w:rsid w:val="007075F7"/>
    <w:rsid w:val="007076A9"/>
    <w:rsid w:val="0070776C"/>
    <w:rsid w:val="00707792"/>
    <w:rsid w:val="00707882"/>
    <w:rsid w:val="007078F6"/>
    <w:rsid w:val="00707927"/>
    <w:rsid w:val="0070794C"/>
    <w:rsid w:val="00707AFE"/>
    <w:rsid w:val="00707B27"/>
    <w:rsid w:val="00707B6B"/>
    <w:rsid w:val="00707B87"/>
    <w:rsid w:val="00707E9D"/>
    <w:rsid w:val="00707ECD"/>
    <w:rsid w:val="00707F4B"/>
    <w:rsid w:val="00710129"/>
    <w:rsid w:val="00710243"/>
    <w:rsid w:val="00710245"/>
    <w:rsid w:val="007103AC"/>
    <w:rsid w:val="007107E3"/>
    <w:rsid w:val="007108BE"/>
    <w:rsid w:val="007108D3"/>
    <w:rsid w:val="00710912"/>
    <w:rsid w:val="00710953"/>
    <w:rsid w:val="007109F6"/>
    <w:rsid w:val="00710DC6"/>
    <w:rsid w:val="00710DC9"/>
    <w:rsid w:val="00710E7B"/>
    <w:rsid w:val="00710EFD"/>
    <w:rsid w:val="00711232"/>
    <w:rsid w:val="007113A6"/>
    <w:rsid w:val="00711462"/>
    <w:rsid w:val="007114C3"/>
    <w:rsid w:val="007115DD"/>
    <w:rsid w:val="00711673"/>
    <w:rsid w:val="00711751"/>
    <w:rsid w:val="00711A35"/>
    <w:rsid w:val="00711A75"/>
    <w:rsid w:val="00711AEE"/>
    <w:rsid w:val="00711CAB"/>
    <w:rsid w:val="00711D22"/>
    <w:rsid w:val="00712288"/>
    <w:rsid w:val="00712509"/>
    <w:rsid w:val="0071260C"/>
    <w:rsid w:val="00712669"/>
    <w:rsid w:val="00712957"/>
    <w:rsid w:val="0071296A"/>
    <w:rsid w:val="00712AB6"/>
    <w:rsid w:val="00712ACA"/>
    <w:rsid w:val="00712B46"/>
    <w:rsid w:val="00712BB6"/>
    <w:rsid w:val="00712F75"/>
    <w:rsid w:val="00712F9A"/>
    <w:rsid w:val="00713169"/>
    <w:rsid w:val="007131CA"/>
    <w:rsid w:val="0071327C"/>
    <w:rsid w:val="00713294"/>
    <w:rsid w:val="0071331E"/>
    <w:rsid w:val="00713632"/>
    <w:rsid w:val="007136AC"/>
    <w:rsid w:val="007136E6"/>
    <w:rsid w:val="0071389D"/>
    <w:rsid w:val="00713A40"/>
    <w:rsid w:val="00713B62"/>
    <w:rsid w:val="00713CE3"/>
    <w:rsid w:val="007140AE"/>
    <w:rsid w:val="007140D7"/>
    <w:rsid w:val="00714103"/>
    <w:rsid w:val="00714117"/>
    <w:rsid w:val="00714614"/>
    <w:rsid w:val="0071470E"/>
    <w:rsid w:val="007147B1"/>
    <w:rsid w:val="00714829"/>
    <w:rsid w:val="00714861"/>
    <w:rsid w:val="00714896"/>
    <w:rsid w:val="00714961"/>
    <w:rsid w:val="00714A51"/>
    <w:rsid w:val="00714B7D"/>
    <w:rsid w:val="00714C84"/>
    <w:rsid w:val="00714E29"/>
    <w:rsid w:val="00714F5F"/>
    <w:rsid w:val="00714F85"/>
    <w:rsid w:val="00715000"/>
    <w:rsid w:val="0071503B"/>
    <w:rsid w:val="007151ED"/>
    <w:rsid w:val="00715474"/>
    <w:rsid w:val="0071549E"/>
    <w:rsid w:val="007154D2"/>
    <w:rsid w:val="0071556E"/>
    <w:rsid w:val="0071573F"/>
    <w:rsid w:val="0071587D"/>
    <w:rsid w:val="00715C51"/>
    <w:rsid w:val="00715C58"/>
    <w:rsid w:val="00715DAA"/>
    <w:rsid w:val="00715E65"/>
    <w:rsid w:val="00715ECA"/>
    <w:rsid w:val="007160DC"/>
    <w:rsid w:val="0071646E"/>
    <w:rsid w:val="007164AD"/>
    <w:rsid w:val="007165F4"/>
    <w:rsid w:val="0071675B"/>
    <w:rsid w:val="0071680D"/>
    <w:rsid w:val="00716934"/>
    <w:rsid w:val="00716A22"/>
    <w:rsid w:val="00716AF3"/>
    <w:rsid w:val="00716C27"/>
    <w:rsid w:val="00716CAB"/>
    <w:rsid w:val="00716D8F"/>
    <w:rsid w:val="00716FF5"/>
    <w:rsid w:val="00717035"/>
    <w:rsid w:val="00717047"/>
    <w:rsid w:val="00717070"/>
    <w:rsid w:val="00717173"/>
    <w:rsid w:val="007171CC"/>
    <w:rsid w:val="007172EF"/>
    <w:rsid w:val="0071730D"/>
    <w:rsid w:val="0071733E"/>
    <w:rsid w:val="0071740D"/>
    <w:rsid w:val="00717624"/>
    <w:rsid w:val="007176E2"/>
    <w:rsid w:val="00717713"/>
    <w:rsid w:val="007177BA"/>
    <w:rsid w:val="007177D6"/>
    <w:rsid w:val="00717812"/>
    <w:rsid w:val="00717877"/>
    <w:rsid w:val="007178AC"/>
    <w:rsid w:val="0071796F"/>
    <w:rsid w:val="00717AA3"/>
    <w:rsid w:val="00717B8C"/>
    <w:rsid w:val="00717C0C"/>
    <w:rsid w:val="00717CBD"/>
    <w:rsid w:val="00717D00"/>
    <w:rsid w:val="00717E3B"/>
    <w:rsid w:val="00717EE7"/>
    <w:rsid w:val="00720013"/>
    <w:rsid w:val="0072001B"/>
    <w:rsid w:val="007201AC"/>
    <w:rsid w:val="00720306"/>
    <w:rsid w:val="007203D3"/>
    <w:rsid w:val="00720433"/>
    <w:rsid w:val="00720492"/>
    <w:rsid w:val="007206B0"/>
    <w:rsid w:val="007208E7"/>
    <w:rsid w:val="0072096F"/>
    <w:rsid w:val="007209E6"/>
    <w:rsid w:val="00720B68"/>
    <w:rsid w:val="00720D57"/>
    <w:rsid w:val="00720D96"/>
    <w:rsid w:val="00720DA8"/>
    <w:rsid w:val="007210F4"/>
    <w:rsid w:val="007211B8"/>
    <w:rsid w:val="007211CF"/>
    <w:rsid w:val="0072120B"/>
    <w:rsid w:val="00721453"/>
    <w:rsid w:val="007214E3"/>
    <w:rsid w:val="00721569"/>
    <w:rsid w:val="007215DC"/>
    <w:rsid w:val="007218AD"/>
    <w:rsid w:val="0072195F"/>
    <w:rsid w:val="00721988"/>
    <w:rsid w:val="007219B5"/>
    <w:rsid w:val="007219BC"/>
    <w:rsid w:val="00721AD0"/>
    <w:rsid w:val="00721B3E"/>
    <w:rsid w:val="00721B8C"/>
    <w:rsid w:val="00721D58"/>
    <w:rsid w:val="00721FA1"/>
    <w:rsid w:val="00722112"/>
    <w:rsid w:val="00722158"/>
    <w:rsid w:val="0072215A"/>
    <w:rsid w:val="007221E1"/>
    <w:rsid w:val="007221E2"/>
    <w:rsid w:val="00722287"/>
    <w:rsid w:val="007224D8"/>
    <w:rsid w:val="00722759"/>
    <w:rsid w:val="007228E1"/>
    <w:rsid w:val="00722969"/>
    <w:rsid w:val="0072297F"/>
    <w:rsid w:val="00722C0C"/>
    <w:rsid w:val="00722C43"/>
    <w:rsid w:val="00722CE0"/>
    <w:rsid w:val="00723010"/>
    <w:rsid w:val="00723038"/>
    <w:rsid w:val="007230CF"/>
    <w:rsid w:val="00723102"/>
    <w:rsid w:val="007231C9"/>
    <w:rsid w:val="007232B5"/>
    <w:rsid w:val="00723359"/>
    <w:rsid w:val="007233B5"/>
    <w:rsid w:val="007233BF"/>
    <w:rsid w:val="0072347C"/>
    <w:rsid w:val="00723495"/>
    <w:rsid w:val="0072358C"/>
    <w:rsid w:val="0072363F"/>
    <w:rsid w:val="00723678"/>
    <w:rsid w:val="00723702"/>
    <w:rsid w:val="00723723"/>
    <w:rsid w:val="007237AE"/>
    <w:rsid w:val="0072398D"/>
    <w:rsid w:val="00723A7C"/>
    <w:rsid w:val="00723B7E"/>
    <w:rsid w:val="00723B8A"/>
    <w:rsid w:val="00723C34"/>
    <w:rsid w:val="00723CA1"/>
    <w:rsid w:val="00723CF0"/>
    <w:rsid w:val="00723D56"/>
    <w:rsid w:val="00723DD5"/>
    <w:rsid w:val="00723E8F"/>
    <w:rsid w:val="00723EB0"/>
    <w:rsid w:val="0072403B"/>
    <w:rsid w:val="007240FF"/>
    <w:rsid w:val="00724188"/>
    <w:rsid w:val="00724290"/>
    <w:rsid w:val="00724464"/>
    <w:rsid w:val="007245D0"/>
    <w:rsid w:val="00724743"/>
    <w:rsid w:val="0072493B"/>
    <w:rsid w:val="00724D31"/>
    <w:rsid w:val="00724D5C"/>
    <w:rsid w:val="00724E67"/>
    <w:rsid w:val="00724F21"/>
    <w:rsid w:val="00725075"/>
    <w:rsid w:val="00725085"/>
    <w:rsid w:val="00725086"/>
    <w:rsid w:val="007250F3"/>
    <w:rsid w:val="0072537B"/>
    <w:rsid w:val="007253AF"/>
    <w:rsid w:val="007254C1"/>
    <w:rsid w:val="007255F9"/>
    <w:rsid w:val="007259DF"/>
    <w:rsid w:val="00725AF2"/>
    <w:rsid w:val="00725BE7"/>
    <w:rsid w:val="00725BEE"/>
    <w:rsid w:val="00725C46"/>
    <w:rsid w:val="00725DBB"/>
    <w:rsid w:val="00725DD5"/>
    <w:rsid w:val="00725DE8"/>
    <w:rsid w:val="00725F80"/>
    <w:rsid w:val="007261E2"/>
    <w:rsid w:val="007262E1"/>
    <w:rsid w:val="00726353"/>
    <w:rsid w:val="0072665F"/>
    <w:rsid w:val="007266BA"/>
    <w:rsid w:val="0072686C"/>
    <w:rsid w:val="00726BCD"/>
    <w:rsid w:val="00726D2F"/>
    <w:rsid w:val="00726FDA"/>
    <w:rsid w:val="0072710A"/>
    <w:rsid w:val="00727410"/>
    <w:rsid w:val="0072769D"/>
    <w:rsid w:val="00727733"/>
    <w:rsid w:val="00727748"/>
    <w:rsid w:val="007277E6"/>
    <w:rsid w:val="00727813"/>
    <w:rsid w:val="00727816"/>
    <w:rsid w:val="00727A8A"/>
    <w:rsid w:val="00727AD4"/>
    <w:rsid w:val="00727C8A"/>
    <w:rsid w:val="00727DB3"/>
    <w:rsid w:val="00727E30"/>
    <w:rsid w:val="007300CD"/>
    <w:rsid w:val="0073028D"/>
    <w:rsid w:val="00730327"/>
    <w:rsid w:val="007303D1"/>
    <w:rsid w:val="007303DD"/>
    <w:rsid w:val="0073068D"/>
    <w:rsid w:val="007307BF"/>
    <w:rsid w:val="0073090F"/>
    <w:rsid w:val="0073096B"/>
    <w:rsid w:val="007309F5"/>
    <w:rsid w:val="00730A10"/>
    <w:rsid w:val="00730B65"/>
    <w:rsid w:val="00730C5F"/>
    <w:rsid w:val="00730C6E"/>
    <w:rsid w:val="00730E53"/>
    <w:rsid w:val="00730E9D"/>
    <w:rsid w:val="00730EA5"/>
    <w:rsid w:val="00730EA7"/>
    <w:rsid w:val="00730EE5"/>
    <w:rsid w:val="0073115B"/>
    <w:rsid w:val="00731194"/>
    <w:rsid w:val="007312F7"/>
    <w:rsid w:val="00731416"/>
    <w:rsid w:val="00731458"/>
    <w:rsid w:val="00731612"/>
    <w:rsid w:val="0073163D"/>
    <w:rsid w:val="0073165C"/>
    <w:rsid w:val="00731670"/>
    <w:rsid w:val="0073172D"/>
    <w:rsid w:val="00731778"/>
    <w:rsid w:val="007317ED"/>
    <w:rsid w:val="00731A9F"/>
    <w:rsid w:val="00731B49"/>
    <w:rsid w:val="00731D1C"/>
    <w:rsid w:val="00731DD2"/>
    <w:rsid w:val="00731EE5"/>
    <w:rsid w:val="00731F11"/>
    <w:rsid w:val="00731F44"/>
    <w:rsid w:val="00731FE3"/>
    <w:rsid w:val="007320A9"/>
    <w:rsid w:val="007320EC"/>
    <w:rsid w:val="0073233C"/>
    <w:rsid w:val="00732343"/>
    <w:rsid w:val="00732345"/>
    <w:rsid w:val="007323E4"/>
    <w:rsid w:val="0073246D"/>
    <w:rsid w:val="007324B5"/>
    <w:rsid w:val="007324D3"/>
    <w:rsid w:val="00732648"/>
    <w:rsid w:val="00732650"/>
    <w:rsid w:val="00732715"/>
    <w:rsid w:val="00732886"/>
    <w:rsid w:val="00732990"/>
    <w:rsid w:val="00732A3B"/>
    <w:rsid w:val="00732AE2"/>
    <w:rsid w:val="00732AEE"/>
    <w:rsid w:val="00732C67"/>
    <w:rsid w:val="00732C83"/>
    <w:rsid w:val="00732D17"/>
    <w:rsid w:val="00732D85"/>
    <w:rsid w:val="00732ECA"/>
    <w:rsid w:val="00732F17"/>
    <w:rsid w:val="00732F3D"/>
    <w:rsid w:val="00733008"/>
    <w:rsid w:val="00733079"/>
    <w:rsid w:val="007330E0"/>
    <w:rsid w:val="00733273"/>
    <w:rsid w:val="00733280"/>
    <w:rsid w:val="0073335D"/>
    <w:rsid w:val="007337C6"/>
    <w:rsid w:val="00733A4F"/>
    <w:rsid w:val="00733B5F"/>
    <w:rsid w:val="00733C34"/>
    <w:rsid w:val="00733D32"/>
    <w:rsid w:val="00733D40"/>
    <w:rsid w:val="00733E3B"/>
    <w:rsid w:val="00733EF4"/>
    <w:rsid w:val="00733F75"/>
    <w:rsid w:val="0073405D"/>
    <w:rsid w:val="0073416C"/>
    <w:rsid w:val="0073425C"/>
    <w:rsid w:val="00734286"/>
    <w:rsid w:val="007342AA"/>
    <w:rsid w:val="0073431A"/>
    <w:rsid w:val="007344C4"/>
    <w:rsid w:val="0073457A"/>
    <w:rsid w:val="007345A2"/>
    <w:rsid w:val="00734603"/>
    <w:rsid w:val="00734708"/>
    <w:rsid w:val="00734731"/>
    <w:rsid w:val="00734940"/>
    <w:rsid w:val="00734BE2"/>
    <w:rsid w:val="00734DE3"/>
    <w:rsid w:val="00734F54"/>
    <w:rsid w:val="00735014"/>
    <w:rsid w:val="007350D3"/>
    <w:rsid w:val="00735125"/>
    <w:rsid w:val="00735128"/>
    <w:rsid w:val="0073517D"/>
    <w:rsid w:val="0073525B"/>
    <w:rsid w:val="007352F3"/>
    <w:rsid w:val="0073532C"/>
    <w:rsid w:val="00735374"/>
    <w:rsid w:val="00735452"/>
    <w:rsid w:val="00735518"/>
    <w:rsid w:val="007355DE"/>
    <w:rsid w:val="0073568D"/>
    <w:rsid w:val="0073578A"/>
    <w:rsid w:val="007359D8"/>
    <w:rsid w:val="00735CA8"/>
    <w:rsid w:val="00735DE2"/>
    <w:rsid w:val="00735E2C"/>
    <w:rsid w:val="00735E36"/>
    <w:rsid w:val="00735F1D"/>
    <w:rsid w:val="00735F28"/>
    <w:rsid w:val="0073600C"/>
    <w:rsid w:val="007360CA"/>
    <w:rsid w:val="007363EB"/>
    <w:rsid w:val="007363F7"/>
    <w:rsid w:val="00736659"/>
    <w:rsid w:val="00736741"/>
    <w:rsid w:val="007367D0"/>
    <w:rsid w:val="007367E1"/>
    <w:rsid w:val="0073681C"/>
    <w:rsid w:val="007369B2"/>
    <w:rsid w:val="00736A08"/>
    <w:rsid w:val="00736A21"/>
    <w:rsid w:val="00736A66"/>
    <w:rsid w:val="00736AC8"/>
    <w:rsid w:val="00736B72"/>
    <w:rsid w:val="00736C9A"/>
    <w:rsid w:val="00736D44"/>
    <w:rsid w:val="00736DF6"/>
    <w:rsid w:val="00736E1A"/>
    <w:rsid w:val="00736E4E"/>
    <w:rsid w:val="00736F8C"/>
    <w:rsid w:val="00736FF9"/>
    <w:rsid w:val="00736FFC"/>
    <w:rsid w:val="00737135"/>
    <w:rsid w:val="00737216"/>
    <w:rsid w:val="007373A4"/>
    <w:rsid w:val="00737462"/>
    <w:rsid w:val="007374EE"/>
    <w:rsid w:val="00737648"/>
    <w:rsid w:val="0073775A"/>
    <w:rsid w:val="00737857"/>
    <w:rsid w:val="007379BE"/>
    <w:rsid w:val="007379F1"/>
    <w:rsid w:val="00737EAF"/>
    <w:rsid w:val="00740130"/>
    <w:rsid w:val="007401E0"/>
    <w:rsid w:val="00740246"/>
    <w:rsid w:val="00740249"/>
    <w:rsid w:val="0074039A"/>
    <w:rsid w:val="007405AB"/>
    <w:rsid w:val="007405CC"/>
    <w:rsid w:val="00740633"/>
    <w:rsid w:val="00740655"/>
    <w:rsid w:val="00740697"/>
    <w:rsid w:val="0074091A"/>
    <w:rsid w:val="00740930"/>
    <w:rsid w:val="00740DF2"/>
    <w:rsid w:val="00740F8D"/>
    <w:rsid w:val="00741026"/>
    <w:rsid w:val="0074128C"/>
    <w:rsid w:val="007412A4"/>
    <w:rsid w:val="007412EC"/>
    <w:rsid w:val="0074144A"/>
    <w:rsid w:val="00741573"/>
    <w:rsid w:val="007415D9"/>
    <w:rsid w:val="00741704"/>
    <w:rsid w:val="0074182B"/>
    <w:rsid w:val="00741A65"/>
    <w:rsid w:val="00741AC1"/>
    <w:rsid w:val="00741B8B"/>
    <w:rsid w:val="00741D08"/>
    <w:rsid w:val="00741D0A"/>
    <w:rsid w:val="00741D60"/>
    <w:rsid w:val="00741DE6"/>
    <w:rsid w:val="00741F58"/>
    <w:rsid w:val="0074227E"/>
    <w:rsid w:val="0074230F"/>
    <w:rsid w:val="007423BB"/>
    <w:rsid w:val="00742411"/>
    <w:rsid w:val="00742530"/>
    <w:rsid w:val="0074255B"/>
    <w:rsid w:val="0074268B"/>
    <w:rsid w:val="00742760"/>
    <w:rsid w:val="0074277E"/>
    <w:rsid w:val="007428DA"/>
    <w:rsid w:val="00742A51"/>
    <w:rsid w:val="00742A57"/>
    <w:rsid w:val="00742D7D"/>
    <w:rsid w:val="00742F44"/>
    <w:rsid w:val="00742F5E"/>
    <w:rsid w:val="00743164"/>
    <w:rsid w:val="00743310"/>
    <w:rsid w:val="0074333D"/>
    <w:rsid w:val="00743510"/>
    <w:rsid w:val="007435C5"/>
    <w:rsid w:val="00743846"/>
    <w:rsid w:val="0074390A"/>
    <w:rsid w:val="007439D2"/>
    <w:rsid w:val="00743A5E"/>
    <w:rsid w:val="00743B2D"/>
    <w:rsid w:val="00743B30"/>
    <w:rsid w:val="00743D20"/>
    <w:rsid w:val="00743F18"/>
    <w:rsid w:val="00743F19"/>
    <w:rsid w:val="007440F5"/>
    <w:rsid w:val="007441BE"/>
    <w:rsid w:val="00744204"/>
    <w:rsid w:val="0074452A"/>
    <w:rsid w:val="0074457F"/>
    <w:rsid w:val="00744659"/>
    <w:rsid w:val="007446B0"/>
    <w:rsid w:val="007446C5"/>
    <w:rsid w:val="00744874"/>
    <w:rsid w:val="007448DF"/>
    <w:rsid w:val="00744A79"/>
    <w:rsid w:val="00744CB8"/>
    <w:rsid w:val="00744CE8"/>
    <w:rsid w:val="00744F55"/>
    <w:rsid w:val="00745034"/>
    <w:rsid w:val="007450DE"/>
    <w:rsid w:val="00745110"/>
    <w:rsid w:val="007454EA"/>
    <w:rsid w:val="00745739"/>
    <w:rsid w:val="007457B0"/>
    <w:rsid w:val="007459C2"/>
    <w:rsid w:val="00745C99"/>
    <w:rsid w:val="00745DDD"/>
    <w:rsid w:val="00745F78"/>
    <w:rsid w:val="00745FAC"/>
    <w:rsid w:val="00745FC5"/>
    <w:rsid w:val="00746009"/>
    <w:rsid w:val="00746113"/>
    <w:rsid w:val="00746114"/>
    <w:rsid w:val="00746130"/>
    <w:rsid w:val="007463B5"/>
    <w:rsid w:val="00746422"/>
    <w:rsid w:val="0074660E"/>
    <w:rsid w:val="00746696"/>
    <w:rsid w:val="00746697"/>
    <w:rsid w:val="007466B0"/>
    <w:rsid w:val="007466B5"/>
    <w:rsid w:val="007466E0"/>
    <w:rsid w:val="00746702"/>
    <w:rsid w:val="0074679D"/>
    <w:rsid w:val="0074699C"/>
    <w:rsid w:val="00746A0B"/>
    <w:rsid w:val="00746AD3"/>
    <w:rsid w:val="00746C0B"/>
    <w:rsid w:val="00746C49"/>
    <w:rsid w:val="00746CA4"/>
    <w:rsid w:val="00746CFC"/>
    <w:rsid w:val="00746D20"/>
    <w:rsid w:val="00746F51"/>
    <w:rsid w:val="007470EF"/>
    <w:rsid w:val="00747150"/>
    <w:rsid w:val="00747238"/>
    <w:rsid w:val="00747278"/>
    <w:rsid w:val="00747316"/>
    <w:rsid w:val="00747379"/>
    <w:rsid w:val="0074770E"/>
    <w:rsid w:val="00747726"/>
    <w:rsid w:val="007478D7"/>
    <w:rsid w:val="00747BF4"/>
    <w:rsid w:val="00747C00"/>
    <w:rsid w:val="00747C01"/>
    <w:rsid w:val="00747C4A"/>
    <w:rsid w:val="00747D33"/>
    <w:rsid w:val="00747D91"/>
    <w:rsid w:val="00747DD1"/>
    <w:rsid w:val="00747E7B"/>
    <w:rsid w:val="00747ECC"/>
    <w:rsid w:val="00747EF2"/>
    <w:rsid w:val="00747F1B"/>
    <w:rsid w:val="0075006A"/>
    <w:rsid w:val="007501AB"/>
    <w:rsid w:val="007501AD"/>
    <w:rsid w:val="0075021B"/>
    <w:rsid w:val="00750228"/>
    <w:rsid w:val="00750291"/>
    <w:rsid w:val="007502B2"/>
    <w:rsid w:val="007502F2"/>
    <w:rsid w:val="007504B2"/>
    <w:rsid w:val="00750719"/>
    <w:rsid w:val="0075076A"/>
    <w:rsid w:val="00750773"/>
    <w:rsid w:val="007509C7"/>
    <w:rsid w:val="00750A23"/>
    <w:rsid w:val="00750A89"/>
    <w:rsid w:val="00750AAE"/>
    <w:rsid w:val="00750ACA"/>
    <w:rsid w:val="00750B0A"/>
    <w:rsid w:val="00750BEE"/>
    <w:rsid w:val="00750C2C"/>
    <w:rsid w:val="00750C43"/>
    <w:rsid w:val="00750D43"/>
    <w:rsid w:val="00751023"/>
    <w:rsid w:val="0075104E"/>
    <w:rsid w:val="0075146D"/>
    <w:rsid w:val="00751632"/>
    <w:rsid w:val="00751721"/>
    <w:rsid w:val="00751778"/>
    <w:rsid w:val="00751838"/>
    <w:rsid w:val="0075193F"/>
    <w:rsid w:val="00751A5E"/>
    <w:rsid w:val="00751A7C"/>
    <w:rsid w:val="00751B80"/>
    <w:rsid w:val="00751B8A"/>
    <w:rsid w:val="00751C75"/>
    <w:rsid w:val="00751D11"/>
    <w:rsid w:val="00752071"/>
    <w:rsid w:val="007522A2"/>
    <w:rsid w:val="007524C1"/>
    <w:rsid w:val="0075258F"/>
    <w:rsid w:val="007526D5"/>
    <w:rsid w:val="00752783"/>
    <w:rsid w:val="007527B3"/>
    <w:rsid w:val="00752A9B"/>
    <w:rsid w:val="00752B4B"/>
    <w:rsid w:val="00752E59"/>
    <w:rsid w:val="00752EC4"/>
    <w:rsid w:val="00753003"/>
    <w:rsid w:val="00753071"/>
    <w:rsid w:val="00753131"/>
    <w:rsid w:val="00753156"/>
    <w:rsid w:val="007531E5"/>
    <w:rsid w:val="0075327B"/>
    <w:rsid w:val="007532F6"/>
    <w:rsid w:val="00753314"/>
    <w:rsid w:val="00753322"/>
    <w:rsid w:val="00753648"/>
    <w:rsid w:val="007536A2"/>
    <w:rsid w:val="00753742"/>
    <w:rsid w:val="00753771"/>
    <w:rsid w:val="00753791"/>
    <w:rsid w:val="00753819"/>
    <w:rsid w:val="00753823"/>
    <w:rsid w:val="00753AE9"/>
    <w:rsid w:val="00753C9E"/>
    <w:rsid w:val="00753CBB"/>
    <w:rsid w:val="00753CF6"/>
    <w:rsid w:val="00753CFC"/>
    <w:rsid w:val="00753D4C"/>
    <w:rsid w:val="00754118"/>
    <w:rsid w:val="0075416B"/>
    <w:rsid w:val="007544D7"/>
    <w:rsid w:val="00754501"/>
    <w:rsid w:val="0075460D"/>
    <w:rsid w:val="00754631"/>
    <w:rsid w:val="00754749"/>
    <w:rsid w:val="007547DE"/>
    <w:rsid w:val="0075489C"/>
    <w:rsid w:val="007549B5"/>
    <w:rsid w:val="00754AA5"/>
    <w:rsid w:val="00754AC3"/>
    <w:rsid w:val="00754B6A"/>
    <w:rsid w:val="00754E0F"/>
    <w:rsid w:val="00754EC7"/>
    <w:rsid w:val="00755058"/>
    <w:rsid w:val="0075506A"/>
    <w:rsid w:val="00755088"/>
    <w:rsid w:val="007550B6"/>
    <w:rsid w:val="007550E7"/>
    <w:rsid w:val="00755224"/>
    <w:rsid w:val="00755232"/>
    <w:rsid w:val="007553FD"/>
    <w:rsid w:val="007556EC"/>
    <w:rsid w:val="00755792"/>
    <w:rsid w:val="007558FB"/>
    <w:rsid w:val="00755B6E"/>
    <w:rsid w:val="00755BB5"/>
    <w:rsid w:val="00755C23"/>
    <w:rsid w:val="00755C4A"/>
    <w:rsid w:val="00755D88"/>
    <w:rsid w:val="00755E8D"/>
    <w:rsid w:val="00755EC0"/>
    <w:rsid w:val="00756077"/>
    <w:rsid w:val="0075615B"/>
    <w:rsid w:val="007561C3"/>
    <w:rsid w:val="0075622A"/>
    <w:rsid w:val="007563E3"/>
    <w:rsid w:val="00756462"/>
    <w:rsid w:val="00756508"/>
    <w:rsid w:val="007565C7"/>
    <w:rsid w:val="007565CD"/>
    <w:rsid w:val="007565F7"/>
    <w:rsid w:val="00756871"/>
    <w:rsid w:val="0075688F"/>
    <w:rsid w:val="007569F7"/>
    <w:rsid w:val="00756A4A"/>
    <w:rsid w:val="00756E99"/>
    <w:rsid w:val="0075702D"/>
    <w:rsid w:val="0075726E"/>
    <w:rsid w:val="00757440"/>
    <w:rsid w:val="00757651"/>
    <w:rsid w:val="007576AC"/>
    <w:rsid w:val="007576DE"/>
    <w:rsid w:val="0075775A"/>
    <w:rsid w:val="0075777E"/>
    <w:rsid w:val="00757A02"/>
    <w:rsid w:val="00757B32"/>
    <w:rsid w:val="00757C12"/>
    <w:rsid w:val="00757C6B"/>
    <w:rsid w:val="00757CC0"/>
    <w:rsid w:val="0076005F"/>
    <w:rsid w:val="007601F1"/>
    <w:rsid w:val="00760225"/>
    <w:rsid w:val="00760251"/>
    <w:rsid w:val="007603BA"/>
    <w:rsid w:val="007603E1"/>
    <w:rsid w:val="007604A7"/>
    <w:rsid w:val="007605BF"/>
    <w:rsid w:val="00760742"/>
    <w:rsid w:val="00760A70"/>
    <w:rsid w:val="00760A9B"/>
    <w:rsid w:val="00760B21"/>
    <w:rsid w:val="00760B34"/>
    <w:rsid w:val="00760C09"/>
    <w:rsid w:val="00760CC8"/>
    <w:rsid w:val="00760DF8"/>
    <w:rsid w:val="00760E57"/>
    <w:rsid w:val="0076103D"/>
    <w:rsid w:val="0076104E"/>
    <w:rsid w:val="0076109C"/>
    <w:rsid w:val="007610AD"/>
    <w:rsid w:val="00761390"/>
    <w:rsid w:val="007613D0"/>
    <w:rsid w:val="00761647"/>
    <w:rsid w:val="00761867"/>
    <w:rsid w:val="007618B5"/>
    <w:rsid w:val="0076190D"/>
    <w:rsid w:val="007619E6"/>
    <w:rsid w:val="00761A8A"/>
    <w:rsid w:val="00761BD2"/>
    <w:rsid w:val="00761C0A"/>
    <w:rsid w:val="00761C36"/>
    <w:rsid w:val="00761D89"/>
    <w:rsid w:val="00761DE8"/>
    <w:rsid w:val="00762023"/>
    <w:rsid w:val="0076215D"/>
    <w:rsid w:val="007621E4"/>
    <w:rsid w:val="00762388"/>
    <w:rsid w:val="0076238A"/>
    <w:rsid w:val="0076239A"/>
    <w:rsid w:val="00762600"/>
    <w:rsid w:val="00762625"/>
    <w:rsid w:val="00762689"/>
    <w:rsid w:val="007628D9"/>
    <w:rsid w:val="00762A60"/>
    <w:rsid w:val="00762A66"/>
    <w:rsid w:val="00762A97"/>
    <w:rsid w:val="00762AC9"/>
    <w:rsid w:val="00762B0A"/>
    <w:rsid w:val="00762B5F"/>
    <w:rsid w:val="00762B65"/>
    <w:rsid w:val="00762B8F"/>
    <w:rsid w:val="00762C90"/>
    <w:rsid w:val="00762CB1"/>
    <w:rsid w:val="00762CBF"/>
    <w:rsid w:val="00762E0A"/>
    <w:rsid w:val="00762E30"/>
    <w:rsid w:val="00762E5F"/>
    <w:rsid w:val="00762E8C"/>
    <w:rsid w:val="00762FD0"/>
    <w:rsid w:val="00763151"/>
    <w:rsid w:val="00763264"/>
    <w:rsid w:val="00763455"/>
    <w:rsid w:val="00763548"/>
    <w:rsid w:val="007636E0"/>
    <w:rsid w:val="007637CF"/>
    <w:rsid w:val="0076389F"/>
    <w:rsid w:val="007639BC"/>
    <w:rsid w:val="00763BD4"/>
    <w:rsid w:val="00763E46"/>
    <w:rsid w:val="00763FBD"/>
    <w:rsid w:val="00763FE4"/>
    <w:rsid w:val="00763FFA"/>
    <w:rsid w:val="00764088"/>
    <w:rsid w:val="007640C2"/>
    <w:rsid w:val="007640CF"/>
    <w:rsid w:val="00764111"/>
    <w:rsid w:val="00764142"/>
    <w:rsid w:val="0076438E"/>
    <w:rsid w:val="00764451"/>
    <w:rsid w:val="0076448B"/>
    <w:rsid w:val="007644BB"/>
    <w:rsid w:val="0076467C"/>
    <w:rsid w:val="007646C1"/>
    <w:rsid w:val="00764772"/>
    <w:rsid w:val="00764852"/>
    <w:rsid w:val="007648F3"/>
    <w:rsid w:val="00764985"/>
    <w:rsid w:val="00764B9E"/>
    <w:rsid w:val="00764BED"/>
    <w:rsid w:val="00764C30"/>
    <w:rsid w:val="00764EC0"/>
    <w:rsid w:val="00764ECB"/>
    <w:rsid w:val="00764F20"/>
    <w:rsid w:val="00765033"/>
    <w:rsid w:val="007652CC"/>
    <w:rsid w:val="007653A4"/>
    <w:rsid w:val="007653FA"/>
    <w:rsid w:val="00765491"/>
    <w:rsid w:val="0076552C"/>
    <w:rsid w:val="00765533"/>
    <w:rsid w:val="007655AB"/>
    <w:rsid w:val="0076561E"/>
    <w:rsid w:val="00765675"/>
    <w:rsid w:val="0076578E"/>
    <w:rsid w:val="007657BA"/>
    <w:rsid w:val="007657FE"/>
    <w:rsid w:val="00765886"/>
    <w:rsid w:val="00765939"/>
    <w:rsid w:val="007659B2"/>
    <w:rsid w:val="00765AF0"/>
    <w:rsid w:val="00765B36"/>
    <w:rsid w:val="00765BA6"/>
    <w:rsid w:val="00765C24"/>
    <w:rsid w:val="00765C56"/>
    <w:rsid w:val="00765DDB"/>
    <w:rsid w:val="00765E05"/>
    <w:rsid w:val="00765E98"/>
    <w:rsid w:val="00765F51"/>
    <w:rsid w:val="00766026"/>
    <w:rsid w:val="0076613A"/>
    <w:rsid w:val="00766146"/>
    <w:rsid w:val="0076620E"/>
    <w:rsid w:val="0076629C"/>
    <w:rsid w:val="007663A5"/>
    <w:rsid w:val="007664ED"/>
    <w:rsid w:val="007665DA"/>
    <w:rsid w:val="0076679E"/>
    <w:rsid w:val="0076688E"/>
    <w:rsid w:val="00766980"/>
    <w:rsid w:val="007669DF"/>
    <w:rsid w:val="007669F3"/>
    <w:rsid w:val="00766D4A"/>
    <w:rsid w:val="00766D4B"/>
    <w:rsid w:val="00766EEF"/>
    <w:rsid w:val="0076703C"/>
    <w:rsid w:val="0076705D"/>
    <w:rsid w:val="00767072"/>
    <w:rsid w:val="0076736C"/>
    <w:rsid w:val="00767386"/>
    <w:rsid w:val="00767624"/>
    <w:rsid w:val="0076770E"/>
    <w:rsid w:val="00767883"/>
    <w:rsid w:val="007678E0"/>
    <w:rsid w:val="0076793B"/>
    <w:rsid w:val="00767C2E"/>
    <w:rsid w:val="00767D00"/>
    <w:rsid w:val="00767D1C"/>
    <w:rsid w:val="00767DFC"/>
    <w:rsid w:val="00767ED6"/>
    <w:rsid w:val="00770116"/>
    <w:rsid w:val="0077011E"/>
    <w:rsid w:val="007701F0"/>
    <w:rsid w:val="007702AB"/>
    <w:rsid w:val="007704A2"/>
    <w:rsid w:val="007705D1"/>
    <w:rsid w:val="00770660"/>
    <w:rsid w:val="0077082C"/>
    <w:rsid w:val="007708BC"/>
    <w:rsid w:val="00770A5D"/>
    <w:rsid w:val="00770AF2"/>
    <w:rsid w:val="00770B9C"/>
    <w:rsid w:val="00770C16"/>
    <w:rsid w:val="00771044"/>
    <w:rsid w:val="007712F3"/>
    <w:rsid w:val="00771423"/>
    <w:rsid w:val="007714AF"/>
    <w:rsid w:val="00771578"/>
    <w:rsid w:val="0077158E"/>
    <w:rsid w:val="0077164D"/>
    <w:rsid w:val="00771712"/>
    <w:rsid w:val="00771761"/>
    <w:rsid w:val="0077176B"/>
    <w:rsid w:val="007719DC"/>
    <w:rsid w:val="00771A1A"/>
    <w:rsid w:val="00771B49"/>
    <w:rsid w:val="00771D0C"/>
    <w:rsid w:val="00771DE0"/>
    <w:rsid w:val="00771EA1"/>
    <w:rsid w:val="00771F54"/>
    <w:rsid w:val="00771F5B"/>
    <w:rsid w:val="007720A7"/>
    <w:rsid w:val="0077216B"/>
    <w:rsid w:val="0077216F"/>
    <w:rsid w:val="0077224F"/>
    <w:rsid w:val="00772272"/>
    <w:rsid w:val="00772287"/>
    <w:rsid w:val="00772372"/>
    <w:rsid w:val="0077240B"/>
    <w:rsid w:val="00772483"/>
    <w:rsid w:val="007725FD"/>
    <w:rsid w:val="007727F5"/>
    <w:rsid w:val="007727F8"/>
    <w:rsid w:val="007727FD"/>
    <w:rsid w:val="007728B4"/>
    <w:rsid w:val="007729D7"/>
    <w:rsid w:val="00772AA5"/>
    <w:rsid w:val="00772B75"/>
    <w:rsid w:val="00772CDB"/>
    <w:rsid w:val="00772D3C"/>
    <w:rsid w:val="00772E06"/>
    <w:rsid w:val="00772E12"/>
    <w:rsid w:val="00773211"/>
    <w:rsid w:val="007733DB"/>
    <w:rsid w:val="00773457"/>
    <w:rsid w:val="00773721"/>
    <w:rsid w:val="0077387E"/>
    <w:rsid w:val="00773993"/>
    <w:rsid w:val="00773B31"/>
    <w:rsid w:val="00773C29"/>
    <w:rsid w:val="00773C44"/>
    <w:rsid w:val="00773D12"/>
    <w:rsid w:val="00773E5F"/>
    <w:rsid w:val="0077405C"/>
    <w:rsid w:val="007740AA"/>
    <w:rsid w:val="00774152"/>
    <w:rsid w:val="0077416D"/>
    <w:rsid w:val="007741E1"/>
    <w:rsid w:val="007742FA"/>
    <w:rsid w:val="007743B9"/>
    <w:rsid w:val="0077448E"/>
    <w:rsid w:val="00774603"/>
    <w:rsid w:val="00774702"/>
    <w:rsid w:val="00774820"/>
    <w:rsid w:val="00774919"/>
    <w:rsid w:val="00774A7C"/>
    <w:rsid w:val="00774AE2"/>
    <w:rsid w:val="00774AEF"/>
    <w:rsid w:val="007750F7"/>
    <w:rsid w:val="007753A2"/>
    <w:rsid w:val="007754F4"/>
    <w:rsid w:val="00775687"/>
    <w:rsid w:val="007756EF"/>
    <w:rsid w:val="0077577C"/>
    <w:rsid w:val="007758B1"/>
    <w:rsid w:val="007758B9"/>
    <w:rsid w:val="00775A0A"/>
    <w:rsid w:val="00775BEA"/>
    <w:rsid w:val="00775D4E"/>
    <w:rsid w:val="00775DC5"/>
    <w:rsid w:val="00775DE0"/>
    <w:rsid w:val="00775FDF"/>
    <w:rsid w:val="00775FED"/>
    <w:rsid w:val="0077614A"/>
    <w:rsid w:val="007761FB"/>
    <w:rsid w:val="00776295"/>
    <w:rsid w:val="0077649B"/>
    <w:rsid w:val="0077665F"/>
    <w:rsid w:val="007766E1"/>
    <w:rsid w:val="0077675B"/>
    <w:rsid w:val="007767A9"/>
    <w:rsid w:val="0077680E"/>
    <w:rsid w:val="00776A1F"/>
    <w:rsid w:val="00776A8C"/>
    <w:rsid w:val="00776C86"/>
    <w:rsid w:val="00776D0B"/>
    <w:rsid w:val="00777053"/>
    <w:rsid w:val="00777067"/>
    <w:rsid w:val="00777153"/>
    <w:rsid w:val="0077719F"/>
    <w:rsid w:val="007771CB"/>
    <w:rsid w:val="00777234"/>
    <w:rsid w:val="00777352"/>
    <w:rsid w:val="0077764B"/>
    <w:rsid w:val="007776A5"/>
    <w:rsid w:val="00777702"/>
    <w:rsid w:val="00777712"/>
    <w:rsid w:val="00777767"/>
    <w:rsid w:val="007777A8"/>
    <w:rsid w:val="007777C3"/>
    <w:rsid w:val="00777807"/>
    <w:rsid w:val="007778B1"/>
    <w:rsid w:val="007779F7"/>
    <w:rsid w:val="00777A2E"/>
    <w:rsid w:val="00777AC2"/>
    <w:rsid w:val="00777B03"/>
    <w:rsid w:val="00777E64"/>
    <w:rsid w:val="0078019F"/>
    <w:rsid w:val="00780374"/>
    <w:rsid w:val="00780458"/>
    <w:rsid w:val="0078046D"/>
    <w:rsid w:val="007805E2"/>
    <w:rsid w:val="007807E2"/>
    <w:rsid w:val="00780836"/>
    <w:rsid w:val="00780886"/>
    <w:rsid w:val="0078089C"/>
    <w:rsid w:val="0078091C"/>
    <w:rsid w:val="007809B3"/>
    <w:rsid w:val="007809F6"/>
    <w:rsid w:val="00780A00"/>
    <w:rsid w:val="00780A85"/>
    <w:rsid w:val="00780C34"/>
    <w:rsid w:val="00780C3D"/>
    <w:rsid w:val="00780C5F"/>
    <w:rsid w:val="00780C84"/>
    <w:rsid w:val="00780D79"/>
    <w:rsid w:val="00780DD2"/>
    <w:rsid w:val="00780DEB"/>
    <w:rsid w:val="00780E98"/>
    <w:rsid w:val="00781059"/>
    <w:rsid w:val="0078114C"/>
    <w:rsid w:val="00781410"/>
    <w:rsid w:val="007815B3"/>
    <w:rsid w:val="007815E9"/>
    <w:rsid w:val="00781604"/>
    <w:rsid w:val="007816A9"/>
    <w:rsid w:val="007819E9"/>
    <w:rsid w:val="00781B0B"/>
    <w:rsid w:val="00781C60"/>
    <w:rsid w:val="00781C70"/>
    <w:rsid w:val="00781CB6"/>
    <w:rsid w:val="00781CC0"/>
    <w:rsid w:val="00781E8B"/>
    <w:rsid w:val="00781E90"/>
    <w:rsid w:val="00781F44"/>
    <w:rsid w:val="00782129"/>
    <w:rsid w:val="0078218A"/>
    <w:rsid w:val="007821B4"/>
    <w:rsid w:val="00782553"/>
    <w:rsid w:val="0078260B"/>
    <w:rsid w:val="0078263E"/>
    <w:rsid w:val="00782B19"/>
    <w:rsid w:val="00782B60"/>
    <w:rsid w:val="00782C40"/>
    <w:rsid w:val="00782CB6"/>
    <w:rsid w:val="00783050"/>
    <w:rsid w:val="0078310E"/>
    <w:rsid w:val="007831BA"/>
    <w:rsid w:val="0078342A"/>
    <w:rsid w:val="00783511"/>
    <w:rsid w:val="0078353E"/>
    <w:rsid w:val="007836CF"/>
    <w:rsid w:val="007836F3"/>
    <w:rsid w:val="007839F7"/>
    <w:rsid w:val="00783A49"/>
    <w:rsid w:val="00783AF7"/>
    <w:rsid w:val="00783EAC"/>
    <w:rsid w:val="00783ED5"/>
    <w:rsid w:val="00783F5F"/>
    <w:rsid w:val="00784085"/>
    <w:rsid w:val="00784124"/>
    <w:rsid w:val="00784164"/>
    <w:rsid w:val="0078419C"/>
    <w:rsid w:val="00784211"/>
    <w:rsid w:val="0078438C"/>
    <w:rsid w:val="00784440"/>
    <w:rsid w:val="00784699"/>
    <w:rsid w:val="0078473B"/>
    <w:rsid w:val="00784828"/>
    <w:rsid w:val="007849BF"/>
    <w:rsid w:val="00784B2E"/>
    <w:rsid w:val="00784C5B"/>
    <w:rsid w:val="00784CBF"/>
    <w:rsid w:val="00784D2D"/>
    <w:rsid w:val="00784E03"/>
    <w:rsid w:val="00784E6B"/>
    <w:rsid w:val="00784F92"/>
    <w:rsid w:val="00785056"/>
    <w:rsid w:val="0078536D"/>
    <w:rsid w:val="00785385"/>
    <w:rsid w:val="0078540D"/>
    <w:rsid w:val="00785491"/>
    <w:rsid w:val="007854BD"/>
    <w:rsid w:val="00785501"/>
    <w:rsid w:val="00785579"/>
    <w:rsid w:val="00785588"/>
    <w:rsid w:val="007855BD"/>
    <w:rsid w:val="0078567A"/>
    <w:rsid w:val="007856D7"/>
    <w:rsid w:val="00785879"/>
    <w:rsid w:val="00785921"/>
    <w:rsid w:val="007859C6"/>
    <w:rsid w:val="007859FF"/>
    <w:rsid w:val="00785AE1"/>
    <w:rsid w:val="00785B7B"/>
    <w:rsid w:val="00785BF4"/>
    <w:rsid w:val="00785C41"/>
    <w:rsid w:val="00785C65"/>
    <w:rsid w:val="00785C9B"/>
    <w:rsid w:val="00785F5F"/>
    <w:rsid w:val="00785F9B"/>
    <w:rsid w:val="00786449"/>
    <w:rsid w:val="0078648C"/>
    <w:rsid w:val="00786501"/>
    <w:rsid w:val="00786530"/>
    <w:rsid w:val="0078659E"/>
    <w:rsid w:val="007865EF"/>
    <w:rsid w:val="007865F4"/>
    <w:rsid w:val="007866FD"/>
    <w:rsid w:val="00786827"/>
    <w:rsid w:val="00786842"/>
    <w:rsid w:val="00786889"/>
    <w:rsid w:val="0078692B"/>
    <w:rsid w:val="00786B4D"/>
    <w:rsid w:val="00786CB4"/>
    <w:rsid w:val="00786CC8"/>
    <w:rsid w:val="00786EF8"/>
    <w:rsid w:val="00786F08"/>
    <w:rsid w:val="00787092"/>
    <w:rsid w:val="00787096"/>
    <w:rsid w:val="007872BF"/>
    <w:rsid w:val="00787444"/>
    <w:rsid w:val="007874A3"/>
    <w:rsid w:val="0078753E"/>
    <w:rsid w:val="0078770A"/>
    <w:rsid w:val="00787B31"/>
    <w:rsid w:val="00787CC2"/>
    <w:rsid w:val="00787CC3"/>
    <w:rsid w:val="00787D82"/>
    <w:rsid w:val="00787E82"/>
    <w:rsid w:val="00787F1A"/>
    <w:rsid w:val="00790110"/>
    <w:rsid w:val="0079011A"/>
    <w:rsid w:val="0079051E"/>
    <w:rsid w:val="007907F2"/>
    <w:rsid w:val="0079084F"/>
    <w:rsid w:val="00790A36"/>
    <w:rsid w:val="00790AD6"/>
    <w:rsid w:val="00790B79"/>
    <w:rsid w:val="00790D53"/>
    <w:rsid w:val="00790DB0"/>
    <w:rsid w:val="00790EB8"/>
    <w:rsid w:val="00790F67"/>
    <w:rsid w:val="0079103E"/>
    <w:rsid w:val="007910AA"/>
    <w:rsid w:val="0079117F"/>
    <w:rsid w:val="0079128B"/>
    <w:rsid w:val="0079134F"/>
    <w:rsid w:val="00791541"/>
    <w:rsid w:val="00791584"/>
    <w:rsid w:val="007917D6"/>
    <w:rsid w:val="00791819"/>
    <w:rsid w:val="00791941"/>
    <w:rsid w:val="0079198A"/>
    <w:rsid w:val="007919A8"/>
    <w:rsid w:val="00791ADA"/>
    <w:rsid w:val="00791D2A"/>
    <w:rsid w:val="00791DA8"/>
    <w:rsid w:val="00791E89"/>
    <w:rsid w:val="00791EF3"/>
    <w:rsid w:val="007922C0"/>
    <w:rsid w:val="007923BB"/>
    <w:rsid w:val="00792441"/>
    <w:rsid w:val="00792528"/>
    <w:rsid w:val="007925F2"/>
    <w:rsid w:val="0079263F"/>
    <w:rsid w:val="007926E7"/>
    <w:rsid w:val="0079273C"/>
    <w:rsid w:val="007927C9"/>
    <w:rsid w:val="007927CC"/>
    <w:rsid w:val="00792850"/>
    <w:rsid w:val="00792978"/>
    <w:rsid w:val="00792B62"/>
    <w:rsid w:val="00792BA1"/>
    <w:rsid w:val="00792BDE"/>
    <w:rsid w:val="00792C1A"/>
    <w:rsid w:val="00792C2F"/>
    <w:rsid w:val="00792C56"/>
    <w:rsid w:val="00792C7D"/>
    <w:rsid w:val="00792C80"/>
    <w:rsid w:val="00792EFC"/>
    <w:rsid w:val="00792F4C"/>
    <w:rsid w:val="00793065"/>
    <w:rsid w:val="00793074"/>
    <w:rsid w:val="007930AE"/>
    <w:rsid w:val="0079311E"/>
    <w:rsid w:val="00793124"/>
    <w:rsid w:val="00793156"/>
    <w:rsid w:val="007931F7"/>
    <w:rsid w:val="007934E2"/>
    <w:rsid w:val="00793659"/>
    <w:rsid w:val="0079376C"/>
    <w:rsid w:val="007937DB"/>
    <w:rsid w:val="007937E0"/>
    <w:rsid w:val="00793830"/>
    <w:rsid w:val="007938A8"/>
    <w:rsid w:val="007938BE"/>
    <w:rsid w:val="007938DF"/>
    <w:rsid w:val="00793949"/>
    <w:rsid w:val="00793A61"/>
    <w:rsid w:val="00793BE1"/>
    <w:rsid w:val="00793C6E"/>
    <w:rsid w:val="00793CE8"/>
    <w:rsid w:val="00793D39"/>
    <w:rsid w:val="00793D3C"/>
    <w:rsid w:val="00793D57"/>
    <w:rsid w:val="00793D70"/>
    <w:rsid w:val="00793D81"/>
    <w:rsid w:val="00793DBD"/>
    <w:rsid w:val="00793E6A"/>
    <w:rsid w:val="00793EA9"/>
    <w:rsid w:val="00793EE2"/>
    <w:rsid w:val="00793F80"/>
    <w:rsid w:val="00793FFA"/>
    <w:rsid w:val="007940C2"/>
    <w:rsid w:val="00794153"/>
    <w:rsid w:val="00794277"/>
    <w:rsid w:val="00794523"/>
    <w:rsid w:val="00794626"/>
    <w:rsid w:val="007946C5"/>
    <w:rsid w:val="00794707"/>
    <w:rsid w:val="007947F3"/>
    <w:rsid w:val="00794881"/>
    <w:rsid w:val="007949BD"/>
    <w:rsid w:val="007949EC"/>
    <w:rsid w:val="00794A6F"/>
    <w:rsid w:val="00794C9E"/>
    <w:rsid w:val="007950DF"/>
    <w:rsid w:val="00795323"/>
    <w:rsid w:val="007953FE"/>
    <w:rsid w:val="00795464"/>
    <w:rsid w:val="00795509"/>
    <w:rsid w:val="00795680"/>
    <w:rsid w:val="007958DB"/>
    <w:rsid w:val="00795A4E"/>
    <w:rsid w:val="00795A9D"/>
    <w:rsid w:val="00795ACB"/>
    <w:rsid w:val="00795E82"/>
    <w:rsid w:val="00795E85"/>
    <w:rsid w:val="00795F8E"/>
    <w:rsid w:val="00796225"/>
    <w:rsid w:val="007962D1"/>
    <w:rsid w:val="00796383"/>
    <w:rsid w:val="00796499"/>
    <w:rsid w:val="0079651F"/>
    <w:rsid w:val="007965C4"/>
    <w:rsid w:val="0079660A"/>
    <w:rsid w:val="007966C0"/>
    <w:rsid w:val="007966EB"/>
    <w:rsid w:val="007967F6"/>
    <w:rsid w:val="0079682D"/>
    <w:rsid w:val="007968FC"/>
    <w:rsid w:val="00796AC1"/>
    <w:rsid w:val="00796ACA"/>
    <w:rsid w:val="00796B0E"/>
    <w:rsid w:val="00796B1F"/>
    <w:rsid w:val="00796E30"/>
    <w:rsid w:val="00796E58"/>
    <w:rsid w:val="00796F4B"/>
    <w:rsid w:val="00797000"/>
    <w:rsid w:val="00797157"/>
    <w:rsid w:val="00797267"/>
    <w:rsid w:val="00797449"/>
    <w:rsid w:val="00797470"/>
    <w:rsid w:val="007975FD"/>
    <w:rsid w:val="007976D6"/>
    <w:rsid w:val="0079790D"/>
    <w:rsid w:val="00797BBB"/>
    <w:rsid w:val="00797C42"/>
    <w:rsid w:val="007A0004"/>
    <w:rsid w:val="007A00D1"/>
    <w:rsid w:val="007A026A"/>
    <w:rsid w:val="007A0288"/>
    <w:rsid w:val="007A0424"/>
    <w:rsid w:val="007A042F"/>
    <w:rsid w:val="007A047C"/>
    <w:rsid w:val="007A04D1"/>
    <w:rsid w:val="007A05C8"/>
    <w:rsid w:val="007A05CC"/>
    <w:rsid w:val="007A09D5"/>
    <w:rsid w:val="007A09E7"/>
    <w:rsid w:val="007A0B26"/>
    <w:rsid w:val="007A0BB0"/>
    <w:rsid w:val="007A0C3B"/>
    <w:rsid w:val="007A0C57"/>
    <w:rsid w:val="007A0DAB"/>
    <w:rsid w:val="007A0FB5"/>
    <w:rsid w:val="007A102C"/>
    <w:rsid w:val="007A125C"/>
    <w:rsid w:val="007A1328"/>
    <w:rsid w:val="007A14C7"/>
    <w:rsid w:val="007A1556"/>
    <w:rsid w:val="007A1741"/>
    <w:rsid w:val="007A17AB"/>
    <w:rsid w:val="007A17B8"/>
    <w:rsid w:val="007A184F"/>
    <w:rsid w:val="007A1918"/>
    <w:rsid w:val="007A191B"/>
    <w:rsid w:val="007A195D"/>
    <w:rsid w:val="007A19F2"/>
    <w:rsid w:val="007A1AF3"/>
    <w:rsid w:val="007A1B97"/>
    <w:rsid w:val="007A1CC3"/>
    <w:rsid w:val="007A1CC6"/>
    <w:rsid w:val="007A1E54"/>
    <w:rsid w:val="007A1EF0"/>
    <w:rsid w:val="007A2059"/>
    <w:rsid w:val="007A233A"/>
    <w:rsid w:val="007A2381"/>
    <w:rsid w:val="007A23ED"/>
    <w:rsid w:val="007A24AD"/>
    <w:rsid w:val="007A26E8"/>
    <w:rsid w:val="007A2710"/>
    <w:rsid w:val="007A27FB"/>
    <w:rsid w:val="007A2863"/>
    <w:rsid w:val="007A2921"/>
    <w:rsid w:val="007A297A"/>
    <w:rsid w:val="007A29C3"/>
    <w:rsid w:val="007A2ABA"/>
    <w:rsid w:val="007A2B9D"/>
    <w:rsid w:val="007A2CA2"/>
    <w:rsid w:val="007A2EA7"/>
    <w:rsid w:val="007A2F40"/>
    <w:rsid w:val="007A300F"/>
    <w:rsid w:val="007A30A1"/>
    <w:rsid w:val="007A30BC"/>
    <w:rsid w:val="007A3140"/>
    <w:rsid w:val="007A31B0"/>
    <w:rsid w:val="007A3267"/>
    <w:rsid w:val="007A32EC"/>
    <w:rsid w:val="007A33D7"/>
    <w:rsid w:val="007A34C6"/>
    <w:rsid w:val="007A3670"/>
    <w:rsid w:val="007A379E"/>
    <w:rsid w:val="007A37B7"/>
    <w:rsid w:val="007A37F7"/>
    <w:rsid w:val="007A382A"/>
    <w:rsid w:val="007A39FA"/>
    <w:rsid w:val="007A3C08"/>
    <w:rsid w:val="007A3C3B"/>
    <w:rsid w:val="007A3D02"/>
    <w:rsid w:val="007A3D46"/>
    <w:rsid w:val="007A3E0F"/>
    <w:rsid w:val="007A3E84"/>
    <w:rsid w:val="007A3ECA"/>
    <w:rsid w:val="007A3EFF"/>
    <w:rsid w:val="007A3F4A"/>
    <w:rsid w:val="007A3F9C"/>
    <w:rsid w:val="007A40B2"/>
    <w:rsid w:val="007A42DF"/>
    <w:rsid w:val="007A43BD"/>
    <w:rsid w:val="007A4462"/>
    <w:rsid w:val="007A45A9"/>
    <w:rsid w:val="007A4A21"/>
    <w:rsid w:val="007A4A47"/>
    <w:rsid w:val="007A4B95"/>
    <w:rsid w:val="007A4DA1"/>
    <w:rsid w:val="007A4E3A"/>
    <w:rsid w:val="007A4E71"/>
    <w:rsid w:val="007A4F3C"/>
    <w:rsid w:val="007A4F4E"/>
    <w:rsid w:val="007A4F75"/>
    <w:rsid w:val="007A4FF1"/>
    <w:rsid w:val="007A50AE"/>
    <w:rsid w:val="007A51E2"/>
    <w:rsid w:val="007A52E6"/>
    <w:rsid w:val="007A53DA"/>
    <w:rsid w:val="007A5402"/>
    <w:rsid w:val="007A5497"/>
    <w:rsid w:val="007A564F"/>
    <w:rsid w:val="007A5765"/>
    <w:rsid w:val="007A5777"/>
    <w:rsid w:val="007A5838"/>
    <w:rsid w:val="007A5AE9"/>
    <w:rsid w:val="007A5BC7"/>
    <w:rsid w:val="007A5BE6"/>
    <w:rsid w:val="007A5D86"/>
    <w:rsid w:val="007A5E0C"/>
    <w:rsid w:val="007A5E16"/>
    <w:rsid w:val="007A5E5E"/>
    <w:rsid w:val="007A6027"/>
    <w:rsid w:val="007A6059"/>
    <w:rsid w:val="007A62D7"/>
    <w:rsid w:val="007A62DE"/>
    <w:rsid w:val="007A62F8"/>
    <w:rsid w:val="007A6384"/>
    <w:rsid w:val="007A63AD"/>
    <w:rsid w:val="007A64E6"/>
    <w:rsid w:val="007A6548"/>
    <w:rsid w:val="007A667F"/>
    <w:rsid w:val="007A66F2"/>
    <w:rsid w:val="007A676C"/>
    <w:rsid w:val="007A679A"/>
    <w:rsid w:val="007A67D9"/>
    <w:rsid w:val="007A6812"/>
    <w:rsid w:val="007A681F"/>
    <w:rsid w:val="007A6950"/>
    <w:rsid w:val="007A6965"/>
    <w:rsid w:val="007A6980"/>
    <w:rsid w:val="007A6A23"/>
    <w:rsid w:val="007A6BAF"/>
    <w:rsid w:val="007A6CDA"/>
    <w:rsid w:val="007A6FCE"/>
    <w:rsid w:val="007A72DF"/>
    <w:rsid w:val="007A74C0"/>
    <w:rsid w:val="007A75CA"/>
    <w:rsid w:val="007A76F6"/>
    <w:rsid w:val="007A76FD"/>
    <w:rsid w:val="007A77AB"/>
    <w:rsid w:val="007A77BA"/>
    <w:rsid w:val="007A77E8"/>
    <w:rsid w:val="007A7979"/>
    <w:rsid w:val="007A79A8"/>
    <w:rsid w:val="007A79B3"/>
    <w:rsid w:val="007A7C99"/>
    <w:rsid w:val="007A7E7F"/>
    <w:rsid w:val="007A7EB9"/>
    <w:rsid w:val="007A7F30"/>
    <w:rsid w:val="007B0011"/>
    <w:rsid w:val="007B0145"/>
    <w:rsid w:val="007B02D8"/>
    <w:rsid w:val="007B0331"/>
    <w:rsid w:val="007B0338"/>
    <w:rsid w:val="007B0390"/>
    <w:rsid w:val="007B0492"/>
    <w:rsid w:val="007B04F3"/>
    <w:rsid w:val="007B05B2"/>
    <w:rsid w:val="007B062B"/>
    <w:rsid w:val="007B066A"/>
    <w:rsid w:val="007B06A9"/>
    <w:rsid w:val="007B070A"/>
    <w:rsid w:val="007B073E"/>
    <w:rsid w:val="007B07AE"/>
    <w:rsid w:val="007B0807"/>
    <w:rsid w:val="007B0818"/>
    <w:rsid w:val="007B0833"/>
    <w:rsid w:val="007B0C54"/>
    <w:rsid w:val="007B0CE1"/>
    <w:rsid w:val="007B0E04"/>
    <w:rsid w:val="007B0EF8"/>
    <w:rsid w:val="007B11F0"/>
    <w:rsid w:val="007B1291"/>
    <w:rsid w:val="007B15E4"/>
    <w:rsid w:val="007B16AF"/>
    <w:rsid w:val="007B1815"/>
    <w:rsid w:val="007B19EF"/>
    <w:rsid w:val="007B1B16"/>
    <w:rsid w:val="007B1B28"/>
    <w:rsid w:val="007B1BF2"/>
    <w:rsid w:val="007B1D05"/>
    <w:rsid w:val="007B1DF2"/>
    <w:rsid w:val="007B22E2"/>
    <w:rsid w:val="007B22FE"/>
    <w:rsid w:val="007B231A"/>
    <w:rsid w:val="007B248C"/>
    <w:rsid w:val="007B2498"/>
    <w:rsid w:val="007B2636"/>
    <w:rsid w:val="007B266A"/>
    <w:rsid w:val="007B271A"/>
    <w:rsid w:val="007B2788"/>
    <w:rsid w:val="007B29BA"/>
    <w:rsid w:val="007B2AEE"/>
    <w:rsid w:val="007B2CE3"/>
    <w:rsid w:val="007B2D0D"/>
    <w:rsid w:val="007B2E56"/>
    <w:rsid w:val="007B2E7F"/>
    <w:rsid w:val="007B2F0A"/>
    <w:rsid w:val="007B2F25"/>
    <w:rsid w:val="007B31A5"/>
    <w:rsid w:val="007B320D"/>
    <w:rsid w:val="007B32CF"/>
    <w:rsid w:val="007B331A"/>
    <w:rsid w:val="007B351B"/>
    <w:rsid w:val="007B357A"/>
    <w:rsid w:val="007B3682"/>
    <w:rsid w:val="007B36CF"/>
    <w:rsid w:val="007B3768"/>
    <w:rsid w:val="007B377F"/>
    <w:rsid w:val="007B3866"/>
    <w:rsid w:val="007B3973"/>
    <w:rsid w:val="007B3978"/>
    <w:rsid w:val="007B3AAF"/>
    <w:rsid w:val="007B3B67"/>
    <w:rsid w:val="007B3B7F"/>
    <w:rsid w:val="007B3BB5"/>
    <w:rsid w:val="007B3F96"/>
    <w:rsid w:val="007B3FF4"/>
    <w:rsid w:val="007B4065"/>
    <w:rsid w:val="007B41EC"/>
    <w:rsid w:val="007B4203"/>
    <w:rsid w:val="007B4461"/>
    <w:rsid w:val="007B4564"/>
    <w:rsid w:val="007B4603"/>
    <w:rsid w:val="007B4738"/>
    <w:rsid w:val="007B4935"/>
    <w:rsid w:val="007B4A7C"/>
    <w:rsid w:val="007B4C01"/>
    <w:rsid w:val="007B4D6B"/>
    <w:rsid w:val="007B4D72"/>
    <w:rsid w:val="007B4D8E"/>
    <w:rsid w:val="007B4E53"/>
    <w:rsid w:val="007B4F38"/>
    <w:rsid w:val="007B4FD3"/>
    <w:rsid w:val="007B5006"/>
    <w:rsid w:val="007B53B1"/>
    <w:rsid w:val="007B53DA"/>
    <w:rsid w:val="007B5424"/>
    <w:rsid w:val="007B5469"/>
    <w:rsid w:val="007B5476"/>
    <w:rsid w:val="007B561A"/>
    <w:rsid w:val="007B56AC"/>
    <w:rsid w:val="007B5702"/>
    <w:rsid w:val="007B5880"/>
    <w:rsid w:val="007B58AB"/>
    <w:rsid w:val="007B59B2"/>
    <w:rsid w:val="007B5A5F"/>
    <w:rsid w:val="007B5AA7"/>
    <w:rsid w:val="007B5AEA"/>
    <w:rsid w:val="007B5C2E"/>
    <w:rsid w:val="007B5CEF"/>
    <w:rsid w:val="007B5E20"/>
    <w:rsid w:val="007B5EC0"/>
    <w:rsid w:val="007B6004"/>
    <w:rsid w:val="007B60A8"/>
    <w:rsid w:val="007B60E1"/>
    <w:rsid w:val="007B614A"/>
    <w:rsid w:val="007B614F"/>
    <w:rsid w:val="007B62CB"/>
    <w:rsid w:val="007B632C"/>
    <w:rsid w:val="007B6361"/>
    <w:rsid w:val="007B6364"/>
    <w:rsid w:val="007B63F2"/>
    <w:rsid w:val="007B644F"/>
    <w:rsid w:val="007B64B8"/>
    <w:rsid w:val="007B663C"/>
    <w:rsid w:val="007B6770"/>
    <w:rsid w:val="007B6A31"/>
    <w:rsid w:val="007B6A88"/>
    <w:rsid w:val="007B6A98"/>
    <w:rsid w:val="007B6AF3"/>
    <w:rsid w:val="007B6BE9"/>
    <w:rsid w:val="007B6C38"/>
    <w:rsid w:val="007B6DAA"/>
    <w:rsid w:val="007B6E26"/>
    <w:rsid w:val="007B6FA4"/>
    <w:rsid w:val="007B70E9"/>
    <w:rsid w:val="007B74D1"/>
    <w:rsid w:val="007B754F"/>
    <w:rsid w:val="007B75D2"/>
    <w:rsid w:val="007B75D6"/>
    <w:rsid w:val="007B7718"/>
    <w:rsid w:val="007B776F"/>
    <w:rsid w:val="007B77C1"/>
    <w:rsid w:val="007B77DD"/>
    <w:rsid w:val="007B7876"/>
    <w:rsid w:val="007B78C2"/>
    <w:rsid w:val="007B7990"/>
    <w:rsid w:val="007B79FD"/>
    <w:rsid w:val="007B7A26"/>
    <w:rsid w:val="007B7A7B"/>
    <w:rsid w:val="007B7B27"/>
    <w:rsid w:val="007B7D6D"/>
    <w:rsid w:val="007B7E31"/>
    <w:rsid w:val="007C0060"/>
    <w:rsid w:val="007C0110"/>
    <w:rsid w:val="007C017A"/>
    <w:rsid w:val="007C017B"/>
    <w:rsid w:val="007C0194"/>
    <w:rsid w:val="007C01B3"/>
    <w:rsid w:val="007C01D7"/>
    <w:rsid w:val="007C0295"/>
    <w:rsid w:val="007C02B3"/>
    <w:rsid w:val="007C0358"/>
    <w:rsid w:val="007C0497"/>
    <w:rsid w:val="007C08D9"/>
    <w:rsid w:val="007C095B"/>
    <w:rsid w:val="007C0990"/>
    <w:rsid w:val="007C0B67"/>
    <w:rsid w:val="007C0BAC"/>
    <w:rsid w:val="007C0BD3"/>
    <w:rsid w:val="007C0C50"/>
    <w:rsid w:val="007C0D0C"/>
    <w:rsid w:val="007C0E59"/>
    <w:rsid w:val="007C0E88"/>
    <w:rsid w:val="007C1032"/>
    <w:rsid w:val="007C10B4"/>
    <w:rsid w:val="007C11E9"/>
    <w:rsid w:val="007C128F"/>
    <w:rsid w:val="007C129F"/>
    <w:rsid w:val="007C1306"/>
    <w:rsid w:val="007C1375"/>
    <w:rsid w:val="007C1383"/>
    <w:rsid w:val="007C149F"/>
    <w:rsid w:val="007C1515"/>
    <w:rsid w:val="007C168B"/>
    <w:rsid w:val="007C1692"/>
    <w:rsid w:val="007C17C8"/>
    <w:rsid w:val="007C1B33"/>
    <w:rsid w:val="007C1C04"/>
    <w:rsid w:val="007C1C69"/>
    <w:rsid w:val="007C1E82"/>
    <w:rsid w:val="007C1F1E"/>
    <w:rsid w:val="007C2012"/>
    <w:rsid w:val="007C20B0"/>
    <w:rsid w:val="007C2250"/>
    <w:rsid w:val="007C22FB"/>
    <w:rsid w:val="007C2331"/>
    <w:rsid w:val="007C24EF"/>
    <w:rsid w:val="007C26AE"/>
    <w:rsid w:val="007C26B1"/>
    <w:rsid w:val="007C2723"/>
    <w:rsid w:val="007C2A4D"/>
    <w:rsid w:val="007C2C03"/>
    <w:rsid w:val="007C2C2E"/>
    <w:rsid w:val="007C2D00"/>
    <w:rsid w:val="007C2D33"/>
    <w:rsid w:val="007C31DC"/>
    <w:rsid w:val="007C31F0"/>
    <w:rsid w:val="007C31FE"/>
    <w:rsid w:val="007C32B4"/>
    <w:rsid w:val="007C32D7"/>
    <w:rsid w:val="007C33A8"/>
    <w:rsid w:val="007C343E"/>
    <w:rsid w:val="007C346A"/>
    <w:rsid w:val="007C347C"/>
    <w:rsid w:val="007C34C6"/>
    <w:rsid w:val="007C368B"/>
    <w:rsid w:val="007C375C"/>
    <w:rsid w:val="007C3820"/>
    <w:rsid w:val="007C3931"/>
    <w:rsid w:val="007C39AC"/>
    <w:rsid w:val="007C3AE4"/>
    <w:rsid w:val="007C3AEF"/>
    <w:rsid w:val="007C3BBA"/>
    <w:rsid w:val="007C3D96"/>
    <w:rsid w:val="007C3E76"/>
    <w:rsid w:val="007C3EE4"/>
    <w:rsid w:val="007C3F02"/>
    <w:rsid w:val="007C3F51"/>
    <w:rsid w:val="007C412C"/>
    <w:rsid w:val="007C421A"/>
    <w:rsid w:val="007C426A"/>
    <w:rsid w:val="007C426D"/>
    <w:rsid w:val="007C4280"/>
    <w:rsid w:val="007C4497"/>
    <w:rsid w:val="007C44C7"/>
    <w:rsid w:val="007C4569"/>
    <w:rsid w:val="007C4607"/>
    <w:rsid w:val="007C47E4"/>
    <w:rsid w:val="007C483E"/>
    <w:rsid w:val="007C4883"/>
    <w:rsid w:val="007C4898"/>
    <w:rsid w:val="007C48C5"/>
    <w:rsid w:val="007C4B0D"/>
    <w:rsid w:val="007C4B80"/>
    <w:rsid w:val="007C4C6B"/>
    <w:rsid w:val="007C4D73"/>
    <w:rsid w:val="007C4D81"/>
    <w:rsid w:val="007C4EC9"/>
    <w:rsid w:val="007C4F47"/>
    <w:rsid w:val="007C4F4C"/>
    <w:rsid w:val="007C5011"/>
    <w:rsid w:val="007C52E8"/>
    <w:rsid w:val="007C53F1"/>
    <w:rsid w:val="007C54DF"/>
    <w:rsid w:val="007C552B"/>
    <w:rsid w:val="007C5647"/>
    <w:rsid w:val="007C5659"/>
    <w:rsid w:val="007C57C2"/>
    <w:rsid w:val="007C596C"/>
    <w:rsid w:val="007C59A7"/>
    <w:rsid w:val="007C5B65"/>
    <w:rsid w:val="007C5C1E"/>
    <w:rsid w:val="007C5C80"/>
    <w:rsid w:val="007C5C8F"/>
    <w:rsid w:val="007C5CD3"/>
    <w:rsid w:val="007C5DE8"/>
    <w:rsid w:val="007C5EA4"/>
    <w:rsid w:val="007C5F79"/>
    <w:rsid w:val="007C5FB2"/>
    <w:rsid w:val="007C5FB9"/>
    <w:rsid w:val="007C6100"/>
    <w:rsid w:val="007C61F4"/>
    <w:rsid w:val="007C6250"/>
    <w:rsid w:val="007C6300"/>
    <w:rsid w:val="007C6356"/>
    <w:rsid w:val="007C648A"/>
    <w:rsid w:val="007C6522"/>
    <w:rsid w:val="007C6609"/>
    <w:rsid w:val="007C6633"/>
    <w:rsid w:val="007C668B"/>
    <w:rsid w:val="007C680D"/>
    <w:rsid w:val="007C6968"/>
    <w:rsid w:val="007C69F3"/>
    <w:rsid w:val="007C6A50"/>
    <w:rsid w:val="007C6BC0"/>
    <w:rsid w:val="007C6BDB"/>
    <w:rsid w:val="007C6DB9"/>
    <w:rsid w:val="007C6E53"/>
    <w:rsid w:val="007C6E80"/>
    <w:rsid w:val="007C6EF0"/>
    <w:rsid w:val="007C6FCE"/>
    <w:rsid w:val="007C7037"/>
    <w:rsid w:val="007C72A2"/>
    <w:rsid w:val="007C7407"/>
    <w:rsid w:val="007C74C2"/>
    <w:rsid w:val="007C758D"/>
    <w:rsid w:val="007C75B4"/>
    <w:rsid w:val="007C7777"/>
    <w:rsid w:val="007C777E"/>
    <w:rsid w:val="007C77EB"/>
    <w:rsid w:val="007C789B"/>
    <w:rsid w:val="007C7997"/>
    <w:rsid w:val="007C7CCD"/>
    <w:rsid w:val="007C7D12"/>
    <w:rsid w:val="007C7F04"/>
    <w:rsid w:val="007C7F14"/>
    <w:rsid w:val="007C7F6A"/>
    <w:rsid w:val="007D002F"/>
    <w:rsid w:val="007D023A"/>
    <w:rsid w:val="007D0374"/>
    <w:rsid w:val="007D0491"/>
    <w:rsid w:val="007D05A3"/>
    <w:rsid w:val="007D05A7"/>
    <w:rsid w:val="007D05C6"/>
    <w:rsid w:val="007D0633"/>
    <w:rsid w:val="007D0671"/>
    <w:rsid w:val="007D06B7"/>
    <w:rsid w:val="007D06F0"/>
    <w:rsid w:val="007D0895"/>
    <w:rsid w:val="007D092B"/>
    <w:rsid w:val="007D0AA2"/>
    <w:rsid w:val="007D0B1A"/>
    <w:rsid w:val="007D0C86"/>
    <w:rsid w:val="007D12CD"/>
    <w:rsid w:val="007D1544"/>
    <w:rsid w:val="007D158A"/>
    <w:rsid w:val="007D160D"/>
    <w:rsid w:val="007D1794"/>
    <w:rsid w:val="007D17C8"/>
    <w:rsid w:val="007D185F"/>
    <w:rsid w:val="007D1968"/>
    <w:rsid w:val="007D1A97"/>
    <w:rsid w:val="007D1AE4"/>
    <w:rsid w:val="007D1B17"/>
    <w:rsid w:val="007D1DD3"/>
    <w:rsid w:val="007D1E8C"/>
    <w:rsid w:val="007D1F0C"/>
    <w:rsid w:val="007D1F47"/>
    <w:rsid w:val="007D1F68"/>
    <w:rsid w:val="007D2040"/>
    <w:rsid w:val="007D207A"/>
    <w:rsid w:val="007D208E"/>
    <w:rsid w:val="007D21B0"/>
    <w:rsid w:val="007D21C2"/>
    <w:rsid w:val="007D233B"/>
    <w:rsid w:val="007D2472"/>
    <w:rsid w:val="007D24E3"/>
    <w:rsid w:val="007D254A"/>
    <w:rsid w:val="007D2599"/>
    <w:rsid w:val="007D2676"/>
    <w:rsid w:val="007D282F"/>
    <w:rsid w:val="007D288B"/>
    <w:rsid w:val="007D29DA"/>
    <w:rsid w:val="007D2A0D"/>
    <w:rsid w:val="007D2A6E"/>
    <w:rsid w:val="007D2F09"/>
    <w:rsid w:val="007D2F59"/>
    <w:rsid w:val="007D30A9"/>
    <w:rsid w:val="007D3218"/>
    <w:rsid w:val="007D3414"/>
    <w:rsid w:val="007D3540"/>
    <w:rsid w:val="007D35E2"/>
    <w:rsid w:val="007D392C"/>
    <w:rsid w:val="007D3AEF"/>
    <w:rsid w:val="007D3BBD"/>
    <w:rsid w:val="007D3C49"/>
    <w:rsid w:val="007D3C98"/>
    <w:rsid w:val="007D3CD2"/>
    <w:rsid w:val="007D3D6A"/>
    <w:rsid w:val="007D3F46"/>
    <w:rsid w:val="007D409D"/>
    <w:rsid w:val="007D40A6"/>
    <w:rsid w:val="007D42AC"/>
    <w:rsid w:val="007D42DC"/>
    <w:rsid w:val="007D42F8"/>
    <w:rsid w:val="007D430A"/>
    <w:rsid w:val="007D4376"/>
    <w:rsid w:val="007D449C"/>
    <w:rsid w:val="007D468C"/>
    <w:rsid w:val="007D4800"/>
    <w:rsid w:val="007D48C2"/>
    <w:rsid w:val="007D495D"/>
    <w:rsid w:val="007D4A79"/>
    <w:rsid w:val="007D4B63"/>
    <w:rsid w:val="007D4C23"/>
    <w:rsid w:val="007D4CAF"/>
    <w:rsid w:val="007D4D2C"/>
    <w:rsid w:val="007D4D7D"/>
    <w:rsid w:val="007D4DC5"/>
    <w:rsid w:val="007D4FDE"/>
    <w:rsid w:val="007D500C"/>
    <w:rsid w:val="007D51C8"/>
    <w:rsid w:val="007D53E9"/>
    <w:rsid w:val="007D55FD"/>
    <w:rsid w:val="007D562A"/>
    <w:rsid w:val="007D5717"/>
    <w:rsid w:val="007D5A1A"/>
    <w:rsid w:val="007D5AF6"/>
    <w:rsid w:val="007D5BC5"/>
    <w:rsid w:val="007D5C58"/>
    <w:rsid w:val="007D5C9B"/>
    <w:rsid w:val="007D5C9E"/>
    <w:rsid w:val="007D5F09"/>
    <w:rsid w:val="007D5F11"/>
    <w:rsid w:val="007D5F5D"/>
    <w:rsid w:val="007D604E"/>
    <w:rsid w:val="007D6058"/>
    <w:rsid w:val="007D60B6"/>
    <w:rsid w:val="007D6101"/>
    <w:rsid w:val="007D611C"/>
    <w:rsid w:val="007D621F"/>
    <w:rsid w:val="007D6253"/>
    <w:rsid w:val="007D62A2"/>
    <w:rsid w:val="007D62B5"/>
    <w:rsid w:val="007D632C"/>
    <w:rsid w:val="007D6364"/>
    <w:rsid w:val="007D641E"/>
    <w:rsid w:val="007D6916"/>
    <w:rsid w:val="007D69BD"/>
    <w:rsid w:val="007D6A6D"/>
    <w:rsid w:val="007D6AE0"/>
    <w:rsid w:val="007D6C7E"/>
    <w:rsid w:val="007D6D11"/>
    <w:rsid w:val="007D6D7F"/>
    <w:rsid w:val="007D6EE1"/>
    <w:rsid w:val="007D6F54"/>
    <w:rsid w:val="007D738F"/>
    <w:rsid w:val="007D74CC"/>
    <w:rsid w:val="007D76C0"/>
    <w:rsid w:val="007D770A"/>
    <w:rsid w:val="007D773D"/>
    <w:rsid w:val="007D7821"/>
    <w:rsid w:val="007D7827"/>
    <w:rsid w:val="007D7850"/>
    <w:rsid w:val="007D7891"/>
    <w:rsid w:val="007D78AD"/>
    <w:rsid w:val="007D78C4"/>
    <w:rsid w:val="007D78C8"/>
    <w:rsid w:val="007D7B3D"/>
    <w:rsid w:val="007D7B4C"/>
    <w:rsid w:val="007D7B57"/>
    <w:rsid w:val="007D7DE9"/>
    <w:rsid w:val="007D7DFD"/>
    <w:rsid w:val="007D7E93"/>
    <w:rsid w:val="007E0052"/>
    <w:rsid w:val="007E00FC"/>
    <w:rsid w:val="007E0183"/>
    <w:rsid w:val="007E0214"/>
    <w:rsid w:val="007E02EE"/>
    <w:rsid w:val="007E02F9"/>
    <w:rsid w:val="007E046E"/>
    <w:rsid w:val="007E0492"/>
    <w:rsid w:val="007E07DA"/>
    <w:rsid w:val="007E0839"/>
    <w:rsid w:val="007E0992"/>
    <w:rsid w:val="007E0A2F"/>
    <w:rsid w:val="007E0B23"/>
    <w:rsid w:val="007E0B60"/>
    <w:rsid w:val="007E0B97"/>
    <w:rsid w:val="007E0C45"/>
    <w:rsid w:val="007E0D53"/>
    <w:rsid w:val="007E0D61"/>
    <w:rsid w:val="007E0DD7"/>
    <w:rsid w:val="007E0FAF"/>
    <w:rsid w:val="007E1179"/>
    <w:rsid w:val="007E12F4"/>
    <w:rsid w:val="007E138A"/>
    <w:rsid w:val="007E1405"/>
    <w:rsid w:val="007E1612"/>
    <w:rsid w:val="007E174E"/>
    <w:rsid w:val="007E1799"/>
    <w:rsid w:val="007E181E"/>
    <w:rsid w:val="007E18D0"/>
    <w:rsid w:val="007E18DF"/>
    <w:rsid w:val="007E1A0F"/>
    <w:rsid w:val="007E1B23"/>
    <w:rsid w:val="007E1CE9"/>
    <w:rsid w:val="007E1D5E"/>
    <w:rsid w:val="007E1D6F"/>
    <w:rsid w:val="007E1D8E"/>
    <w:rsid w:val="007E1F74"/>
    <w:rsid w:val="007E2186"/>
    <w:rsid w:val="007E234B"/>
    <w:rsid w:val="007E23B3"/>
    <w:rsid w:val="007E2535"/>
    <w:rsid w:val="007E26B1"/>
    <w:rsid w:val="007E2732"/>
    <w:rsid w:val="007E27BA"/>
    <w:rsid w:val="007E288A"/>
    <w:rsid w:val="007E289C"/>
    <w:rsid w:val="007E2B42"/>
    <w:rsid w:val="007E2B74"/>
    <w:rsid w:val="007E2C16"/>
    <w:rsid w:val="007E2C8F"/>
    <w:rsid w:val="007E2CE7"/>
    <w:rsid w:val="007E2ED0"/>
    <w:rsid w:val="007E2EE2"/>
    <w:rsid w:val="007E2F37"/>
    <w:rsid w:val="007E3582"/>
    <w:rsid w:val="007E35DD"/>
    <w:rsid w:val="007E35F6"/>
    <w:rsid w:val="007E37A0"/>
    <w:rsid w:val="007E382F"/>
    <w:rsid w:val="007E396E"/>
    <w:rsid w:val="007E3A78"/>
    <w:rsid w:val="007E3B75"/>
    <w:rsid w:val="007E3BB5"/>
    <w:rsid w:val="007E3DAB"/>
    <w:rsid w:val="007E3DBA"/>
    <w:rsid w:val="007E3E68"/>
    <w:rsid w:val="007E3E88"/>
    <w:rsid w:val="007E3F5C"/>
    <w:rsid w:val="007E4091"/>
    <w:rsid w:val="007E42D7"/>
    <w:rsid w:val="007E435F"/>
    <w:rsid w:val="007E4435"/>
    <w:rsid w:val="007E448B"/>
    <w:rsid w:val="007E44A1"/>
    <w:rsid w:val="007E44E5"/>
    <w:rsid w:val="007E4618"/>
    <w:rsid w:val="007E48A8"/>
    <w:rsid w:val="007E498F"/>
    <w:rsid w:val="007E49A7"/>
    <w:rsid w:val="007E4A34"/>
    <w:rsid w:val="007E4A65"/>
    <w:rsid w:val="007E4AC1"/>
    <w:rsid w:val="007E4B76"/>
    <w:rsid w:val="007E4D11"/>
    <w:rsid w:val="007E4E1D"/>
    <w:rsid w:val="007E4E27"/>
    <w:rsid w:val="007E4EBB"/>
    <w:rsid w:val="007E4FD2"/>
    <w:rsid w:val="007E523A"/>
    <w:rsid w:val="007E53B3"/>
    <w:rsid w:val="007E5643"/>
    <w:rsid w:val="007E5644"/>
    <w:rsid w:val="007E5717"/>
    <w:rsid w:val="007E5739"/>
    <w:rsid w:val="007E599B"/>
    <w:rsid w:val="007E5ABF"/>
    <w:rsid w:val="007E5B3F"/>
    <w:rsid w:val="007E5CFA"/>
    <w:rsid w:val="007E5EFF"/>
    <w:rsid w:val="007E5F31"/>
    <w:rsid w:val="007E6008"/>
    <w:rsid w:val="007E60A3"/>
    <w:rsid w:val="007E60C6"/>
    <w:rsid w:val="007E6102"/>
    <w:rsid w:val="007E6176"/>
    <w:rsid w:val="007E61B6"/>
    <w:rsid w:val="007E622C"/>
    <w:rsid w:val="007E62A9"/>
    <w:rsid w:val="007E6351"/>
    <w:rsid w:val="007E63FD"/>
    <w:rsid w:val="007E640A"/>
    <w:rsid w:val="007E6453"/>
    <w:rsid w:val="007E64CF"/>
    <w:rsid w:val="007E6522"/>
    <w:rsid w:val="007E663E"/>
    <w:rsid w:val="007E664C"/>
    <w:rsid w:val="007E66AD"/>
    <w:rsid w:val="007E672E"/>
    <w:rsid w:val="007E6875"/>
    <w:rsid w:val="007E69AD"/>
    <w:rsid w:val="007E6B3A"/>
    <w:rsid w:val="007E6B76"/>
    <w:rsid w:val="007E6C40"/>
    <w:rsid w:val="007E6CB9"/>
    <w:rsid w:val="007E6CD2"/>
    <w:rsid w:val="007E6D0F"/>
    <w:rsid w:val="007E6D26"/>
    <w:rsid w:val="007E6D68"/>
    <w:rsid w:val="007E6EC4"/>
    <w:rsid w:val="007E6F50"/>
    <w:rsid w:val="007E703C"/>
    <w:rsid w:val="007E7104"/>
    <w:rsid w:val="007E7201"/>
    <w:rsid w:val="007E723D"/>
    <w:rsid w:val="007E72E9"/>
    <w:rsid w:val="007E739A"/>
    <w:rsid w:val="007E74A8"/>
    <w:rsid w:val="007E74F2"/>
    <w:rsid w:val="007E7530"/>
    <w:rsid w:val="007E7578"/>
    <w:rsid w:val="007E7794"/>
    <w:rsid w:val="007E77FA"/>
    <w:rsid w:val="007E7A8A"/>
    <w:rsid w:val="007E7BC0"/>
    <w:rsid w:val="007E7BF9"/>
    <w:rsid w:val="007E7D6C"/>
    <w:rsid w:val="007E7FB2"/>
    <w:rsid w:val="007E7FCD"/>
    <w:rsid w:val="007F00AF"/>
    <w:rsid w:val="007F00C0"/>
    <w:rsid w:val="007F03F8"/>
    <w:rsid w:val="007F0498"/>
    <w:rsid w:val="007F0546"/>
    <w:rsid w:val="007F0691"/>
    <w:rsid w:val="007F0750"/>
    <w:rsid w:val="007F07A4"/>
    <w:rsid w:val="007F07DA"/>
    <w:rsid w:val="007F08C2"/>
    <w:rsid w:val="007F09EB"/>
    <w:rsid w:val="007F0A15"/>
    <w:rsid w:val="007F0AAC"/>
    <w:rsid w:val="007F0B08"/>
    <w:rsid w:val="007F0C1E"/>
    <w:rsid w:val="007F0C73"/>
    <w:rsid w:val="007F0C8C"/>
    <w:rsid w:val="007F0E0C"/>
    <w:rsid w:val="007F0E19"/>
    <w:rsid w:val="007F0E4C"/>
    <w:rsid w:val="007F0EE6"/>
    <w:rsid w:val="007F0F32"/>
    <w:rsid w:val="007F1087"/>
    <w:rsid w:val="007F10BC"/>
    <w:rsid w:val="007F10DF"/>
    <w:rsid w:val="007F1316"/>
    <w:rsid w:val="007F140D"/>
    <w:rsid w:val="007F1418"/>
    <w:rsid w:val="007F157B"/>
    <w:rsid w:val="007F1603"/>
    <w:rsid w:val="007F165E"/>
    <w:rsid w:val="007F1691"/>
    <w:rsid w:val="007F1718"/>
    <w:rsid w:val="007F1910"/>
    <w:rsid w:val="007F19C0"/>
    <w:rsid w:val="007F1C96"/>
    <w:rsid w:val="007F1D4E"/>
    <w:rsid w:val="007F1DA5"/>
    <w:rsid w:val="007F1F64"/>
    <w:rsid w:val="007F200F"/>
    <w:rsid w:val="007F20A5"/>
    <w:rsid w:val="007F20E9"/>
    <w:rsid w:val="007F21D3"/>
    <w:rsid w:val="007F2673"/>
    <w:rsid w:val="007F2783"/>
    <w:rsid w:val="007F29DB"/>
    <w:rsid w:val="007F29EE"/>
    <w:rsid w:val="007F2A02"/>
    <w:rsid w:val="007F2B25"/>
    <w:rsid w:val="007F2C46"/>
    <w:rsid w:val="007F2F00"/>
    <w:rsid w:val="007F2FE5"/>
    <w:rsid w:val="007F3141"/>
    <w:rsid w:val="007F318A"/>
    <w:rsid w:val="007F3223"/>
    <w:rsid w:val="007F331C"/>
    <w:rsid w:val="007F3527"/>
    <w:rsid w:val="007F35C1"/>
    <w:rsid w:val="007F3717"/>
    <w:rsid w:val="007F3982"/>
    <w:rsid w:val="007F3994"/>
    <w:rsid w:val="007F3B5B"/>
    <w:rsid w:val="007F3BF6"/>
    <w:rsid w:val="007F3C5C"/>
    <w:rsid w:val="007F3CE9"/>
    <w:rsid w:val="007F3D2B"/>
    <w:rsid w:val="007F3DD2"/>
    <w:rsid w:val="007F3EA9"/>
    <w:rsid w:val="007F3F16"/>
    <w:rsid w:val="007F3F40"/>
    <w:rsid w:val="007F3F4E"/>
    <w:rsid w:val="007F3F5C"/>
    <w:rsid w:val="007F40BA"/>
    <w:rsid w:val="007F40F3"/>
    <w:rsid w:val="007F4326"/>
    <w:rsid w:val="007F444E"/>
    <w:rsid w:val="007F455B"/>
    <w:rsid w:val="007F457D"/>
    <w:rsid w:val="007F4738"/>
    <w:rsid w:val="007F48D9"/>
    <w:rsid w:val="007F4C85"/>
    <w:rsid w:val="007F4DE4"/>
    <w:rsid w:val="007F4F3A"/>
    <w:rsid w:val="007F4FC9"/>
    <w:rsid w:val="007F5015"/>
    <w:rsid w:val="007F5278"/>
    <w:rsid w:val="007F54A0"/>
    <w:rsid w:val="007F552F"/>
    <w:rsid w:val="007F5576"/>
    <w:rsid w:val="007F55A4"/>
    <w:rsid w:val="007F578D"/>
    <w:rsid w:val="007F57AA"/>
    <w:rsid w:val="007F57EE"/>
    <w:rsid w:val="007F585E"/>
    <w:rsid w:val="007F5885"/>
    <w:rsid w:val="007F5A4F"/>
    <w:rsid w:val="007F5BEF"/>
    <w:rsid w:val="007F5D0C"/>
    <w:rsid w:val="007F5DA8"/>
    <w:rsid w:val="007F5DCA"/>
    <w:rsid w:val="007F5E4C"/>
    <w:rsid w:val="007F5EC0"/>
    <w:rsid w:val="007F5F04"/>
    <w:rsid w:val="007F5FB0"/>
    <w:rsid w:val="007F6045"/>
    <w:rsid w:val="007F6059"/>
    <w:rsid w:val="007F60FE"/>
    <w:rsid w:val="007F6115"/>
    <w:rsid w:val="007F6168"/>
    <w:rsid w:val="007F62E1"/>
    <w:rsid w:val="007F6336"/>
    <w:rsid w:val="007F6346"/>
    <w:rsid w:val="007F63DE"/>
    <w:rsid w:val="007F649F"/>
    <w:rsid w:val="007F64BE"/>
    <w:rsid w:val="007F6750"/>
    <w:rsid w:val="007F6852"/>
    <w:rsid w:val="007F68E9"/>
    <w:rsid w:val="007F6952"/>
    <w:rsid w:val="007F69D4"/>
    <w:rsid w:val="007F6A61"/>
    <w:rsid w:val="007F6B7F"/>
    <w:rsid w:val="007F6CBD"/>
    <w:rsid w:val="007F6DD6"/>
    <w:rsid w:val="007F6E0F"/>
    <w:rsid w:val="007F6F75"/>
    <w:rsid w:val="007F7098"/>
    <w:rsid w:val="007F7106"/>
    <w:rsid w:val="007F7218"/>
    <w:rsid w:val="007F72C6"/>
    <w:rsid w:val="007F7334"/>
    <w:rsid w:val="007F73EB"/>
    <w:rsid w:val="007F7664"/>
    <w:rsid w:val="007F77C0"/>
    <w:rsid w:val="007F77D1"/>
    <w:rsid w:val="007F77F4"/>
    <w:rsid w:val="007F7956"/>
    <w:rsid w:val="007F79E5"/>
    <w:rsid w:val="007F7A59"/>
    <w:rsid w:val="007F7B0D"/>
    <w:rsid w:val="007F7B15"/>
    <w:rsid w:val="007F7BEB"/>
    <w:rsid w:val="00800007"/>
    <w:rsid w:val="008000A9"/>
    <w:rsid w:val="0080012F"/>
    <w:rsid w:val="008001CE"/>
    <w:rsid w:val="008001F1"/>
    <w:rsid w:val="00800266"/>
    <w:rsid w:val="008002D7"/>
    <w:rsid w:val="00800348"/>
    <w:rsid w:val="0080035F"/>
    <w:rsid w:val="00800370"/>
    <w:rsid w:val="0080047E"/>
    <w:rsid w:val="0080048E"/>
    <w:rsid w:val="00800611"/>
    <w:rsid w:val="00800644"/>
    <w:rsid w:val="008006AA"/>
    <w:rsid w:val="0080074C"/>
    <w:rsid w:val="00800885"/>
    <w:rsid w:val="008008AB"/>
    <w:rsid w:val="008009C2"/>
    <w:rsid w:val="00800A89"/>
    <w:rsid w:val="00800AA1"/>
    <w:rsid w:val="00800AEC"/>
    <w:rsid w:val="00800B68"/>
    <w:rsid w:val="00800C5B"/>
    <w:rsid w:val="00800D63"/>
    <w:rsid w:val="00800D9A"/>
    <w:rsid w:val="00800EC1"/>
    <w:rsid w:val="00800EE1"/>
    <w:rsid w:val="00800FB4"/>
    <w:rsid w:val="00800FFE"/>
    <w:rsid w:val="008010C8"/>
    <w:rsid w:val="00801129"/>
    <w:rsid w:val="008012A2"/>
    <w:rsid w:val="00801451"/>
    <w:rsid w:val="008014D9"/>
    <w:rsid w:val="0080157F"/>
    <w:rsid w:val="008015DC"/>
    <w:rsid w:val="00801631"/>
    <w:rsid w:val="00801643"/>
    <w:rsid w:val="00801659"/>
    <w:rsid w:val="0080165A"/>
    <w:rsid w:val="0080185A"/>
    <w:rsid w:val="0080190A"/>
    <w:rsid w:val="00801A78"/>
    <w:rsid w:val="00801A88"/>
    <w:rsid w:val="00801A8A"/>
    <w:rsid w:val="00801AB8"/>
    <w:rsid w:val="00801C10"/>
    <w:rsid w:val="00801C98"/>
    <w:rsid w:val="00801D2E"/>
    <w:rsid w:val="00802237"/>
    <w:rsid w:val="00802511"/>
    <w:rsid w:val="00802885"/>
    <w:rsid w:val="008028B2"/>
    <w:rsid w:val="00802922"/>
    <w:rsid w:val="008029B0"/>
    <w:rsid w:val="00802B49"/>
    <w:rsid w:val="00802BE3"/>
    <w:rsid w:val="00802CB3"/>
    <w:rsid w:val="00802CBE"/>
    <w:rsid w:val="00802D15"/>
    <w:rsid w:val="00802D60"/>
    <w:rsid w:val="00802E6F"/>
    <w:rsid w:val="00802ED7"/>
    <w:rsid w:val="00802F73"/>
    <w:rsid w:val="00803059"/>
    <w:rsid w:val="008031BD"/>
    <w:rsid w:val="008031EA"/>
    <w:rsid w:val="00803365"/>
    <w:rsid w:val="008035BF"/>
    <w:rsid w:val="008035CB"/>
    <w:rsid w:val="00803670"/>
    <w:rsid w:val="008037A5"/>
    <w:rsid w:val="00803877"/>
    <w:rsid w:val="00803964"/>
    <w:rsid w:val="00803A22"/>
    <w:rsid w:val="00803AF4"/>
    <w:rsid w:val="00803B45"/>
    <w:rsid w:val="00803B9D"/>
    <w:rsid w:val="00803CC5"/>
    <w:rsid w:val="00803CD4"/>
    <w:rsid w:val="00803DCF"/>
    <w:rsid w:val="00803FBD"/>
    <w:rsid w:val="00804082"/>
    <w:rsid w:val="0080413F"/>
    <w:rsid w:val="008041D7"/>
    <w:rsid w:val="00804285"/>
    <w:rsid w:val="008043B6"/>
    <w:rsid w:val="00804477"/>
    <w:rsid w:val="00804529"/>
    <w:rsid w:val="00804545"/>
    <w:rsid w:val="008046B0"/>
    <w:rsid w:val="0080470E"/>
    <w:rsid w:val="00804975"/>
    <w:rsid w:val="00804A1B"/>
    <w:rsid w:val="00804AE1"/>
    <w:rsid w:val="00804AFB"/>
    <w:rsid w:val="00804B2B"/>
    <w:rsid w:val="00804B8E"/>
    <w:rsid w:val="00804D44"/>
    <w:rsid w:val="00804E00"/>
    <w:rsid w:val="00804E22"/>
    <w:rsid w:val="00804F04"/>
    <w:rsid w:val="00804FFB"/>
    <w:rsid w:val="0080514E"/>
    <w:rsid w:val="0080526D"/>
    <w:rsid w:val="00805277"/>
    <w:rsid w:val="008052D0"/>
    <w:rsid w:val="008054DE"/>
    <w:rsid w:val="008056B0"/>
    <w:rsid w:val="008057E5"/>
    <w:rsid w:val="008058C6"/>
    <w:rsid w:val="00805920"/>
    <w:rsid w:val="00805937"/>
    <w:rsid w:val="00805A93"/>
    <w:rsid w:val="00805CBD"/>
    <w:rsid w:val="00805E9B"/>
    <w:rsid w:val="00805F0D"/>
    <w:rsid w:val="00806009"/>
    <w:rsid w:val="008061A3"/>
    <w:rsid w:val="00806263"/>
    <w:rsid w:val="0080626F"/>
    <w:rsid w:val="0080641F"/>
    <w:rsid w:val="008064D1"/>
    <w:rsid w:val="00806534"/>
    <w:rsid w:val="0080658B"/>
    <w:rsid w:val="008066B8"/>
    <w:rsid w:val="0080674E"/>
    <w:rsid w:val="00806869"/>
    <w:rsid w:val="0080687F"/>
    <w:rsid w:val="00806914"/>
    <w:rsid w:val="00806937"/>
    <w:rsid w:val="00806A2E"/>
    <w:rsid w:val="00806A63"/>
    <w:rsid w:val="00806B9F"/>
    <w:rsid w:val="00806BBB"/>
    <w:rsid w:val="00806BFF"/>
    <w:rsid w:val="00806F35"/>
    <w:rsid w:val="00806FA6"/>
    <w:rsid w:val="00807052"/>
    <w:rsid w:val="008070FD"/>
    <w:rsid w:val="008073E2"/>
    <w:rsid w:val="008074E3"/>
    <w:rsid w:val="008074E5"/>
    <w:rsid w:val="00807557"/>
    <w:rsid w:val="008075F6"/>
    <w:rsid w:val="00807694"/>
    <w:rsid w:val="008076F3"/>
    <w:rsid w:val="0080771C"/>
    <w:rsid w:val="00807831"/>
    <w:rsid w:val="0080783F"/>
    <w:rsid w:val="008078CC"/>
    <w:rsid w:val="0080795A"/>
    <w:rsid w:val="00807C08"/>
    <w:rsid w:val="00807D59"/>
    <w:rsid w:val="00807E51"/>
    <w:rsid w:val="0081004A"/>
    <w:rsid w:val="00810093"/>
    <w:rsid w:val="008100E8"/>
    <w:rsid w:val="0081031C"/>
    <w:rsid w:val="00810711"/>
    <w:rsid w:val="0081095D"/>
    <w:rsid w:val="00810A9C"/>
    <w:rsid w:val="00810B17"/>
    <w:rsid w:val="00810BB2"/>
    <w:rsid w:val="00810C52"/>
    <w:rsid w:val="00810DC2"/>
    <w:rsid w:val="00810DD5"/>
    <w:rsid w:val="00810EDD"/>
    <w:rsid w:val="0081125E"/>
    <w:rsid w:val="00811276"/>
    <w:rsid w:val="0081133D"/>
    <w:rsid w:val="0081145F"/>
    <w:rsid w:val="008114CD"/>
    <w:rsid w:val="00811569"/>
    <w:rsid w:val="0081156C"/>
    <w:rsid w:val="00811621"/>
    <w:rsid w:val="00811663"/>
    <w:rsid w:val="00811751"/>
    <w:rsid w:val="00811789"/>
    <w:rsid w:val="0081184E"/>
    <w:rsid w:val="00811B02"/>
    <w:rsid w:val="00811BC4"/>
    <w:rsid w:val="00811BCE"/>
    <w:rsid w:val="00811C5D"/>
    <w:rsid w:val="00811C92"/>
    <w:rsid w:val="00811E15"/>
    <w:rsid w:val="00811FC7"/>
    <w:rsid w:val="00812037"/>
    <w:rsid w:val="0081213E"/>
    <w:rsid w:val="008124F2"/>
    <w:rsid w:val="00812534"/>
    <w:rsid w:val="008125D6"/>
    <w:rsid w:val="008126B8"/>
    <w:rsid w:val="00812700"/>
    <w:rsid w:val="008128AF"/>
    <w:rsid w:val="008128B6"/>
    <w:rsid w:val="00812B72"/>
    <w:rsid w:val="00812C5A"/>
    <w:rsid w:val="00812DF0"/>
    <w:rsid w:val="00812EF6"/>
    <w:rsid w:val="008131B3"/>
    <w:rsid w:val="00813290"/>
    <w:rsid w:val="00813414"/>
    <w:rsid w:val="00813656"/>
    <w:rsid w:val="008137E5"/>
    <w:rsid w:val="00813951"/>
    <w:rsid w:val="00813C03"/>
    <w:rsid w:val="00813CB1"/>
    <w:rsid w:val="00813CFA"/>
    <w:rsid w:val="00813D46"/>
    <w:rsid w:val="00813DCE"/>
    <w:rsid w:val="00813E43"/>
    <w:rsid w:val="00813EF8"/>
    <w:rsid w:val="00813F40"/>
    <w:rsid w:val="00814000"/>
    <w:rsid w:val="008143E8"/>
    <w:rsid w:val="00814419"/>
    <w:rsid w:val="008144F4"/>
    <w:rsid w:val="0081454B"/>
    <w:rsid w:val="0081461A"/>
    <w:rsid w:val="0081461C"/>
    <w:rsid w:val="00814728"/>
    <w:rsid w:val="008147DC"/>
    <w:rsid w:val="00814839"/>
    <w:rsid w:val="00814954"/>
    <w:rsid w:val="00814B08"/>
    <w:rsid w:val="00814B6A"/>
    <w:rsid w:val="00814B75"/>
    <w:rsid w:val="00814DD2"/>
    <w:rsid w:val="00814E59"/>
    <w:rsid w:val="00814FD1"/>
    <w:rsid w:val="00814FF4"/>
    <w:rsid w:val="00815100"/>
    <w:rsid w:val="008151A6"/>
    <w:rsid w:val="00815209"/>
    <w:rsid w:val="0081520B"/>
    <w:rsid w:val="00815264"/>
    <w:rsid w:val="008152DF"/>
    <w:rsid w:val="008152F8"/>
    <w:rsid w:val="00815401"/>
    <w:rsid w:val="008154E7"/>
    <w:rsid w:val="0081553E"/>
    <w:rsid w:val="00815565"/>
    <w:rsid w:val="008155BC"/>
    <w:rsid w:val="00815697"/>
    <w:rsid w:val="008157CC"/>
    <w:rsid w:val="0081592A"/>
    <w:rsid w:val="008159E2"/>
    <w:rsid w:val="00815C4B"/>
    <w:rsid w:val="00815C75"/>
    <w:rsid w:val="00815CD4"/>
    <w:rsid w:val="00815DBB"/>
    <w:rsid w:val="0081602E"/>
    <w:rsid w:val="008161EF"/>
    <w:rsid w:val="00816226"/>
    <w:rsid w:val="008162B3"/>
    <w:rsid w:val="0081638C"/>
    <w:rsid w:val="0081658C"/>
    <w:rsid w:val="008165AB"/>
    <w:rsid w:val="00816849"/>
    <w:rsid w:val="0081689C"/>
    <w:rsid w:val="00816AB2"/>
    <w:rsid w:val="00816D40"/>
    <w:rsid w:val="00816D9A"/>
    <w:rsid w:val="00816EA7"/>
    <w:rsid w:val="00816EC4"/>
    <w:rsid w:val="00816F14"/>
    <w:rsid w:val="00816FDE"/>
    <w:rsid w:val="0081706D"/>
    <w:rsid w:val="008172D7"/>
    <w:rsid w:val="00817427"/>
    <w:rsid w:val="008174B4"/>
    <w:rsid w:val="00817550"/>
    <w:rsid w:val="0081758F"/>
    <w:rsid w:val="008175DB"/>
    <w:rsid w:val="00817604"/>
    <w:rsid w:val="00817681"/>
    <w:rsid w:val="0081794A"/>
    <w:rsid w:val="0081798D"/>
    <w:rsid w:val="00817A3D"/>
    <w:rsid w:val="00817C18"/>
    <w:rsid w:val="00817CA7"/>
    <w:rsid w:val="00817D1B"/>
    <w:rsid w:val="00817D21"/>
    <w:rsid w:val="00817DD6"/>
    <w:rsid w:val="00817EC7"/>
    <w:rsid w:val="008201A7"/>
    <w:rsid w:val="00820221"/>
    <w:rsid w:val="00820243"/>
    <w:rsid w:val="00820258"/>
    <w:rsid w:val="008202BF"/>
    <w:rsid w:val="00820476"/>
    <w:rsid w:val="0082049C"/>
    <w:rsid w:val="008204DC"/>
    <w:rsid w:val="0082051E"/>
    <w:rsid w:val="0082057D"/>
    <w:rsid w:val="008206A3"/>
    <w:rsid w:val="00820858"/>
    <w:rsid w:val="00820CBB"/>
    <w:rsid w:val="008210A7"/>
    <w:rsid w:val="0082111F"/>
    <w:rsid w:val="0082124D"/>
    <w:rsid w:val="00821392"/>
    <w:rsid w:val="00821502"/>
    <w:rsid w:val="00821566"/>
    <w:rsid w:val="008216D4"/>
    <w:rsid w:val="00821717"/>
    <w:rsid w:val="008217C6"/>
    <w:rsid w:val="0082189C"/>
    <w:rsid w:val="00821A0D"/>
    <w:rsid w:val="00821A33"/>
    <w:rsid w:val="00821AF6"/>
    <w:rsid w:val="00821C5D"/>
    <w:rsid w:val="00821CBA"/>
    <w:rsid w:val="00822152"/>
    <w:rsid w:val="0082225E"/>
    <w:rsid w:val="0082226B"/>
    <w:rsid w:val="008222AD"/>
    <w:rsid w:val="008223D0"/>
    <w:rsid w:val="00822427"/>
    <w:rsid w:val="008225E0"/>
    <w:rsid w:val="00822898"/>
    <w:rsid w:val="00822A39"/>
    <w:rsid w:val="00822BF9"/>
    <w:rsid w:val="00822CB9"/>
    <w:rsid w:val="00822D5D"/>
    <w:rsid w:val="0082301C"/>
    <w:rsid w:val="00823177"/>
    <w:rsid w:val="008231A1"/>
    <w:rsid w:val="008231AC"/>
    <w:rsid w:val="008231B8"/>
    <w:rsid w:val="0082329E"/>
    <w:rsid w:val="008232DB"/>
    <w:rsid w:val="00823332"/>
    <w:rsid w:val="0082339F"/>
    <w:rsid w:val="008233F4"/>
    <w:rsid w:val="0082368B"/>
    <w:rsid w:val="00823733"/>
    <w:rsid w:val="0082379B"/>
    <w:rsid w:val="008237D3"/>
    <w:rsid w:val="0082385D"/>
    <w:rsid w:val="00823A5A"/>
    <w:rsid w:val="00823E4E"/>
    <w:rsid w:val="00823F7A"/>
    <w:rsid w:val="00824161"/>
    <w:rsid w:val="0082416B"/>
    <w:rsid w:val="008243CE"/>
    <w:rsid w:val="008243E1"/>
    <w:rsid w:val="0082440F"/>
    <w:rsid w:val="00824451"/>
    <w:rsid w:val="00824499"/>
    <w:rsid w:val="008244DB"/>
    <w:rsid w:val="008244F7"/>
    <w:rsid w:val="0082454D"/>
    <w:rsid w:val="00824836"/>
    <w:rsid w:val="00824934"/>
    <w:rsid w:val="00824941"/>
    <w:rsid w:val="00824A4B"/>
    <w:rsid w:val="00824B24"/>
    <w:rsid w:val="00824B6D"/>
    <w:rsid w:val="00824BF2"/>
    <w:rsid w:val="00824C9D"/>
    <w:rsid w:val="00824D4D"/>
    <w:rsid w:val="00824D63"/>
    <w:rsid w:val="00824E14"/>
    <w:rsid w:val="00824E16"/>
    <w:rsid w:val="00824F38"/>
    <w:rsid w:val="00824F55"/>
    <w:rsid w:val="00824F95"/>
    <w:rsid w:val="008250AB"/>
    <w:rsid w:val="008252D3"/>
    <w:rsid w:val="008253C6"/>
    <w:rsid w:val="00825492"/>
    <w:rsid w:val="008254EA"/>
    <w:rsid w:val="008256E9"/>
    <w:rsid w:val="008258D6"/>
    <w:rsid w:val="008258F4"/>
    <w:rsid w:val="008259E4"/>
    <w:rsid w:val="00825AB4"/>
    <w:rsid w:val="00825B90"/>
    <w:rsid w:val="00825C29"/>
    <w:rsid w:val="0082616A"/>
    <w:rsid w:val="008261F8"/>
    <w:rsid w:val="00826271"/>
    <w:rsid w:val="008264AD"/>
    <w:rsid w:val="008264D5"/>
    <w:rsid w:val="00826535"/>
    <w:rsid w:val="008265F8"/>
    <w:rsid w:val="00826740"/>
    <w:rsid w:val="00826854"/>
    <w:rsid w:val="0082687D"/>
    <w:rsid w:val="008268B7"/>
    <w:rsid w:val="00826C58"/>
    <w:rsid w:val="00826D2A"/>
    <w:rsid w:val="00826D3B"/>
    <w:rsid w:val="00826DAB"/>
    <w:rsid w:val="008271BF"/>
    <w:rsid w:val="00827256"/>
    <w:rsid w:val="0082759F"/>
    <w:rsid w:val="00827846"/>
    <w:rsid w:val="008278D5"/>
    <w:rsid w:val="008278FB"/>
    <w:rsid w:val="008279E6"/>
    <w:rsid w:val="008279F0"/>
    <w:rsid w:val="00827A9D"/>
    <w:rsid w:val="00827AAB"/>
    <w:rsid w:val="00827B1E"/>
    <w:rsid w:val="00827C01"/>
    <w:rsid w:val="00827C25"/>
    <w:rsid w:val="00827C70"/>
    <w:rsid w:val="00827D21"/>
    <w:rsid w:val="00827E5B"/>
    <w:rsid w:val="0083058F"/>
    <w:rsid w:val="008306B9"/>
    <w:rsid w:val="0083070B"/>
    <w:rsid w:val="00830779"/>
    <w:rsid w:val="00830826"/>
    <w:rsid w:val="008309C3"/>
    <w:rsid w:val="00830A2B"/>
    <w:rsid w:val="00830ACE"/>
    <w:rsid w:val="00830C5B"/>
    <w:rsid w:val="00830D39"/>
    <w:rsid w:val="00830E81"/>
    <w:rsid w:val="00831138"/>
    <w:rsid w:val="0083134F"/>
    <w:rsid w:val="008313F7"/>
    <w:rsid w:val="008313FC"/>
    <w:rsid w:val="008314AC"/>
    <w:rsid w:val="008314DE"/>
    <w:rsid w:val="008314F8"/>
    <w:rsid w:val="008316C6"/>
    <w:rsid w:val="0083183E"/>
    <w:rsid w:val="0083187D"/>
    <w:rsid w:val="00831968"/>
    <w:rsid w:val="00831A2B"/>
    <w:rsid w:val="00831ADF"/>
    <w:rsid w:val="00831AF6"/>
    <w:rsid w:val="00831B41"/>
    <w:rsid w:val="00831CA1"/>
    <w:rsid w:val="00831D74"/>
    <w:rsid w:val="00831FD7"/>
    <w:rsid w:val="0083203C"/>
    <w:rsid w:val="00832365"/>
    <w:rsid w:val="008323E3"/>
    <w:rsid w:val="00832405"/>
    <w:rsid w:val="0083245B"/>
    <w:rsid w:val="00832483"/>
    <w:rsid w:val="00832676"/>
    <w:rsid w:val="00832788"/>
    <w:rsid w:val="00832994"/>
    <w:rsid w:val="00832A46"/>
    <w:rsid w:val="00832A97"/>
    <w:rsid w:val="00832AC4"/>
    <w:rsid w:val="00832C61"/>
    <w:rsid w:val="00832F98"/>
    <w:rsid w:val="00833010"/>
    <w:rsid w:val="00833212"/>
    <w:rsid w:val="008332B3"/>
    <w:rsid w:val="00833351"/>
    <w:rsid w:val="0083341E"/>
    <w:rsid w:val="0083347D"/>
    <w:rsid w:val="00833491"/>
    <w:rsid w:val="008334DD"/>
    <w:rsid w:val="008335EC"/>
    <w:rsid w:val="008337FC"/>
    <w:rsid w:val="008338E3"/>
    <w:rsid w:val="008338F7"/>
    <w:rsid w:val="00833B80"/>
    <w:rsid w:val="00833E42"/>
    <w:rsid w:val="008341C8"/>
    <w:rsid w:val="00834248"/>
    <w:rsid w:val="008342B4"/>
    <w:rsid w:val="0083438B"/>
    <w:rsid w:val="0083438D"/>
    <w:rsid w:val="00834484"/>
    <w:rsid w:val="0083452D"/>
    <w:rsid w:val="0083455B"/>
    <w:rsid w:val="0083459C"/>
    <w:rsid w:val="00834670"/>
    <w:rsid w:val="00834776"/>
    <w:rsid w:val="008347D9"/>
    <w:rsid w:val="008348DE"/>
    <w:rsid w:val="008348F5"/>
    <w:rsid w:val="00834A1A"/>
    <w:rsid w:val="00834B18"/>
    <w:rsid w:val="00834B2E"/>
    <w:rsid w:val="00834D94"/>
    <w:rsid w:val="00834DD7"/>
    <w:rsid w:val="00834F0E"/>
    <w:rsid w:val="00834F49"/>
    <w:rsid w:val="00835010"/>
    <w:rsid w:val="00835020"/>
    <w:rsid w:val="0083509C"/>
    <w:rsid w:val="00835146"/>
    <w:rsid w:val="00835201"/>
    <w:rsid w:val="0083523E"/>
    <w:rsid w:val="0083524E"/>
    <w:rsid w:val="0083534C"/>
    <w:rsid w:val="008354A8"/>
    <w:rsid w:val="0083578F"/>
    <w:rsid w:val="008357D7"/>
    <w:rsid w:val="008357F6"/>
    <w:rsid w:val="008358C9"/>
    <w:rsid w:val="00835A70"/>
    <w:rsid w:val="00835C79"/>
    <w:rsid w:val="00835D51"/>
    <w:rsid w:val="00835EF0"/>
    <w:rsid w:val="00835FDF"/>
    <w:rsid w:val="00835FF9"/>
    <w:rsid w:val="0083605F"/>
    <w:rsid w:val="008360D8"/>
    <w:rsid w:val="0083610C"/>
    <w:rsid w:val="0083611C"/>
    <w:rsid w:val="0083617B"/>
    <w:rsid w:val="0083635D"/>
    <w:rsid w:val="008363F6"/>
    <w:rsid w:val="00836490"/>
    <w:rsid w:val="008366F8"/>
    <w:rsid w:val="008367B4"/>
    <w:rsid w:val="00836876"/>
    <w:rsid w:val="008368CD"/>
    <w:rsid w:val="008369E5"/>
    <w:rsid w:val="00836A0A"/>
    <w:rsid w:val="00836A5B"/>
    <w:rsid w:val="00836B52"/>
    <w:rsid w:val="00836BE8"/>
    <w:rsid w:val="00836C1F"/>
    <w:rsid w:val="00836E9A"/>
    <w:rsid w:val="00836F0F"/>
    <w:rsid w:val="00836F10"/>
    <w:rsid w:val="00836F73"/>
    <w:rsid w:val="00837122"/>
    <w:rsid w:val="00837211"/>
    <w:rsid w:val="0083735F"/>
    <w:rsid w:val="0083739A"/>
    <w:rsid w:val="008373F0"/>
    <w:rsid w:val="00837484"/>
    <w:rsid w:val="008374BC"/>
    <w:rsid w:val="0083781E"/>
    <w:rsid w:val="008379D2"/>
    <w:rsid w:val="00837B5B"/>
    <w:rsid w:val="00837B83"/>
    <w:rsid w:val="00837C12"/>
    <w:rsid w:val="00837D80"/>
    <w:rsid w:val="00837DFC"/>
    <w:rsid w:val="00840028"/>
    <w:rsid w:val="008400BF"/>
    <w:rsid w:val="008403FD"/>
    <w:rsid w:val="008404AE"/>
    <w:rsid w:val="00840648"/>
    <w:rsid w:val="00840750"/>
    <w:rsid w:val="008408E7"/>
    <w:rsid w:val="00840914"/>
    <w:rsid w:val="00840983"/>
    <w:rsid w:val="00840987"/>
    <w:rsid w:val="00840B2C"/>
    <w:rsid w:val="00840D14"/>
    <w:rsid w:val="00840DE8"/>
    <w:rsid w:val="00840E5B"/>
    <w:rsid w:val="00840FA7"/>
    <w:rsid w:val="00841037"/>
    <w:rsid w:val="00841119"/>
    <w:rsid w:val="0084111F"/>
    <w:rsid w:val="00841279"/>
    <w:rsid w:val="0084153A"/>
    <w:rsid w:val="0084156A"/>
    <w:rsid w:val="00841888"/>
    <w:rsid w:val="00841A3F"/>
    <w:rsid w:val="00841B4E"/>
    <w:rsid w:val="00841CF1"/>
    <w:rsid w:val="00841D98"/>
    <w:rsid w:val="00841FD0"/>
    <w:rsid w:val="00841FDE"/>
    <w:rsid w:val="00841FEB"/>
    <w:rsid w:val="0084202F"/>
    <w:rsid w:val="0084213F"/>
    <w:rsid w:val="00842319"/>
    <w:rsid w:val="00842511"/>
    <w:rsid w:val="0084254D"/>
    <w:rsid w:val="008426CC"/>
    <w:rsid w:val="0084277F"/>
    <w:rsid w:val="0084281A"/>
    <w:rsid w:val="00842957"/>
    <w:rsid w:val="008429CD"/>
    <w:rsid w:val="00842A2B"/>
    <w:rsid w:val="00842AF4"/>
    <w:rsid w:val="00842CE1"/>
    <w:rsid w:val="00842CF4"/>
    <w:rsid w:val="00842E96"/>
    <w:rsid w:val="00842FEC"/>
    <w:rsid w:val="00843046"/>
    <w:rsid w:val="0084316D"/>
    <w:rsid w:val="00843182"/>
    <w:rsid w:val="008431FE"/>
    <w:rsid w:val="008431FF"/>
    <w:rsid w:val="00843269"/>
    <w:rsid w:val="008432B2"/>
    <w:rsid w:val="008433B3"/>
    <w:rsid w:val="00843417"/>
    <w:rsid w:val="008434A5"/>
    <w:rsid w:val="008434D9"/>
    <w:rsid w:val="00843881"/>
    <w:rsid w:val="0084389D"/>
    <w:rsid w:val="00843A77"/>
    <w:rsid w:val="00843AD0"/>
    <w:rsid w:val="00843D15"/>
    <w:rsid w:val="00843DB5"/>
    <w:rsid w:val="00843E5E"/>
    <w:rsid w:val="00843E7C"/>
    <w:rsid w:val="00843E83"/>
    <w:rsid w:val="00844044"/>
    <w:rsid w:val="00844079"/>
    <w:rsid w:val="00844494"/>
    <w:rsid w:val="00844505"/>
    <w:rsid w:val="00844512"/>
    <w:rsid w:val="0084488C"/>
    <w:rsid w:val="0084489A"/>
    <w:rsid w:val="00844927"/>
    <w:rsid w:val="0084493A"/>
    <w:rsid w:val="00844991"/>
    <w:rsid w:val="00844AAC"/>
    <w:rsid w:val="00844C18"/>
    <w:rsid w:val="00844CC9"/>
    <w:rsid w:val="00844DA7"/>
    <w:rsid w:val="00844DF5"/>
    <w:rsid w:val="00844F66"/>
    <w:rsid w:val="00844F77"/>
    <w:rsid w:val="00844FB6"/>
    <w:rsid w:val="00845039"/>
    <w:rsid w:val="00845077"/>
    <w:rsid w:val="008451A4"/>
    <w:rsid w:val="008452D0"/>
    <w:rsid w:val="00845315"/>
    <w:rsid w:val="008454C8"/>
    <w:rsid w:val="0084553B"/>
    <w:rsid w:val="008455C0"/>
    <w:rsid w:val="0084568C"/>
    <w:rsid w:val="00845702"/>
    <w:rsid w:val="00845806"/>
    <w:rsid w:val="00845860"/>
    <w:rsid w:val="008459C5"/>
    <w:rsid w:val="008459C7"/>
    <w:rsid w:val="00845A05"/>
    <w:rsid w:val="00845A92"/>
    <w:rsid w:val="00845BFF"/>
    <w:rsid w:val="00845C09"/>
    <w:rsid w:val="00845C44"/>
    <w:rsid w:val="00845C8F"/>
    <w:rsid w:val="00845DCF"/>
    <w:rsid w:val="00845E21"/>
    <w:rsid w:val="00845E80"/>
    <w:rsid w:val="0084605E"/>
    <w:rsid w:val="00846191"/>
    <w:rsid w:val="008461B0"/>
    <w:rsid w:val="00846337"/>
    <w:rsid w:val="00846490"/>
    <w:rsid w:val="00846561"/>
    <w:rsid w:val="008465B9"/>
    <w:rsid w:val="008465FE"/>
    <w:rsid w:val="00846619"/>
    <w:rsid w:val="0084676C"/>
    <w:rsid w:val="00846788"/>
    <w:rsid w:val="00846814"/>
    <w:rsid w:val="00846862"/>
    <w:rsid w:val="00846971"/>
    <w:rsid w:val="00846A14"/>
    <w:rsid w:val="00846A27"/>
    <w:rsid w:val="00846AE4"/>
    <w:rsid w:val="00846B5A"/>
    <w:rsid w:val="00846BF0"/>
    <w:rsid w:val="00846CC1"/>
    <w:rsid w:val="00846EC5"/>
    <w:rsid w:val="00846EFD"/>
    <w:rsid w:val="0084734B"/>
    <w:rsid w:val="008473E7"/>
    <w:rsid w:val="00847425"/>
    <w:rsid w:val="00847436"/>
    <w:rsid w:val="00847484"/>
    <w:rsid w:val="00847577"/>
    <w:rsid w:val="008475E5"/>
    <w:rsid w:val="00847643"/>
    <w:rsid w:val="008476C0"/>
    <w:rsid w:val="00847798"/>
    <w:rsid w:val="008477A5"/>
    <w:rsid w:val="00847DE3"/>
    <w:rsid w:val="00847FCC"/>
    <w:rsid w:val="00850031"/>
    <w:rsid w:val="0085006D"/>
    <w:rsid w:val="0085022F"/>
    <w:rsid w:val="008502A2"/>
    <w:rsid w:val="00850389"/>
    <w:rsid w:val="008503B4"/>
    <w:rsid w:val="008503C0"/>
    <w:rsid w:val="0085055C"/>
    <w:rsid w:val="0085067A"/>
    <w:rsid w:val="0085067D"/>
    <w:rsid w:val="00850815"/>
    <w:rsid w:val="00850966"/>
    <w:rsid w:val="008509C6"/>
    <w:rsid w:val="00850AC4"/>
    <w:rsid w:val="00850C00"/>
    <w:rsid w:val="00850D88"/>
    <w:rsid w:val="00850EBE"/>
    <w:rsid w:val="00850FF5"/>
    <w:rsid w:val="008511FA"/>
    <w:rsid w:val="0085132F"/>
    <w:rsid w:val="00851371"/>
    <w:rsid w:val="008513BA"/>
    <w:rsid w:val="00851468"/>
    <w:rsid w:val="0085154E"/>
    <w:rsid w:val="008515B6"/>
    <w:rsid w:val="008515D2"/>
    <w:rsid w:val="00851660"/>
    <w:rsid w:val="0085176A"/>
    <w:rsid w:val="00851807"/>
    <w:rsid w:val="00851849"/>
    <w:rsid w:val="00851904"/>
    <w:rsid w:val="0085196C"/>
    <w:rsid w:val="00851BBD"/>
    <w:rsid w:val="00851D49"/>
    <w:rsid w:val="00851DB7"/>
    <w:rsid w:val="00851DC0"/>
    <w:rsid w:val="00851EE3"/>
    <w:rsid w:val="008520C4"/>
    <w:rsid w:val="008521A4"/>
    <w:rsid w:val="00852225"/>
    <w:rsid w:val="00852257"/>
    <w:rsid w:val="0085229F"/>
    <w:rsid w:val="00852343"/>
    <w:rsid w:val="0085252F"/>
    <w:rsid w:val="00852532"/>
    <w:rsid w:val="0085253A"/>
    <w:rsid w:val="0085256C"/>
    <w:rsid w:val="00852671"/>
    <w:rsid w:val="0085276A"/>
    <w:rsid w:val="0085281F"/>
    <w:rsid w:val="0085294F"/>
    <w:rsid w:val="00852B2D"/>
    <w:rsid w:val="00852BED"/>
    <w:rsid w:val="00852CCF"/>
    <w:rsid w:val="00852EFC"/>
    <w:rsid w:val="00852F27"/>
    <w:rsid w:val="00852F42"/>
    <w:rsid w:val="00852F8C"/>
    <w:rsid w:val="0085300E"/>
    <w:rsid w:val="00853033"/>
    <w:rsid w:val="0085310C"/>
    <w:rsid w:val="008531E3"/>
    <w:rsid w:val="008532E9"/>
    <w:rsid w:val="008533B9"/>
    <w:rsid w:val="008534F0"/>
    <w:rsid w:val="00853596"/>
    <w:rsid w:val="008536B2"/>
    <w:rsid w:val="00853784"/>
    <w:rsid w:val="00853805"/>
    <w:rsid w:val="00853A80"/>
    <w:rsid w:val="00853D05"/>
    <w:rsid w:val="00853D0E"/>
    <w:rsid w:val="00853E8C"/>
    <w:rsid w:val="00853EF8"/>
    <w:rsid w:val="00854015"/>
    <w:rsid w:val="00854035"/>
    <w:rsid w:val="0085403C"/>
    <w:rsid w:val="0085407C"/>
    <w:rsid w:val="008540A6"/>
    <w:rsid w:val="008541A0"/>
    <w:rsid w:val="008541B0"/>
    <w:rsid w:val="0085431F"/>
    <w:rsid w:val="0085435D"/>
    <w:rsid w:val="008543F6"/>
    <w:rsid w:val="0085450A"/>
    <w:rsid w:val="0085452C"/>
    <w:rsid w:val="008545F1"/>
    <w:rsid w:val="0085476A"/>
    <w:rsid w:val="00854A63"/>
    <w:rsid w:val="00854BDE"/>
    <w:rsid w:val="00854E34"/>
    <w:rsid w:val="008550AC"/>
    <w:rsid w:val="00855158"/>
    <w:rsid w:val="0085517C"/>
    <w:rsid w:val="008553F2"/>
    <w:rsid w:val="0085544E"/>
    <w:rsid w:val="00855612"/>
    <w:rsid w:val="00855617"/>
    <w:rsid w:val="00855632"/>
    <w:rsid w:val="008556B1"/>
    <w:rsid w:val="00855795"/>
    <w:rsid w:val="008557D0"/>
    <w:rsid w:val="008557D2"/>
    <w:rsid w:val="00855836"/>
    <w:rsid w:val="00855943"/>
    <w:rsid w:val="00855B04"/>
    <w:rsid w:val="00855B2F"/>
    <w:rsid w:val="00855B30"/>
    <w:rsid w:val="00855D22"/>
    <w:rsid w:val="00855DF2"/>
    <w:rsid w:val="00855E78"/>
    <w:rsid w:val="008560C8"/>
    <w:rsid w:val="008561D0"/>
    <w:rsid w:val="0085636F"/>
    <w:rsid w:val="00856403"/>
    <w:rsid w:val="00856528"/>
    <w:rsid w:val="008566D6"/>
    <w:rsid w:val="00856889"/>
    <w:rsid w:val="00856899"/>
    <w:rsid w:val="0085693B"/>
    <w:rsid w:val="0085698D"/>
    <w:rsid w:val="00856A47"/>
    <w:rsid w:val="00856A62"/>
    <w:rsid w:val="00856AF8"/>
    <w:rsid w:val="00856B75"/>
    <w:rsid w:val="00856C0F"/>
    <w:rsid w:val="00856D05"/>
    <w:rsid w:val="00856DFF"/>
    <w:rsid w:val="00856E11"/>
    <w:rsid w:val="00856EBD"/>
    <w:rsid w:val="00856F47"/>
    <w:rsid w:val="00856FF5"/>
    <w:rsid w:val="00857282"/>
    <w:rsid w:val="00857346"/>
    <w:rsid w:val="00857473"/>
    <w:rsid w:val="008575BF"/>
    <w:rsid w:val="008575F3"/>
    <w:rsid w:val="0085760C"/>
    <w:rsid w:val="00857651"/>
    <w:rsid w:val="0085769A"/>
    <w:rsid w:val="0085772A"/>
    <w:rsid w:val="00857762"/>
    <w:rsid w:val="008577A5"/>
    <w:rsid w:val="0085786E"/>
    <w:rsid w:val="00857A87"/>
    <w:rsid w:val="00857ADA"/>
    <w:rsid w:val="00857CEA"/>
    <w:rsid w:val="00857EAE"/>
    <w:rsid w:val="00857F36"/>
    <w:rsid w:val="00857F52"/>
    <w:rsid w:val="00857F7C"/>
    <w:rsid w:val="0086016A"/>
    <w:rsid w:val="008602AB"/>
    <w:rsid w:val="008605AD"/>
    <w:rsid w:val="008605B9"/>
    <w:rsid w:val="008605BC"/>
    <w:rsid w:val="00860629"/>
    <w:rsid w:val="00860655"/>
    <w:rsid w:val="008606A1"/>
    <w:rsid w:val="00860AB7"/>
    <w:rsid w:val="00860B9C"/>
    <w:rsid w:val="00860C6D"/>
    <w:rsid w:val="00860DFE"/>
    <w:rsid w:val="00860DFF"/>
    <w:rsid w:val="00860E19"/>
    <w:rsid w:val="00860F15"/>
    <w:rsid w:val="0086103F"/>
    <w:rsid w:val="008610EA"/>
    <w:rsid w:val="0086111F"/>
    <w:rsid w:val="0086113D"/>
    <w:rsid w:val="0086121D"/>
    <w:rsid w:val="00861235"/>
    <w:rsid w:val="008612D1"/>
    <w:rsid w:val="0086131C"/>
    <w:rsid w:val="00861353"/>
    <w:rsid w:val="00861366"/>
    <w:rsid w:val="008614D8"/>
    <w:rsid w:val="008614E9"/>
    <w:rsid w:val="008615DC"/>
    <w:rsid w:val="008616B7"/>
    <w:rsid w:val="00861865"/>
    <w:rsid w:val="00861892"/>
    <w:rsid w:val="008618CF"/>
    <w:rsid w:val="0086198F"/>
    <w:rsid w:val="00861A0A"/>
    <w:rsid w:val="00861A50"/>
    <w:rsid w:val="00861A73"/>
    <w:rsid w:val="00861AB9"/>
    <w:rsid w:val="00861B16"/>
    <w:rsid w:val="00861C14"/>
    <w:rsid w:val="00861F1B"/>
    <w:rsid w:val="00862016"/>
    <w:rsid w:val="00862191"/>
    <w:rsid w:val="00862231"/>
    <w:rsid w:val="0086252F"/>
    <w:rsid w:val="00862752"/>
    <w:rsid w:val="00862791"/>
    <w:rsid w:val="00862807"/>
    <w:rsid w:val="00862BDE"/>
    <w:rsid w:val="00862D2B"/>
    <w:rsid w:val="00862D8A"/>
    <w:rsid w:val="00862ED7"/>
    <w:rsid w:val="008630E9"/>
    <w:rsid w:val="00863102"/>
    <w:rsid w:val="008632AA"/>
    <w:rsid w:val="00863360"/>
    <w:rsid w:val="0086337D"/>
    <w:rsid w:val="0086344D"/>
    <w:rsid w:val="00863487"/>
    <w:rsid w:val="008634DF"/>
    <w:rsid w:val="00863528"/>
    <w:rsid w:val="00863768"/>
    <w:rsid w:val="0086378B"/>
    <w:rsid w:val="00863954"/>
    <w:rsid w:val="00863A74"/>
    <w:rsid w:val="00863A9F"/>
    <w:rsid w:val="00863DA4"/>
    <w:rsid w:val="00863DDC"/>
    <w:rsid w:val="00864033"/>
    <w:rsid w:val="008640D1"/>
    <w:rsid w:val="008642B0"/>
    <w:rsid w:val="00864314"/>
    <w:rsid w:val="00864483"/>
    <w:rsid w:val="00864507"/>
    <w:rsid w:val="008646D1"/>
    <w:rsid w:val="00864746"/>
    <w:rsid w:val="00864885"/>
    <w:rsid w:val="00864899"/>
    <w:rsid w:val="0086493C"/>
    <w:rsid w:val="00864B8A"/>
    <w:rsid w:val="00864CDB"/>
    <w:rsid w:val="00864D99"/>
    <w:rsid w:val="00864DC1"/>
    <w:rsid w:val="00864ECC"/>
    <w:rsid w:val="0086508B"/>
    <w:rsid w:val="008651CA"/>
    <w:rsid w:val="0086530D"/>
    <w:rsid w:val="00865319"/>
    <w:rsid w:val="0086543D"/>
    <w:rsid w:val="008654A7"/>
    <w:rsid w:val="00865677"/>
    <w:rsid w:val="0086569D"/>
    <w:rsid w:val="0086572A"/>
    <w:rsid w:val="008659FC"/>
    <w:rsid w:val="00865A04"/>
    <w:rsid w:val="00865D13"/>
    <w:rsid w:val="00865EC9"/>
    <w:rsid w:val="008660A4"/>
    <w:rsid w:val="00866165"/>
    <w:rsid w:val="008661D8"/>
    <w:rsid w:val="00866387"/>
    <w:rsid w:val="0086644D"/>
    <w:rsid w:val="00866466"/>
    <w:rsid w:val="008664FC"/>
    <w:rsid w:val="00866623"/>
    <w:rsid w:val="008666E8"/>
    <w:rsid w:val="00866827"/>
    <w:rsid w:val="00866D10"/>
    <w:rsid w:val="00866D89"/>
    <w:rsid w:val="00866DCD"/>
    <w:rsid w:val="00866E15"/>
    <w:rsid w:val="00866E37"/>
    <w:rsid w:val="00866E49"/>
    <w:rsid w:val="0086720C"/>
    <w:rsid w:val="0086721A"/>
    <w:rsid w:val="008672DD"/>
    <w:rsid w:val="00867370"/>
    <w:rsid w:val="00867460"/>
    <w:rsid w:val="00867731"/>
    <w:rsid w:val="008677A2"/>
    <w:rsid w:val="00867804"/>
    <w:rsid w:val="008678D5"/>
    <w:rsid w:val="00867936"/>
    <w:rsid w:val="008679CD"/>
    <w:rsid w:val="00867A3B"/>
    <w:rsid w:val="00867A5D"/>
    <w:rsid w:val="00867B95"/>
    <w:rsid w:val="00867CB0"/>
    <w:rsid w:val="00867CC4"/>
    <w:rsid w:val="00867DE6"/>
    <w:rsid w:val="00867ED4"/>
    <w:rsid w:val="008701A7"/>
    <w:rsid w:val="00870241"/>
    <w:rsid w:val="00870345"/>
    <w:rsid w:val="008703BE"/>
    <w:rsid w:val="008703FD"/>
    <w:rsid w:val="008704B2"/>
    <w:rsid w:val="00870532"/>
    <w:rsid w:val="0087056E"/>
    <w:rsid w:val="008705EC"/>
    <w:rsid w:val="00870842"/>
    <w:rsid w:val="00870919"/>
    <w:rsid w:val="00870973"/>
    <w:rsid w:val="00870A17"/>
    <w:rsid w:val="00870B63"/>
    <w:rsid w:val="00870B6C"/>
    <w:rsid w:val="00870B87"/>
    <w:rsid w:val="00870CA0"/>
    <w:rsid w:val="00870EF7"/>
    <w:rsid w:val="00870F0C"/>
    <w:rsid w:val="00870F28"/>
    <w:rsid w:val="008710F5"/>
    <w:rsid w:val="0087116C"/>
    <w:rsid w:val="008711A8"/>
    <w:rsid w:val="008711F9"/>
    <w:rsid w:val="0087145C"/>
    <w:rsid w:val="008714E3"/>
    <w:rsid w:val="008715CF"/>
    <w:rsid w:val="00871821"/>
    <w:rsid w:val="0087190D"/>
    <w:rsid w:val="008719D8"/>
    <w:rsid w:val="00871A96"/>
    <w:rsid w:val="00871D0C"/>
    <w:rsid w:val="00871E75"/>
    <w:rsid w:val="00871EEB"/>
    <w:rsid w:val="00872041"/>
    <w:rsid w:val="00872086"/>
    <w:rsid w:val="008720A4"/>
    <w:rsid w:val="008720F3"/>
    <w:rsid w:val="00872270"/>
    <w:rsid w:val="00872275"/>
    <w:rsid w:val="00872308"/>
    <w:rsid w:val="00872433"/>
    <w:rsid w:val="00872468"/>
    <w:rsid w:val="008724ED"/>
    <w:rsid w:val="008724F1"/>
    <w:rsid w:val="00872644"/>
    <w:rsid w:val="00872713"/>
    <w:rsid w:val="0087276B"/>
    <w:rsid w:val="008729B5"/>
    <w:rsid w:val="00872A58"/>
    <w:rsid w:val="00872C3B"/>
    <w:rsid w:val="00872CBC"/>
    <w:rsid w:val="00872D1B"/>
    <w:rsid w:val="00872D8F"/>
    <w:rsid w:val="00872E5D"/>
    <w:rsid w:val="00872E94"/>
    <w:rsid w:val="00873010"/>
    <w:rsid w:val="00873232"/>
    <w:rsid w:val="00873367"/>
    <w:rsid w:val="00873460"/>
    <w:rsid w:val="008734C7"/>
    <w:rsid w:val="00873598"/>
    <w:rsid w:val="00873639"/>
    <w:rsid w:val="0087386B"/>
    <w:rsid w:val="00873A41"/>
    <w:rsid w:val="00873C57"/>
    <w:rsid w:val="00873D54"/>
    <w:rsid w:val="00873DC3"/>
    <w:rsid w:val="00873E4B"/>
    <w:rsid w:val="00873EFF"/>
    <w:rsid w:val="00873F98"/>
    <w:rsid w:val="00873FAD"/>
    <w:rsid w:val="00874051"/>
    <w:rsid w:val="008741DB"/>
    <w:rsid w:val="00874219"/>
    <w:rsid w:val="0087435A"/>
    <w:rsid w:val="008743A9"/>
    <w:rsid w:val="008743D5"/>
    <w:rsid w:val="0087446D"/>
    <w:rsid w:val="0087451F"/>
    <w:rsid w:val="00874552"/>
    <w:rsid w:val="00874777"/>
    <w:rsid w:val="008747C3"/>
    <w:rsid w:val="00874877"/>
    <w:rsid w:val="008748D3"/>
    <w:rsid w:val="008749F1"/>
    <w:rsid w:val="00874A82"/>
    <w:rsid w:val="00874B25"/>
    <w:rsid w:val="00874E04"/>
    <w:rsid w:val="00874FAD"/>
    <w:rsid w:val="00875093"/>
    <w:rsid w:val="00875161"/>
    <w:rsid w:val="008751AA"/>
    <w:rsid w:val="00875254"/>
    <w:rsid w:val="008752A3"/>
    <w:rsid w:val="008752EF"/>
    <w:rsid w:val="00875394"/>
    <w:rsid w:val="00875399"/>
    <w:rsid w:val="008754A3"/>
    <w:rsid w:val="00875523"/>
    <w:rsid w:val="00875576"/>
    <w:rsid w:val="008755B5"/>
    <w:rsid w:val="008756A7"/>
    <w:rsid w:val="008756E8"/>
    <w:rsid w:val="00875710"/>
    <w:rsid w:val="0087576A"/>
    <w:rsid w:val="008759E0"/>
    <w:rsid w:val="00875B56"/>
    <w:rsid w:val="00875D4A"/>
    <w:rsid w:val="00875DB5"/>
    <w:rsid w:val="00875FB8"/>
    <w:rsid w:val="00876077"/>
    <w:rsid w:val="0087609C"/>
    <w:rsid w:val="00876166"/>
    <w:rsid w:val="008761DA"/>
    <w:rsid w:val="0087624E"/>
    <w:rsid w:val="00876642"/>
    <w:rsid w:val="0087668B"/>
    <w:rsid w:val="008767A0"/>
    <w:rsid w:val="008768CE"/>
    <w:rsid w:val="00876A4E"/>
    <w:rsid w:val="00876A6F"/>
    <w:rsid w:val="00876A7B"/>
    <w:rsid w:val="00876CAD"/>
    <w:rsid w:val="00876FF6"/>
    <w:rsid w:val="008770A1"/>
    <w:rsid w:val="00877159"/>
    <w:rsid w:val="008772DB"/>
    <w:rsid w:val="0087744E"/>
    <w:rsid w:val="00877476"/>
    <w:rsid w:val="00877602"/>
    <w:rsid w:val="008777F1"/>
    <w:rsid w:val="0087787E"/>
    <w:rsid w:val="00877895"/>
    <w:rsid w:val="008778E7"/>
    <w:rsid w:val="00877A5B"/>
    <w:rsid w:val="00877A85"/>
    <w:rsid w:val="00877BD6"/>
    <w:rsid w:val="00877C82"/>
    <w:rsid w:val="00877DAB"/>
    <w:rsid w:val="00877E35"/>
    <w:rsid w:val="00877ED5"/>
    <w:rsid w:val="00877EFB"/>
    <w:rsid w:val="00877F22"/>
    <w:rsid w:val="00880021"/>
    <w:rsid w:val="0088007C"/>
    <w:rsid w:val="0088029F"/>
    <w:rsid w:val="008802DC"/>
    <w:rsid w:val="008804A3"/>
    <w:rsid w:val="00880674"/>
    <w:rsid w:val="008806C0"/>
    <w:rsid w:val="0088087D"/>
    <w:rsid w:val="00880A04"/>
    <w:rsid w:val="00880C90"/>
    <w:rsid w:val="00880F0B"/>
    <w:rsid w:val="00881045"/>
    <w:rsid w:val="0088111B"/>
    <w:rsid w:val="00881135"/>
    <w:rsid w:val="0088115E"/>
    <w:rsid w:val="0088125A"/>
    <w:rsid w:val="0088143D"/>
    <w:rsid w:val="00881479"/>
    <w:rsid w:val="00881608"/>
    <w:rsid w:val="00881631"/>
    <w:rsid w:val="0088165D"/>
    <w:rsid w:val="008816F3"/>
    <w:rsid w:val="0088171A"/>
    <w:rsid w:val="008818F6"/>
    <w:rsid w:val="00881A17"/>
    <w:rsid w:val="00881C03"/>
    <w:rsid w:val="00881C12"/>
    <w:rsid w:val="00881D1F"/>
    <w:rsid w:val="00881E06"/>
    <w:rsid w:val="00881E76"/>
    <w:rsid w:val="00881F12"/>
    <w:rsid w:val="008821AF"/>
    <w:rsid w:val="008821CA"/>
    <w:rsid w:val="00882205"/>
    <w:rsid w:val="00882239"/>
    <w:rsid w:val="0088239F"/>
    <w:rsid w:val="00882508"/>
    <w:rsid w:val="00882561"/>
    <w:rsid w:val="008825CE"/>
    <w:rsid w:val="008825D2"/>
    <w:rsid w:val="00882688"/>
    <w:rsid w:val="008827C7"/>
    <w:rsid w:val="0088281E"/>
    <w:rsid w:val="008829EC"/>
    <w:rsid w:val="00882A52"/>
    <w:rsid w:val="00882DDC"/>
    <w:rsid w:val="00883316"/>
    <w:rsid w:val="00883387"/>
    <w:rsid w:val="008835F2"/>
    <w:rsid w:val="00883668"/>
    <w:rsid w:val="0088368D"/>
    <w:rsid w:val="008838B5"/>
    <w:rsid w:val="0088396E"/>
    <w:rsid w:val="008839B7"/>
    <w:rsid w:val="00883AC3"/>
    <w:rsid w:val="00883B89"/>
    <w:rsid w:val="00883CDF"/>
    <w:rsid w:val="00883D0A"/>
    <w:rsid w:val="00883D4B"/>
    <w:rsid w:val="00883E57"/>
    <w:rsid w:val="00883EFC"/>
    <w:rsid w:val="00883F14"/>
    <w:rsid w:val="0088401F"/>
    <w:rsid w:val="00884077"/>
    <w:rsid w:val="008842F7"/>
    <w:rsid w:val="0088440B"/>
    <w:rsid w:val="0088446B"/>
    <w:rsid w:val="00884654"/>
    <w:rsid w:val="0088465E"/>
    <w:rsid w:val="008846F7"/>
    <w:rsid w:val="0088477F"/>
    <w:rsid w:val="00884791"/>
    <w:rsid w:val="0088486D"/>
    <w:rsid w:val="008849F4"/>
    <w:rsid w:val="00884ABC"/>
    <w:rsid w:val="00884B78"/>
    <w:rsid w:val="00884C8B"/>
    <w:rsid w:val="00884CBA"/>
    <w:rsid w:val="00884CCF"/>
    <w:rsid w:val="00884D32"/>
    <w:rsid w:val="00884D3F"/>
    <w:rsid w:val="00884DB9"/>
    <w:rsid w:val="008850C8"/>
    <w:rsid w:val="00885116"/>
    <w:rsid w:val="0088534F"/>
    <w:rsid w:val="0088537B"/>
    <w:rsid w:val="0088538B"/>
    <w:rsid w:val="00885502"/>
    <w:rsid w:val="00885556"/>
    <w:rsid w:val="008855BB"/>
    <w:rsid w:val="0088568B"/>
    <w:rsid w:val="008856A4"/>
    <w:rsid w:val="008859FF"/>
    <w:rsid w:val="00885A10"/>
    <w:rsid w:val="00885A47"/>
    <w:rsid w:val="00885A56"/>
    <w:rsid w:val="00885A61"/>
    <w:rsid w:val="00885B3C"/>
    <w:rsid w:val="00885FCE"/>
    <w:rsid w:val="00886302"/>
    <w:rsid w:val="008864AB"/>
    <w:rsid w:val="008864CF"/>
    <w:rsid w:val="008865A9"/>
    <w:rsid w:val="008865BF"/>
    <w:rsid w:val="00886655"/>
    <w:rsid w:val="0088672A"/>
    <w:rsid w:val="008868A0"/>
    <w:rsid w:val="008868EC"/>
    <w:rsid w:val="0088696B"/>
    <w:rsid w:val="00886991"/>
    <w:rsid w:val="00886CBA"/>
    <w:rsid w:val="00886E45"/>
    <w:rsid w:val="008871AC"/>
    <w:rsid w:val="00887205"/>
    <w:rsid w:val="00887246"/>
    <w:rsid w:val="008873C3"/>
    <w:rsid w:val="00887581"/>
    <w:rsid w:val="0088761F"/>
    <w:rsid w:val="008876DB"/>
    <w:rsid w:val="0088770B"/>
    <w:rsid w:val="00887781"/>
    <w:rsid w:val="008877CB"/>
    <w:rsid w:val="00887A6A"/>
    <w:rsid w:val="00887AF4"/>
    <w:rsid w:val="00887B6E"/>
    <w:rsid w:val="00887B87"/>
    <w:rsid w:val="00890048"/>
    <w:rsid w:val="0089006C"/>
    <w:rsid w:val="00890116"/>
    <w:rsid w:val="0089014C"/>
    <w:rsid w:val="00890184"/>
    <w:rsid w:val="008904CB"/>
    <w:rsid w:val="00890591"/>
    <w:rsid w:val="008905C2"/>
    <w:rsid w:val="008907A8"/>
    <w:rsid w:val="008907EF"/>
    <w:rsid w:val="008908AE"/>
    <w:rsid w:val="00890ACB"/>
    <w:rsid w:val="00890EE2"/>
    <w:rsid w:val="008910E4"/>
    <w:rsid w:val="0089134C"/>
    <w:rsid w:val="00891405"/>
    <w:rsid w:val="008915B7"/>
    <w:rsid w:val="008915F0"/>
    <w:rsid w:val="008915F5"/>
    <w:rsid w:val="008916C4"/>
    <w:rsid w:val="00891785"/>
    <w:rsid w:val="008917EB"/>
    <w:rsid w:val="0089184E"/>
    <w:rsid w:val="0089185D"/>
    <w:rsid w:val="00891A18"/>
    <w:rsid w:val="00891AAA"/>
    <w:rsid w:val="00891AE1"/>
    <w:rsid w:val="00891AFB"/>
    <w:rsid w:val="00891B38"/>
    <w:rsid w:val="00891CF7"/>
    <w:rsid w:val="00891D91"/>
    <w:rsid w:val="00891D98"/>
    <w:rsid w:val="00891DF1"/>
    <w:rsid w:val="00891E18"/>
    <w:rsid w:val="00891ED1"/>
    <w:rsid w:val="00891F35"/>
    <w:rsid w:val="00892227"/>
    <w:rsid w:val="00892366"/>
    <w:rsid w:val="00892397"/>
    <w:rsid w:val="008923AD"/>
    <w:rsid w:val="0089285C"/>
    <w:rsid w:val="00892996"/>
    <w:rsid w:val="00892998"/>
    <w:rsid w:val="00892AA6"/>
    <w:rsid w:val="00892B17"/>
    <w:rsid w:val="00892B3F"/>
    <w:rsid w:val="00892C0F"/>
    <w:rsid w:val="00892C64"/>
    <w:rsid w:val="00892D15"/>
    <w:rsid w:val="00892DD5"/>
    <w:rsid w:val="00892E28"/>
    <w:rsid w:val="0089300D"/>
    <w:rsid w:val="008930F8"/>
    <w:rsid w:val="00893106"/>
    <w:rsid w:val="0089318E"/>
    <w:rsid w:val="00893267"/>
    <w:rsid w:val="0089330F"/>
    <w:rsid w:val="008933EF"/>
    <w:rsid w:val="008934A1"/>
    <w:rsid w:val="008934DC"/>
    <w:rsid w:val="0089358E"/>
    <w:rsid w:val="008937B5"/>
    <w:rsid w:val="008937CD"/>
    <w:rsid w:val="00893803"/>
    <w:rsid w:val="00893833"/>
    <w:rsid w:val="008939CF"/>
    <w:rsid w:val="00893A74"/>
    <w:rsid w:val="00893A7F"/>
    <w:rsid w:val="00893B0D"/>
    <w:rsid w:val="00893B3F"/>
    <w:rsid w:val="00893B5C"/>
    <w:rsid w:val="00893BAD"/>
    <w:rsid w:val="00893C3B"/>
    <w:rsid w:val="00893C77"/>
    <w:rsid w:val="00893D93"/>
    <w:rsid w:val="00893DA9"/>
    <w:rsid w:val="00893EF9"/>
    <w:rsid w:val="0089419B"/>
    <w:rsid w:val="008941B0"/>
    <w:rsid w:val="008941D4"/>
    <w:rsid w:val="00894298"/>
    <w:rsid w:val="008944AC"/>
    <w:rsid w:val="00894569"/>
    <w:rsid w:val="00894710"/>
    <w:rsid w:val="00894898"/>
    <w:rsid w:val="008948B2"/>
    <w:rsid w:val="00894954"/>
    <w:rsid w:val="00894A1E"/>
    <w:rsid w:val="00894BED"/>
    <w:rsid w:val="00894C16"/>
    <w:rsid w:val="00894D25"/>
    <w:rsid w:val="00894FAB"/>
    <w:rsid w:val="00894FCE"/>
    <w:rsid w:val="00895159"/>
    <w:rsid w:val="00895179"/>
    <w:rsid w:val="008951E7"/>
    <w:rsid w:val="008951EA"/>
    <w:rsid w:val="0089550F"/>
    <w:rsid w:val="00895577"/>
    <w:rsid w:val="00895601"/>
    <w:rsid w:val="0089574D"/>
    <w:rsid w:val="00895789"/>
    <w:rsid w:val="008957CF"/>
    <w:rsid w:val="008959D7"/>
    <w:rsid w:val="00895A3F"/>
    <w:rsid w:val="00895B71"/>
    <w:rsid w:val="00895C4B"/>
    <w:rsid w:val="00895C63"/>
    <w:rsid w:val="00895C81"/>
    <w:rsid w:val="00895D97"/>
    <w:rsid w:val="00895E3E"/>
    <w:rsid w:val="00895E9A"/>
    <w:rsid w:val="00895F70"/>
    <w:rsid w:val="00895FD8"/>
    <w:rsid w:val="00895FEE"/>
    <w:rsid w:val="008963A4"/>
    <w:rsid w:val="00896437"/>
    <w:rsid w:val="008964A0"/>
    <w:rsid w:val="008964F0"/>
    <w:rsid w:val="00896517"/>
    <w:rsid w:val="0089653B"/>
    <w:rsid w:val="0089653F"/>
    <w:rsid w:val="00896550"/>
    <w:rsid w:val="008965B9"/>
    <w:rsid w:val="008967A3"/>
    <w:rsid w:val="008967C7"/>
    <w:rsid w:val="008967EA"/>
    <w:rsid w:val="00896814"/>
    <w:rsid w:val="00896936"/>
    <w:rsid w:val="00896A27"/>
    <w:rsid w:val="00896AF4"/>
    <w:rsid w:val="00896C3D"/>
    <w:rsid w:val="00896E43"/>
    <w:rsid w:val="00896FD8"/>
    <w:rsid w:val="00897048"/>
    <w:rsid w:val="008972EA"/>
    <w:rsid w:val="0089738A"/>
    <w:rsid w:val="0089741A"/>
    <w:rsid w:val="00897594"/>
    <w:rsid w:val="00897784"/>
    <w:rsid w:val="00897805"/>
    <w:rsid w:val="0089781D"/>
    <w:rsid w:val="008978A1"/>
    <w:rsid w:val="008979E0"/>
    <w:rsid w:val="008979FB"/>
    <w:rsid w:val="00897AD8"/>
    <w:rsid w:val="00897B76"/>
    <w:rsid w:val="00897BE6"/>
    <w:rsid w:val="00897F53"/>
    <w:rsid w:val="00897FE0"/>
    <w:rsid w:val="008A00C4"/>
    <w:rsid w:val="008A0121"/>
    <w:rsid w:val="008A012C"/>
    <w:rsid w:val="008A0150"/>
    <w:rsid w:val="008A0297"/>
    <w:rsid w:val="008A031E"/>
    <w:rsid w:val="008A0401"/>
    <w:rsid w:val="008A0476"/>
    <w:rsid w:val="008A0490"/>
    <w:rsid w:val="008A05C9"/>
    <w:rsid w:val="008A0844"/>
    <w:rsid w:val="008A0917"/>
    <w:rsid w:val="008A0AAF"/>
    <w:rsid w:val="008A0CF5"/>
    <w:rsid w:val="008A0D5B"/>
    <w:rsid w:val="008A0DD8"/>
    <w:rsid w:val="008A0EAE"/>
    <w:rsid w:val="008A0F73"/>
    <w:rsid w:val="008A0FD4"/>
    <w:rsid w:val="008A100E"/>
    <w:rsid w:val="008A10DE"/>
    <w:rsid w:val="008A11A4"/>
    <w:rsid w:val="008A11BA"/>
    <w:rsid w:val="008A12BB"/>
    <w:rsid w:val="008A137E"/>
    <w:rsid w:val="008A13D6"/>
    <w:rsid w:val="008A147F"/>
    <w:rsid w:val="008A14D5"/>
    <w:rsid w:val="008A14F1"/>
    <w:rsid w:val="008A1706"/>
    <w:rsid w:val="008A170F"/>
    <w:rsid w:val="008A1794"/>
    <w:rsid w:val="008A1898"/>
    <w:rsid w:val="008A18B3"/>
    <w:rsid w:val="008A190A"/>
    <w:rsid w:val="008A19D3"/>
    <w:rsid w:val="008A1A32"/>
    <w:rsid w:val="008A1AD3"/>
    <w:rsid w:val="008A1B66"/>
    <w:rsid w:val="008A1E41"/>
    <w:rsid w:val="008A1E5D"/>
    <w:rsid w:val="008A1E9C"/>
    <w:rsid w:val="008A1FAE"/>
    <w:rsid w:val="008A204C"/>
    <w:rsid w:val="008A207C"/>
    <w:rsid w:val="008A2119"/>
    <w:rsid w:val="008A211C"/>
    <w:rsid w:val="008A2148"/>
    <w:rsid w:val="008A216D"/>
    <w:rsid w:val="008A218E"/>
    <w:rsid w:val="008A220B"/>
    <w:rsid w:val="008A22E9"/>
    <w:rsid w:val="008A260F"/>
    <w:rsid w:val="008A2729"/>
    <w:rsid w:val="008A27EC"/>
    <w:rsid w:val="008A2838"/>
    <w:rsid w:val="008A2921"/>
    <w:rsid w:val="008A29F2"/>
    <w:rsid w:val="008A2C3E"/>
    <w:rsid w:val="008A2C90"/>
    <w:rsid w:val="008A2FE5"/>
    <w:rsid w:val="008A30A1"/>
    <w:rsid w:val="008A3201"/>
    <w:rsid w:val="008A3258"/>
    <w:rsid w:val="008A334F"/>
    <w:rsid w:val="008A33B1"/>
    <w:rsid w:val="008A3402"/>
    <w:rsid w:val="008A3468"/>
    <w:rsid w:val="008A35CD"/>
    <w:rsid w:val="008A37D2"/>
    <w:rsid w:val="008A395E"/>
    <w:rsid w:val="008A39C5"/>
    <w:rsid w:val="008A3A76"/>
    <w:rsid w:val="008A3A93"/>
    <w:rsid w:val="008A3CCB"/>
    <w:rsid w:val="008A3D5B"/>
    <w:rsid w:val="008A3E8F"/>
    <w:rsid w:val="008A3F31"/>
    <w:rsid w:val="008A400B"/>
    <w:rsid w:val="008A4055"/>
    <w:rsid w:val="008A44C8"/>
    <w:rsid w:val="008A4514"/>
    <w:rsid w:val="008A458C"/>
    <w:rsid w:val="008A477E"/>
    <w:rsid w:val="008A4866"/>
    <w:rsid w:val="008A4895"/>
    <w:rsid w:val="008A4915"/>
    <w:rsid w:val="008A49F3"/>
    <w:rsid w:val="008A4A00"/>
    <w:rsid w:val="008A4A8E"/>
    <w:rsid w:val="008A4C4B"/>
    <w:rsid w:val="008A4C69"/>
    <w:rsid w:val="008A4CCB"/>
    <w:rsid w:val="008A4D1B"/>
    <w:rsid w:val="008A4DC4"/>
    <w:rsid w:val="008A4F2C"/>
    <w:rsid w:val="008A4F34"/>
    <w:rsid w:val="008A4FF2"/>
    <w:rsid w:val="008A5024"/>
    <w:rsid w:val="008A5363"/>
    <w:rsid w:val="008A5396"/>
    <w:rsid w:val="008A53AE"/>
    <w:rsid w:val="008A5441"/>
    <w:rsid w:val="008A54E5"/>
    <w:rsid w:val="008A574A"/>
    <w:rsid w:val="008A57D2"/>
    <w:rsid w:val="008A5957"/>
    <w:rsid w:val="008A5996"/>
    <w:rsid w:val="008A5A86"/>
    <w:rsid w:val="008A5BDD"/>
    <w:rsid w:val="008A5C1A"/>
    <w:rsid w:val="008A5C47"/>
    <w:rsid w:val="008A5CD1"/>
    <w:rsid w:val="008A5D17"/>
    <w:rsid w:val="008A5D98"/>
    <w:rsid w:val="008A5EC7"/>
    <w:rsid w:val="008A5EE6"/>
    <w:rsid w:val="008A5F26"/>
    <w:rsid w:val="008A5F40"/>
    <w:rsid w:val="008A5FB1"/>
    <w:rsid w:val="008A5FCF"/>
    <w:rsid w:val="008A6062"/>
    <w:rsid w:val="008A61E3"/>
    <w:rsid w:val="008A622D"/>
    <w:rsid w:val="008A629F"/>
    <w:rsid w:val="008A6342"/>
    <w:rsid w:val="008A6476"/>
    <w:rsid w:val="008A6561"/>
    <w:rsid w:val="008A666A"/>
    <w:rsid w:val="008A6703"/>
    <w:rsid w:val="008A6747"/>
    <w:rsid w:val="008A6892"/>
    <w:rsid w:val="008A68B9"/>
    <w:rsid w:val="008A6913"/>
    <w:rsid w:val="008A692D"/>
    <w:rsid w:val="008A6A51"/>
    <w:rsid w:val="008A6A7A"/>
    <w:rsid w:val="008A6AE0"/>
    <w:rsid w:val="008A6B42"/>
    <w:rsid w:val="008A6C0E"/>
    <w:rsid w:val="008A6CF2"/>
    <w:rsid w:val="008A6F65"/>
    <w:rsid w:val="008A6F6A"/>
    <w:rsid w:val="008A7142"/>
    <w:rsid w:val="008A7195"/>
    <w:rsid w:val="008A71B2"/>
    <w:rsid w:val="008A71C2"/>
    <w:rsid w:val="008A722B"/>
    <w:rsid w:val="008A739B"/>
    <w:rsid w:val="008A766A"/>
    <w:rsid w:val="008A774D"/>
    <w:rsid w:val="008A77F2"/>
    <w:rsid w:val="008A78BA"/>
    <w:rsid w:val="008A7960"/>
    <w:rsid w:val="008A7995"/>
    <w:rsid w:val="008A7AC0"/>
    <w:rsid w:val="008A7B5D"/>
    <w:rsid w:val="008A7B9C"/>
    <w:rsid w:val="008A7C66"/>
    <w:rsid w:val="008A7CBB"/>
    <w:rsid w:val="008A7D0C"/>
    <w:rsid w:val="008A7D35"/>
    <w:rsid w:val="008A7D53"/>
    <w:rsid w:val="008A7DE2"/>
    <w:rsid w:val="008A7FD0"/>
    <w:rsid w:val="008B00D8"/>
    <w:rsid w:val="008B0154"/>
    <w:rsid w:val="008B0174"/>
    <w:rsid w:val="008B01D2"/>
    <w:rsid w:val="008B0238"/>
    <w:rsid w:val="008B026C"/>
    <w:rsid w:val="008B0452"/>
    <w:rsid w:val="008B04E3"/>
    <w:rsid w:val="008B0500"/>
    <w:rsid w:val="008B0530"/>
    <w:rsid w:val="008B08E1"/>
    <w:rsid w:val="008B095F"/>
    <w:rsid w:val="008B0A47"/>
    <w:rsid w:val="008B0ABC"/>
    <w:rsid w:val="008B0AC9"/>
    <w:rsid w:val="008B0ACB"/>
    <w:rsid w:val="008B0CF5"/>
    <w:rsid w:val="008B0D05"/>
    <w:rsid w:val="008B0E07"/>
    <w:rsid w:val="008B1172"/>
    <w:rsid w:val="008B1199"/>
    <w:rsid w:val="008B134D"/>
    <w:rsid w:val="008B140A"/>
    <w:rsid w:val="008B141F"/>
    <w:rsid w:val="008B1466"/>
    <w:rsid w:val="008B16B5"/>
    <w:rsid w:val="008B16E4"/>
    <w:rsid w:val="008B1710"/>
    <w:rsid w:val="008B1733"/>
    <w:rsid w:val="008B17B8"/>
    <w:rsid w:val="008B1905"/>
    <w:rsid w:val="008B1958"/>
    <w:rsid w:val="008B1BFB"/>
    <w:rsid w:val="008B1D2B"/>
    <w:rsid w:val="008B1FFA"/>
    <w:rsid w:val="008B202F"/>
    <w:rsid w:val="008B208D"/>
    <w:rsid w:val="008B2143"/>
    <w:rsid w:val="008B2153"/>
    <w:rsid w:val="008B2170"/>
    <w:rsid w:val="008B2206"/>
    <w:rsid w:val="008B2465"/>
    <w:rsid w:val="008B2472"/>
    <w:rsid w:val="008B2769"/>
    <w:rsid w:val="008B2EFB"/>
    <w:rsid w:val="008B3101"/>
    <w:rsid w:val="008B31FA"/>
    <w:rsid w:val="008B3647"/>
    <w:rsid w:val="008B365E"/>
    <w:rsid w:val="008B373C"/>
    <w:rsid w:val="008B374F"/>
    <w:rsid w:val="008B3815"/>
    <w:rsid w:val="008B38FE"/>
    <w:rsid w:val="008B3A8E"/>
    <w:rsid w:val="008B3ACD"/>
    <w:rsid w:val="008B3BF9"/>
    <w:rsid w:val="008B3C3A"/>
    <w:rsid w:val="008B3C5B"/>
    <w:rsid w:val="008B3D03"/>
    <w:rsid w:val="008B3D44"/>
    <w:rsid w:val="008B3D72"/>
    <w:rsid w:val="008B3D8B"/>
    <w:rsid w:val="008B3E3D"/>
    <w:rsid w:val="008B3EF9"/>
    <w:rsid w:val="008B410D"/>
    <w:rsid w:val="008B4184"/>
    <w:rsid w:val="008B4285"/>
    <w:rsid w:val="008B43F3"/>
    <w:rsid w:val="008B45A7"/>
    <w:rsid w:val="008B461B"/>
    <w:rsid w:val="008B4698"/>
    <w:rsid w:val="008B475F"/>
    <w:rsid w:val="008B488C"/>
    <w:rsid w:val="008B4A10"/>
    <w:rsid w:val="008B4ABE"/>
    <w:rsid w:val="008B4AD1"/>
    <w:rsid w:val="008B4B03"/>
    <w:rsid w:val="008B4BB5"/>
    <w:rsid w:val="008B4D52"/>
    <w:rsid w:val="008B4EBB"/>
    <w:rsid w:val="008B4FB9"/>
    <w:rsid w:val="008B507A"/>
    <w:rsid w:val="008B512A"/>
    <w:rsid w:val="008B5237"/>
    <w:rsid w:val="008B5257"/>
    <w:rsid w:val="008B5315"/>
    <w:rsid w:val="008B5369"/>
    <w:rsid w:val="008B5402"/>
    <w:rsid w:val="008B542B"/>
    <w:rsid w:val="008B55B3"/>
    <w:rsid w:val="008B573B"/>
    <w:rsid w:val="008B58DC"/>
    <w:rsid w:val="008B5925"/>
    <w:rsid w:val="008B5A3F"/>
    <w:rsid w:val="008B5A44"/>
    <w:rsid w:val="008B5ACA"/>
    <w:rsid w:val="008B5AF8"/>
    <w:rsid w:val="008B5C60"/>
    <w:rsid w:val="008B5DE4"/>
    <w:rsid w:val="008B5F05"/>
    <w:rsid w:val="008B5F26"/>
    <w:rsid w:val="008B60B8"/>
    <w:rsid w:val="008B630E"/>
    <w:rsid w:val="008B6375"/>
    <w:rsid w:val="008B6406"/>
    <w:rsid w:val="008B6452"/>
    <w:rsid w:val="008B6494"/>
    <w:rsid w:val="008B653E"/>
    <w:rsid w:val="008B654C"/>
    <w:rsid w:val="008B6576"/>
    <w:rsid w:val="008B6664"/>
    <w:rsid w:val="008B6AB2"/>
    <w:rsid w:val="008B6CAC"/>
    <w:rsid w:val="008B6CB7"/>
    <w:rsid w:val="008B6CF0"/>
    <w:rsid w:val="008B6D0B"/>
    <w:rsid w:val="008B6D71"/>
    <w:rsid w:val="008B6DEF"/>
    <w:rsid w:val="008B6F0E"/>
    <w:rsid w:val="008B7195"/>
    <w:rsid w:val="008B7268"/>
    <w:rsid w:val="008B73A4"/>
    <w:rsid w:val="008B745F"/>
    <w:rsid w:val="008B7515"/>
    <w:rsid w:val="008B7618"/>
    <w:rsid w:val="008B77BF"/>
    <w:rsid w:val="008B77E6"/>
    <w:rsid w:val="008B7974"/>
    <w:rsid w:val="008B79E1"/>
    <w:rsid w:val="008B7A77"/>
    <w:rsid w:val="008B7BF6"/>
    <w:rsid w:val="008B7CCE"/>
    <w:rsid w:val="008B7D07"/>
    <w:rsid w:val="008B7FCC"/>
    <w:rsid w:val="008C008A"/>
    <w:rsid w:val="008C00C5"/>
    <w:rsid w:val="008C0127"/>
    <w:rsid w:val="008C0190"/>
    <w:rsid w:val="008C0192"/>
    <w:rsid w:val="008C0308"/>
    <w:rsid w:val="008C032C"/>
    <w:rsid w:val="008C038B"/>
    <w:rsid w:val="008C03C4"/>
    <w:rsid w:val="008C0551"/>
    <w:rsid w:val="008C05AB"/>
    <w:rsid w:val="008C05B9"/>
    <w:rsid w:val="008C0710"/>
    <w:rsid w:val="008C0817"/>
    <w:rsid w:val="008C095A"/>
    <w:rsid w:val="008C0BBA"/>
    <w:rsid w:val="008C0C45"/>
    <w:rsid w:val="008C0D38"/>
    <w:rsid w:val="008C0DB1"/>
    <w:rsid w:val="008C0FE7"/>
    <w:rsid w:val="008C1067"/>
    <w:rsid w:val="008C1117"/>
    <w:rsid w:val="008C122D"/>
    <w:rsid w:val="008C1263"/>
    <w:rsid w:val="008C12D9"/>
    <w:rsid w:val="008C1400"/>
    <w:rsid w:val="008C14EC"/>
    <w:rsid w:val="008C1565"/>
    <w:rsid w:val="008C162D"/>
    <w:rsid w:val="008C19DA"/>
    <w:rsid w:val="008C1D72"/>
    <w:rsid w:val="008C1DB5"/>
    <w:rsid w:val="008C1DF9"/>
    <w:rsid w:val="008C2045"/>
    <w:rsid w:val="008C21CA"/>
    <w:rsid w:val="008C235C"/>
    <w:rsid w:val="008C244A"/>
    <w:rsid w:val="008C2691"/>
    <w:rsid w:val="008C2699"/>
    <w:rsid w:val="008C29F9"/>
    <w:rsid w:val="008C2A38"/>
    <w:rsid w:val="008C2ACE"/>
    <w:rsid w:val="008C2C63"/>
    <w:rsid w:val="008C2F94"/>
    <w:rsid w:val="008C2FCB"/>
    <w:rsid w:val="008C2FE1"/>
    <w:rsid w:val="008C32A2"/>
    <w:rsid w:val="008C32BF"/>
    <w:rsid w:val="008C33B4"/>
    <w:rsid w:val="008C3409"/>
    <w:rsid w:val="008C342C"/>
    <w:rsid w:val="008C34CE"/>
    <w:rsid w:val="008C35A6"/>
    <w:rsid w:val="008C35C5"/>
    <w:rsid w:val="008C35F0"/>
    <w:rsid w:val="008C3614"/>
    <w:rsid w:val="008C3665"/>
    <w:rsid w:val="008C3877"/>
    <w:rsid w:val="008C3879"/>
    <w:rsid w:val="008C38EB"/>
    <w:rsid w:val="008C390D"/>
    <w:rsid w:val="008C3928"/>
    <w:rsid w:val="008C394E"/>
    <w:rsid w:val="008C395F"/>
    <w:rsid w:val="008C3A96"/>
    <w:rsid w:val="008C3E06"/>
    <w:rsid w:val="008C3F3B"/>
    <w:rsid w:val="008C4000"/>
    <w:rsid w:val="008C401E"/>
    <w:rsid w:val="008C4157"/>
    <w:rsid w:val="008C4215"/>
    <w:rsid w:val="008C42C3"/>
    <w:rsid w:val="008C42E0"/>
    <w:rsid w:val="008C450F"/>
    <w:rsid w:val="008C4533"/>
    <w:rsid w:val="008C45E1"/>
    <w:rsid w:val="008C469E"/>
    <w:rsid w:val="008C46AD"/>
    <w:rsid w:val="008C470A"/>
    <w:rsid w:val="008C4770"/>
    <w:rsid w:val="008C47B4"/>
    <w:rsid w:val="008C47C6"/>
    <w:rsid w:val="008C4839"/>
    <w:rsid w:val="008C48D7"/>
    <w:rsid w:val="008C48E2"/>
    <w:rsid w:val="008C496C"/>
    <w:rsid w:val="008C4B48"/>
    <w:rsid w:val="008C4B95"/>
    <w:rsid w:val="008C4C8A"/>
    <w:rsid w:val="008C4DCB"/>
    <w:rsid w:val="008C50A3"/>
    <w:rsid w:val="008C52B4"/>
    <w:rsid w:val="008C56A1"/>
    <w:rsid w:val="008C57C5"/>
    <w:rsid w:val="008C5843"/>
    <w:rsid w:val="008C5844"/>
    <w:rsid w:val="008C58F8"/>
    <w:rsid w:val="008C59DE"/>
    <w:rsid w:val="008C5A81"/>
    <w:rsid w:val="008C5CED"/>
    <w:rsid w:val="008C5E1F"/>
    <w:rsid w:val="008C5F06"/>
    <w:rsid w:val="008C5FF3"/>
    <w:rsid w:val="008C60CC"/>
    <w:rsid w:val="008C6216"/>
    <w:rsid w:val="008C6385"/>
    <w:rsid w:val="008C63C9"/>
    <w:rsid w:val="008C6453"/>
    <w:rsid w:val="008C64DF"/>
    <w:rsid w:val="008C655F"/>
    <w:rsid w:val="008C65D0"/>
    <w:rsid w:val="008C66F0"/>
    <w:rsid w:val="008C68AD"/>
    <w:rsid w:val="008C6930"/>
    <w:rsid w:val="008C6996"/>
    <w:rsid w:val="008C6D02"/>
    <w:rsid w:val="008C6D7E"/>
    <w:rsid w:val="008C6ED5"/>
    <w:rsid w:val="008C6F98"/>
    <w:rsid w:val="008C71E6"/>
    <w:rsid w:val="008C737F"/>
    <w:rsid w:val="008C74E3"/>
    <w:rsid w:val="008C74E5"/>
    <w:rsid w:val="008C7518"/>
    <w:rsid w:val="008C7638"/>
    <w:rsid w:val="008C76B3"/>
    <w:rsid w:val="008C77D1"/>
    <w:rsid w:val="008C7ADF"/>
    <w:rsid w:val="008C7B07"/>
    <w:rsid w:val="008C7E18"/>
    <w:rsid w:val="008C7F60"/>
    <w:rsid w:val="008D0017"/>
    <w:rsid w:val="008D0110"/>
    <w:rsid w:val="008D0211"/>
    <w:rsid w:val="008D025C"/>
    <w:rsid w:val="008D0273"/>
    <w:rsid w:val="008D02C1"/>
    <w:rsid w:val="008D0371"/>
    <w:rsid w:val="008D049F"/>
    <w:rsid w:val="008D058B"/>
    <w:rsid w:val="008D059A"/>
    <w:rsid w:val="008D060E"/>
    <w:rsid w:val="008D0637"/>
    <w:rsid w:val="008D07B4"/>
    <w:rsid w:val="008D07DB"/>
    <w:rsid w:val="008D0965"/>
    <w:rsid w:val="008D0BE3"/>
    <w:rsid w:val="008D0C18"/>
    <w:rsid w:val="008D0C86"/>
    <w:rsid w:val="008D0F29"/>
    <w:rsid w:val="008D0F98"/>
    <w:rsid w:val="008D100A"/>
    <w:rsid w:val="008D1071"/>
    <w:rsid w:val="008D1079"/>
    <w:rsid w:val="008D112A"/>
    <w:rsid w:val="008D1219"/>
    <w:rsid w:val="008D1326"/>
    <w:rsid w:val="008D17F9"/>
    <w:rsid w:val="008D1872"/>
    <w:rsid w:val="008D18D5"/>
    <w:rsid w:val="008D18F8"/>
    <w:rsid w:val="008D190E"/>
    <w:rsid w:val="008D1918"/>
    <w:rsid w:val="008D19B2"/>
    <w:rsid w:val="008D19B3"/>
    <w:rsid w:val="008D19C8"/>
    <w:rsid w:val="008D1A5E"/>
    <w:rsid w:val="008D1AFE"/>
    <w:rsid w:val="008D1B69"/>
    <w:rsid w:val="008D1C72"/>
    <w:rsid w:val="008D1DBE"/>
    <w:rsid w:val="008D1DD5"/>
    <w:rsid w:val="008D1E6F"/>
    <w:rsid w:val="008D1E89"/>
    <w:rsid w:val="008D1E8B"/>
    <w:rsid w:val="008D1FC6"/>
    <w:rsid w:val="008D20D3"/>
    <w:rsid w:val="008D22D5"/>
    <w:rsid w:val="008D2338"/>
    <w:rsid w:val="008D2548"/>
    <w:rsid w:val="008D2550"/>
    <w:rsid w:val="008D255F"/>
    <w:rsid w:val="008D25F8"/>
    <w:rsid w:val="008D268C"/>
    <w:rsid w:val="008D273E"/>
    <w:rsid w:val="008D2A97"/>
    <w:rsid w:val="008D2AA0"/>
    <w:rsid w:val="008D2ACF"/>
    <w:rsid w:val="008D2AE5"/>
    <w:rsid w:val="008D2B38"/>
    <w:rsid w:val="008D2B6B"/>
    <w:rsid w:val="008D2D7F"/>
    <w:rsid w:val="008D2ED7"/>
    <w:rsid w:val="008D2EE5"/>
    <w:rsid w:val="008D30AA"/>
    <w:rsid w:val="008D3136"/>
    <w:rsid w:val="008D33F8"/>
    <w:rsid w:val="008D3606"/>
    <w:rsid w:val="008D3886"/>
    <w:rsid w:val="008D3904"/>
    <w:rsid w:val="008D3953"/>
    <w:rsid w:val="008D3A76"/>
    <w:rsid w:val="008D3AF3"/>
    <w:rsid w:val="008D3C2F"/>
    <w:rsid w:val="008D3C64"/>
    <w:rsid w:val="008D3DA7"/>
    <w:rsid w:val="008D3E47"/>
    <w:rsid w:val="008D3E5E"/>
    <w:rsid w:val="008D4012"/>
    <w:rsid w:val="008D4085"/>
    <w:rsid w:val="008D4401"/>
    <w:rsid w:val="008D45FB"/>
    <w:rsid w:val="008D4701"/>
    <w:rsid w:val="008D488A"/>
    <w:rsid w:val="008D49C0"/>
    <w:rsid w:val="008D4B0F"/>
    <w:rsid w:val="008D4BEE"/>
    <w:rsid w:val="008D4BF5"/>
    <w:rsid w:val="008D4C0B"/>
    <w:rsid w:val="008D4E7F"/>
    <w:rsid w:val="008D4F03"/>
    <w:rsid w:val="008D4F0A"/>
    <w:rsid w:val="008D506F"/>
    <w:rsid w:val="008D5225"/>
    <w:rsid w:val="008D528A"/>
    <w:rsid w:val="008D52C3"/>
    <w:rsid w:val="008D52C6"/>
    <w:rsid w:val="008D52FB"/>
    <w:rsid w:val="008D52FE"/>
    <w:rsid w:val="008D5300"/>
    <w:rsid w:val="008D531F"/>
    <w:rsid w:val="008D5322"/>
    <w:rsid w:val="008D5382"/>
    <w:rsid w:val="008D53D7"/>
    <w:rsid w:val="008D5414"/>
    <w:rsid w:val="008D5472"/>
    <w:rsid w:val="008D55EA"/>
    <w:rsid w:val="008D5688"/>
    <w:rsid w:val="008D5754"/>
    <w:rsid w:val="008D5811"/>
    <w:rsid w:val="008D593D"/>
    <w:rsid w:val="008D59AF"/>
    <w:rsid w:val="008D59F0"/>
    <w:rsid w:val="008D5A10"/>
    <w:rsid w:val="008D5A3A"/>
    <w:rsid w:val="008D5C21"/>
    <w:rsid w:val="008D5C3B"/>
    <w:rsid w:val="008D5CD2"/>
    <w:rsid w:val="008D5DBF"/>
    <w:rsid w:val="008D5FB5"/>
    <w:rsid w:val="008D62D3"/>
    <w:rsid w:val="008D631C"/>
    <w:rsid w:val="008D6384"/>
    <w:rsid w:val="008D642C"/>
    <w:rsid w:val="008D679F"/>
    <w:rsid w:val="008D6A5A"/>
    <w:rsid w:val="008D6BF5"/>
    <w:rsid w:val="008D6D07"/>
    <w:rsid w:val="008D6D5D"/>
    <w:rsid w:val="008D6E48"/>
    <w:rsid w:val="008D7075"/>
    <w:rsid w:val="008D70A5"/>
    <w:rsid w:val="008D731B"/>
    <w:rsid w:val="008D75A2"/>
    <w:rsid w:val="008D76D9"/>
    <w:rsid w:val="008D76F3"/>
    <w:rsid w:val="008D772C"/>
    <w:rsid w:val="008D77B6"/>
    <w:rsid w:val="008D786A"/>
    <w:rsid w:val="008D7899"/>
    <w:rsid w:val="008D7903"/>
    <w:rsid w:val="008D7A00"/>
    <w:rsid w:val="008D7C81"/>
    <w:rsid w:val="008D7DA2"/>
    <w:rsid w:val="008D7FAB"/>
    <w:rsid w:val="008E0175"/>
    <w:rsid w:val="008E0188"/>
    <w:rsid w:val="008E0224"/>
    <w:rsid w:val="008E0324"/>
    <w:rsid w:val="008E035F"/>
    <w:rsid w:val="008E0371"/>
    <w:rsid w:val="008E04B9"/>
    <w:rsid w:val="008E0502"/>
    <w:rsid w:val="008E0523"/>
    <w:rsid w:val="008E0610"/>
    <w:rsid w:val="008E066C"/>
    <w:rsid w:val="008E06E1"/>
    <w:rsid w:val="008E07EF"/>
    <w:rsid w:val="008E0807"/>
    <w:rsid w:val="008E093D"/>
    <w:rsid w:val="008E0A5A"/>
    <w:rsid w:val="008E0AE7"/>
    <w:rsid w:val="008E0AF6"/>
    <w:rsid w:val="008E0C2A"/>
    <w:rsid w:val="008E0EDF"/>
    <w:rsid w:val="008E0F84"/>
    <w:rsid w:val="008E1184"/>
    <w:rsid w:val="008E1301"/>
    <w:rsid w:val="008E14C5"/>
    <w:rsid w:val="008E14C9"/>
    <w:rsid w:val="008E14F1"/>
    <w:rsid w:val="008E15C0"/>
    <w:rsid w:val="008E15E5"/>
    <w:rsid w:val="008E15FC"/>
    <w:rsid w:val="008E1600"/>
    <w:rsid w:val="008E16AD"/>
    <w:rsid w:val="008E17B0"/>
    <w:rsid w:val="008E18C4"/>
    <w:rsid w:val="008E1940"/>
    <w:rsid w:val="008E199B"/>
    <w:rsid w:val="008E1C10"/>
    <w:rsid w:val="008E1D3F"/>
    <w:rsid w:val="008E1D76"/>
    <w:rsid w:val="008E1DA3"/>
    <w:rsid w:val="008E1E5F"/>
    <w:rsid w:val="008E1EB4"/>
    <w:rsid w:val="008E1FC4"/>
    <w:rsid w:val="008E2055"/>
    <w:rsid w:val="008E21CE"/>
    <w:rsid w:val="008E22B5"/>
    <w:rsid w:val="008E244F"/>
    <w:rsid w:val="008E253F"/>
    <w:rsid w:val="008E2553"/>
    <w:rsid w:val="008E25C7"/>
    <w:rsid w:val="008E28D5"/>
    <w:rsid w:val="008E29E6"/>
    <w:rsid w:val="008E2A59"/>
    <w:rsid w:val="008E2A85"/>
    <w:rsid w:val="008E2C9E"/>
    <w:rsid w:val="008E2D79"/>
    <w:rsid w:val="008E3029"/>
    <w:rsid w:val="008E3075"/>
    <w:rsid w:val="008E30CB"/>
    <w:rsid w:val="008E3150"/>
    <w:rsid w:val="008E3264"/>
    <w:rsid w:val="008E3797"/>
    <w:rsid w:val="008E37B6"/>
    <w:rsid w:val="008E37FC"/>
    <w:rsid w:val="008E381E"/>
    <w:rsid w:val="008E3B09"/>
    <w:rsid w:val="008E3BD7"/>
    <w:rsid w:val="008E3D36"/>
    <w:rsid w:val="008E3D78"/>
    <w:rsid w:val="008E3E1F"/>
    <w:rsid w:val="008E3E34"/>
    <w:rsid w:val="008E4066"/>
    <w:rsid w:val="008E40A7"/>
    <w:rsid w:val="008E410D"/>
    <w:rsid w:val="008E4125"/>
    <w:rsid w:val="008E4257"/>
    <w:rsid w:val="008E42A8"/>
    <w:rsid w:val="008E42E4"/>
    <w:rsid w:val="008E430A"/>
    <w:rsid w:val="008E4409"/>
    <w:rsid w:val="008E459E"/>
    <w:rsid w:val="008E4675"/>
    <w:rsid w:val="008E467F"/>
    <w:rsid w:val="008E4693"/>
    <w:rsid w:val="008E47AF"/>
    <w:rsid w:val="008E47C5"/>
    <w:rsid w:val="008E47E6"/>
    <w:rsid w:val="008E484E"/>
    <w:rsid w:val="008E488F"/>
    <w:rsid w:val="008E497B"/>
    <w:rsid w:val="008E4BE0"/>
    <w:rsid w:val="008E4DB6"/>
    <w:rsid w:val="008E4DD6"/>
    <w:rsid w:val="008E4F7F"/>
    <w:rsid w:val="008E51CD"/>
    <w:rsid w:val="008E5226"/>
    <w:rsid w:val="008E553E"/>
    <w:rsid w:val="008E5627"/>
    <w:rsid w:val="008E5726"/>
    <w:rsid w:val="008E58D6"/>
    <w:rsid w:val="008E5A53"/>
    <w:rsid w:val="008E5B81"/>
    <w:rsid w:val="008E5D03"/>
    <w:rsid w:val="008E5D4A"/>
    <w:rsid w:val="008E5F63"/>
    <w:rsid w:val="008E60AC"/>
    <w:rsid w:val="008E615E"/>
    <w:rsid w:val="008E62B8"/>
    <w:rsid w:val="008E6404"/>
    <w:rsid w:val="008E6465"/>
    <w:rsid w:val="008E654E"/>
    <w:rsid w:val="008E6585"/>
    <w:rsid w:val="008E66C6"/>
    <w:rsid w:val="008E679E"/>
    <w:rsid w:val="008E691A"/>
    <w:rsid w:val="008E6A39"/>
    <w:rsid w:val="008E6BC8"/>
    <w:rsid w:val="008E6BDC"/>
    <w:rsid w:val="008E6C91"/>
    <w:rsid w:val="008E6FF1"/>
    <w:rsid w:val="008E701D"/>
    <w:rsid w:val="008E7219"/>
    <w:rsid w:val="008E7243"/>
    <w:rsid w:val="008E724F"/>
    <w:rsid w:val="008E75B9"/>
    <w:rsid w:val="008E75E6"/>
    <w:rsid w:val="008E7602"/>
    <w:rsid w:val="008E76C2"/>
    <w:rsid w:val="008E76E4"/>
    <w:rsid w:val="008E7724"/>
    <w:rsid w:val="008E780D"/>
    <w:rsid w:val="008E78E2"/>
    <w:rsid w:val="008E79BB"/>
    <w:rsid w:val="008E7B1D"/>
    <w:rsid w:val="008E7BAE"/>
    <w:rsid w:val="008E7DA9"/>
    <w:rsid w:val="008E7DBA"/>
    <w:rsid w:val="008E7DC3"/>
    <w:rsid w:val="008E7DCF"/>
    <w:rsid w:val="008E7F8E"/>
    <w:rsid w:val="008F001A"/>
    <w:rsid w:val="008F0084"/>
    <w:rsid w:val="008F00A3"/>
    <w:rsid w:val="008F00D9"/>
    <w:rsid w:val="008F01C5"/>
    <w:rsid w:val="008F0298"/>
    <w:rsid w:val="008F0349"/>
    <w:rsid w:val="008F0410"/>
    <w:rsid w:val="008F05BD"/>
    <w:rsid w:val="008F065C"/>
    <w:rsid w:val="008F06E8"/>
    <w:rsid w:val="008F0750"/>
    <w:rsid w:val="008F0766"/>
    <w:rsid w:val="008F07B9"/>
    <w:rsid w:val="008F083F"/>
    <w:rsid w:val="008F090A"/>
    <w:rsid w:val="008F0918"/>
    <w:rsid w:val="008F0939"/>
    <w:rsid w:val="008F0968"/>
    <w:rsid w:val="008F0A6F"/>
    <w:rsid w:val="008F0AFE"/>
    <w:rsid w:val="008F0B3A"/>
    <w:rsid w:val="008F0B9F"/>
    <w:rsid w:val="008F0C8A"/>
    <w:rsid w:val="008F0D19"/>
    <w:rsid w:val="008F0DA5"/>
    <w:rsid w:val="008F0E29"/>
    <w:rsid w:val="008F0E8A"/>
    <w:rsid w:val="008F0F53"/>
    <w:rsid w:val="008F11B2"/>
    <w:rsid w:val="008F11BC"/>
    <w:rsid w:val="008F11EA"/>
    <w:rsid w:val="008F1322"/>
    <w:rsid w:val="008F1651"/>
    <w:rsid w:val="008F16A3"/>
    <w:rsid w:val="008F18F6"/>
    <w:rsid w:val="008F19BB"/>
    <w:rsid w:val="008F1CCC"/>
    <w:rsid w:val="008F1D61"/>
    <w:rsid w:val="008F1DD1"/>
    <w:rsid w:val="008F1E7E"/>
    <w:rsid w:val="008F20AD"/>
    <w:rsid w:val="008F20D2"/>
    <w:rsid w:val="008F21E9"/>
    <w:rsid w:val="008F2264"/>
    <w:rsid w:val="008F22CD"/>
    <w:rsid w:val="008F23E6"/>
    <w:rsid w:val="008F250B"/>
    <w:rsid w:val="008F285A"/>
    <w:rsid w:val="008F293A"/>
    <w:rsid w:val="008F2A71"/>
    <w:rsid w:val="008F2C25"/>
    <w:rsid w:val="008F2D13"/>
    <w:rsid w:val="008F2D19"/>
    <w:rsid w:val="008F2DA4"/>
    <w:rsid w:val="008F2DB8"/>
    <w:rsid w:val="008F2F38"/>
    <w:rsid w:val="008F2FE2"/>
    <w:rsid w:val="008F310B"/>
    <w:rsid w:val="008F3196"/>
    <w:rsid w:val="008F328F"/>
    <w:rsid w:val="008F32D4"/>
    <w:rsid w:val="008F333D"/>
    <w:rsid w:val="008F3612"/>
    <w:rsid w:val="008F37C2"/>
    <w:rsid w:val="008F3840"/>
    <w:rsid w:val="008F397D"/>
    <w:rsid w:val="008F3A3D"/>
    <w:rsid w:val="008F3A60"/>
    <w:rsid w:val="008F3AAC"/>
    <w:rsid w:val="008F3AC8"/>
    <w:rsid w:val="008F3B4C"/>
    <w:rsid w:val="008F3CDC"/>
    <w:rsid w:val="008F3DDA"/>
    <w:rsid w:val="008F3EF7"/>
    <w:rsid w:val="008F3F13"/>
    <w:rsid w:val="008F3F8D"/>
    <w:rsid w:val="008F3FE1"/>
    <w:rsid w:val="008F4179"/>
    <w:rsid w:val="008F44CA"/>
    <w:rsid w:val="008F45A1"/>
    <w:rsid w:val="008F462E"/>
    <w:rsid w:val="008F4678"/>
    <w:rsid w:val="008F484A"/>
    <w:rsid w:val="008F4963"/>
    <w:rsid w:val="008F499B"/>
    <w:rsid w:val="008F4A50"/>
    <w:rsid w:val="008F4A9D"/>
    <w:rsid w:val="008F4BA7"/>
    <w:rsid w:val="008F4CC6"/>
    <w:rsid w:val="008F4E9C"/>
    <w:rsid w:val="008F4F07"/>
    <w:rsid w:val="008F50C0"/>
    <w:rsid w:val="008F51FF"/>
    <w:rsid w:val="008F523B"/>
    <w:rsid w:val="008F5264"/>
    <w:rsid w:val="008F52A4"/>
    <w:rsid w:val="008F52FD"/>
    <w:rsid w:val="008F5664"/>
    <w:rsid w:val="008F5743"/>
    <w:rsid w:val="008F5B5A"/>
    <w:rsid w:val="008F5B78"/>
    <w:rsid w:val="008F5BCB"/>
    <w:rsid w:val="008F5C60"/>
    <w:rsid w:val="008F5CD2"/>
    <w:rsid w:val="008F6094"/>
    <w:rsid w:val="008F60A2"/>
    <w:rsid w:val="008F60B1"/>
    <w:rsid w:val="008F60D9"/>
    <w:rsid w:val="008F60F6"/>
    <w:rsid w:val="008F62B2"/>
    <w:rsid w:val="008F6370"/>
    <w:rsid w:val="008F648F"/>
    <w:rsid w:val="008F66A7"/>
    <w:rsid w:val="008F674D"/>
    <w:rsid w:val="008F68B3"/>
    <w:rsid w:val="008F6938"/>
    <w:rsid w:val="008F6951"/>
    <w:rsid w:val="008F6B41"/>
    <w:rsid w:val="008F6CE3"/>
    <w:rsid w:val="008F6DA9"/>
    <w:rsid w:val="008F6DDD"/>
    <w:rsid w:val="008F6E94"/>
    <w:rsid w:val="008F6F0E"/>
    <w:rsid w:val="008F6FE6"/>
    <w:rsid w:val="008F7375"/>
    <w:rsid w:val="008F74EC"/>
    <w:rsid w:val="008F76D7"/>
    <w:rsid w:val="008F786A"/>
    <w:rsid w:val="008F7926"/>
    <w:rsid w:val="008F7A7C"/>
    <w:rsid w:val="008F7BD1"/>
    <w:rsid w:val="008F7FD0"/>
    <w:rsid w:val="009001CB"/>
    <w:rsid w:val="009001D6"/>
    <w:rsid w:val="00900324"/>
    <w:rsid w:val="00900423"/>
    <w:rsid w:val="009004FF"/>
    <w:rsid w:val="0090066B"/>
    <w:rsid w:val="00900687"/>
    <w:rsid w:val="0090085C"/>
    <w:rsid w:val="009008BE"/>
    <w:rsid w:val="00900A1C"/>
    <w:rsid w:val="00900A33"/>
    <w:rsid w:val="00900A8F"/>
    <w:rsid w:val="00900B30"/>
    <w:rsid w:val="00900B3D"/>
    <w:rsid w:val="00900D27"/>
    <w:rsid w:val="00900D6B"/>
    <w:rsid w:val="00900D6C"/>
    <w:rsid w:val="00900ED0"/>
    <w:rsid w:val="00900F0C"/>
    <w:rsid w:val="00900FA1"/>
    <w:rsid w:val="009011DF"/>
    <w:rsid w:val="00901221"/>
    <w:rsid w:val="00901252"/>
    <w:rsid w:val="009012F6"/>
    <w:rsid w:val="00901494"/>
    <w:rsid w:val="009014AB"/>
    <w:rsid w:val="009014D5"/>
    <w:rsid w:val="0090156E"/>
    <w:rsid w:val="0090171B"/>
    <w:rsid w:val="009017C2"/>
    <w:rsid w:val="00901B1B"/>
    <w:rsid w:val="00901D18"/>
    <w:rsid w:val="00901DF6"/>
    <w:rsid w:val="00901EEF"/>
    <w:rsid w:val="00901EF8"/>
    <w:rsid w:val="00901FD1"/>
    <w:rsid w:val="009022DD"/>
    <w:rsid w:val="0090234C"/>
    <w:rsid w:val="00902383"/>
    <w:rsid w:val="009023B7"/>
    <w:rsid w:val="0090251D"/>
    <w:rsid w:val="00902898"/>
    <w:rsid w:val="009028D9"/>
    <w:rsid w:val="009029AA"/>
    <w:rsid w:val="00902A23"/>
    <w:rsid w:val="00902B1A"/>
    <w:rsid w:val="00902E2E"/>
    <w:rsid w:val="00902F1C"/>
    <w:rsid w:val="009030B0"/>
    <w:rsid w:val="009032DF"/>
    <w:rsid w:val="0090342C"/>
    <w:rsid w:val="0090357A"/>
    <w:rsid w:val="0090358E"/>
    <w:rsid w:val="0090370A"/>
    <w:rsid w:val="009037D9"/>
    <w:rsid w:val="009038F8"/>
    <w:rsid w:val="00903BA1"/>
    <w:rsid w:val="00903C49"/>
    <w:rsid w:val="00903D0D"/>
    <w:rsid w:val="00903D10"/>
    <w:rsid w:val="00903D19"/>
    <w:rsid w:val="00903E9E"/>
    <w:rsid w:val="0090401A"/>
    <w:rsid w:val="009040B6"/>
    <w:rsid w:val="009041BF"/>
    <w:rsid w:val="00904284"/>
    <w:rsid w:val="00904353"/>
    <w:rsid w:val="009043D1"/>
    <w:rsid w:val="009043DB"/>
    <w:rsid w:val="0090449F"/>
    <w:rsid w:val="009044B1"/>
    <w:rsid w:val="009044E1"/>
    <w:rsid w:val="009045EF"/>
    <w:rsid w:val="00904701"/>
    <w:rsid w:val="00904799"/>
    <w:rsid w:val="00904812"/>
    <w:rsid w:val="00904859"/>
    <w:rsid w:val="00904B89"/>
    <w:rsid w:val="00904BBA"/>
    <w:rsid w:val="00904C57"/>
    <w:rsid w:val="00904C6D"/>
    <w:rsid w:val="00904CD1"/>
    <w:rsid w:val="00904E94"/>
    <w:rsid w:val="00904EC7"/>
    <w:rsid w:val="00904EC8"/>
    <w:rsid w:val="00904EFF"/>
    <w:rsid w:val="009051B4"/>
    <w:rsid w:val="00905487"/>
    <w:rsid w:val="009054B5"/>
    <w:rsid w:val="009056BB"/>
    <w:rsid w:val="009057E9"/>
    <w:rsid w:val="00905861"/>
    <w:rsid w:val="0090593D"/>
    <w:rsid w:val="009059B9"/>
    <w:rsid w:val="00905A03"/>
    <w:rsid w:val="00905C63"/>
    <w:rsid w:val="00905D4B"/>
    <w:rsid w:val="00905D50"/>
    <w:rsid w:val="00906039"/>
    <w:rsid w:val="0090606E"/>
    <w:rsid w:val="00906097"/>
    <w:rsid w:val="009060E7"/>
    <w:rsid w:val="009061EF"/>
    <w:rsid w:val="0090627A"/>
    <w:rsid w:val="0090630A"/>
    <w:rsid w:val="0090655C"/>
    <w:rsid w:val="009065D2"/>
    <w:rsid w:val="0090664E"/>
    <w:rsid w:val="009067E6"/>
    <w:rsid w:val="0090697E"/>
    <w:rsid w:val="00906A19"/>
    <w:rsid w:val="00906AC3"/>
    <w:rsid w:val="00906D3D"/>
    <w:rsid w:val="00906DDB"/>
    <w:rsid w:val="00906E9F"/>
    <w:rsid w:val="009070D1"/>
    <w:rsid w:val="00907328"/>
    <w:rsid w:val="00907438"/>
    <w:rsid w:val="00907496"/>
    <w:rsid w:val="0090760F"/>
    <w:rsid w:val="00907667"/>
    <w:rsid w:val="00907769"/>
    <w:rsid w:val="0090786E"/>
    <w:rsid w:val="00907997"/>
    <w:rsid w:val="00907A9A"/>
    <w:rsid w:val="00907B61"/>
    <w:rsid w:val="00907C50"/>
    <w:rsid w:val="00907C6C"/>
    <w:rsid w:val="00907CCD"/>
    <w:rsid w:val="00907D1F"/>
    <w:rsid w:val="00907D59"/>
    <w:rsid w:val="00907D5B"/>
    <w:rsid w:val="00907DAC"/>
    <w:rsid w:val="00907F1B"/>
    <w:rsid w:val="00907FF7"/>
    <w:rsid w:val="00910033"/>
    <w:rsid w:val="009103FE"/>
    <w:rsid w:val="00910426"/>
    <w:rsid w:val="00910472"/>
    <w:rsid w:val="00910531"/>
    <w:rsid w:val="0091058F"/>
    <w:rsid w:val="009106C0"/>
    <w:rsid w:val="009106D3"/>
    <w:rsid w:val="0091077C"/>
    <w:rsid w:val="009107EB"/>
    <w:rsid w:val="0091087E"/>
    <w:rsid w:val="009108A4"/>
    <w:rsid w:val="0091093A"/>
    <w:rsid w:val="00910944"/>
    <w:rsid w:val="00910A13"/>
    <w:rsid w:val="00910A2C"/>
    <w:rsid w:val="00910A72"/>
    <w:rsid w:val="00910B72"/>
    <w:rsid w:val="00910BC6"/>
    <w:rsid w:val="00910E09"/>
    <w:rsid w:val="00910EAE"/>
    <w:rsid w:val="00910F2B"/>
    <w:rsid w:val="00911036"/>
    <w:rsid w:val="00911123"/>
    <w:rsid w:val="009111BA"/>
    <w:rsid w:val="00911288"/>
    <w:rsid w:val="00911325"/>
    <w:rsid w:val="009113A0"/>
    <w:rsid w:val="009113AD"/>
    <w:rsid w:val="00911618"/>
    <w:rsid w:val="00911704"/>
    <w:rsid w:val="009117BC"/>
    <w:rsid w:val="009117C0"/>
    <w:rsid w:val="00911800"/>
    <w:rsid w:val="009118CD"/>
    <w:rsid w:val="0091192C"/>
    <w:rsid w:val="00911943"/>
    <w:rsid w:val="0091194C"/>
    <w:rsid w:val="00911966"/>
    <w:rsid w:val="009119DA"/>
    <w:rsid w:val="00911A9B"/>
    <w:rsid w:val="00911B31"/>
    <w:rsid w:val="00911D27"/>
    <w:rsid w:val="00911DA5"/>
    <w:rsid w:val="00911DF5"/>
    <w:rsid w:val="009120B1"/>
    <w:rsid w:val="00912298"/>
    <w:rsid w:val="00912762"/>
    <w:rsid w:val="00912852"/>
    <w:rsid w:val="00912947"/>
    <w:rsid w:val="0091295C"/>
    <w:rsid w:val="009129E9"/>
    <w:rsid w:val="00912A22"/>
    <w:rsid w:val="00912A7A"/>
    <w:rsid w:val="00912AF2"/>
    <w:rsid w:val="00912B3B"/>
    <w:rsid w:val="00912CE7"/>
    <w:rsid w:val="00912D74"/>
    <w:rsid w:val="00913020"/>
    <w:rsid w:val="00913163"/>
    <w:rsid w:val="0091324C"/>
    <w:rsid w:val="009132BF"/>
    <w:rsid w:val="009133D1"/>
    <w:rsid w:val="00913476"/>
    <w:rsid w:val="00913592"/>
    <w:rsid w:val="00913708"/>
    <w:rsid w:val="009138B8"/>
    <w:rsid w:val="0091391B"/>
    <w:rsid w:val="00913ADA"/>
    <w:rsid w:val="00913C03"/>
    <w:rsid w:val="00913DEF"/>
    <w:rsid w:val="00913EB1"/>
    <w:rsid w:val="0091422D"/>
    <w:rsid w:val="0091434E"/>
    <w:rsid w:val="00914449"/>
    <w:rsid w:val="0091459F"/>
    <w:rsid w:val="009145FD"/>
    <w:rsid w:val="00914623"/>
    <w:rsid w:val="0091482F"/>
    <w:rsid w:val="009148D4"/>
    <w:rsid w:val="009148DA"/>
    <w:rsid w:val="009148E2"/>
    <w:rsid w:val="00914938"/>
    <w:rsid w:val="00914A12"/>
    <w:rsid w:val="00914A21"/>
    <w:rsid w:val="00914B42"/>
    <w:rsid w:val="00914C4F"/>
    <w:rsid w:val="00914E23"/>
    <w:rsid w:val="00914E2B"/>
    <w:rsid w:val="00914E92"/>
    <w:rsid w:val="00914E98"/>
    <w:rsid w:val="00914FC0"/>
    <w:rsid w:val="00914FEF"/>
    <w:rsid w:val="009150E1"/>
    <w:rsid w:val="009150E3"/>
    <w:rsid w:val="009151EA"/>
    <w:rsid w:val="0091521B"/>
    <w:rsid w:val="00915254"/>
    <w:rsid w:val="0091536B"/>
    <w:rsid w:val="00915488"/>
    <w:rsid w:val="009154A0"/>
    <w:rsid w:val="0091587E"/>
    <w:rsid w:val="009158B7"/>
    <w:rsid w:val="009158E7"/>
    <w:rsid w:val="0091591F"/>
    <w:rsid w:val="009159CC"/>
    <w:rsid w:val="00915AAB"/>
    <w:rsid w:val="00915BA5"/>
    <w:rsid w:val="00915BAB"/>
    <w:rsid w:val="00915C4B"/>
    <w:rsid w:val="00915CBC"/>
    <w:rsid w:val="00915E97"/>
    <w:rsid w:val="00915F94"/>
    <w:rsid w:val="00916043"/>
    <w:rsid w:val="009160C6"/>
    <w:rsid w:val="0091612F"/>
    <w:rsid w:val="00916171"/>
    <w:rsid w:val="0091635E"/>
    <w:rsid w:val="009163D3"/>
    <w:rsid w:val="00916477"/>
    <w:rsid w:val="00916578"/>
    <w:rsid w:val="009165E4"/>
    <w:rsid w:val="009166D0"/>
    <w:rsid w:val="00916702"/>
    <w:rsid w:val="009167D5"/>
    <w:rsid w:val="00916A52"/>
    <w:rsid w:val="00916AD2"/>
    <w:rsid w:val="00916BA5"/>
    <w:rsid w:val="00916E07"/>
    <w:rsid w:val="00916E54"/>
    <w:rsid w:val="00916F74"/>
    <w:rsid w:val="00917020"/>
    <w:rsid w:val="0091702B"/>
    <w:rsid w:val="00917078"/>
    <w:rsid w:val="0091708F"/>
    <w:rsid w:val="00917112"/>
    <w:rsid w:val="009171D4"/>
    <w:rsid w:val="0091731D"/>
    <w:rsid w:val="00917546"/>
    <w:rsid w:val="009175BD"/>
    <w:rsid w:val="00917696"/>
    <w:rsid w:val="009177B1"/>
    <w:rsid w:val="009177CF"/>
    <w:rsid w:val="009177F6"/>
    <w:rsid w:val="00917803"/>
    <w:rsid w:val="009178D2"/>
    <w:rsid w:val="009178E9"/>
    <w:rsid w:val="009178EB"/>
    <w:rsid w:val="00917A41"/>
    <w:rsid w:val="00917A78"/>
    <w:rsid w:val="00917B23"/>
    <w:rsid w:val="00917B99"/>
    <w:rsid w:val="00917BDE"/>
    <w:rsid w:val="00917C08"/>
    <w:rsid w:val="00917D59"/>
    <w:rsid w:val="00917D6A"/>
    <w:rsid w:val="00917F61"/>
    <w:rsid w:val="00920008"/>
    <w:rsid w:val="009200E6"/>
    <w:rsid w:val="00920103"/>
    <w:rsid w:val="00920159"/>
    <w:rsid w:val="009202A1"/>
    <w:rsid w:val="009203E5"/>
    <w:rsid w:val="009203F9"/>
    <w:rsid w:val="00920447"/>
    <w:rsid w:val="0092050D"/>
    <w:rsid w:val="0092054B"/>
    <w:rsid w:val="0092057D"/>
    <w:rsid w:val="00920583"/>
    <w:rsid w:val="00920644"/>
    <w:rsid w:val="009207DE"/>
    <w:rsid w:val="00920857"/>
    <w:rsid w:val="009208E5"/>
    <w:rsid w:val="00920A2B"/>
    <w:rsid w:val="00920A2C"/>
    <w:rsid w:val="00920AAD"/>
    <w:rsid w:val="00920ACD"/>
    <w:rsid w:val="00920B48"/>
    <w:rsid w:val="00920C96"/>
    <w:rsid w:val="00920F19"/>
    <w:rsid w:val="00920F21"/>
    <w:rsid w:val="00921019"/>
    <w:rsid w:val="0092105E"/>
    <w:rsid w:val="00921257"/>
    <w:rsid w:val="0092153F"/>
    <w:rsid w:val="009215B4"/>
    <w:rsid w:val="0092162E"/>
    <w:rsid w:val="0092164D"/>
    <w:rsid w:val="00921730"/>
    <w:rsid w:val="00921747"/>
    <w:rsid w:val="0092175D"/>
    <w:rsid w:val="00921777"/>
    <w:rsid w:val="0092183B"/>
    <w:rsid w:val="0092183F"/>
    <w:rsid w:val="009218B8"/>
    <w:rsid w:val="0092190F"/>
    <w:rsid w:val="0092194A"/>
    <w:rsid w:val="00921A1A"/>
    <w:rsid w:val="00921CAD"/>
    <w:rsid w:val="00921CF2"/>
    <w:rsid w:val="00921D9B"/>
    <w:rsid w:val="00921EA2"/>
    <w:rsid w:val="00921EDE"/>
    <w:rsid w:val="00921F2A"/>
    <w:rsid w:val="00921F32"/>
    <w:rsid w:val="00921FCC"/>
    <w:rsid w:val="0092204B"/>
    <w:rsid w:val="00922082"/>
    <w:rsid w:val="00922170"/>
    <w:rsid w:val="00922212"/>
    <w:rsid w:val="0092221F"/>
    <w:rsid w:val="00922384"/>
    <w:rsid w:val="00922456"/>
    <w:rsid w:val="0092254E"/>
    <w:rsid w:val="00922645"/>
    <w:rsid w:val="009226C7"/>
    <w:rsid w:val="009228B9"/>
    <w:rsid w:val="009229B4"/>
    <w:rsid w:val="00922CFD"/>
    <w:rsid w:val="00922E5C"/>
    <w:rsid w:val="00922F43"/>
    <w:rsid w:val="00923023"/>
    <w:rsid w:val="00923077"/>
    <w:rsid w:val="00923227"/>
    <w:rsid w:val="00923365"/>
    <w:rsid w:val="00923394"/>
    <w:rsid w:val="00923399"/>
    <w:rsid w:val="009233E1"/>
    <w:rsid w:val="009233E6"/>
    <w:rsid w:val="009235C1"/>
    <w:rsid w:val="0092361D"/>
    <w:rsid w:val="00923716"/>
    <w:rsid w:val="0092375D"/>
    <w:rsid w:val="00923816"/>
    <w:rsid w:val="009239E3"/>
    <w:rsid w:val="00923B04"/>
    <w:rsid w:val="00923BCE"/>
    <w:rsid w:val="00923C5F"/>
    <w:rsid w:val="00923EF0"/>
    <w:rsid w:val="00923FCF"/>
    <w:rsid w:val="0092401B"/>
    <w:rsid w:val="009240D8"/>
    <w:rsid w:val="00924144"/>
    <w:rsid w:val="00924148"/>
    <w:rsid w:val="009242AD"/>
    <w:rsid w:val="00924489"/>
    <w:rsid w:val="0092466F"/>
    <w:rsid w:val="009249B6"/>
    <w:rsid w:val="00924A4B"/>
    <w:rsid w:val="00924C36"/>
    <w:rsid w:val="00924D2C"/>
    <w:rsid w:val="00924D4A"/>
    <w:rsid w:val="00924DDD"/>
    <w:rsid w:val="00924EF6"/>
    <w:rsid w:val="00924F3E"/>
    <w:rsid w:val="00925246"/>
    <w:rsid w:val="00925388"/>
    <w:rsid w:val="0092544A"/>
    <w:rsid w:val="0092560C"/>
    <w:rsid w:val="00925670"/>
    <w:rsid w:val="009256D2"/>
    <w:rsid w:val="009257C1"/>
    <w:rsid w:val="00925988"/>
    <w:rsid w:val="00925B3F"/>
    <w:rsid w:val="00925D83"/>
    <w:rsid w:val="00925EA7"/>
    <w:rsid w:val="009260D8"/>
    <w:rsid w:val="00926175"/>
    <w:rsid w:val="00926196"/>
    <w:rsid w:val="009261AC"/>
    <w:rsid w:val="009263D4"/>
    <w:rsid w:val="0092649D"/>
    <w:rsid w:val="0092676B"/>
    <w:rsid w:val="009267CA"/>
    <w:rsid w:val="009268C0"/>
    <w:rsid w:val="00926959"/>
    <w:rsid w:val="00926972"/>
    <w:rsid w:val="00926A00"/>
    <w:rsid w:val="00926A89"/>
    <w:rsid w:val="00926B7B"/>
    <w:rsid w:val="00926D12"/>
    <w:rsid w:val="00926D81"/>
    <w:rsid w:val="00926E47"/>
    <w:rsid w:val="00926E68"/>
    <w:rsid w:val="00926ECC"/>
    <w:rsid w:val="00926F99"/>
    <w:rsid w:val="00926FE9"/>
    <w:rsid w:val="009270C8"/>
    <w:rsid w:val="0092736F"/>
    <w:rsid w:val="0092764A"/>
    <w:rsid w:val="009276BB"/>
    <w:rsid w:val="0092776C"/>
    <w:rsid w:val="00927AB9"/>
    <w:rsid w:val="00927B7C"/>
    <w:rsid w:val="00927B9E"/>
    <w:rsid w:val="00927BC1"/>
    <w:rsid w:val="00927BD3"/>
    <w:rsid w:val="00927BE7"/>
    <w:rsid w:val="00927E0C"/>
    <w:rsid w:val="00927E47"/>
    <w:rsid w:val="00927E6E"/>
    <w:rsid w:val="00930155"/>
    <w:rsid w:val="009301EF"/>
    <w:rsid w:val="00930624"/>
    <w:rsid w:val="00930660"/>
    <w:rsid w:val="009306E3"/>
    <w:rsid w:val="009308D0"/>
    <w:rsid w:val="00930A76"/>
    <w:rsid w:val="00930A93"/>
    <w:rsid w:val="00930B23"/>
    <w:rsid w:val="00930DB7"/>
    <w:rsid w:val="00930E92"/>
    <w:rsid w:val="00930EA4"/>
    <w:rsid w:val="00930FFA"/>
    <w:rsid w:val="00931186"/>
    <w:rsid w:val="009312EF"/>
    <w:rsid w:val="009313F1"/>
    <w:rsid w:val="00931406"/>
    <w:rsid w:val="00931500"/>
    <w:rsid w:val="0093150F"/>
    <w:rsid w:val="00931592"/>
    <w:rsid w:val="0093170D"/>
    <w:rsid w:val="009317F4"/>
    <w:rsid w:val="009318CD"/>
    <w:rsid w:val="00931980"/>
    <w:rsid w:val="00931997"/>
    <w:rsid w:val="00931A75"/>
    <w:rsid w:val="00931B4B"/>
    <w:rsid w:val="00931B8E"/>
    <w:rsid w:val="00931C66"/>
    <w:rsid w:val="00931D1E"/>
    <w:rsid w:val="00931D77"/>
    <w:rsid w:val="00931DC9"/>
    <w:rsid w:val="00931F13"/>
    <w:rsid w:val="00931FA6"/>
    <w:rsid w:val="00931FFA"/>
    <w:rsid w:val="00932002"/>
    <w:rsid w:val="00932171"/>
    <w:rsid w:val="00932267"/>
    <w:rsid w:val="00932271"/>
    <w:rsid w:val="009323E5"/>
    <w:rsid w:val="009324E3"/>
    <w:rsid w:val="0093259E"/>
    <w:rsid w:val="009325B5"/>
    <w:rsid w:val="009326BD"/>
    <w:rsid w:val="0093278D"/>
    <w:rsid w:val="0093286A"/>
    <w:rsid w:val="00932945"/>
    <w:rsid w:val="00932A8B"/>
    <w:rsid w:val="00932B65"/>
    <w:rsid w:val="00932C7A"/>
    <w:rsid w:val="00932CBF"/>
    <w:rsid w:val="00932DE9"/>
    <w:rsid w:val="00932FD3"/>
    <w:rsid w:val="0093303A"/>
    <w:rsid w:val="0093306B"/>
    <w:rsid w:val="0093308F"/>
    <w:rsid w:val="009330E9"/>
    <w:rsid w:val="009331F9"/>
    <w:rsid w:val="00933573"/>
    <w:rsid w:val="009337C4"/>
    <w:rsid w:val="009337EF"/>
    <w:rsid w:val="0093381A"/>
    <w:rsid w:val="00933AC6"/>
    <w:rsid w:val="00933C28"/>
    <w:rsid w:val="00933E99"/>
    <w:rsid w:val="00933FF9"/>
    <w:rsid w:val="009340E9"/>
    <w:rsid w:val="0093412C"/>
    <w:rsid w:val="0093424E"/>
    <w:rsid w:val="00934365"/>
    <w:rsid w:val="0093455E"/>
    <w:rsid w:val="00934650"/>
    <w:rsid w:val="009347D3"/>
    <w:rsid w:val="00934A96"/>
    <w:rsid w:val="00934B07"/>
    <w:rsid w:val="00934B87"/>
    <w:rsid w:val="00934BC4"/>
    <w:rsid w:val="00934C53"/>
    <w:rsid w:val="00934F1D"/>
    <w:rsid w:val="0093504F"/>
    <w:rsid w:val="00935148"/>
    <w:rsid w:val="009352CA"/>
    <w:rsid w:val="00935365"/>
    <w:rsid w:val="009353B8"/>
    <w:rsid w:val="009353C6"/>
    <w:rsid w:val="00935417"/>
    <w:rsid w:val="0093550B"/>
    <w:rsid w:val="00935561"/>
    <w:rsid w:val="00935627"/>
    <w:rsid w:val="0093577A"/>
    <w:rsid w:val="009357B9"/>
    <w:rsid w:val="00935910"/>
    <w:rsid w:val="00935A5F"/>
    <w:rsid w:val="00935A92"/>
    <w:rsid w:val="00935CB7"/>
    <w:rsid w:val="00935CD5"/>
    <w:rsid w:val="00935F0F"/>
    <w:rsid w:val="00935F89"/>
    <w:rsid w:val="009360B5"/>
    <w:rsid w:val="009360EF"/>
    <w:rsid w:val="0093620E"/>
    <w:rsid w:val="00936283"/>
    <w:rsid w:val="009362E0"/>
    <w:rsid w:val="009364D4"/>
    <w:rsid w:val="00936535"/>
    <w:rsid w:val="00936667"/>
    <w:rsid w:val="00936749"/>
    <w:rsid w:val="0093674E"/>
    <w:rsid w:val="00936762"/>
    <w:rsid w:val="00936781"/>
    <w:rsid w:val="00936865"/>
    <w:rsid w:val="0093688D"/>
    <w:rsid w:val="0093690F"/>
    <w:rsid w:val="00936CAD"/>
    <w:rsid w:val="009370E9"/>
    <w:rsid w:val="009370EB"/>
    <w:rsid w:val="009370EC"/>
    <w:rsid w:val="00937189"/>
    <w:rsid w:val="009372C5"/>
    <w:rsid w:val="009376D3"/>
    <w:rsid w:val="00937760"/>
    <w:rsid w:val="00937899"/>
    <w:rsid w:val="00937906"/>
    <w:rsid w:val="00937994"/>
    <w:rsid w:val="00937A77"/>
    <w:rsid w:val="00937F63"/>
    <w:rsid w:val="00937F69"/>
    <w:rsid w:val="00940041"/>
    <w:rsid w:val="0094018A"/>
    <w:rsid w:val="009401A0"/>
    <w:rsid w:val="009403C1"/>
    <w:rsid w:val="00940429"/>
    <w:rsid w:val="009404E6"/>
    <w:rsid w:val="00940571"/>
    <w:rsid w:val="009405D5"/>
    <w:rsid w:val="009406D0"/>
    <w:rsid w:val="0094074F"/>
    <w:rsid w:val="009407FB"/>
    <w:rsid w:val="009408EB"/>
    <w:rsid w:val="009409DA"/>
    <w:rsid w:val="00940B1A"/>
    <w:rsid w:val="00940B7D"/>
    <w:rsid w:val="00940B90"/>
    <w:rsid w:val="00940BCE"/>
    <w:rsid w:val="00940C2D"/>
    <w:rsid w:val="00940C3D"/>
    <w:rsid w:val="00940D08"/>
    <w:rsid w:val="00940E1E"/>
    <w:rsid w:val="00940E74"/>
    <w:rsid w:val="00940F33"/>
    <w:rsid w:val="00940F9C"/>
    <w:rsid w:val="00941092"/>
    <w:rsid w:val="0094125D"/>
    <w:rsid w:val="009412B5"/>
    <w:rsid w:val="009412E6"/>
    <w:rsid w:val="00941407"/>
    <w:rsid w:val="00941416"/>
    <w:rsid w:val="0094142C"/>
    <w:rsid w:val="009415F3"/>
    <w:rsid w:val="00941641"/>
    <w:rsid w:val="00941787"/>
    <w:rsid w:val="009417D1"/>
    <w:rsid w:val="0094194D"/>
    <w:rsid w:val="00941B1A"/>
    <w:rsid w:val="00941B28"/>
    <w:rsid w:val="00941CA8"/>
    <w:rsid w:val="00941EDD"/>
    <w:rsid w:val="00941EED"/>
    <w:rsid w:val="00941F42"/>
    <w:rsid w:val="009420D2"/>
    <w:rsid w:val="009421CA"/>
    <w:rsid w:val="009422C0"/>
    <w:rsid w:val="0094237A"/>
    <w:rsid w:val="00942428"/>
    <w:rsid w:val="0094242F"/>
    <w:rsid w:val="00942437"/>
    <w:rsid w:val="0094263D"/>
    <w:rsid w:val="0094268E"/>
    <w:rsid w:val="00942793"/>
    <w:rsid w:val="009428F0"/>
    <w:rsid w:val="00942941"/>
    <w:rsid w:val="00942A93"/>
    <w:rsid w:val="00942C7D"/>
    <w:rsid w:val="00942CA9"/>
    <w:rsid w:val="00942CF2"/>
    <w:rsid w:val="00942FC1"/>
    <w:rsid w:val="009431F5"/>
    <w:rsid w:val="00943244"/>
    <w:rsid w:val="00943289"/>
    <w:rsid w:val="00943392"/>
    <w:rsid w:val="00943402"/>
    <w:rsid w:val="0094354D"/>
    <w:rsid w:val="0094365B"/>
    <w:rsid w:val="009436C5"/>
    <w:rsid w:val="009437D7"/>
    <w:rsid w:val="009438F6"/>
    <w:rsid w:val="00943950"/>
    <w:rsid w:val="00943B90"/>
    <w:rsid w:val="00943C0C"/>
    <w:rsid w:val="00943D24"/>
    <w:rsid w:val="00943EA9"/>
    <w:rsid w:val="00944142"/>
    <w:rsid w:val="009442FB"/>
    <w:rsid w:val="00944397"/>
    <w:rsid w:val="0094444D"/>
    <w:rsid w:val="0094444E"/>
    <w:rsid w:val="00944532"/>
    <w:rsid w:val="00944541"/>
    <w:rsid w:val="00944594"/>
    <w:rsid w:val="00944622"/>
    <w:rsid w:val="00944643"/>
    <w:rsid w:val="009446C4"/>
    <w:rsid w:val="0094482B"/>
    <w:rsid w:val="00944A2E"/>
    <w:rsid w:val="00944A40"/>
    <w:rsid w:val="00944BDA"/>
    <w:rsid w:val="00944BF9"/>
    <w:rsid w:val="00944DF7"/>
    <w:rsid w:val="00944E0B"/>
    <w:rsid w:val="00944EC3"/>
    <w:rsid w:val="00944FF2"/>
    <w:rsid w:val="009450A3"/>
    <w:rsid w:val="009452D0"/>
    <w:rsid w:val="009452EA"/>
    <w:rsid w:val="0094532E"/>
    <w:rsid w:val="00945357"/>
    <w:rsid w:val="0094538A"/>
    <w:rsid w:val="00945426"/>
    <w:rsid w:val="00945662"/>
    <w:rsid w:val="00945876"/>
    <w:rsid w:val="009459C8"/>
    <w:rsid w:val="009459CD"/>
    <w:rsid w:val="00945A9B"/>
    <w:rsid w:val="00945B62"/>
    <w:rsid w:val="00945B6C"/>
    <w:rsid w:val="00945E5E"/>
    <w:rsid w:val="00945E7B"/>
    <w:rsid w:val="00945E95"/>
    <w:rsid w:val="00945EA8"/>
    <w:rsid w:val="00945F94"/>
    <w:rsid w:val="00945FE9"/>
    <w:rsid w:val="00945FEB"/>
    <w:rsid w:val="0094603D"/>
    <w:rsid w:val="0094612E"/>
    <w:rsid w:val="0094632F"/>
    <w:rsid w:val="00946454"/>
    <w:rsid w:val="00946605"/>
    <w:rsid w:val="00946625"/>
    <w:rsid w:val="0094670E"/>
    <w:rsid w:val="0094682D"/>
    <w:rsid w:val="0094683E"/>
    <w:rsid w:val="00946858"/>
    <w:rsid w:val="00946A20"/>
    <w:rsid w:val="00946B06"/>
    <w:rsid w:val="00946B24"/>
    <w:rsid w:val="00946B57"/>
    <w:rsid w:val="00946BD9"/>
    <w:rsid w:val="00946E4A"/>
    <w:rsid w:val="00946EA1"/>
    <w:rsid w:val="00947108"/>
    <w:rsid w:val="00947170"/>
    <w:rsid w:val="009471DF"/>
    <w:rsid w:val="00947295"/>
    <w:rsid w:val="0094736B"/>
    <w:rsid w:val="0094739F"/>
    <w:rsid w:val="009474A1"/>
    <w:rsid w:val="0094751B"/>
    <w:rsid w:val="009476AF"/>
    <w:rsid w:val="00947704"/>
    <w:rsid w:val="00947732"/>
    <w:rsid w:val="0094790B"/>
    <w:rsid w:val="00947D7E"/>
    <w:rsid w:val="00947F39"/>
    <w:rsid w:val="009500FB"/>
    <w:rsid w:val="009501D1"/>
    <w:rsid w:val="00950377"/>
    <w:rsid w:val="009503A4"/>
    <w:rsid w:val="0095050E"/>
    <w:rsid w:val="00950534"/>
    <w:rsid w:val="009505B8"/>
    <w:rsid w:val="009506C0"/>
    <w:rsid w:val="009507E0"/>
    <w:rsid w:val="00950888"/>
    <w:rsid w:val="00950914"/>
    <w:rsid w:val="009509E8"/>
    <w:rsid w:val="00950C0B"/>
    <w:rsid w:val="00950CD5"/>
    <w:rsid w:val="00950D26"/>
    <w:rsid w:val="00950D57"/>
    <w:rsid w:val="00950D9D"/>
    <w:rsid w:val="00950E47"/>
    <w:rsid w:val="00950F42"/>
    <w:rsid w:val="00950F96"/>
    <w:rsid w:val="00950FB2"/>
    <w:rsid w:val="00950FD9"/>
    <w:rsid w:val="00951145"/>
    <w:rsid w:val="009511B2"/>
    <w:rsid w:val="00951253"/>
    <w:rsid w:val="00951367"/>
    <w:rsid w:val="00951377"/>
    <w:rsid w:val="0095139D"/>
    <w:rsid w:val="009514B0"/>
    <w:rsid w:val="009514F5"/>
    <w:rsid w:val="00951528"/>
    <w:rsid w:val="00951568"/>
    <w:rsid w:val="0095172A"/>
    <w:rsid w:val="0095176B"/>
    <w:rsid w:val="009517DD"/>
    <w:rsid w:val="00951988"/>
    <w:rsid w:val="00951A69"/>
    <w:rsid w:val="00951ACB"/>
    <w:rsid w:val="00951B54"/>
    <w:rsid w:val="00951BFD"/>
    <w:rsid w:val="00951D59"/>
    <w:rsid w:val="00951D5F"/>
    <w:rsid w:val="00951E7E"/>
    <w:rsid w:val="009520A8"/>
    <w:rsid w:val="00952469"/>
    <w:rsid w:val="009524AF"/>
    <w:rsid w:val="009524F1"/>
    <w:rsid w:val="0095271B"/>
    <w:rsid w:val="00952731"/>
    <w:rsid w:val="009528BF"/>
    <w:rsid w:val="00952ABF"/>
    <w:rsid w:val="00952CC3"/>
    <w:rsid w:val="00952D0F"/>
    <w:rsid w:val="00952D1A"/>
    <w:rsid w:val="00952FE5"/>
    <w:rsid w:val="00953085"/>
    <w:rsid w:val="009530C3"/>
    <w:rsid w:val="0095333A"/>
    <w:rsid w:val="00953362"/>
    <w:rsid w:val="0095375F"/>
    <w:rsid w:val="0095396D"/>
    <w:rsid w:val="0095397C"/>
    <w:rsid w:val="00953B29"/>
    <w:rsid w:val="00953B94"/>
    <w:rsid w:val="00953C2E"/>
    <w:rsid w:val="00953CA4"/>
    <w:rsid w:val="00953CB7"/>
    <w:rsid w:val="00953D81"/>
    <w:rsid w:val="00953E18"/>
    <w:rsid w:val="00953EBD"/>
    <w:rsid w:val="00953F7A"/>
    <w:rsid w:val="00954061"/>
    <w:rsid w:val="00954062"/>
    <w:rsid w:val="0095416F"/>
    <w:rsid w:val="009541B6"/>
    <w:rsid w:val="0095428C"/>
    <w:rsid w:val="009543E4"/>
    <w:rsid w:val="00954615"/>
    <w:rsid w:val="009546B1"/>
    <w:rsid w:val="00954827"/>
    <w:rsid w:val="0095489F"/>
    <w:rsid w:val="009548D2"/>
    <w:rsid w:val="00954A53"/>
    <w:rsid w:val="00954AFB"/>
    <w:rsid w:val="00954B1F"/>
    <w:rsid w:val="00954DD3"/>
    <w:rsid w:val="00954DF1"/>
    <w:rsid w:val="00954E19"/>
    <w:rsid w:val="00954E67"/>
    <w:rsid w:val="009550BD"/>
    <w:rsid w:val="0095534B"/>
    <w:rsid w:val="009553FA"/>
    <w:rsid w:val="00955439"/>
    <w:rsid w:val="009555D5"/>
    <w:rsid w:val="009556D8"/>
    <w:rsid w:val="00955793"/>
    <w:rsid w:val="0095584F"/>
    <w:rsid w:val="00955960"/>
    <w:rsid w:val="009559B1"/>
    <w:rsid w:val="00955A66"/>
    <w:rsid w:val="00955BD7"/>
    <w:rsid w:val="00955E42"/>
    <w:rsid w:val="00955E56"/>
    <w:rsid w:val="00955E65"/>
    <w:rsid w:val="00955E68"/>
    <w:rsid w:val="00956047"/>
    <w:rsid w:val="009561E2"/>
    <w:rsid w:val="0095631D"/>
    <w:rsid w:val="009563F5"/>
    <w:rsid w:val="0095642F"/>
    <w:rsid w:val="009564BA"/>
    <w:rsid w:val="0095650F"/>
    <w:rsid w:val="009566D8"/>
    <w:rsid w:val="009566DA"/>
    <w:rsid w:val="0095672F"/>
    <w:rsid w:val="00956749"/>
    <w:rsid w:val="00956758"/>
    <w:rsid w:val="00956A84"/>
    <w:rsid w:val="00956AED"/>
    <w:rsid w:val="00956BBA"/>
    <w:rsid w:val="00956BC5"/>
    <w:rsid w:val="00956FAB"/>
    <w:rsid w:val="00957019"/>
    <w:rsid w:val="00957028"/>
    <w:rsid w:val="0095708C"/>
    <w:rsid w:val="009570CB"/>
    <w:rsid w:val="009571E7"/>
    <w:rsid w:val="00957254"/>
    <w:rsid w:val="009572A0"/>
    <w:rsid w:val="0095733D"/>
    <w:rsid w:val="00957538"/>
    <w:rsid w:val="009575C4"/>
    <w:rsid w:val="009576CF"/>
    <w:rsid w:val="00957737"/>
    <w:rsid w:val="0095785B"/>
    <w:rsid w:val="009579D4"/>
    <w:rsid w:val="00957CC3"/>
    <w:rsid w:val="00957D46"/>
    <w:rsid w:val="00957D86"/>
    <w:rsid w:val="009600A2"/>
    <w:rsid w:val="0096013C"/>
    <w:rsid w:val="0096017C"/>
    <w:rsid w:val="009601A7"/>
    <w:rsid w:val="0096025E"/>
    <w:rsid w:val="00960277"/>
    <w:rsid w:val="009602CF"/>
    <w:rsid w:val="0096037D"/>
    <w:rsid w:val="009603D3"/>
    <w:rsid w:val="009604FA"/>
    <w:rsid w:val="009605C7"/>
    <w:rsid w:val="00960610"/>
    <w:rsid w:val="00960651"/>
    <w:rsid w:val="00960728"/>
    <w:rsid w:val="00960745"/>
    <w:rsid w:val="00960823"/>
    <w:rsid w:val="0096082E"/>
    <w:rsid w:val="009609F7"/>
    <w:rsid w:val="00960A04"/>
    <w:rsid w:val="00960BA7"/>
    <w:rsid w:val="00960C21"/>
    <w:rsid w:val="00960DF2"/>
    <w:rsid w:val="00960EE7"/>
    <w:rsid w:val="00960F07"/>
    <w:rsid w:val="00960FE1"/>
    <w:rsid w:val="0096102E"/>
    <w:rsid w:val="00961120"/>
    <w:rsid w:val="00961148"/>
    <w:rsid w:val="00961154"/>
    <w:rsid w:val="00961166"/>
    <w:rsid w:val="00961244"/>
    <w:rsid w:val="00961292"/>
    <w:rsid w:val="009613C2"/>
    <w:rsid w:val="009613E6"/>
    <w:rsid w:val="0096142B"/>
    <w:rsid w:val="009615FC"/>
    <w:rsid w:val="00961653"/>
    <w:rsid w:val="00961655"/>
    <w:rsid w:val="009616A5"/>
    <w:rsid w:val="00961706"/>
    <w:rsid w:val="00961707"/>
    <w:rsid w:val="009617DC"/>
    <w:rsid w:val="00961A26"/>
    <w:rsid w:val="00961AF6"/>
    <w:rsid w:val="00961B07"/>
    <w:rsid w:val="00961C96"/>
    <w:rsid w:val="0096203A"/>
    <w:rsid w:val="00962045"/>
    <w:rsid w:val="0096205B"/>
    <w:rsid w:val="009620AF"/>
    <w:rsid w:val="0096210E"/>
    <w:rsid w:val="00962174"/>
    <w:rsid w:val="00962291"/>
    <w:rsid w:val="009624F5"/>
    <w:rsid w:val="00962581"/>
    <w:rsid w:val="0096273C"/>
    <w:rsid w:val="00962782"/>
    <w:rsid w:val="00962814"/>
    <w:rsid w:val="0096298E"/>
    <w:rsid w:val="00962A84"/>
    <w:rsid w:val="00962AA7"/>
    <w:rsid w:val="00962B4E"/>
    <w:rsid w:val="00962D9F"/>
    <w:rsid w:val="00962DC1"/>
    <w:rsid w:val="00962E64"/>
    <w:rsid w:val="00962FB1"/>
    <w:rsid w:val="0096305D"/>
    <w:rsid w:val="009630BA"/>
    <w:rsid w:val="00963381"/>
    <w:rsid w:val="0096342F"/>
    <w:rsid w:val="0096353C"/>
    <w:rsid w:val="0096356E"/>
    <w:rsid w:val="00963734"/>
    <w:rsid w:val="009637BC"/>
    <w:rsid w:val="00963891"/>
    <w:rsid w:val="0096394E"/>
    <w:rsid w:val="00963985"/>
    <w:rsid w:val="00963AE9"/>
    <w:rsid w:val="00963B15"/>
    <w:rsid w:val="00963B85"/>
    <w:rsid w:val="00963C9B"/>
    <w:rsid w:val="00963D38"/>
    <w:rsid w:val="00963E7E"/>
    <w:rsid w:val="009640DA"/>
    <w:rsid w:val="00964107"/>
    <w:rsid w:val="00964117"/>
    <w:rsid w:val="0096418C"/>
    <w:rsid w:val="0096424D"/>
    <w:rsid w:val="0096427E"/>
    <w:rsid w:val="009643C9"/>
    <w:rsid w:val="0096445D"/>
    <w:rsid w:val="0096447A"/>
    <w:rsid w:val="00964497"/>
    <w:rsid w:val="009644EF"/>
    <w:rsid w:val="0096478A"/>
    <w:rsid w:val="009647AA"/>
    <w:rsid w:val="009647FB"/>
    <w:rsid w:val="009649A9"/>
    <w:rsid w:val="00964A1D"/>
    <w:rsid w:val="00964AA5"/>
    <w:rsid w:val="00964AD3"/>
    <w:rsid w:val="00964B13"/>
    <w:rsid w:val="00964BC4"/>
    <w:rsid w:val="00964CA2"/>
    <w:rsid w:val="00964DCB"/>
    <w:rsid w:val="00964EB2"/>
    <w:rsid w:val="00964F97"/>
    <w:rsid w:val="00964FD0"/>
    <w:rsid w:val="00964FE1"/>
    <w:rsid w:val="00965033"/>
    <w:rsid w:val="00965044"/>
    <w:rsid w:val="0096516B"/>
    <w:rsid w:val="009651A8"/>
    <w:rsid w:val="00965211"/>
    <w:rsid w:val="0096533C"/>
    <w:rsid w:val="00965374"/>
    <w:rsid w:val="00965583"/>
    <w:rsid w:val="009657F1"/>
    <w:rsid w:val="00965BBE"/>
    <w:rsid w:val="00965C81"/>
    <w:rsid w:val="00965CED"/>
    <w:rsid w:val="00966023"/>
    <w:rsid w:val="009660F8"/>
    <w:rsid w:val="009661DB"/>
    <w:rsid w:val="00966674"/>
    <w:rsid w:val="009667C9"/>
    <w:rsid w:val="0096681D"/>
    <w:rsid w:val="0096682C"/>
    <w:rsid w:val="00966925"/>
    <w:rsid w:val="00966B2E"/>
    <w:rsid w:val="00966B4B"/>
    <w:rsid w:val="00966CC9"/>
    <w:rsid w:val="00966DEB"/>
    <w:rsid w:val="00966F05"/>
    <w:rsid w:val="0096701B"/>
    <w:rsid w:val="00967068"/>
    <w:rsid w:val="009670CA"/>
    <w:rsid w:val="009670FF"/>
    <w:rsid w:val="00967104"/>
    <w:rsid w:val="00967142"/>
    <w:rsid w:val="009671CC"/>
    <w:rsid w:val="00967299"/>
    <w:rsid w:val="009672AC"/>
    <w:rsid w:val="00967336"/>
    <w:rsid w:val="009673E0"/>
    <w:rsid w:val="009673E1"/>
    <w:rsid w:val="00967621"/>
    <w:rsid w:val="00967716"/>
    <w:rsid w:val="0096773F"/>
    <w:rsid w:val="009678AD"/>
    <w:rsid w:val="00967B27"/>
    <w:rsid w:val="00967D2F"/>
    <w:rsid w:val="00967D71"/>
    <w:rsid w:val="00967DDF"/>
    <w:rsid w:val="00967F76"/>
    <w:rsid w:val="0096C668"/>
    <w:rsid w:val="00970052"/>
    <w:rsid w:val="009702AD"/>
    <w:rsid w:val="0097040C"/>
    <w:rsid w:val="0097052E"/>
    <w:rsid w:val="00970554"/>
    <w:rsid w:val="009705D8"/>
    <w:rsid w:val="00970784"/>
    <w:rsid w:val="009707C3"/>
    <w:rsid w:val="009707F9"/>
    <w:rsid w:val="009708AB"/>
    <w:rsid w:val="00970977"/>
    <w:rsid w:val="00970A8C"/>
    <w:rsid w:val="00970AB2"/>
    <w:rsid w:val="00970C3B"/>
    <w:rsid w:val="00970E48"/>
    <w:rsid w:val="00970EE8"/>
    <w:rsid w:val="00970F1B"/>
    <w:rsid w:val="00970F81"/>
    <w:rsid w:val="00971038"/>
    <w:rsid w:val="00971047"/>
    <w:rsid w:val="00971380"/>
    <w:rsid w:val="00971414"/>
    <w:rsid w:val="00971417"/>
    <w:rsid w:val="00971515"/>
    <w:rsid w:val="00971570"/>
    <w:rsid w:val="0097165B"/>
    <w:rsid w:val="009716BF"/>
    <w:rsid w:val="00971AA8"/>
    <w:rsid w:val="00971C9F"/>
    <w:rsid w:val="00971E4A"/>
    <w:rsid w:val="00971F44"/>
    <w:rsid w:val="0097203A"/>
    <w:rsid w:val="0097204E"/>
    <w:rsid w:val="0097216B"/>
    <w:rsid w:val="009722BA"/>
    <w:rsid w:val="009722FF"/>
    <w:rsid w:val="00972374"/>
    <w:rsid w:val="00972391"/>
    <w:rsid w:val="00972476"/>
    <w:rsid w:val="00972661"/>
    <w:rsid w:val="00972795"/>
    <w:rsid w:val="009729FA"/>
    <w:rsid w:val="00972AAA"/>
    <w:rsid w:val="00972AE1"/>
    <w:rsid w:val="00972AEC"/>
    <w:rsid w:val="00972C0C"/>
    <w:rsid w:val="00972C2C"/>
    <w:rsid w:val="00972C9B"/>
    <w:rsid w:val="00972D88"/>
    <w:rsid w:val="00972E25"/>
    <w:rsid w:val="00972F95"/>
    <w:rsid w:val="00973192"/>
    <w:rsid w:val="009731FC"/>
    <w:rsid w:val="009732F9"/>
    <w:rsid w:val="00973482"/>
    <w:rsid w:val="00973493"/>
    <w:rsid w:val="009734A3"/>
    <w:rsid w:val="00973502"/>
    <w:rsid w:val="00973531"/>
    <w:rsid w:val="00973621"/>
    <w:rsid w:val="0097377E"/>
    <w:rsid w:val="009737A3"/>
    <w:rsid w:val="009737B4"/>
    <w:rsid w:val="00973801"/>
    <w:rsid w:val="00973825"/>
    <w:rsid w:val="0097387D"/>
    <w:rsid w:val="00973943"/>
    <w:rsid w:val="00973C1F"/>
    <w:rsid w:val="00973C80"/>
    <w:rsid w:val="00973CE8"/>
    <w:rsid w:val="00973DA9"/>
    <w:rsid w:val="00973E00"/>
    <w:rsid w:val="00973F9E"/>
    <w:rsid w:val="00974145"/>
    <w:rsid w:val="00974226"/>
    <w:rsid w:val="0097430D"/>
    <w:rsid w:val="009743AC"/>
    <w:rsid w:val="009744A8"/>
    <w:rsid w:val="009745EF"/>
    <w:rsid w:val="00974619"/>
    <w:rsid w:val="0097468C"/>
    <w:rsid w:val="009746BE"/>
    <w:rsid w:val="009747A2"/>
    <w:rsid w:val="00974A0C"/>
    <w:rsid w:val="00974A15"/>
    <w:rsid w:val="00974A8B"/>
    <w:rsid w:val="00974B96"/>
    <w:rsid w:val="00974C39"/>
    <w:rsid w:val="00974C95"/>
    <w:rsid w:val="00974F5F"/>
    <w:rsid w:val="00974FD9"/>
    <w:rsid w:val="00975047"/>
    <w:rsid w:val="009750C6"/>
    <w:rsid w:val="0097518A"/>
    <w:rsid w:val="0097532B"/>
    <w:rsid w:val="009755ED"/>
    <w:rsid w:val="009756EB"/>
    <w:rsid w:val="009756FF"/>
    <w:rsid w:val="009758C6"/>
    <w:rsid w:val="00975AD1"/>
    <w:rsid w:val="00975B6B"/>
    <w:rsid w:val="00975B76"/>
    <w:rsid w:val="00975C96"/>
    <w:rsid w:val="00975CBF"/>
    <w:rsid w:val="00975CE8"/>
    <w:rsid w:val="00975DD4"/>
    <w:rsid w:val="00975E1E"/>
    <w:rsid w:val="0097604E"/>
    <w:rsid w:val="00976083"/>
    <w:rsid w:val="009760A5"/>
    <w:rsid w:val="009761DE"/>
    <w:rsid w:val="00976243"/>
    <w:rsid w:val="00976416"/>
    <w:rsid w:val="009764D6"/>
    <w:rsid w:val="00976594"/>
    <w:rsid w:val="009765D9"/>
    <w:rsid w:val="009767E8"/>
    <w:rsid w:val="00976850"/>
    <w:rsid w:val="00976881"/>
    <w:rsid w:val="0097692A"/>
    <w:rsid w:val="00976A53"/>
    <w:rsid w:val="00976AE7"/>
    <w:rsid w:val="00976B44"/>
    <w:rsid w:val="00976EBB"/>
    <w:rsid w:val="00976EC9"/>
    <w:rsid w:val="00976F17"/>
    <w:rsid w:val="00977147"/>
    <w:rsid w:val="00977237"/>
    <w:rsid w:val="00977463"/>
    <w:rsid w:val="0097746B"/>
    <w:rsid w:val="009774F2"/>
    <w:rsid w:val="00977576"/>
    <w:rsid w:val="009775B9"/>
    <w:rsid w:val="009775FB"/>
    <w:rsid w:val="009776E4"/>
    <w:rsid w:val="0097772F"/>
    <w:rsid w:val="00977757"/>
    <w:rsid w:val="009777E4"/>
    <w:rsid w:val="0097784D"/>
    <w:rsid w:val="009778DD"/>
    <w:rsid w:val="009778FB"/>
    <w:rsid w:val="00977B80"/>
    <w:rsid w:val="00977C14"/>
    <w:rsid w:val="00977CAE"/>
    <w:rsid w:val="00977D98"/>
    <w:rsid w:val="00977F5B"/>
    <w:rsid w:val="00980006"/>
    <w:rsid w:val="0098004E"/>
    <w:rsid w:val="00980291"/>
    <w:rsid w:val="009802F5"/>
    <w:rsid w:val="00980421"/>
    <w:rsid w:val="009804BB"/>
    <w:rsid w:val="009804CF"/>
    <w:rsid w:val="009804F9"/>
    <w:rsid w:val="009805D6"/>
    <w:rsid w:val="00980797"/>
    <w:rsid w:val="009807D1"/>
    <w:rsid w:val="0098094F"/>
    <w:rsid w:val="00980977"/>
    <w:rsid w:val="00980A70"/>
    <w:rsid w:val="00980D29"/>
    <w:rsid w:val="00980FB2"/>
    <w:rsid w:val="009810B3"/>
    <w:rsid w:val="00981149"/>
    <w:rsid w:val="009813DE"/>
    <w:rsid w:val="009813E7"/>
    <w:rsid w:val="00981503"/>
    <w:rsid w:val="00981506"/>
    <w:rsid w:val="009816AB"/>
    <w:rsid w:val="00981786"/>
    <w:rsid w:val="00981829"/>
    <w:rsid w:val="00981977"/>
    <w:rsid w:val="00981B13"/>
    <w:rsid w:val="00981BE4"/>
    <w:rsid w:val="00981DC7"/>
    <w:rsid w:val="00981EFD"/>
    <w:rsid w:val="00981F94"/>
    <w:rsid w:val="00981FC4"/>
    <w:rsid w:val="009820D3"/>
    <w:rsid w:val="009821C4"/>
    <w:rsid w:val="009822E9"/>
    <w:rsid w:val="009822EB"/>
    <w:rsid w:val="009823A5"/>
    <w:rsid w:val="00982439"/>
    <w:rsid w:val="0098253C"/>
    <w:rsid w:val="009825F4"/>
    <w:rsid w:val="00982626"/>
    <w:rsid w:val="009826F4"/>
    <w:rsid w:val="0098271C"/>
    <w:rsid w:val="009827EE"/>
    <w:rsid w:val="0098290B"/>
    <w:rsid w:val="009829F9"/>
    <w:rsid w:val="00982A36"/>
    <w:rsid w:val="00982B3A"/>
    <w:rsid w:val="00982BA5"/>
    <w:rsid w:val="00982C4B"/>
    <w:rsid w:val="00982CD9"/>
    <w:rsid w:val="00983044"/>
    <w:rsid w:val="00983275"/>
    <w:rsid w:val="009835A2"/>
    <w:rsid w:val="00983650"/>
    <w:rsid w:val="0098365C"/>
    <w:rsid w:val="00983757"/>
    <w:rsid w:val="00983784"/>
    <w:rsid w:val="009838C8"/>
    <w:rsid w:val="00983927"/>
    <w:rsid w:val="00983B4D"/>
    <w:rsid w:val="00983C56"/>
    <w:rsid w:val="00983FC5"/>
    <w:rsid w:val="00983FF8"/>
    <w:rsid w:val="00984030"/>
    <w:rsid w:val="00984136"/>
    <w:rsid w:val="00984187"/>
    <w:rsid w:val="0098419C"/>
    <w:rsid w:val="009841CC"/>
    <w:rsid w:val="0098421F"/>
    <w:rsid w:val="00984381"/>
    <w:rsid w:val="00984714"/>
    <w:rsid w:val="00984884"/>
    <w:rsid w:val="009848BD"/>
    <w:rsid w:val="009848CC"/>
    <w:rsid w:val="00984A12"/>
    <w:rsid w:val="00984A64"/>
    <w:rsid w:val="00984E22"/>
    <w:rsid w:val="00984E8F"/>
    <w:rsid w:val="00984F64"/>
    <w:rsid w:val="0098505A"/>
    <w:rsid w:val="00985081"/>
    <w:rsid w:val="009853EF"/>
    <w:rsid w:val="00985410"/>
    <w:rsid w:val="009855C1"/>
    <w:rsid w:val="0098567D"/>
    <w:rsid w:val="00985749"/>
    <w:rsid w:val="0098590B"/>
    <w:rsid w:val="00985966"/>
    <w:rsid w:val="00985D4F"/>
    <w:rsid w:val="00985F35"/>
    <w:rsid w:val="00985F93"/>
    <w:rsid w:val="00985FD8"/>
    <w:rsid w:val="0098605C"/>
    <w:rsid w:val="009861E7"/>
    <w:rsid w:val="0098620C"/>
    <w:rsid w:val="009863A0"/>
    <w:rsid w:val="0098645F"/>
    <w:rsid w:val="00986466"/>
    <w:rsid w:val="009865A2"/>
    <w:rsid w:val="0098680C"/>
    <w:rsid w:val="009868CF"/>
    <w:rsid w:val="00986927"/>
    <w:rsid w:val="00986A2C"/>
    <w:rsid w:val="00986A58"/>
    <w:rsid w:val="00986C84"/>
    <w:rsid w:val="00986CED"/>
    <w:rsid w:val="00986DCB"/>
    <w:rsid w:val="00986EDE"/>
    <w:rsid w:val="00986EF1"/>
    <w:rsid w:val="00986F0D"/>
    <w:rsid w:val="00987043"/>
    <w:rsid w:val="00987115"/>
    <w:rsid w:val="0098716E"/>
    <w:rsid w:val="00987230"/>
    <w:rsid w:val="009872F2"/>
    <w:rsid w:val="009873D0"/>
    <w:rsid w:val="009873F1"/>
    <w:rsid w:val="0098765C"/>
    <w:rsid w:val="00987A61"/>
    <w:rsid w:val="00987B9C"/>
    <w:rsid w:val="00987C28"/>
    <w:rsid w:val="00987C63"/>
    <w:rsid w:val="00987D95"/>
    <w:rsid w:val="00987F61"/>
    <w:rsid w:val="00987FF0"/>
    <w:rsid w:val="00990002"/>
    <w:rsid w:val="009901B2"/>
    <w:rsid w:val="009902CB"/>
    <w:rsid w:val="00990391"/>
    <w:rsid w:val="0099043A"/>
    <w:rsid w:val="00990490"/>
    <w:rsid w:val="009904E5"/>
    <w:rsid w:val="00990578"/>
    <w:rsid w:val="009906B0"/>
    <w:rsid w:val="00990806"/>
    <w:rsid w:val="00990A1C"/>
    <w:rsid w:val="00990A20"/>
    <w:rsid w:val="00990AF5"/>
    <w:rsid w:val="00990B6D"/>
    <w:rsid w:val="00990D3E"/>
    <w:rsid w:val="00990DC5"/>
    <w:rsid w:val="00990E78"/>
    <w:rsid w:val="00990EE8"/>
    <w:rsid w:val="00990F34"/>
    <w:rsid w:val="00991016"/>
    <w:rsid w:val="00991058"/>
    <w:rsid w:val="0099107E"/>
    <w:rsid w:val="009910F2"/>
    <w:rsid w:val="009911D9"/>
    <w:rsid w:val="00991325"/>
    <w:rsid w:val="00991475"/>
    <w:rsid w:val="009915DC"/>
    <w:rsid w:val="0099169E"/>
    <w:rsid w:val="00991795"/>
    <w:rsid w:val="00991833"/>
    <w:rsid w:val="00991940"/>
    <w:rsid w:val="00991984"/>
    <w:rsid w:val="00991B3C"/>
    <w:rsid w:val="00991D41"/>
    <w:rsid w:val="00991E64"/>
    <w:rsid w:val="00991EB9"/>
    <w:rsid w:val="00991EC1"/>
    <w:rsid w:val="00991EC7"/>
    <w:rsid w:val="00992038"/>
    <w:rsid w:val="00992152"/>
    <w:rsid w:val="009922F8"/>
    <w:rsid w:val="00992405"/>
    <w:rsid w:val="0099242D"/>
    <w:rsid w:val="0099272A"/>
    <w:rsid w:val="00992853"/>
    <w:rsid w:val="0099290A"/>
    <w:rsid w:val="009929A3"/>
    <w:rsid w:val="00992B7B"/>
    <w:rsid w:val="00992E2C"/>
    <w:rsid w:val="00992E98"/>
    <w:rsid w:val="00992EAC"/>
    <w:rsid w:val="00992FE0"/>
    <w:rsid w:val="00992FEE"/>
    <w:rsid w:val="00993088"/>
    <w:rsid w:val="009930F3"/>
    <w:rsid w:val="0099319E"/>
    <w:rsid w:val="009931F6"/>
    <w:rsid w:val="009934B1"/>
    <w:rsid w:val="00993510"/>
    <w:rsid w:val="0099364A"/>
    <w:rsid w:val="00993894"/>
    <w:rsid w:val="009938A7"/>
    <w:rsid w:val="0099396A"/>
    <w:rsid w:val="00993985"/>
    <w:rsid w:val="0099398A"/>
    <w:rsid w:val="00993A49"/>
    <w:rsid w:val="00993AF1"/>
    <w:rsid w:val="00993C6D"/>
    <w:rsid w:val="00993CD6"/>
    <w:rsid w:val="00993DE5"/>
    <w:rsid w:val="00993E9F"/>
    <w:rsid w:val="009940EC"/>
    <w:rsid w:val="009942A2"/>
    <w:rsid w:val="0099435F"/>
    <w:rsid w:val="00994757"/>
    <w:rsid w:val="009947E4"/>
    <w:rsid w:val="0099487F"/>
    <w:rsid w:val="00994887"/>
    <w:rsid w:val="00994922"/>
    <w:rsid w:val="00994974"/>
    <w:rsid w:val="00994DE6"/>
    <w:rsid w:val="00994F47"/>
    <w:rsid w:val="00994FE3"/>
    <w:rsid w:val="0099502F"/>
    <w:rsid w:val="00995240"/>
    <w:rsid w:val="0099529F"/>
    <w:rsid w:val="0099539E"/>
    <w:rsid w:val="009953C4"/>
    <w:rsid w:val="0099578F"/>
    <w:rsid w:val="009958F7"/>
    <w:rsid w:val="00995921"/>
    <w:rsid w:val="0099597E"/>
    <w:rsid w:val="009959BD"/>
    <w:rsid w:val="009959FB"/>
    <w:rsid w:val="00995B54"/>
    <w:rsid w:val="00995D15"/>
    <w:rsid w:val="009960CF"/>
    <w:rsid w:val="009961F1"/>
    <w:rsid w:val="00996222"/>
    <w:rsid w:val="009964D8"/>
    <w:rsid w:val="0099657A"/>
    <w:rsid w:val="00996992"/>
    <w:rsid w:val="00996B53"/>
    <w:rsid w:val="00996C16"/>
    <w:rsid w:val="00996C20"/>
    <w:rsid w:val="00996D2A"/>
    <w:rsid w:val="00996F69"/>
    <w:rsid w:val="0099716E"/>
    <w:rsid w:val="0099718F"/>
    <w:rsid w:val="00997872"/>
    <w:rsid w:val="00997AB6"/>
    <w:rsid w:val="00997B28"/>
    <w:rsid w:val="00997B6C"/>
    <w:rsid w:val="00997CE0"/>
    <w:rsid w:val="00997E37"/>
    <w:rsid w:val="00997E6A"/>
    <w:rsid w:val="00997EA1"/>
    <w:rsid w:val="009A00EF"/>
    <w:rsid w:val="009A03F8"/>
    <w:rsid w:val="009A0566"/>
    <w:rsid w:val="009A059A"/>
    <w:rsid w:val="009A05A7"/>
    <w:rsid w:val="009A06A6"/>
    <w:rsid w:val="009A094B"/>
    <w:rsid w:val="009A0986"/>
    <w:rsid w:val="009A0A44"/>
    <w:rsid w:val="009A0AA3"/>
    <w:rsid w:val="009A0BA9"/>
    <w:rsid w:val="009A0D7F"/>
    <w:rsid w:val="009A0D88"/>
    <w:rsid w:val="009A0DB6"/>
    <w:rsid w:val="009A12B6"/>
    <w:rsid w:val="009A149E"/>
    <w:rsid w:val="009A14F5"/>
    <w:rsid w:val="009A15AB"/>
    <w:rsid w:val="009A1679"/>
    <w:rsid w:val="009A17C7"/>
    <w:rsid w:val="009A17F4"/>
    <w:rsid w:val="009A1816"/>
    <w:rsid w:val="009A187A"/>
    <w:rsid w:val="009A1957"/>
    <w:rsid w:val="009A19E6"/>
    <w:rsid w:val="009A1A03"/>
    <w:rsid w:val="009A1A3E"/>
    <w:rsid w:val="009A1AA3"/>
    <w:rsid w:val="009A1B0A"/>
    <w:rsid w:val="009A1BC0"/>
    <w:rsid w:val="009A1BC6"/>
    <w:rsid w:val="009A1D15"/>
    <w:rsid w:val="009A1D59"/>
    <w:rsid w:val="009A1DD5"/>
    <w:rsid w:val="009A1EAA"/>
    <w:rsid w:val="009A2129"/>
    <w:rsid w:val="009A215A"/>
    <w:rsid w:val="009A221D"/>
    <w:rsid w:val="009A2356"/>
    <w:rsid w:val="009A245D"/>
    <w:rsid w:val="009A253D"/>
    <w:rsid w:val="009A2553"/>
    <w:rsid w:val="009A2574"/>
    <w:rsid w:val="009A284E"/>
    <w:rsid w:val="009A286B"/>
    <w:rsid w:val="009A295A"/>
    <w:rsid w:val="009A2996"/>
    <w:rsid w:val="009A2A02"/>
    <w:rsid w:val="009A2C27"/>
    <w:rsid w:val="009A2DEB"/>
    <w:rsid w:val="009A2E50"/>
    <w:rsid w:val="009A2E78"/>
    <w:rsid w:val="009A2ECA"/>
    <w:rsid w:val="009A3082"/>
    <w:rsid w:val="009A3179"/>
    <w:rsid w:val="009A320A"/>
    <w:rsid w:val="009A3410"/>
    <w:rsid w:val="009A350B"/>
    <w:rsid w:val="009A3529"/>
    <w:rsid w:val="009A35C3"/>
    <w:rsid w:val="009A3708"/>
    <w:rsid w:val="009A37F4"/>
    <w:rsid w:val="009A39AE"/>
    <w:rsid w:val="009A3AD3"/>
    <w:rsid w:val="009A3B0F"/>
    <w:rsid w:val="009A3C8E"/>
    <w:rsid w:val="009A3D65"/>
    <w:rsid w:val="009A3DED"/>
    <w:rsid w:val="009A3DEE"/>
    <w:rsid w:val="009A3E6F"/>
    <w:rsid w:val="009A3E75"/>
    <w:rsid w:val="009A3E82"/>
    <w:rsid w:val="009A3F56"/>
    <w:rsid w:val="009A4147"/>
    <w:rsid w:val="009A4202"/>
    <w:rsid w:val="009A4272"/>
    <w:rsid w:val="009A44E9"/>
    <w:rsid w:val="009A4577"/>
    <w:rsid w:val="009A4655"/>
    <w:rsid w:val="009A47D3"/>
    <w:rsid w:val="009A481B"/>
    <w:rsid w:val="009A4B20"/>
    <w:rsid w:val="009A4B2D"/>
    <w:rsid w:val="009A4B71"/>
    <w:rsid w:val="009A4D43"/>
    <w:rsid w:val="009A4D8C"/>
    <w:rsid w:val="009A4DF1"/>
    <w:rsid w:val="009A4EBA"/>
    <w:rsid w:val="009A5164"/>
    <w:rsid w:val="009A5209"/>
    <w:rsid w:val="009A541A"/>
    <w:rsid w:val="009A5467"/>
    <w:rsid w:val="009A54F7"/>
    <w:rsid w:val="009A558A"/>
    <w:rsid w:val="009A55F5"/>
    <w:rsid w:val="009A55F6"/>
    <w:rsid w:val="009A57A9"/>
    <w:rsid w:val="009A5833"/>
    <w:rsid w:val="009A58AC"/>
    <w:rsid w:val="009A58BA"/>
    <w:rsid w:val="009A5905"/>
    <w:rsid w:val="009A5985"/>
    <w:rsid w:val="009A59EC"/>
    <w:rsid w:val="009A5A07"/>
    <w:rsid w:val="009A5A13"/>
    <w:rsid w:val="009A5ACD"/>
    <w:rsid w:val="009A5BC4"/>
    <w:rsid w:val="009A5CAD"/>
    <w:rsid w:val="009A5FA2"/>
    <w:rsid w:val="009A6037"/>
    <w:rsid w:val="009A6051"/>
    <w:rsid w:val="009A6061"/>
    <w:rsid w:val="009A6091"/>
    <w:rsid w:val="009A63A4"/>
    <w:rsid w:val="009A649E"/>
    <w:rsid w:val="009A656D"/>
    <w:rsid w:val="009A6620"/>
    <w:rsid w:val="009A6724"/>
    <w:rsid w:val="009A68F3"/>
    <w:rsid w:val="009A69A9"/>
    <w:rsid w:val="009A6BE6"/>
    <w:rsid w:val="009A6CBF"/>
    <w:rsid w:val="009A6CD5"/>
    <w:rsid w:val="009A6CD6"/>
    <w:rsid w:val="009A6D1E"/>
    <w:rsid w:val="009A6E47"/>
    <w:rsid w:val="009A6E8F"/>
    <w:rsid w:val="009A71B8"/>
    <w:rsid w:val="009A71C8"/>
    <w:rsid w:val="009A72E8"/>
    <w:rsid w:val="009A743E"/>
    <w:rsid w:val="009A7485"/>
    <w:rsid w:val="009A74A3"/>
    <w:rsid w:val="009A75BF"/>
    <w:rsid w:val="009A770D"/>
    <w:rsid w:val="009A77C8"/>
    <w:rsid w:val="009A785A"/>
    <w:rsid w:val="009A79B1"/>
    <w:rsid w:val="009A7A18"/>
    <w:rsid w:val="009A7A71"/>
    <w:rsid w:val="009A7B59"/>
    <w:rsid w:val="009A7BCC"/>
    <w:rsid w:val="009A7BF3"/>
    <w:rsid w:val="009A7C4B"/>
    <w:rsid w:val="009A7CCD"/>
    <w:rsid w:val="009A7D59"/>
    <w:rsid w:val="009A7D80"/>
    <w:rsid w:val="009A7DBD"/>
    <w:rsid w:val="009B0015"/>
    <w:rsid w:val="009B00C4"/>
    <w:rsid w:val="009B02C0"/>
    <w:rsid w:val="009B02C7"/>
    <w:rsid w:val="009B03AC"/>
    <w:rsid w:val="009B041D"/>
    <w:rsid w:val="009B09D8"/>
    <w:rsid w:val="009B0B23"/>
    <w:rsid w:val="009B0C05"/>
    <w:rsid w:val="009B0D2F"/>
    <w:rsid w:val="009B1006"/>
    <w:rsid w:val="009B1052"/>
    <w:rsid w:val="009B10AE"/>
    <w:rsid w:val="009B13BC"/>
    <w:rsid w:val="009B1494"/>
    <w:rsid w:val="009B1518"/>
    <w:rsid w:val="009B1670"/>
    <w:rsid w:val="009B16BA"/>
    <w:rsid w:val="009B1875"/>
    <w:rsid w:val="009B1892"/>
    <w:rsid w:val="009B198C"/>
    <w:rsid w:val="009B1AA1"/>
    <w:rsid w:val="009B1B31"/>
    <w:rsid w:val="009B1BCE"/>
    <w:rsid w:val="009B1F28"/>
    <w:rsid w:val="009B1FF1"/>
    <w:rsid w:val="009B2005"/>
    <w:rsid w:val="009B2091"/>
    <w:rsid w:val="009B21D5"/>
    <w:rsid w:val="009B2272"/>
    <w:rsid w:val="009B254B"/>
    <w:rsid w:val="009B259B"/>
    <w:rsid w:val="009B2638"/>
    <w:rsid w:val="009B2698"/>
    <w:rsid w:val="009B26B4"/>
    <w:rsid w:val="009B281B"/>
    <w:rsid w:val="009B2965"/>
    <w:rsid w:val="009B298F"/>
    <w:rsid w:val="009B2B10"/>
    <w:rsid w:val="009B2CD5"/>
    <w:rsid w:val="009B2DE7"/>
    <w:rsid w:val="009B2DFB"/>
    <w:rsid w:val="009B2FC6"/>
    <w:rsid w:val="009B30D8"/>
    <w:rsid w:val="009B31E9"/>
    <w:rsid w:val="009B32EF"/>
    <w:rsid w:val="009B350B"/>
    <w:rsid w:val="009B35EA"/>
    <w:rsid w:val="009B368D"/>
    <w:rsid w:val="009B3710"/>
    <w:rsid w:val="009B374D"/>
    <w:rsid w:val="009B3767"/>
    <w:rsid w:val="009B3807"/>
    <w:rsid w:val="009B3849"/>
    <w:rsid w:val="009B3871"/>
    <w:rsid w:val="009B38B7"/>
    <w:rsid w:val="009B3A08"/>
    <w:rsid w:val="009B3B4A"/>
    <w:rsid w:val="009B3BA3"/>
    <w:rsid w:val="009B3C15"/>
    <w:rsid w:val="009B3F44"/>
    <w:rsid w:val="009B3FD9"/>
    <w:rsid w:val="009B40C0"/>
    <w:rsid w:val="009B4298"/>
    <w:rsid w:val="009B4361"/>
    <w:rsid w:val="009B4441"/>
    <w:rsid w:val="009B45A9"/>
    <w:rsid w:val="009B46DF"/>
    <w:rsid w:val="009B4888"/>
    <w:rsid w:val="009B48F3"/>
    <w:rsid w:val="009B4B65"/>
    <w:rsid w:val="009B4C41"/>
    <w:rsid w:val="009B4CA9"/>
    <w:rsid w:val="009B4DBD"/>
    <w:rsid w:val="009B4DFC"/>
    <w:rsid w:val="009B5073"/>
    <w:rsid w:val="009B507A"/>
    <w:rsid w:val="009B5205"/>
    <w:rsid w:val="009B5334"/>
    <w:rsid w:val="009B5345"/>
    <w:rsid w:val="009B5368"/>
    <w:rsid w:val="009B544A"/>
    <w:rsid w:val="009B594B"/>
    <w:rsid w:val="009B595D"/>
    <w:rsid w:val="009B5CED"/>
    <w:rsid w:val="009B5D58"/>
    <w:rsid w:val="009B5E4C"/>
    <w:rsid w:val="009B6046"/>
    <w:rsid w:val="009B6048"/>
    <w:rsid w:val="009B6058"/>
    <w:rsid w:val="009B6114"/>
    <w:rsid w:val="009B6168"/>
    <w:rsid w:val="009B61F4"/>
    <w:rsid w:val="009B63F1"/>
    <w:rsid w:val="009B6464"/>
    <w:rsid w:val="009B64B0"/>
    <w:rsid w:val="009B653A"/>
    <w:rsid w:val="009B6547"/>
    <w:rsid w:val="009B66F0"/>
    <w:rsid w:val="009B677D"/>
    <w:rsid w:val="009B67D8"/>
    <w:rsid w:val="009B682A"/>
    <w:rsid w:val="009B686A"/>
    <w:rsid w:val="009B68FC"/>
    <w:rsid w:val="009B68FF"/>
    <w:rsid w:val="009B695A"/>
    <w:rsid w:val="009B6A4D"/>
    <w:rsid w:val="009B6ADC"/>
    <w:rsid w:val="009B6E7A"/>
    <w:rsid w:val="009B6F57"/>
    <w:rsid w:val="009B6F64"/>
    <w:rsid w:val="009B7095"/>
    <w:rsid w:val="009B7133"/>
    <w:rsid w:val="009B7243"/>
    <w:rsid w:val="009B746D"/>
    <w:rsid w:val="009B7722"/>
    <w:rsid w:val="009B78B5"/>
    <w:rsid w:val="009B78BA"/>
    <w:rsid w:val="009B7A20"/>
    <w:rsid w:val="009B7A34"/>
    <w:rsid w:val="009B7A8E"/>
    <w:rsid w:val="009B7ACC"/>
    <w:rsid w:val="009B7BEF"/>
    <w:rsid w:val="009B7C1C"/>
    <w:rsid w:val="009B7C71"/>
    <w:rsid w:val="009B7C73"/>
    <w:rsid w:val="009B7D8A"/>
    <w:rsid w:val="009B7E34"/>
    <w:rsid w:val="009B7E58"/>
    <w:rsid w:val="009B7E71"/>
    <w:rsid w:val="009C00CF"/>
    <w:rsid w:val="009C01BC"/>
    <w:rsid w:val="009C03D0"/>
    <w:rsid w:val="009C04DC"/>
    <w:rsid w:val="009C06DD"/>
    <w:rsid w:val="009C07D3"/>
    <w:rsid w:val="009C0824"/>
    <w:rsid w:val="009C09AA"/>
    <w:rsid w:val="009C09F0"/>
    <w:rsid w:val="009C0D4A"/>
    <w:rsid w:val="009C0D63"/>
    <w:rsid w:val="009C0DBD"/>
    <w:rsid w:val="009C0DF0"/>
    <w:rsid w:val="009C0E39"/>
    <w:rsid w:val="009C0F21"/>
    <w:rsid w:val="009C105F"/>
    <w:rsid w:val="009C117C"/>
    <w:rsid w:val="009C1556"/>
    <w:rsid w:val="009C15AB"/>
    <w:rsid w:val="009C164D"/>
    <w:rsid w:val="009C1948"/>
    <w:rsid w:val="009C1CB2"/>
    <w:rsid w:val="009C1CF3"/>
    <w:rsid w:val="009C1CFE"/>
    <w:rsid w:val="009C1D4C"/>
    <w:rsid w:val="009C1D4F"/>
    <w:rsid w:val="009C1D7C"/>
    <w:rsid w:val="009C1EEE"/>
    <w:rsid w:val="009C1F41"/>
    <w:rsid w:val="009C1F56"/>
    <w:rsid w:val="009C2170"/>
    <w:rsid w:val="009C2210"/>
    <w:rsid w:val="009C2267"/>
    <w:rsid w:val="009C22CF"/>
    <w:rsid w:val="009C2460"/>
    <w:rsid w:val="009C25AD"/>
    <w:rsid w:val="009C2640"/>
    <w:rsid w:val="009C2676"/>
    <w:rsid w:val="009C28AA"/>
    <w:rsid w:val="009C297A"/>
    <w:rsid w:val="009C2B73"/>
    <w:rsid w:val="009C2B9A"/>
    <w:rsid w:val="009C2CDF"/>
    <w:rsid w:val="009C2D92"/>
    <w:rsid w:val="009C2E4F"/>
    <w:rsid w:val="009C2F78"/>
    <w:rsid w:val="009C3001"/>
    <w:rsid w:val="009C3064"/>
    <w:rsid w:val="009C3183"/>
    <w:rsid w:val="009C319A"/>
    <w:rsid w:val="009C31DB"/>
    <w:rsid w:val="009C32DA"/>
    <w:rsid w:val="009C3364"/>
    <w:rsid w:val="009C3540"/>
    <w:rsid w:val="009C365C"/>
    <w:rsid w:val="009C380A"/>
    <w:rsid w:val="009C3A19"/>
    <w:rsid w:val="009C3A20"/>
    <w:rsid w:val="009C3C22"/>
    <w:rsid w:val="009C3C91"/>
    <w:rsid w:val="009C3D12"/>
    <w:rsid w:val="009C3E4A"/>
    <w:rsid w:val="009C3F63"/>
    <w:rsid w:val="009C40C5"/>
    <w:rsid w:val="009C40D2"/>
    <w:rsid w:val="009C4214"/>
    <w:rsid w:val="009C423D"/>
    <w:rsid w:val="009C4282"/>
    <w:rsid w:val="009C42E0"/>
    <w:rsid w:val="009C4308"/>
    <w:rsid w:val="009C43F3"/>
    <w:rsid w:val="009C4486"/>
    <w:rsid w:val="009C44AF"/>
    <w:rsid w:val="009C4770"/>
    <w:rsid w:val="009C4823"/>
    <w:rsid w:val="009C4AB3"/>
    <w:rsid w:val="009C4AB8"/>
    <w:rsid w:val="009C4AC1"/>
    <w:rsid w:val="009C4AC9"/>
    <w:rsid w:val="009C4B4A"/>
    <w:rsid w:val="009C4D3C"/>
    <w:rsid w:val="009C4DB1"/>
    <w:rsid w:val="009C4FF7"/>
    <w:rsid w:val="009C502D"/>
    <w:rsid w:val="009C5164"/>
    <w:rsid w:val="009C5225"/>
    <w:rsid w:val="009C529B"/>
    <w:rsid w:val="009C5311"/>
    <w:rsid w:val="009C532A"/>
    <w:rsid w:val="009C5420"/>
    <w:rsid w:val="009C54A6"/>
    <w:rsid w:val="009C5699"/>
    <w:rsid w:val="009C5A8C"/>
    <w:rsid w:val="009C5AA7"/>
    <w:rsid w:val="009C5C6E"/>
    <w:rsid w:val="009C5D63"/>
    <w:rsid w:val="009C5DD5"/>
    <w:rsid w:val="009C5E2D"/>
    <w:rsid w:val="009C5E49"/>
    <w:rsid w:val="009C6009"/>
    <w:rsid w:val="009C604C"/>
    <w:rsid w:val="009C62E9"/>
    <w:rsid w:val="009C6549"/>
    <w:rsid w:val="009C676A"/>
    <w:rsid w:val="009C6811"/>
    <w:rsid w:val="009C684D"/>
    <w:rsid w:val="009C68A1"/>
    <w:rsid w:val="009C6946"/>
    <w:rsid w:val="009C6B2B"/>
    <w:rsid w:val="009C6D34"/>
    <w:rsid w:val="009C6DF8"/>
    <w:rsid w:val="009C7030"/>
    <w:rsid w:val="009C7087"/>
    <w:rsid w:val="009C7102"/>
    <w:rsid w:val="009C7109"/>
    <w:rsid w:val="009C73B5"/>
    <w:rsid w:val="009C7490"/>
    <w:rsid w:val="009C75E7"/>
    <w:rsid w:val="009C7632"/>
    <w:rsid w:val="009C769E"/>
    <w:rsid w:val="009C7783"/>
    <w:rsid w:val="009C77A6"/>
    <w:rsid w:val="009C77DB"/>
    <w:rsid w:val="009C77E4"/>
    <w:rsid w:val="009C78E1"/>
    <w:rsid w:val="009C7992"/>
    <w:rsid w:val="009C7A29"/>
    <w:rsid w:val="009C7C42"/>
    <w:rsid w:val="009C7C79"/>
    <w:rsid w:val="009C7D69"/>
    <w:rsid w:val="009C7D88"/>
    <w:rsid w:val="009C7E22"/>
    <w:rsid w:val="009C7F68"/>
    <w:rsid w:val="009D00C0"/>
    <w:rsid w:val="009D00D8"/>
    <w:rsid w:val="009D0115"/>
    <w:rsid w:val="009D0150"/>
    <w:rsid w:val="009D02C9"/>
    <w:rsid w:val="009D05FA"/>
    <w:rsid w:val="009D0712"/>
    <w:rsid w:val="009D0885"/>
    <w:rsid w:val="009D099D"/>
    <w:rsid w:val="009D0A07"/>
    <w:rsid w:val="009D0A11"/>
    <w:rsid w:val="009D0A33"/>
    <w:rsid w:val="009D0AEF"/>
    <w:rsid w:val="009D0E51"/>
    <w:rsid w:val="009D102A"/>
    <w:rsid w:val="009D1238"/>
    <w:rsid w:val="009D124A"/>
    <w:rsid w:val="009D13DC"/>
    <w:rsid w:val="009D14E9"/>
    <w:rsid w:val="009D1566"/>
    <w:rsid w:val="009D1670"/>
    <w:rsid w:val="009D1716"/>
    <w:rsid w:val="009D1A85"/>
    <w:rsid w:val="009D1AE7"/>
    <w:rsid w:val="009D1B40"/>
    <w:rsid w:val="009D1B9A"/>
    <w:rsid w:val="009D1D09"/>
    <w:rsid w:val="009D1D72"/>
    <w:rsid w:val="009D1E38"/>
    <w:rsid w:val="009D2129"/>
    <w:rsid w:val="009D2179"/>
    <w:rsid w:val="009D2228"/>
    <w:rsid w:val="009D236B"/>
    <w:rsid w:val="009D245F"/>
    <w:rsid w:val="009D246E"/>
    <w:rsid w:val="009D2495"/>
    <w:rsid w:val="009D257B"/>
    <w:rsid w:val="009D25B1"/>
    <w:rsid w:val="009D26D9"/>
    <w:rsid w:val="009D273B"/>
    <w:rsid w:val="009D27AA"/>
    <w:rsid w:val="009D2A26"/>
    <w:rsid w:val="009D2A48"/>
    <w:rsid w:val="009D2C9A"/>
    <w:rsid w:val="009D2C9C"/>
    <w:rsid w:val="009D2D3C"/>
    <w:rsid w:val="009D2D49"/>
    <w:rsid w:val="009D2E69"/>
    <w:rsid w:val="009D2EB1"/>
    <w:rsid w:val="009D2F0E"/>
    <w:rsid w:val="009D3035"/>
    <w:rsid w:val="009D3180"/>
    <w:rsid w:val="009D3198"/>
    <w:rsid w:val="009D322D"/>
    <w:rsid w:val="009D3241"/>
    <w:rsid w:val="009D3299"/>
    <w:rsid w:val="009D3361"/>
    <w:rsid w:val="009D3448"/>
    <w:rsid w:val="009D362D"/>
    <w:rsid w:val="009D36A2"/>
    <w:rsid w:val="009D36D7"/>
    <w:rsid w:val="009D3761"/>
    <w:rsid w:val="009D3786"/>
    <w:rsid w:val="009D384D"/>
    <w:rsid w:val="009D389E"/>
    <w:rsid w:val="009D39F0"/>
    <w:rsid w:val="009D3A13"/>
    <w:rsid w:val="009D3A1B"/>
    <w:rsid w:val="009D3A99"/>
    <w:rsid w:val="009D3AFC"/>
    <w:rsid w:val="009D3B4E"/>
    <w:rsid w:val="009D3BAC"/>
    <w:rsid w:val="009D3C46"/>
    <w:rsid w:val="009D3CE3"/>
    <w:rsid w:val="009D3DE5"/>
    <w:rsid w:val="009D3E31"/>
    <w:rsid w:val="009D3E80"/>
    <w:rsid w:val="009D3E87"/>
    <w:rsid w:val="009D3ECB"/>
    <w:rsid w:val="009D3EE5"/>
    <w:rsid w:val="009D3F06"/>
    <w:rsid w:val="009D3F0A"/>
    <w:rsid w:val="009D3F1B"/>
    <w:rsid w:val="009D3F76"/>
    <w:rsid w:val="009D3F7E"/>
    <w:rsid w:val="009D40C8"/>
    <w:rsid w:val="009D41F8"/>
    <w:rsid w:val="009D4248"/>
    <w:rsid w:val="009D426D"/>
    <w:rsid w:val="009D42E9"/>
    <w:rsid w:val="009D44A0"/>
    <w:rsid w:val="009D465F"/>
    <w:rsid w:val="009D46A3"/>
    <w:rsid w:val="009D4781"/>
    <w:rsid w:val="009D4833"/>
    <w:rsid w:val="009D49A0"/>
    <w:rsid w:val="009D49E5"/>
    <w:rsid w:val="009D4A96"/>
    <w:rsid w:val="009D4B4B"/>
    <w:rsid w:val="009D4B69"/>
    <w:rsid w:val="009D4B9A"/>
    <w:rsid w:val="009D4D73"/>
    <w:rsid w:val="009D4EF6"/>
    <w:rsid w:val="009D4F5A"/>
    <w:rsid w:val="009D4FA3"/>
    <w:rsid w:val="009D5296"/>
    <w:rsid w:val="009D52C3"/>
    <w:rsid w:val="009D5492"/>
    <w:rsid w:val="009D5719"/>
    <w:rsid w:val="009D5775"/>
    <w:rsid w:val="009D57E9"/>
    <w:rsid w:val="009D5AF7"/>
    <w:rsid w:val="009D5C3A"/>
    <w:rsid w:val="009D5D7D"/>
    <w:rsid w:val="009D5EE1"/>
    <w:rsid w:val="009D608D"/>
    <w:rsid w:val="009D61C0"/>
    <w:rsid w:val="009D6278"/>
    <w:rsid w:val="009D632F"/>
    <w:rsid w:val="009D63F5"/>
    <w:rsid w:val="009D65C6"/>
    <w:rsid w:val="009D66EE"/>
    <w:rsid w:val="009D69FE"/>
    <w:rsid w:val="009D6A67"/>
    <w:rsid w:val="009D6A8E"/>
    <w:rsid w:val="009D6AAF"/>
    <w:rsid w:val="009D6AD4"/>
    <w:rsid w:val="009D6B7D"/>
    <w:rsid w:val="009D6BC0"/>
    <w:rsid w:val="009D6BE7"/>
    <w:rsid w:val="009D6C22"/>
    <w:rsid w:val="009D6D41"/>
    <w:rsid w:val="009D6EBA"/>
    <w:rsid w:val="009D6FE4"/>
    <w:rsid w:val="009D6FFF"/>
    <w:rsid w:val="009D70CF"/>
    <w:rsid w:val="009D712F"/>
    <w:rsid w:val="009D71CC"/>
    <w:rsid w:val="009D727A"/>
    <w:rsid w:val="009D72A4"/>
    <w:rsid w:val="009D737D"/>
    <w:rsid w:val="009D7640"/>
    <w:rsid w:val="009D77B3"/>
    <w:rsid w:val="009D77FC"/>
    <w:rsid w:val="009D79BE"/>
    <w:rsid w:val="009D7A45"/>
    <w:rsid w:val="009D7BC2"/>
    <w:rsid w:val="009D7DC2"/>
    <w:rsid w:val="009D7FB4"/>
    <w:rsid w:val="009E005A"/>
    <w:rsid w:val="009E01C2"/>
    <w:rsid w:val="009E0856"/>
    <w:rsid w:val="009E0924"/>
    <w:rsid w:val="009E09D5"/>
    <w:rsid w:val="009E0A92"/>
    <w:rsid w:val="009E0BF6"/>
    <w:rsid w:val="009E0C09"/>
    <w:rsid w:val="009E0D00"/>
    <w:rsid w:val="009E0D34"/>
    <w:rsid w:val="009E0D8D"/>
    <w:rsid w:val="009E1019"/>
    <w:rsid w:val="009E11C4"/>
    <w:rsid w:val="009E1416"/>
    <w:rsid w:val="009E1458"/>
    <w:rsid w:val="009E153B"/>
    <w:rsid w:val="009E15AC"/>
    <w:rsid w:val="009E15BF"/>
    <w:rsid w:val="009E1693"/>
    <w:rsid w:val="009E1965"/>
    <w:rsid w:val="009E1985"/>
    <w:rsid w:val="009E1A7E"/>
    <w:rsid w:val="009E1FFC"/>
    <w:rsid w:val="009E20D9"/>
    <w:rsid w:val="009E20EB"/>
    <w:rsid w:val="009E21FE"/>
    <w:rsid w:val="009E229C"/>
    <w:rsid w:val="009E2387"/>
    <w:rsid w:val="009E23E0"/>
    <w:rsid w:val="009E2468"/>
    <w:rsid w:val="009E2640"/>
    <w:rsid w:val="009E2763"/>
    <w:rsid w:val="009E27A9"/>
    <w:rsid w:val="009E27F1"/>
    <w:rsid w:val="009E28E2"/>
    <w:rsid w:val="009E2915"/>
    <w:rsid w:val="009E2A78"/>
    <w:rsid w:val="009E2B9F"/>
    <w:rsid w:val="009E2BD1"/>
    <w:rsid w:val="009E2D8C"/>
    <w:rsid w:val="009E2D95"/>
    <w:rsid w:val="009E2F28"/>
    <w:rsid w:val="009E2F93"/>
    <w:rsid w:val="009E3085"/>
    <w:rsid w:val="009E3217"/>
    <w:rsid w:val="009E32DF"/>
    <w:rsid w:val="009E3457"/>
    <w:rsid w:val="009E3668"/>
    <w:rsid w:val="009E36C2"/>
    <w:rsid w:val="009E386C"/>
    <w:rsid w:val="009E3AF3"/>
    <w:rsid w:val="009E3F91"/>
    <w:rsid w:val="009E3F99"/>
    <w:rsid w:val="009E3FE3"/>
    <w:rsid w:val="009E4179"/>
    <w:rsid w:val="009E4241"/>
    <w:rsid w:val="009E425F"/>
    <w:rsid w:val="009E42E4"/>
    <w:rsid w:val="009E464B"/>
    <w:rsid w:val="009E4768"/>
    <w:rsid w:val="009E48B2"/>
    <w:rsid w:val="009E4BFA"/>
    <w:rsid w:val="009E51E5"/>
    <w:rsid w:val="009E5235"/>
    <w:rsid w:val="009E524D"/>
    <w:rsid w:val="009E53AD"/>
    <w:rsid w:val="009E54A7"/>
    <w:rsid w:val="009E55DA"/>
    <w:rsid w:val="009E5643"/>
    <w:rsid w:val="009E572D"/>
    <w:rsid w:val="009E5818"/>
    <w:rsid w:val="009E5876"/>
    <w:rsid w:val="009E5DF0"/>
    <w:rsid w:val="009E6069"/>
    <w:rsid w:val="009E60BC"/>
    <w:rsid w:val="009E62C4"/>
    <w:rsid w:val="009E630C"/>
    <w:rsid w:val="009E6347"/>
    <w:rsid w:val="009E64E0"/>
    <w:rsid w:val="009E6593"/>
    <w:rsid w:val="009E65C8"/>
    <w:rsid w:val="009E65CE"/>
    <w:rsid w:val="009E66C7"/>
    <w:rsid w:val="009E66DA"/>
    <w:rsid w:val="009E67C0"/>
    <w:rsid w:val="009E6925"/>
    <w:rsid w:val="009E695B"/>
    <w:rsid w:val="009E69E4"/>
    <w:rsid w:val="009E6E4D"/>
    <w:rsid w:val="009E6E5A"/>
    <w:rsid w:val="009E6E9B"/>
    <w:rsid w:val="009E703C"/>
    <w:rsid w:val="009E72B3"/>
    <w:rsid w:val="009E73C4"/>
    <w:rsid w:val="009E73CE"/>
    <w:rsid w:val="009E73E6"/>
    <w:rsid w:val="009E7577"/>
    <w:rsid w:val="009E7689"/>
    <w:rsid w:val="009E768B"/>
    <w:rsid w:val="009E77EF"/>
    <w:rsid w:val="009E7A3D"/>
    <w:rsid w:val="009E7AEE"/>
    <w:rsid w:val="009E7D24"/>
    <w:rsid w:val="009E7F6C"/>
    <w:rsid w:val="009F0081"/>
    <w:rsid w:val="009F00B7"/>
    <w:rsid w:val="009F00C0"/>
    <w:rsid w:val="009F0158"/>
    <w:rsid w:val="009F01B2"/>
    <w:rsid w:val="009F0348"/>
    <w:rsid w:val="009F0407"/>
    <w:rsid w:val="009F06AC"/>
    <w:rsid w:val="009F06F7"/>
    <w:rsid w:val="009F0704"/>
    <w:rsid w:val="009F0745"/>
    <w:rsid w:val="009F0771"/>
    <w:rsid w:val="009F07D5"/>
    <w:rsid w:val="009F086D"/>
    <w:rsid w:val="009F0968"/>
    <w:rsid w:val="009F0AB5"/>
    <w:rsid w:val="009F0CEB"/>
    <w:rsid w:val="009F0D01"/>
    <w:rsid w:val="009F0D52"/>
    <w:rsid w:val="009F0DD8"/>
    <w:rsid w:val="009F0DF8"/>
    <w:rsid w:val="009F0E10"/>
    <w:rsid w:val="009F0EB8"/>
    <w:rsid w:val="009F0EE4"/>
    <w:rsid w:val="009F0EFC"/>
    <w:rsid w:val="009F0F08"/>
    <w:rsid w:val="009F11B2"/>
    <w:rsid w:val="009F123C"/>
    <w:rsid w:val="009F1249"/>
    <w:rsid w:val="009F127A"/>
    <w:rsid w:val="009F1500"/>
    <w:rsid w:val="009F1574"/>
    <w:rsid w:val="009F15FF"/>
    <w:rsid w:val="009F17E7"/>
    <w:rsid w:val="009F17F7"/>
    <w:rsid w:val="009F18ED"/>
    <w:rsid w:val="009F1934"/>
    <w:rsid w:val="009F1B55"/>
    <w:rsid w:val="009F1DD1"/>
    <w:rsid w:val="009F1E64"/>
    <w:rsid w:val="009F1F0B"/>
    <w:rsid w:val="009F1F0D"/>
    <w:rsid w:val="009F21BC"/>
    <w:rsid w:val="009F24D1"/>
    <w:rsid w:val="009F24D2"/>
    <w:rsid w:val="009F27C8"/>
    <w:rsid w:val="009F27CC"/>
    <w:rsid w:val="009F2884"/>
    <w:rsid w:val="009F28AA"/>
    <w:rsid w:val="009F2A22"/>
    <w:rsid w:val="009F2AC7"/>
    <w:rsid w:val="009F2C11"/>
    <w:rsid w:val="009F2D2A"/>
    <w:rsid w:val="009F2D49"/>
    <w:rsid w:val="009F2DCA"/>
    <w:rsid w:val="009F2F1B"/>
    <w:rsid w:val="009F31A8"/>
    <w:rsid w:val="009F31F5"/>
    <w:rsid w:val="009F3443"/>
    <w:rsid w:val="009F3483"/>
    <w:rsid w:val="009F3508"/>
    <w:rsid w:val="009F3545"/>
    <w:rsid w:val="009F3574"/>
    <w:rsid w:val="009F3ADA"/>
    <w:rsid w:val="009F3D28"/>
    <w:rsid w:val="009F4051"/>
    <w:rsid w:val="009F4108"/>
    <w:rsid w:val="009F413B"/>
    <w:rsid w:val="009F4212"/>
    <w:rsid w:val="009F453B"/>
    <w:rsid w:val="009F4567"/>
    <w:rsid w:val="009F4679"/>
    <w:rsid w:val="009F4696"/>
    <w:rsid w:val="009F46EC"/>
    <w:rsid w:val="009F47A8"/>
    <w:rsid w:val="009F47B8"/>
    <w:rsid w:val="009F47EF"/>
    <w:rsid w:val="009F4993"/>
    <w:rsid w:val="009F49B6"/>
    <w:rsid w:val="009F49F7"/>
    <w:rsid w:val="009F49F8"/>
    <w:rsid w:val="009F4B3E"/>
    <w:rsid w:val="009F4CB0"/>
    <w:rsid w:val="009F4CDA"/>
    <w:rsid w:val="009F4E16"/>
    <w:rsid w:val="009F500C"/>
    <w:rsid w:val="009F521D"/>
    <w:rsid w:val="009F525A"/>
    <w:rsid w:val="009F5265"/>
    <w:rsid w:val="009F5309"/>
    <w:rsid w:val="009F539D"/>
    <w:rsid w:val="009F542B"/>
    <w:rsid w:val="009F5705"/>
    <w:rsid w:val="009F58C5"/>
    <w:rsid w:val="009F599B"/>
    <w:rsid w:val="009F59F2"/>
    <w:rsid w:val="009F5A8C"/>
    <w:rsid w:val="009F5AA8"/>
    <w:rsid w:val="009F5AD3"/>
    <w:rsid w:val="009F5B02"/>
    <w:rsid w:val="009F5BD0"/>
    <w:rsid w:val="009F5CE4"/>
    <w:rsid w:val="009F5D95"/>
    <w:rsid w:val="009F5E27"/>
    <w:rsid w:val="009F5FAE"/>
    <w:rsid w:val="009F603A"/>
    <w:rsid w:val="009F628F"/>
    <w:rsid w:val="009F643D"/>
    <w:rsid w:val="009F6675"/>
    <w:rsid w:val="009F6691"/>
    <w:rsid w:val="009F6788"/>
    <w:rsid w:val="009F67AF"/>
    <w:rsid w:val="009F67FA"/>
    <w:rsid w:val="009F6821"/>
    <w:rsid w:val="009F6B19"/>
    <w:rsid w:val="009F6EBA"/>
    <w:rsid w:val="009F6F1B"/>
    <w:rsid w:val="009F702C"/>
    <w:rsid w:val="009F72B8"/>
    <w:rsid w:val="009F7373"/>
    <w:rsid w:val="009F73F6"/>
    <w:rsid w:val="009F7516"/>
    <w:rsid w:val="009F75FA"/>
    <w:rsid w:val="009F7738"/>
    <w:rsid w:val="009F77DF"/>
    <w:rsid w:val="009F78B5"/>
    <w:rsid w:val="009F78E2"/>
    <w:rsid w:val="009F7BFD"/>
    <w:rsid w:val="009F7C59"/>
    <w:rsid w:val="009F7CFD"/>
    <w:rsid w:val="009F7D8B"/>
    <w:rsid w:val="009F7F64"/>
    <w:rsid w:val="00A00261"/>
    <w:rsid w:val="00A00351"/>
    <w:rsid w:val="00A003D1"/>
    <w:rsid w:val="00A004A4"/>
    <w:rsid w:val="00A0054E"/>
    <w:rsid w:val="00A005BB"/>
    <w:rsid w:val="00A0061C"/>
    <w:rsid w:val="00A00687"/>
    <w:rsid w:val="00A00688"/>
    <w:rsid w:val="00A0072C"/>
    <w:rsid w:val="00A0084A"/>
    <w:rsid w:val="00A009BE"/>
    <w:rsid w:val="00A00B20"/>
    <w:rsid w:val="00A00B8A"/>
    <w:rsid w:val="00A00CEC"/>
    <w:rsid w:val="00A00D03"/>
    <w:rsid w:val="00A00D91"/>
    <w:rsid w:val="00A00F5B"/>
    <w:rsid w:val="00A011F8"/>
    <w:rsid w:val="00A012D9"/>
    <w:rsid w:val="00A01341"/>
    <w:rsid w:val="00A01368"/>
    <w:rsid w:val="00A0139C"/>
    <w:rsid w:val="00A013A0"/>
    <w:rsid w:val="00A01499"/>
    <w:rsid w:val="00A014B7"/>
    <w:rsid w:val="00A01662"/>
    <w:rsid w:val="00A016F4"/>
    <w:rsid w:val="00A0188A"/>
    <w:rsid w:val="00A01956"/>
    <w:rsid w:val="00A01AB2"/>
    <w:rsid w:val="00A01B0B"/>
    <w:rsid w:val="00A01C0A"/>
    <w:rsid w:val="00A01E5B"/>
    <w:rsid w:val="00A01E78"/>
    <w:rsid w:val="00A020DD"/>
    <w:rsid w:val="00A02143"/>
    <w:rsid w:val="00A0216A"/>
    <w:rsid w:val="00A02177"/>
    <w:rsid w:val="00A02189"/>
    <w:rsid w:val="00A02253"/>
    <w:rsid w:val="00A02276"/>
    <w:rsid w:val="00A025EC"/>
    <w:rsid w:val="00A0260E"/>
    <w:rsid w:val="00A028A1"/>
    <w:rsid w:val="00A029CD"/>
    <w:rsid w:val="00A02A30"/>
    <w:rsid w:val="00A02A58"/>
    <w:rsid w:val="00A02CA3"/>
    <w:rsid w:val="00A02CDC"/>
    <w:rsid w:val="00A02D5C"/>
    <w:rsid w:val="00A02F01"/>
    <w:rsid w:val="00A02F38"/>
    <w:rsid w:val="00A034DD"/>
    <w:rsid w:val="00A03570"/>
    <w:rsid w:val="00A03599"/>
    <w:rsid w:val="00A035E6"/>
    <w:rsid w:val="00A03622"/>
    <w:rsid w:val="00A03670"/>
    <w:rsid w:val="00A03776"/>
    <w:rsid w:val="00A03919"/>
    <w:rsid w:val="00A03A5F"/>
    <w:rsid w:val="00A03A6C"/>
    <w:rsid w:val="00A03A8E"/>
    <w:rsid w:val="00A03B34"/>
    <w:rsid w:val="00A03DA6"/>
    <w:rsid w:val="00A03E3A"/>
    <w:rsid w:val="00A03E58"/>
    <w:rsid w:val="00A03F02"/>
    <w:rsid w:val="00A03F70"/>
    <w:rsid w:val="00A03FC1"/>
    <w:rsid w:val="00A04026"/>
    <w:rsid w:val="00A040AE"/>
    <w:rsid w:val="00A040D3"/>
    <w:rsid w:val="00A041E0"/>
    <w:rsid w:val="00A0427B"/>
    <w:rsid w:val="00A042E5"/>
    <w:rsid w:val="00A04337"/>
    <w:rsid w:val="00A043C1"/>
    <w:rsid w:val="00A04420"/>
    <w:rsid w:val="00A0446E"/>
    <w:rsid w:val="00A044AF"/>
    <w:rsid w:val="00A047A2"/>
    <w:rsid w:val="00A047A4"/>
    <w:rsid w:val="00A0489F"/>
    <w:rsid w:val="00A04A76"/>
    <w:rsid w:val="00A04B2A"/>
    <w:rsid w:val="00A04C48"/>
    <w:rsid w:val="00A04F1A"/>
    <w:rsid w:val="00A04F63"/>
    <w:rsid w:val="00A05224"/>
    <w:rsid w:val="00A0528D"/>
    <w:rsid w:val="00A054EC"/>
    <w:rsid w:val="00A05512"/>
    <w:rsid w:val="00A0551D"/>
    <w:rsid w:val="00A0556C"/>
    <w:rsid w:val="00A055A7"/>
    <w:rsid w:val="00A05649"/>
    <w:rsid w:val="00A0567F"/>
    <w:rsid w:val="00A056DE"/>
    <w:rsid w:val="00A058CD"/>
    <w:rsid w:val="00A058EC"/>
    <w:rsid w:val="00A05965"/>
    <w:rsid w:val="00A05A3C"/>
    <w:rsid w:val="00A05BE6"/>
    <w:rsid w:val="00A05C51"/>
    <w:rsid w:val="00A05CB0"/>
    <w:rsid w:val="00A05E1F"/>
    <w:rsid w:val="00A05E7F"/>
    <w:rsid w:val="00A05F21"/>
    <w:rsid w:val="00A061F0"/>
    <w:rsid w:val="00A062BF"/>
    <w:rsid w:val="00A063D1"/>
    <w:rsid w:val="00A06578"/>
    <w:rsid w:val="00A0661D"/>
    <w:rsid w:val="00A067F4"/>
    <w:rsid w:val="00A068C3"/>
    <w:rsid w:val="00A0690C"/>
    <w:rsid w:val="00A06995"/>
    <w:rsid w:val="00A06A14"/>
    <w:rsid w:val="00A06B82"/>
    <w:rsid w:val="00A06C94"/>
    <w:rsid w:val="00A06DB3"/>
    <w:rsid w:val="00A06E0A"/>
    <w:rsid w:val="00A070D8"/>
    <w:rsid w:val="00A07180"/>
    <w:rsid w:val="00A07207"/>
    <w:rsid w:val="00A072E7"/>
    <w:rsid w:val="00A07391"/>
    <w:rsid w:val="00A07444"/>
    <w:rsid w:val="00A07652"/>
    <w:rsid w:val="00A07711"/>
    <w:rsid w:val="00A077B9"/>
    <w:rsid w:val="00A077EA"/>
    <w:rsid w:val="00A078A9"/>
    <w:rsid w:val="00A078C1"/>
    <w:rsid w:val="00A07905"/>
    <w:rsid w:val="00A07967"/>
    <w:rsid w:val="00A07988"/>
    <w:rsid w:val="00A07BCD"/>
    <w:rsid w:val="00A07D1A"/>
    <w:rsid w:val="00A07D88"/>
    <w:rsid w:val="00A07D90"/>
    <w:rsid w:val="00A07DF9"/>
    <w:rsid w:val="00A07FF3"/>
    <w:rsid w:val="00A10054"/>
    <w:rsid w:val="00A100E6"/>
    <w:rsid w:val="00A1011F"/>
    <w:rsid w:val="00A103DF"/>
    <w:rsid w:val="00A10412"/>
    <w:rsid w:val="00A10590"/>
    <w:rsid w:val="00A105D8"/>
    <w:rsid w:val="00A106BF"/>
    <w:rsid w:val="00A106E4"/>
    <w:rsid w:val="00A106E9"/>
    <w:rsid w:val="00A107FB"/>
    <w:rsid w:val="00A10860"/>
    <w:rsid w:val="00A10A30"/>
    <w:rsid w:val="00A10A42"/>
    <w:rsid w:val="00A10B0A"/>
    <w:rsid w:val="00A10D15"/>
    <w:rsid w:val="00A10D4F"/>
    <w:rsid w:val="00A1106B"/>
    <w:rsid w:val="00A11091"/>
    <w:rsid w:val="00A111BE"/>
    <w:rsid w:val="00A11224"/>
    <w:rsid w:val="00A1124A"/>
    <w:rsid w:val="00A11274"/>
    <w:rsid w:val="00A114FF"/>
    <w:rsid w:val="00A1155E"/>
    <w:rsid w:val="00A11A10"/>
    <w:rsid w:val="00A11BB1"/>
    <w:rsid w:val="00A11BF1"/>
    <w:rsid w:val="00A11C6B"/>
    <w:rsid w:val="00A11D93"/>
    <w:rsid w:val="00A11FE7"/>
    <w:rsid w:val="00A11FF1"/>
    <w:rsid w:val="00A12098"/>
    <w:rsid w:val="00A1216C"/>
    <w:rsid w:val="00A12191"/>
    <w:rsid w:val="00A124A5"/>
    <w:rsid w:val="00A124B7"/>
    <w:rsid w:val="00A127E3"/>
    <w:rsid w:val="00A12A4D"/>
    <w:rsid w:val="00A12AD6"/>
    <w:rsid w:val="00A12BBC"/>
    <w:rsid w:val="00A12C00"/>
    <w:rsid w:val="00A12E5A"/>
    <w:rsid w:val="00A12FFA"/>
    <w:rsid w:val="00A13091"/>
    <w:rsid w:val="00A130AB"/>
    <w:rsid w:val="00A13219"/>
    <w:rsid w:val="00A1367C"/>
    <w:rsid w:val="00A1382E"/>
    <w:rsid w:val="00A138DF"/>
    <w:rsid w:val="00A13B2F"/>
    <w:rsid w:val="00A13C87"/>
    <w:rsid w:val="00A13D0C"/>
    <w:rsid w:val="00A13ED1"/>
    <w:rsid w:val="00A13F0C"/>
    <w:rsid w:val="00A140C8"/>
    <w:rsid w:val="00A1422F"/>
    <w:rsid w:val="00A14259"/>
    <w:rsid w:val="00A142BC"/>
    <w:rsid w:val="00A142EE"/>
    <w:rsid w:val="00A143DC"/>
    <w:rsid w:val="00A14723"/>
    <w:rsid w:val="00A149E0"/>
    <w:rsid w:val="00A14A19"/>
    <w:rsid w:val="00A14E12"/>
    <w:rsid w:val="00A151F1"/>
    <w:rsid w:val="00A1530A"/>
    <w:rsid w:val="00A15373"/>
    <w:rsid w:val="00A155E1"/>
    <w:rsid w:val="00A15600"/>
    <w:rsid w:val="00A15671"/>
    <w:rsid w:val="00A157C7"/>
    <w:rsid w:val="00A15817"/>
    <w:rsid w:val="00A159DF"/>
    <w:rsid w:val="00A15ABC"/>
    <w:rsid w:val="00A15ACA"/>
    <w:rsid w:val="00A15AF6"/>
    <w:rsid w:val="00A15DEE"/>
    <w:rsid w:val="00A15DF1"/>
    <w:rsid w:val="00A15E04"/>
    <w:rsid w:val="00A15E58"/>
    <w:rsid w:val="00A15F1B"/>
    <w:rsid w:val="00A1603C"/>
    <w:rsid w:val="00A1606D"/>
    <w:rsid w:val="00A1614F"/>
    <w:rsid w:val="00A16201"/>
    <w:rsid w:val="00A1623E"/>
    <w:rsid w:val="00A1647F"/>
    <w:rsid w:val="00A1663E"/>
    <w:rsid w:val="00A1665D"/>
    <w:rsid w:val="00A166CA"/>
    <w:rsid w:val="00A1681C"/>
    <w:rsid w:val="00A16889"/>
    <w:rsid w:val="00A16956"/>
    <w:rsid w:val="00A16996"/>
    <w:rsid w:val="00A169F2"/>
    <w:rsid w:val="00A16A73"/>
    <w:rsid w:val="00A16E50"/>
    <w:rsid w:val="00A16F12"/>
    <w:rsid w:val="00A16F1E"/>
    <w:rsid w:val="00A16FE8"/>
    <w:rsid w:val="00A16FF4"/>
    <w:rsid w:val="00A170C9"/>
    <w:rsid w:val="00A1710D"/>
    <w:rsid w:val="00A17153"/>
    <w:rsid w:val="00A171E0"/>
    <w:rsid w:val="00A172B0"/>
    <w:rsid w:val="00A172CF"/>
    <w:rsid w:val="00A17543"/>
    <w:rsid w:val="00A1766E"/>
    <w:rsid w:val="00A1773F"/>
    <w:rsid w:val="00A17755"/>
    <w:rsid w:val="00A177C7"/>
    <w:rsid w:val="00A17836"/>
    <w:rsid w:val="00A1787E"/>
    <w:rsid w:val="00A178B2"/>
    <w:rsid w:val="00A178F2"/>
    <w:rsid w:val="00A179B9"/>
    <w:rsid w:val="00A17A60"/>
    <w:rsid w:val="00A17B1E"/>
    <w:rsid w:val="00A17BD8"/>
    <w:rsid w:val="00A17E5A"/>
    <w:rsid w:val="00A17E88"/>
    <w:rsid w:val="00A200E2"/>
    <w:rsid w:val="00A202E2"/>
    <w:rsid w:val="00A20314"/>
    <w:rsid w:val="00A2069D"/>
    <w:rsid w:val="00A206E9"/>
    <w:rsid w:val="00A20739"/>
    <w:rsid w:val="00A208FF"/>
    <w:rsid w:val="00A20AA5"/>
    <w:rsid w:val="00A20AC3"/>
    <w:rsid w:val="00A20B1B"/>
    <w:rsid w:val="00A20B21"/>
    <w:rsid w:val="00A20ECC"/>
    <w:rsid w:val="00A21011"/>
    <w:rsid w:val="00A2113F"/>
    <w:rsid w:val="00A212DB"/>
    <w:rsid w:val="00A21386"/>
    <w:rsid w:val="00A21391"/>
    <w:rsid w:val="00A214EA"/>
    <w:rsid w:val="00A215F6"/>
    <w:rsid w:val="00A215FF"/>
    <w:rsid w:val="00A21679"/>
    <w:rsid w:val="00A21712"/>
    <w:rsid w:val="00A21715"/>
    <w:rsid w:val="00A2174D"/>
    <w:rsid w:val="00A2178F"/>
    <w:rsid w:val="00A217B7"/>
    <w:rsid w:val="00A218A4"/>
    <w:rsid w:val="00A21919"/>
    <w:rsid w:val="00A21D3B"/>
    <w:rsid w:val="00A21D51"/>
    <w:rsid w:val="00A21DC1"/>
    <w:rsid w:val="00A21F40"/>
    <w:rsid w:val="00A2210A"/>
    <w:rsid w:val="00A2210F"/>
    <w:rsid w:val="00A222CF"/>
    <w:rsid w:val="00A22365"/>
    <w:rsid w:val="00A22499"/>
    <w:rsid w:val="00A224AD"/>
    <w:rsid w:val="00A225C2"/>
    <w:rsid w:val="00A22713"/>
    <w:rsid w:val="00A22A9A"/>
    <w:rsid w:val="00A22B04"/>
    <w:rsid w:val="00A22BB4"/>
    <w:rsid w:val="00A22C2C"/>
    <w:rsid w:val="00A22D3A"/>
    <w:rsid w:val="00A22DB9"/>
    <w:rsid w:val="00A22E7F"/>
    <w:rsid w:val="00A22F11"/>
    <w:rsid w:val="00A22F44"/>
    <w:rsid w:val="00A23014"/>
    <w:rsid w:val="00A23075"/>
    <w:rsid w:val="00A230EE"/>
    <w:rsid w:val="00A232C1"/>
    <w:rsid w:val="00A2331F"/>
    <w:rsid w:val="00A233A2"/>
    <w:rsid w:val="00A234CE"/>
    <w:rsid w:val="00A2354E"/>
    <w:rsid w:val="00A23705"/>
    <w:rsid w:val="00A2375E"/>
    <w:rsid w:val="00A239FE"/>
    <w:rsid w:val="00A23A49"/>
    <w:rsid w:val="00A23ACC"/>
    <w:rsid w:val="00A23B70"/>
    <w:rsid w:val="00A23BAB"/>
    <w:rsid w:val="00A23D10"/>
    <w:rsid w:val="00A23F0F"/>
    <w:rsid w:val="00A23F76"/>
    <w:rsid w:val="00A2400D"/>
    <w:rsid w:val="00A240AB"/>
    <w:rsid w:val="00A241CE"/>
    <w:rsid w:val="00A24217"/>
    <w:rsid w:val="00A2421F"/>
    <w:rsid w:val="00A24327"/>
    <w:rsid w:val="00A2434A"/>
    <w:rsid w:val="00A24464"/>
    <w:rsid w:val="00A24467"/>
    <w:rsid w:val="00A2451E"/>
    <w:rsid w:val="00A2457B"/>
    <w:rsid w:val="00A24608"/>
    <w:rsid w:val="00A2460D"/>
    <w:rsid w:val="00A24666"/>
    <w:rsid w:val="00A2469C"/>
    <w:rsid w:val="00A24706"/>
    <w:rsid w:val="00A248AA"/>
    <w:rsid w:val="00A248EF"/>
    <w:rsid w:val="00A24912"/>
    <w:rsid w:val="00A24960"/>
    <w:rsid w:val="00A249E8"/>
    <w:rsid w:val="00A24A33"/>
    <w:rsid w:val="00A24BFE"/>
    <w:rsid w:val="00A24D98"/>
    <w:rsid w:val="00A25126"/>
    <w:rsid w:val="00A251DC"/>
    <w:rsid w:val="00A2524C"/>
    <w:rsid w:val="00A255C8"/>
    <w:rsid w:val="00A255D4"/>
    <w:rsid w:val="00A25712"/>
    <w:rsid w:val="00A2575F"/>
    <w:rsid w:val="00A257D9"/>
    <w:rsid w:val="00A25872"/>
    <w:rsid w:val="00A25976"/>
    <w:rsid w:val="00A259B5"/>
    <w:rsid w:val="00A259D7"/>
    <w:rsid w:val="00A25BF5"/>
    <w:rsid w:val="00A25C2E"/>
    <w:rsid w:val="00A25CD4"/>
    <w:rsid w:val="00A25E5C"/>
    <w:rsid w:val="00A25F71"/>
    <w:rsid w:val="00A25FBC"/>
    <w:rsid w:val="00A26016"/>
    <w:rsid w:val="00A2604A"/>
    <w:rsid w:val="00A26120"/>
    <w:rsid w:val="00A261AC"/>
    <w:rsid w:val="00A2624A"/>
    <w:rsid w:val="00A2626C"/>
    <w:rsid w:val="00A264BB"/>
    <w:rsid w:val="00A26501"/>
    <w:rsid w:val="00A265B2"/>
    <w:rsid w:val="00A26620"/>
    <w:rsid w:val="00A26668"/>
    <w:rsid w:val="00A2667F"/>
    <w:rsid w:val="00A2670C"/>
    <w:rsid w:val="00A2672F"/>
    <w:rsid w:val="00A2678C"/>
    <w:rsid w:val="00A267F1"/>
    <w:rsid w:val="00A26846"/>
    <w:rsid w:val="00A2696A"/>
    <w:rsid w:val="00A269F6"/>
    <w:rsid w:val="00A26AB3"/>
    <w:rsid w:val="00A26B09"/>
    <w:rsid w:val="00A26C13"/>
    <w:rsid w:val="00A26C52"/>
    <w:rsid w:val="00A26D92"/>
    <w:rsid w:val="00A26F50"/>
    <w:rsid w:val="00A27124"/>
    <w:rsid w:val="00A273B6"/>
    <w:rsid w:val="00A273CF"/>
    <w:rsid w:val="00A2745F"/>
    <w:rsid w:val="00A27520"/>
    <w:rsid w:val="00A27531"/>
    <w:rsid w:val="00A27534"/>
    <w:rsid w:val="00A27545"/>
    <w:rsid w:val="00A275CF"/>
    <w:rsid w:val="00A27658"/>
    <w:rsid w:val="00A27695"/>
    <w:rsid w:val="00A2769D"/>
    <w:rsid w:val="00A27725"/>
    <w:rsid w:val="00A2773D"/>
    <w:rsid w:val="00A27741"/>
    <w:rsid w:val="00A27801"/>
    <w:rsid w:val="00A27841"/>
    <w:rsid w:val="00A2787E"/>
    <w:rsid w:val="00A278CF"/>
    <w:rsid w:val="00A27991"/>
    <w:rsid w:val="00A27A34"/>
    <w:rsid w:val="00A27D9D"/>
    <w:rsid w:val="00A27E46"/>
    <w:rsid w:val="00A27EE6"/>
    <w:rsid w:val="00A27EFD"/>
    <w:rsid w:val="00A27F5F"/>
    <w:rsid w:val="00A27FEF"/>
    <w:rsid w:val="00A3001B"/>
    <w:rsid w:val="00A30085"/>
    <w:rsid w:val="00A301EE"/>
    <w:rsid w:val="00A30297"/>
    <w:rsid w:val="00A302E4"/>
    <w:rsid w:val="00A30313"/>
    <w:rsid w:val="00A30378"/>
    <w:rsid w:val="00A305E0"/>
    <w:rsid w:val="00A3060A"/>
    <w:rsid w:val="00A3076E"/>
    <w:rsid w:val="00A30784"/>
    <w:rsid w:val="00A307F6"/>
    <w:rsid w:val="00A3090D"/>
    <w:rsid w:val="00A30928"/>
    <w:rsid w:val="00A30961"/>
    <w:rsid w:val="00A30B46"/>
    <w:rsid w:val="00A30B4B"/>
    <w:rsid w:val="00A30B74"/>
    <w:rsid w:val="00A30B81"/>
    <w:rsid w:val="00A30CFC"/>
    <w:rsid w:val="00A30D71"/>
    <w:rsid w:val="00A30EA5"/>
    <w:rsid w:val="00A30F4D"/>
    <w:rsid w:val="00A30FE6"/>
    <w:rsid w:val="00A310E7"/>
    <w:rsid w:val="00A31102"/>
    <w:rsid w:val="00A31160"/>
    <w:rsid w:val="00A311F9"/>
    <w:rsid w:val="00A312BB"/>
    <w:rsid w:val="00A3140A"/>
    <w:rsid w:val="00A31469"/>
    <w:rsid w:val="00A316DA"/>
    <w:rsid w:val="00A3176E"/>
    <w:rsid w:val="00A317B6"/>
    <w:rsid w:val="00A3184B"/>
    <w:rsid w:val="00A31953"/>
    <w:rsid w:val="00A319AA"/>
    <w:rsid w:val="00A31B78"/>
    <w:rsid w:val="00A31DC3"/>
    <w:rsid w:val="00A31EB2"/>
    <w:rsid w:val="00A31FAC"/>
    <w:rsid w:val="00A322A2"/>
    <w:rsid w:val="00A323E0"/>
    <w:rsid w:val="00A324F3"/>
    <w:rsid w:val="00A32640"/>
    <w:rsid w:val="00A32951"/>
    <w:rsid w:val="00A32957"/>
    <w:rsid w:val="00A32BCE"/>
    <w:rsid w:val="00A32D9A"/>
    <w:rsid w:val="00A32F36"/>
    <w:rsid w:val="00A32F82"/>
    <w:rsid w:val="00A330EB"/>
    <w:rsid w:val="00A33118"/>
    <w:rsid w:val="00A33165"/>
    <w:rsid w:val="00A33208"/>
    <w:rsid w:val="00A332B5"/>
    <w:rsid w:val="00A333EC"/>
    <w:rsid w:val="00A334BF"/>
    <w:rsid w:val="00A335B8"/>
    <w:rsid w:val="00A335D7"/>
    <w:rsid w:val="00A3361C"/>
    <w:rsid w:val="00A33654"/>
    <w:rsid w:val="00A337F4"/>
    <w:rsid w:val="00A33884"/>
    <w:rsid w:val="00A33964"/>
    <w:rsid w:val="00A33AE1"/>
    <w:rsid w:val="00A33B21"/>
    <w:rsid w:val="00A33B54"/>
    <w:rsid w:val="00A33BA2"/>
    <w:rsid w:val="00A33C55"/>
    <w:rsid w:val="00A33C8E"/>
    <w:rsid w:val="00A33CC2"/>
    <w:rsid w:val="00A33ED9"/>
    <w:rsid w:val="00A33F8C"/>
    <w:rsid w:val="00A3407D"/>
    <w:rsid w:val="00A34126"/>
    <w:rsid w:val="00A34219"/>
    <w:rsid w:val="00A34238"/>
    <w:rsid w:val="00A342AA"/>
    <w:rsid w:val="00A3441A"/>
    <w:rsid w:val="00A344E8"/>
    <w:rsid w:val="00A344F1"/>
    <w:rsid w:val="00A3473F"/>
    <w:rsid w:val="00A34910"/>
    <w:rsid w:val="00A34A00"/>
    <w:rsid w:val="00A34AD0"/>
    <w:rsid w:val="00A34BE4"/>
    <w:rsid w:val="00A34C80"/>
    <w:rsid w:val="00A34CEB"/>
    <w:rsid w:val="00A34D63"/>
    <w:rsid w:val="00A34D73"/>
    <w:rsid w:val="00A34E55"/>
    <w:rsid w:val="00A34E60"/>
    <w:rsid w:val="00A35040"/>
    <w:rsid w:val="00A350B0"/>
    <w:rsid w:val="00A350E0"/>
    <w:rsid w:val="00A3516B"/>
    <w:rsid w:val="00A353E5"/>
    <w:rsid w:val="00A35531"/>
    <w:rsid w:val="00A35839"/>
    <w:rsid w:val="00A3586E"/>
    <w:rsid w:val="00A35A1C"/>
    <w:rsid w:val="00A35B54"/>
    <w:rsid w:val="00A35BCB"/>
    <w:rsid w:val="00A35BD8"/>
    <w:rsid w:val="00A35C22"/>
    <w:rsid w:val="00A35D29"/>
    <w:rsid w:val="00A35E3B"/>
    <w:rsid w:val="00A35F05"/>
    <w:rsid w:val="00A36203"/>
    <w:rsid w:val="00A3652A"/>
    <w:rsid w:val="00A36535"/>
    <w:rsid w:val="00A36577"/>
    <w:rsid w:val="00A36681"/>
    <w:rsid w:val="00A366D7"/>
    <w:rsid w:val="00A3675E"/>
    <w:rsid w:val="00A368A4"/>
    <w:rsid w:val="00A368D6"/>
    <w:rsid w:val="00A36941"/>
    <w:rsid w:val="00A36965"/>
    <w:rsid w:val="00A369D6"/>
    <w:rsid w:val="00A36A9F"/>
    <w:rsid w:val="00A36AE1"/>
    <w:rsid w:val="00A36C26"/>
    <w:rsid w:val="00A36D75"/>
    <w:rsid w:val="00A373B5"/>
    <w:rsid w:val="00A373BB"/>
    <w:rsid w:val="00A373FC"/>
    <w:rsid w:val="00A37482"/>
    <w:rsid w:val="00A3751F"/>
    <w:rsid w:val="00A377F3"/>
    <w:rsid w:val="00A37CBA"/>
    <w:rsid w:val="00A37D70"/>
    <w:rsid w:val="00A37D9A"/>
    <w:rsid w:val="00A37E1C"/>
    <w:rsid w:val="00A37EA6"/>
    <w:rsid w:val="00A37F63"/>
    <w:rsid w:val="00A4015A"/>
    <w:rsid w:val="00A401BA"/>
    <w:rsid w:val="00A401FC"/>
    <w:rsid w:val="00A402C7"/>
    <w:rsid w:val="00A40356"/>
    <w:rsid w:val="00A40394"/>
    <w:rsid w:val="00A403DA"/>
    <w:rsid w:val="00A405EE"/>
    <w:rsid w:val="00A40666"/>
    <w:rsid w:val="00A40677"/>
    <w:rsid w:val="00A406EE"/>
    <w:rsid w:val="00A40759"/>
    <w:rsid w:val="00A40872"/>
    <w:rsid w:val="00A40881"/>
    <w:rsid w:val="00A4093D"/>
    <w:rsid w:val="00A40A93"/>
    <w:rsid w:val="00A40AA9"/>
    <w:rsid w:val="00A40B3F"/>
    <w:rsid w:val="00A40BE4"/>
    <w:rsid w:val="00A40C4C"/>
    <w:rsid w:val="00A40DBD"/>
    <w:rsid w:val="00A40ECD"/>
    <w:rsid w:val="00A40F80"/>
    <w:rsid w:val="00A41084"/>
    <w:rsid w:val="00A410C4"/>
    <w:rsid w:val="00A410E1"/>
    <w:rsid w:val="00A4120F"/>
    <w:rsid w:val="00A41482"/>
    <w:rsid w:val="00A41530"/>
    <w:rsid w:val="00A4157B"/>
    <w:rsid w:val="00A41600"/>
    <w:rsid w:val="00A4162C"/>
    <w:rsid w:val="00A41702"/>
    <w:rsid w:val="00A417E8"/>
    <w:rsid w:val="00A4181C"/>
    <w:rsid w:val="00A41894"/>
    <w:rsid w:val="00A41C48"/>
    <w:rsid w:val="00A41C94"/>
    <w:rsid w:val="00A41CE7"/>
    <w:rsid w:val="00A41D59"/>
    <w:rsid w:val="00A41D9F"/>
    <w:rsid w:val="00A41E34"/>
    <w:rsid w:val="00A41F2D"/>
    <w:rsid w:val="00A42293"/>
    <w:rsid w:val="00A42466"/>
    <w:rsid w:val="00A42497"/>
    <w:rsid w:val="00A4283B"/>
    <w:rsid w:val="00A4289C"/>
    <w:rsid w:val="00A428D4"/>
    <w:rsid w:val="00A42994"/>
    <w:rsid w:val="00A42997"/>
    <w:rsid w:val="00A42A3C"/>
    <w:rsid w:val="00A42A4C"/>
    <w:rsid w:val="00A42B90"/>
    <w:rsid w:val="00A42B9E"/>
    <w:rsid w:val="00A42DD4"/>
    <w:rsid w:val="00A43104"/>
    <w:rsid w:val="00A4317D"/>
    <w:rsid w:val="00A43283"/>
    <w:rsid w:val="00A43311"/>
    <w:rsid w:val="00A43367"/>
    <w:rsid w:val="00A433B2"/>
    <w:rsid w:val="00A433F1"/>
    <w:rsid w:val="00A434FA"/>
    <w:rsid w:val="00A43548"/>
    <w:rsid w:val="00A43610"/>
    <w:rsid w:val="00A43761"/>
    <w:rsid w:val="00A437E0"/>
    <w:rsid w:val="00A43823"/>
    <w:rsid w:val="00A4386E"/>
    <w:rsid w:val="00A43870"/>
    <w:rsid w:val="00A438EA"/>
    <w:rsid w:val="00A4390D"/>
    <w:rsid w:val="00A4394F"/>
    <w:rsid w:val="00A4398F"/>
    <w:rsid w:val="00A43A05"/>
    <w:rsid w:val="00A43AA2"/>
    <w:rsid w:val="00A43D43"/>
    <w:rsid w:val="00A43DF0"/>
    <w:rsid w:val="00A44123"/>
    <w:rsid w:val="00A441C3"/>
    <w:rsid w:val="00A444EA"/>
    <w:rsid w:val="00A4466B"/>
    <w:rsid w:val="00A4471D"/>
    <w:rsid w:val="00A44954"/>
    <w:rsid w:val="00A449D9"/>
    <w:rsid w:val="00A44D94"/>
    <w:rsid w:val="00A44DE1"/>
    <w:rsid w:val="00A44E38"/>
    <w:rsid w:val="00A44F8C"/>
    <w:rsid w:val="00A45052"/>
    <w:rsid w:val="00A45076"/>
    <w:rsid w:val="00A450D5"/>
    <w:rsid w:val="00A4512A"/>
    <w:rsid w:val="00A4514B"/>
    <w:rsid w:val="00A451B6"/>
    <w:rsid w:val="00A451BD"/>
    <w:rsid w:val="00A45343"/>
    <w:rsid w:val="00A4534E"/>
    <w:rsid w:val="00A4536A"/>
    <w:rsid w:val="00A453A8"/>
    <w:rsid w:val="00A453D4"/>
    <w:rsid w:val="00A45428"/>
    <w:rsid w:val="00A4555A"/>
    <w:rsid w:val="00A455A3"/>
    <w:rsid w:val="00A455C9"/>
    <w:rsid w:val="00A45638"/>
    <w:rsid w:val="00A45679"/>
    <w:rsid w:val="00A45897"/>
    <w:rsid w:val="00A45910"/>
    <w:rsid w:val="00A45B5A"/>
    <w:rsid w:val="00A45B9B"/>
    <w:rsid w:val="00A45E09"/>
    <w:rsid w:val="00A45FBD"/>
    <w:rsid w:val="00A462A1"/>
    <w:rsid w:val="00A462D4"/>
    <w:rsid w:val="00A464E1"/>
    <w:rsid w:val="00A4663F"/>
    <w:rsid w:val="00A46706"/>
    <w:rsid w:val="00A46783"/>
    <w:rsid w:val="00A4684C"/>
    <w:rsid w:val="00A46938"/>
    <w:rsid w:val="00A4696E"/>
    <w:rsid w:val="00A46AA9"/>
    <w:rsid w:val="00A46AB7"/>
    <w:rsid w:val="00A46B7E"/>
    <w:rsid w:val="00A46C72"/>
    <w:rsid w:val="00A46D3B"/>
    <w:rsid w:val="00A46D84"/>
    <w:rsid w:val="00A46DD0"/>
    <w:rsid w:val="00A46E52"/>
    <w:rsid w:val="00A46F3F"/>
    <w:rsid w:val="00A4703E"/>
    <w:rsid w:val="00A470B4"/>
    <w:rsid w:val="00A4710A"/>
    <w:rsid w:val="00A47384"/>
    <w:rsid w:val="00A47406"/>
    <w:rsid w:val="00A4762F"/>
    <w:rsid w:val="00A47637"/>
    <w:rsid w:val="00A47751"/>
    <w:rsid w:val="00A477E0"/>
    <w:rsid w:val="00A47B3A"/>
    <w:rsid w:val="00A47CC7"/>
    <w:rsid w:val="00A47D5B"/>
    <w:rsid w:val="00A47D5D"/>
    <w:rsid w:val="00A47D93"/>
    <w:rsid w:val="00A47D97"/>
    <w:rsid w:val="00A47DEB"/>
    <w:rsid w:val="00A47F6F"/>
    <w:rsid w:val="00A50159"/>
    <w:rsid w:val="00A5022A"/>
    <w:rsid w:val="00A50252"/>
    <w:rsid w:val="00A50308"/>
    <w:rsid w:val="00A503B7"/>
    <w:rsid w:val="00A50549"/>
    <w:rsid w:val="00A50631"/>
    <w:rsid w:val="00A50823"/>
    <w:rsid w:val="00A5085C"/>
    <w:rsid w:val="00A50923"/>
    <w:rsid w:val="00A50C04"/>
    <w:rsid w:val="00A50DA9"/>
    <w:rsid w:val="00A50DCD"/>
    <w:rsid w:val="00A50E0E"/>
    <w:rsid w:val="00A50E40"/>
    <w:rsid w:val="00A51129"/>
    <w:rsid w:val="00A51276"/>
    <w:rsid w:val="00A5152F"/>
    <w:rsid w:val="00A51552"/>
    <w:rsid w:val="00A51573"/>
    <w:rsid w:val="00A5158E"/>
    <w:rsid w:val="00A51663"/>
    <w:rsid w:val="00A516C3"/>
    <w:rsid w:val="00A517C1"/>
    <w:rsid w:val="00A518D8"/>
    <w:rsid w:val="00A51903"/>
    <w:rsid w:val="00A519F5"/>
    <w:rsid w:val="00A51B7B"/>
    <w:rsid w:val="00A51EF7"/>
    <w:rsid w:val="00A521E8"/>
    <w:rsid w:val="00A5220C"/>
    <w:rsid w:val="00A5224E"/>
    <w:rsid w:val="00A522F8"/>
    <w:rsid w:val="00A5237E"/>
    <w:rsid w:val="00A52431"/>
    <w:rsid w:val="00A52693"/>
    <w:rsid w:val="00A527D6"/>
    <w:rsid w:val="00A527DB"/>
    <w:rsid w:val="00A528EC"/>
    <w:rsid w:val="00A52913"/>
    <w:rsid w:val="00A529C0"/>
    <w:rsid w:val="00A52A0D"/>
    <w:rsid w:val="00A52B4B"/>
    <w:rsid w:val="00A52CDB"/>
    <w:rsid w:val="00A52CF6"/>
    <w:rsid w:val="00A52D03"/>
    <w:rsid w:val="00A52DB1"/>
    <w:rsid w:val="00A52E84"/>
    <w:rsid w:val="00A52EDB"/>
    <w:rsid w:val="00A52FA5"/>
    <w:rsid w:val="00A53101"/>
    <w:rsid w:val="00A532AF"/>
    <w:rsid w:val="00A53398"/>
    <w:rsid w:val="00A5340E"/>
    <w:rsid w:val="00A53698"/>
    <w:rsid w:val="00A53702"/>
    <w:rsid w:val="00A537B4"/>
    <w:rsid w:val="00A53808"/>
    <w:rsid w:val="00A53922"/>
    <w:rsid w:val="00A539E5"/>
    <w:rsid w:val="00A53B9B"/>
    <w:rsid w:val="00A53BA7"/>
    <w:rsid w:val="00A53CB3"/>
    <w:rsid w:val="00A53E20"/>
    <w:rsid w:val="00A53EDE"/>
    <w:rsid w:val="00A53F87"/>
    <w:rsid w:val="00A53FA8"/>
    <w:rsid w:val="00A5407E"/>
    <w:rsid w:val="00A5429C"/>
    <w:rsid w:val="00A542A8"/>
    <w:rsid w:val="00A542BC"/>
    <w:rsid w:val="00A54411"/>
    <w:rsid w:val="00A5446C"/>
    <w:rsid w:val="00A5458B"/>
    <w:rsid w:val="00A5474C"/>
    <w:rsid w:val="00A54A4C"/>
    <w:rsid w:val="00A54AF6"/>
    <w:rsid w:val="00A54BB7"/>
    <w:rsid w:val="00A54CB5"/>
    <w:rsid w:val="00A54D29"/>
    <w:rsid w:val="00A54EF4"/>
    <w:rsid w:val="00A54EF8"/>
    <w:rsid w:val="00A54FCD"/>
    <w:rsid w:val="00A550FC"/>
    <w:rsid w:val="00A55195"/>
    <w:rsid w:val="00A551A3"/>
    <w:rsid w:val="00A55261"/>
    <w:rsid w:val="00A55455"/>
    <w:rsid w:val="00A55539"/>
    <w:rsid w:val="00A55724"/>
    <w:rsid w:val="00A5572B"/>
    <w:rsid w:val="00A5576E"/>
    <w:rsid w:val="00A558B0"/>
    <w:rsid w:val="00A55A9D"/>
    <w:rsid w:val="00A55B74"/>
    <w:rsid w:val="00A55C79"/>
    <w:rsid w:val="00A55D6D"/>
    <w:rsid w:val="00A55EC1"/>
    <w:rsid w:val="00A55F12"/>
    <w:rsid w:val="00A55F29"/>
    <w:rsid w:val="00A55F2B"/>
    <w:rsid w:val="00A55F40"/>
    <w:rsid w:val="00A56090"/>
    <w:rsid w:val="00A560D7"/>
    <w:rsid w:val="00A561D0"/>
    <w:rsid w:val="00A5636E"/>
    <w:rsid w:val="00A563B9"/>
    <w:rsid w:val="00A56511"/>
    <w:rsid w:val="00A5656C"/>
    <w:rsid w:val="00A566A8"/>
    <w:rsid w:val="00A5680C"/>
    <w:rsid w:val="00A568BA"/>
    <w:rsid w:val="00A56973"/>
    <w:rsid w:val="00A56DA3"/>
    <w:rsid w:val="00A56EF2"/>
    <w:rsid w:val="00A56F75"/>
    <w:rsid w:val="00A57121"/>
    <w:rsid w:val="00A5722D"/>
    <w:rsid w:val="00A5725E"/>
    <w:rsid w:val="00A572E8"/>
    <w:rsid w:val="00A57317"/>
    <w:rsid w:val="00A57348"/>
    <w:rsid w:val="00A5735E"/>
    <w:rsid w:val="00A5746D"/>
    <w:rsid w:val="00A57484"/>
    <w:rsid w:val="00A574C6"/>
    <w:rsid w:val="00A574DC"/>
    <w:rsid w:val="00A575A6"/>
    <w:rsid w:val="00A576C1"/>
    <w:rsid w:val="00A57705"/>
    <w:rsid w:val="00A577BF"/>
    <w:rsid w:val="00A578ED"/>
    <w:rsid w:val="00A57A52"/>
    <w:rsid w:val="00A57B1B"/>
    <w:rsid w:val="00A57C93"/>
    <w:rsid w:val="00A57E83"/>
    <w:rsid w:val="00A60061"/>
    <w:rsid w:val="00A60105"/>
    <w:rsid w:val="00A601BE"/>
    <w:rsid w:val="00A60253"/>
    <w:rsid w:val="00A603E1"/>
    <w:rsid w:val="00A6040A"/>
    <w:rsid w:val="00A6042C"/>
    <w:rsid w:val="00A60696"/>
    <w:rsid w:val="00A606EE"/>
    <w:rsid w:val="00A60751"/>
    <w:rsid w:val="00A60899"/>
    <w:rsid w:val="00A60A87"/>
    <w:rsid w:val="00A60A94"/>
    <w:rsid w:val="00A60D7F"/>
    <w:rsid w:val="00A60D8E"/>
    <w:rsid w:val="00A60D8F"/>
    <w:rsid w:val="00A60E12"/>
    <w:rsid w:val="00A60E71"/>
    <w:rsid w:val="00A60E7E"/>
    <w:rsid w:val="00A60EB4"/>
    <w:rsid w:val="00A60F20"/>
    <w:rsid w:val="00A61052"/>
    <w:rsid w:val="00A61143"/>
    <w:rsid w:val="00A61228"/>
    <w:rsid w:val="00A612ED"/>
    <w:rsid w:val="00A6132A"/>
    <w:rsid w:val="00A613F2"/>
    <w:rsid w:val="00A61438"/>
    <w:rsid w:val="00A614BB"/>
    <w:rsid w:val="00A61505"/>
    <w:rsid w:val="00A6156D"/>
    <w:rsid w:val="00A6164E"/>
    <w:rsid w:val="00A61938"/>
    <w:rsid w:val="00A61981"/>
    <w:rsid w:val="00A61AC4"/>
    <w:rsid w:val="00A61B23"/>
    <w:rsid w:val="00A61BCD"/>
    <w:rsid w:val="00A61D08"/>
    <w:rsid w:val="00A61D64"/>
    <w:rsid w:val="00A61D6B"/>
    <w:rsid w:val="00A61DAC"/>
    <w:rsid w:val="00A61DE9"/>
    <w:rsid w:val="00A61F0F"/>
    <w:rsid w:val="00A61F6E"/>
    <w:rsid w:val="00A620E3"/>
    <w:rsid w:val="00A62150"/>
    <w:rsid w:val="00A6239B"/>
    <w:rsid w:val="00A624ED"/>
    <w:rsid w:val="00A62532"/>
    <w:rsid w:val="00A62544"/>
    <w:rsid w:val="00A6260F"/>
    <w:rsid w:val="00A6265D"/>
    <w:rsid w:val="00A6265E"/>
    <w:rsid w:val="00A62693"/>
    <w:rsid w:val="00A62733"/>
    <w:rsid w:val="00A627AB"/>
    <w:rsid w:val="00A6295F"/>
    <w:rsid w:val="00A629E6"/>
    <w:rsid w:val="00A62A09"/>
    <w:rsid w:val="00A62AA6"/>
    <w:rsid w:val="00A62AED"/>
    <w:rsid w:val="00A62B19"/>
    <w:rsid w:val="00A62D18"/>
    <w:rsid w:val="00A62E7C"/>
    <w:rsid w:val="00A62EAA"/>
    <w:rsid w:val="00A62F33"/>
    <w:rsid w:val="00A633E4"/>
    <w:rsid w:val="00A63444"/>
    <w:rsid w:val="00A6344A"/>
    <w:rsid w:val="00A63533"/>
    <w:rsid w:val="00A63537"/>
    <w:rsid w:val="00A6356C"/>
    <w:rsid w:val="00A63657"/>
    <w:rsid w:val="00A63720"/>
    <w:rsid w:val="00A6373D"/>
    <w:rsid w:val="00A6384B"/>
    <w:rsid w:val="00A63866"/>
    <w:rsid w:val="00A63905"/>
    <w:rsid w:val="00A63A4A"/>
    <w:rsid w:val="00A63A80"/>
    <w:rsid w:val="00A63B81"/>
    <w:rsid w:val="00A63CA6"/>
    <w:rsid w:val="00A63D2E"/>
    <w:rsid w:val="00A63E2C"/>
    <w:rsid w:val="00A63E45"/>
    <w:rsid w:val="00A63FD7"/>
    <w:rsid w:val="00A64037"/>
    <w:rsid w:val="00A6404E"/>
    <w:rsid w:val="00A6411C"/>
    <w:rsid w:val="00A641C1"/>
    <w:rsid w:val="00A64234"/>
    <w:rsid w:val="00A642B5"/>
    <w:rsid w:val="00A642EB"/>
    <w:rsid w:val="00A643EC"/>
    <w:rsid w:val="00A643F8"/>
    <w:rsid w:val="00A6447F"/>
    <w:rsid w:val="00A64504"/>
    <w:rsid w:val="00A64569"/>
    <w:rsid w:val="00A6469B"/>
    <w:rsid w:val="00A64734"/>
    <w:rsid w:val="00A648AC"/>
    <w:rsid w:val="00A64B66"/>
    <w:rsid w:val="00A64B7B"/>
    <w:rsid w:val="00A64DA5"/>
    <w:rsid w:val="00A6501F"/>
    <w:rsid w:val="00A65291"/>
    <w:rsid w:val="00A65343"/>
    <w:rsid w:val="00A653E4"/>
    <w:rsid w:val="00A65582"/>
    <w:rsid w:val="00A65625"/>
    <w:rsid w:val="00A65803"/>
    <w:rsid w:val="00A658E0"/>
    <w:rsid w:val="00A65917"/>
    <w:rsid w:val="00A65A92"/>
    <w:rsid w:val="00A65BF5"/>
    <w:rsid w:val="00A65D0F"/>
    <w:rsid w:val="00A65D87"/>
    <w:rsid w:val="00A65DB2"/>
    <w:rsid w:val="00A65F6C"/>
    <w:rsid w:val="00A65F71"/>
    <w:rsid w:val="00A65FDF"/>
    <w:rsid w:val="00A66026"/>
    <w:rsid w:val="00A660D5"/>
    <w:rsid w:val="00A660DB"/>
    <w:rsid w:val="00A66379"/>
    <w:rsid w:val="00A664F1"/>
    <w:rsid w:val="00A66521"/>
    <w:rsid w:val="00A66675"/>
    <w:rsid w:val="00A6668E"/>
    <w:rsid w:val="00A66738"/>
    <w:rsid w:val="00A66750"/>
    <w:rsid w:val="00A66773"/>
    <w:rsid w:val="00A66857"/>
    <w:rsid w:val="00A66967"/>
    <w:rsid w:val="00A66AD6"/>
    <w:rsid w:val="00A66AF6"/>
    <w:rsid w:val="00A66E6B"/>
    <w:rsid w:val="00A66F82"/>
    <w:rsid w:val="00A6703D"/>
    <w:rsid w:val="00A670CC"/>
    <w:rsid w:val="00A6737B"/>
    <w:rsid w:val="00A673AB"/>
    <w:rsid w:val="00A6757C"/>
    <w:rsid w:val="00A675E0"/>
    <w:rsid w:val="00A67691"/>
    <w:rsid w:val="00A67801"/>
    <w:rsid w:val="00A679FC"/>
    <w:rsid w:val="00A67A4B"/>
    <w:rsid w:val="00A67BFB"/>
    <w:rsid w:val="00A67D4F"/>
    <w:rsid w:val="00A67E7C"/>
    <w:rsid w:val="00A67EB5"/>
    <w:rsid w:val="00A67F02"/>
    <w:rsid w:val="00A67F11"/>
    <w:rsid w:val="00A67F32"/>
    <w:rsid w:val="00A67F54"/>
    <w:rsid w:val="00A702B2"/>
    <w:rsid w:val="00A702EF"/>
    <w:rsid w:val="00A7031A"/>
    <w:rsid w:val="00A70337"/>
    <w:rsid w:val="00A7038B"/>
    <w:rsid w:val="00A704CC"/>
    <w:rsid w:val="00A704FB"/>
    <w:rsid w:val="00A70511"/>
    <w:rsid w:val="00A706E9"/>
    <w:rsid w:val="00A7072F"/>
    <w:rsid w:val="00A7086D"/>
    <w:rsid w:val="00A708DD"/>
    <w:rsid w:val="00A708EE"/>
    <w:rsid w:val="00A70A5B"/>
    <w:rsid w:val="00A70AC5"/>
    <w:rsid w:val="00A70B9B"/>
    <w:rsid w:val="00A70BC3"/>
    <w:rsid w:val="00A70CC9"/>
    <w:rsid w:val="00A70D99"/>
    <w:rsid w:val="00A70DE1"/>
    <w:rsid w:val="00A70E0B"/>
    <w:rsid w:val="00A70E12"/>
    <w:rsid w:val="00A70E86"/>
    <w:rsid w:val="00A70F51"/>
    <w:rsid w:val="00A71263"/>
    <w:rsid w:val="00A714B0"/>
    <w:rsid w:val="00A714EF"/>
    <w:rsid w:val="00A71641"/>
    <w:rsid w:val="00A718D7"/>
    <w:rsid w:val="00A719D3"/>
    <w:rsid w:val="00A71CA3"/>
    <w:rsid w:val="00A71D8A"/>
    <w:rsid w:val="00A720BF"/>
    <w:rsid w:val="00A721C1"/>
    <w:rsid w:val="00A72311"/>
    <w:rsid w:val="00A724F8"/>
    <w:rsid w:val="00A72525"/>
    <w:rsid w:val="00A725AA"/>
    <w:rsid w:val="00A72645"/>
    <w:rsid w:val="00A72673"/>
    <w:rsid w:val="00A72689"/>
    <w:rsid w:val="00A726C6"/>
    <w:rsid w:val="00A726D8"/>
    <w:rsid w:val="00A72712"/>
    <w:rsid w:val="00A727FC"/>
    <w:rsid w:val="00A72802"/>
    <w:rsid w:val="00A72A99"/>
    <w:rsid w:val="00A72B42"/>
    <w:rsid w:val="00A72B86"/>
    <w:rsid w:val="00A72DE8"/>
    <w:rsid w:val="00A72DFE"/>
    <w:rsid w:val="00A72E83"/>
    <w:rsid w:val="00A72F2B"/>
    <w:rsid w:val="00A730A1"/>
    <w:rsid w:val="00A73120"/>
    <w:rsid w:val="00A73281"/>
    <w:rsid w:val="00A732E1"/>
    <w:rsid w:val="00A73341"/>
    <w:rsid w:val="00A73465"/>
    <w:rsid w:val="00A73572"/>
    <w:rsid w:val="00A7369C"/>
    <w:rsid w:val="00A7383C"/>
    <w:rsid w:val="00A73934"/>
    <w:rsid w:val="00A73A5D"/>
    <w:rsid w:val="00A73BCE"/>
    <w:rsid w:val="00A73CA0"/>
    <w:rsid w:val="00A73D60"/>
    <w:rsid w:val="00A73D76"/>
    <w:rsid w:val="00A73D99"/>
    <w:rsid w:val="00A73F89"/>
    <w:rsid w:val="00A7402D"/>
    <w:rsid w:val="00A74141"/>
    <w:rsid w:val="00A741E1"/>
    <w:rsid w:val="00A743AA"/>
    <w:rsid w:val="00A743AB"/>
    <w:rsid w:val="00A7444A"/>
    <w:rsid w:val="00A744C9"/>
    <w:rsid w:val="00A74628"/>
    <w:rsid w:val="00A74637"/>
    <w:rsid w:val="00A746A2"/>
    <w:rsid w:val="00A7472D"/>
    <w:rsid w:val="00A7475A"/>
    <w:rsid w:val="00A747AD"/>
    <w:rsid w:val="00A74909"/>
    <w:rsid w:val="00A749FD"/>
    <w:rsid w:val="00A74A61"/>
    <w:rsid w:val="00A74A94"/>
    <w:rsid w:val="00A74B1F"/>
    <w:rsid w:val="00A74B3F"/>
    <w:rsid w:val="00A74CAC"/>
    <w:rsid w:val="00A74EAC"/>
    <w:rsid w:val="00A7503D"/>
    <w:rsid w:val="00A750F5"/>
    <w:rsid w:val="00A751A3"/>
    <w:rsid w:val="00A75204"/>
    <w:rsid w:val="00A75264"/>
    <w:rsid w:val="00A753CE"/>
    <w:rsid w:val="00A7543B"/>
    <w:rsid w:val="00A7550F"/>
    <w:rsid w:val="00A7556D"/>
    <w:rsid w:val="00A755BC"/>
    <w:rsid w:val="00A75608"/>
    <w:rsid w:val="00A7563D"/>
    <w:rsid w:val="00A7565E"/>
    <w:rsid w:val="00A7567C"/>
    <w:rsid w:val="00A75725"/>
    <w:rsid w:val="00A7585A"/>
    <w:rsid w:val="00A75AE3"/>
    <w:rsid w:val="00A76205"/>
    <w:rsid w:val="00A762E6"/>
    <w:rsid w:val="00A76436"/>
    <w:rsid w:val="00A765D4"/>
    <w:rsid w:val="00A7683D"/>
    <w:rsid w:val="00A7691E"/>
    <w:rsid w:val="00A769B5"/>
    <w:rsid w:val="00A769FF"/>
    <w:rsid w:val="00A76A35"/>
    <w:rsid w:val="00A76B63"/>
    <w:rsid w:val="00A76BC0"/>
    <w:rsid w:val="00A76D71"/>
    <w:rsid w:val="00A76E1C"/>
    <w:rsid w:val="00A76EE0"/>
    <w:rsid w:val="00A76F49"/>
    <w:rsid w:val="00A76FFE"/>
    <w:rsid w:val="00A770E4"/>
    <w:rsid w:val="00A77366"/>
    <w:rsid w:val="00A773AA"/>
    <w:rsid w:val="00A7751B"/>
    <w:rsid w:val="00A77764"/>
    <w:rsid w:val="00A777A6"/>
    <w:rsid w:val="00A7799F"/>
    <w:rsid w:val="00A77D71"/>
    <w:rsid w:val="00A77E80"/>
    <w:rsid w:val="00A77F5F"/>
    <w:rsid w:val="00A800DD"/>
    <w:rsid w:val="00A80128"/>
    <w:rsid w:val="00A80257"/>
    <w:rsid w:val="00A804C2"/>
    <w:rsid w:val="00A80536"/>
    <w:rsid w:val="00A80831"/>
    <w:rsid w:val="00A80A80"/>
    <w:rsid w:val="00A80AE4"/>
    <w:rsid w:val="00A80FF3"/>
    <w:rsid w:val="00A81058"/>
    <w:rsid w:val="00A81146"/>
    <w:rsid w:val="00A811CC"/>
    <w:rsid w:val="00A81277"/>
    <w:rsid w:val="00A81282"/>
    <w:rsid w:val="00A81328"/>
    <w:rsid w:val="00A8147D"/>
    <w:rsid w:val="00A81672"/>
    <w:rsid w:val="00A8191E"/>
    <w:rsid w:val="00A819A8"/>
    <w:rsid w:val="00A81A78"/>
    <w:rsid w:val="00A81B07"/>
    <w:rsid w:val="00A81C70"/>
    <w:rsid w:val="00A81DC4"/>
    <w:rsid w:val="00A81E6F"/>
    <w:rsid w:val="00A81F52"/>
    <w:rsid w:val="00A821ED"/>
    <w:rsid w:val="00A821F2"/>
    <w:rsid w:val="00A82227"/>
    <w:rsid w:val="00A82443"/>
    <w:rsid w:val="00A82A81"/>
    <w:rsid w:val="00A82AFE"/>
    <w:rsid w:val="00A82B18"/>
    <w:rsid w:val="00A82B85"/>
    <w:rsid w:val="00A82DEA"/>
    <w:rsid w:val="00A82E18"/>
    <w:rsid w:val="00A82F40"/>
    <w:rsid w:val="00A83149"/>
    <w:rsid w:val="00A833A1"/>
    <w:rsid w:val="00A833C3"/>
    <w:rsid w:val="00A835CD"/>
    <w:rsid w:val="00A83794"/>
    <w:rsid w:val="00A837C3"/>
    <w:rsid w:val="00A83837"/>
    <w:rsid w:val="00A838AE"/>
    <w:rsid w:val="00A839B0"/>
    <w:rsid w:val="00A83A3E"/>
    <w:rsid w:val="00A83AE3"/>
    <w:rsid w:val="00A83C9D"/>
    <w:rsid w:val="00A83F69"/>
    <w:rsid w:val="00A83F8D"/>
    <w:rsid w:val="00A83FBC"/>
    <w:rsid w:val="00A8401C"/>
    <w:rsid w:val="00A84163"/>
    <w:rsid w:val="00A84209"/>
    <w:rsid w:val="00A842B6"/>
    <w:rsid w:val="00A84433"/>
    <w:rsid w:val="00A8454D"/>
    <w:rsid w:val="00A8465D"/>
    <w:rsid w:val="00A846BC"/>
    <w:rsid w:val="00A84725"/>
    <w:rsid w:val="00A847B1"/>
    <w:rsid w:val="00A847F4"/>
    <w:rsid w:val="00A84958"/>
    <w:rsid w:val="00A84964"/>
    <w:rsid w:val="00A849BB"/>
    <w:rsid w:val="00A84A6F"/>
    <w:rsid w:val="00A84A71"/>
    <w:rsid w:val="00A84B01"/>
    <w:rsid w:val="00A84B59"/>
    <w:rsid w:val="00A84BBF"/>
    <w:rsid w:val="00A84E37"/>
    <w:rsid w:val="00A84FB7"/>
    <w:rsid w:val="00A84FDE"/>
    <w:rsid w:val="00A8507E"/>
    <w:rsid w:val="00A850C0"/>
    <w:rsid w:val="00A85264"/>
    <w:rsid w:val="00A85325"/>
    <w:rsid w:val="00A85363"/>
    <w:rsid w:val="00A853DF"/>
    <w:rsid w:val="00A853EC"/>
    <w:rsid w:val="00A8553A"/>
    <w:rsid w:val="00A85709"/>
    <w:rsid w:val="00A85881"/>
    <w:rsid w:val="00A85A47"/>
    <w:rsid w:val="00A85C77"/>
    <w:rsid w:val="00A85D3E"/>
    <w:rsid w:val="00A85D40"/>
    <w:rsid w:val="00A85D9E"/>
    <w:rsid w:val="00A86095"/>
    <w:rsid w:val="00A8622D"/>
    <w:rsid w:val="00A8623A"/>
    <w:rsid w:val="00A86240"/>
    <w:rsid w:val="00A86370"/>
    <w:rsid w:val="00A86443"/>
    <w:rsid w:val="00A86518"/>
    <w:rsid w:val="00A866DB"/>
    <w:rsid w:val="00A8684A"/>
    <w:rsid w:val="00A869C0"/>
    <w:rsid w:val="00A86A08"/>
    <w:rsid w:val="00A86A45"/>
    <w:rsid w:val="00A86BEE"/>
    <w:rsid w:val="00A86E12"/>
    <w:rsid w:val="00A86F4B"/>
    <w:rsid w:val="00A86FE4"/>
    <w:rsid w:val="00A871A1"/>
    <w:rsid w:val="00A8733D"/>
    <w:rsid w:val="00A8736F"/>
    <w:rsid w:val="00A8737F"/>
    <w:rsid w:val="00A873EE"/>
    <w:rsid w:val="00A87425"/>
    <w:rsid w:val="00A874A2"/>
    <w:rsid w:val="00A875BD"/>
    <w:rsid w:val="00A875FC"/>
    <w:rsid w:val="00A87847"/>
    <w:rsid w:val="00A878C4"/>
    <w:rsid w:val="00A8798C"/>
    <w:rsid w:val="00A87AC4"/>
    <w:rsid w:val="00A87B7A"/>
    <w:rsid w:val="00A87BF0"/>
    <w:rsid w:val="00A87CBA"/>
    <w:rsid w:val="00A87CBF"/>
    <w:rsid w:val="00A87D98"/>
    <w:rsid w:val="00A87DBE"/>
    <w:rsid w:val="00A87DFC"/>
    <w:rsid w:val="00A87EBD"/>
    <w:rsid w:val="00A87F24"/>
    <w:rsid w:val="00A9001D"/>
    <w:rsid w:val="00A90529"/>
    <w:rsid w:val="00A905BC"/>
    <w:rsid w:val="00A906D5"/>
    <w:rsid w:val="00A90736"/>
    <w:rsid w:val="00A90768"/>
    <w:rsid w:val="00A90808"/>
    <w:rsid w:val="00A90840"/>
    <w:rsid w:val="00A9085F"/>
    <w:rsid w:val="00A909BC"/>
    <w:rsid w:val="00A909D1"/>
    <w:rsid w:val="00A90AA8"/>
    <w:rsid w:val="00A90B1A"/>
    <w:rsid w:val="00A90C19"/>
    <w:rsid w:val="00A90F57"/>
    <w:rsid w:val="00A91091"/>
    <w:rsid w:val="00A91103"/>
    <w:rsid w:val="00A9155E"/>
    <w:rsid w:val="00A916C7"/>
    <w:rsid w:val="00A91729"/>
    <w:rsid w:val="00A91751"/>
    <w:rsid w:val="00A9192F"/>
    <w:rsid w:val="00A91940"/>
    <w:rsid w:val="00A91AAB"/>
    <w:rsid w:val="00A91B12"/>
    <w:rsid w:val="00A91C24"/>
    <w:rsid w:val="00A91E85"/>
    <w:rsid w:val="00A91E86"/>
    <w:rsid w:val="00A91F19"/>
    <w:rsid w:val="00A92115"/>
    <w:rsid w:val="00A92165"/>
    <w:rsid w:val="00A92225"/>
    <w:rsid w:val="00A9229B"/>
    <w:rsid w:val="00A922D2"/>
    <w:rsid w:val="00A9232B"/>
    <w:rsid w:val="00A923AE"/>
    <w:rsid w:val="00A923BE"/>
    <w:rsid w:val="00A9250B"/>
    <w:rsid w:val="00A92695"/>
    <w:rsid w:val="00A926D1"/>
    <w:rsid w:val="00A928A0"/>
    <w:rsid w:val="00A929C0"/>
    <w:rsid w:val="00A92A0F"/>
    <w:rsid w:val="00A92AA3"/>
    <w:rsid w:val="00A92BF2"/>
    <w:rsid w:val="00A92C13"/>
    <w:rsid w:val="00A92C98"/>
    <w:rsid w:val="00A92CA9"/>
    <w:rsid w:val="00A92E25"/>
    <w:rsid w:val="00A92F8B"/>
    <w:rsid w:val="00A92FE1"/>
    <w:rsid w:val="00A9315E"/>
    <w:rsid w:val="00A93200"/>
    <w:rsid w:val="00A93365"/>
    <w:rsid w:val="00A933BF"/>
    <w:rsid w:val="00A934CF"/>
    <w:rsid w:val="00A935D2"/>
    <w:rsid w:val="00A936A9"/>
    <w:rsid w:val="00A937A8"/>
    <w:rsid w:val="00A93901"/>
    <w:rsid w:val="00A93993"/>
    <w:rsid w:val="00A93AD7"/>
    <w:rsid w:val="00A93D81"/>
    <w:rsid w:val="00A9415A"/>
    <w:rsid w:val="00A94292"/>
    <w:rsid w:val="00A94499"/>
    <w:rsid w:val="00A9452B"/>
    <w:rsid w:val="00A9454E"/>
    <w:rsid w:val="00A9468D"/>
    <w:rsid w:val="00A94887"/>
    <w:rsid w:val="00A948E1"/>
    <w:rsid w:val="00A94B7B"/>
    <w:rsid w:val="00A94D1B"/>
    <w:rsid w:val="00A94D53"/>
    <w:rsid w:val="00A94D71"/>
    <w:rsid w:val="00A94DF4"/>
    <w:rsid w:val="00A94E93"/>
    <w:rsid w:val="00A95115"/>
    <w:rsid w:val="00A951A3"/>
    <w:rsid w:val="00A95290"/>
    <w:rsid w:val="00A952D3"/>
    <w:rsid w:val="00A9530C"/>
    <w:rsid w:val="00A95496"/>
    <w:rsid w:val="00A954D4"/>
    <w:rsid w:val="00A95745"/>
    <w:rsid w:val="00A958FB"/>
    <w:rsid w:val="00A95A66"/>
    <w:rsid w:val="00A95ACD"/>
    <w:rsid w:val="00A95BA1"/>
    <w:rsid w:val="00A95CB9"/>
    <w:rsid w:val="00A95D0F"/>
    <w:rsid w:val="00A960A9"/>
    <w:rsid w:val="00A9614B"/>
    <w:rsid w:val="00A96167"/>
    <w:rsid w:val="00A9635C"/>
    <w:rsid w:val="00A964A9"/>
    <w:rsid w:val="00A966F9"/>
    <w:rsid w:val="00A9684D"/>
    <w:rsid w:val="00A9687B"/>
    <w:rsid w:val="00A96BCD"/>
    <w:rsid w:val="00A96DDC"/>
    <w:rsid w:val="00A96EB9"/>
    <w:rsid w:val="00A972E3"/>
    <w:rsid w:val="00A972FC"/>
    <w:rsid w:val="00A97345"/>
    <w:rsid w:val="00A97415"/>
    <w:rsid w:val="00A97481"/>
    <w:rsid w:val="00A9750D"/>
    <w:rsid w:val="00A9758B"/>
    <w:rsid w:val="00A97A7B"/>
    <w:rsid w:val="00A97B57"/>
    <w:rsid w:val="00A97BF4"/>
    <w:rsid w:val="00A97D28"/>
    <w:rsid w:val="00A97EDD"/>
    <w:rsid w:val="00A9A51A"/>
    <w:rsid w:val="00AA00A5"/>
    <w:rsid w:val="00AA0176"/>
    <w:rsid w:val="00AA01CA"/>
    <w:rsid w:val="00AA02B4"/>
    <w:rsid w:val="00AA06CA"/>
    <w:rsid w:val="00AA07F7"/>
    <w:rsid w:val="00AA0932"/>
    <w:rsid w:val="00AA0A2E"/>
    <w:rsid w:val="00AA0A64"/>
    <w:rsid w:val="00AA0C4E"/>
    <w:rsid w:val="00AA0C88"/>
    <w:rsid w:val="00AA0CA1"/>
    <w:rsid w:val="00AA0CF3"/>
    <w:rsid w:val="00AA0D6F"/>
    <w:rsid w:val="00AA0E42"/>
    <w:rsid w:val="00AA0EC5"/>
    <w:rsid w:val="00AA0F6C"/>
    <w:rsid w:val="00AA0FE1"/>
    <w:rsid w:val="00AA1073"/>
    <w:rsid w:val="00AA1291"/>
    <w:rsid w:val="00AA12C3"/>
    <w:rsid w:val="00AA1408"/>
    <w:rsid w:val="00AA1426"/>
    <w:rsid w:val="00AA14B3"/>
    <w:rsid w:val="00AA157E"/>
    <w:rsid w:val="00AA1599"/>
    <w:rsid w:val="00AA15BC"/>
    <w:rsid w:val="00AA1618"/>
    <w:rsid w:val="00AA1715"/>
    <w:rsid w:val="00AA17FD"/>
    <w:rsid w:val="00AA1850"/>
    <w:rsid w:val="00AA1923"/>
    <w:rsid w:val="00AA1954"/>
    <w:rsid w:val="00AA1A46"/>
    <w:rsid w:val="00AA1AA1"/>
    <w:rsid w:val="00AA1B76"/>
    <w:rsid w:val="00AA1CAE"/>
    <w:rsid w:val="00AA1D32"/>
    <w:rsid w:val="00AA1DD3"/>
    <w:rsid w:val="00AA1DD9"/>
    <w:rsid w:val="00AA2190"/>
    <w:rsid w:val="00AA2294"/>
    <w:rsid w:val="00AA22C6"/>
    <w:rsid w:val="00AA22D2"/>
    <w:rsid w:val="00AA237E"/>
    <w:rsid w:val="00AA23E4"/>
    <w:rsid w:val="00AA244A"/>
    <w:rsid w:val="00AA247F"/>
    <w:rsid w:val="00AA2555"/>
    <w:rsid w:val="00AA26B6"/>
    <w:rsid w:val="00AA2723"/>
    <w:rsid w:val="00AA27F9"/>
    <w:rsid w:val="00AA28F2"/>
    <w:rsid w:val="00AA2995"/>
    <w:rsid w:val="00AA29E8"/>
    <w:rsid w:val="00AA2A29"/>
    <w:rsid w:val="00AA2A39"/>
    <w:rsid w:val="00AA2C8D"/>
    <w:rsid w:val="00AA2DEF"/>
    <w:rsid w:val="00AA2E68"/>
    <w:rsid w:val="00AA2E97"/>
    <w:rsid w:val="00AA2ECB"/>
    <w:rsid w:val="00AA2F49"/>
    <w:rsid w:val="00AA2FE1"/>
    <w:rsid w:val="00AA30E1"/>
    <w:rsid w:val="00AA3339"/>
    <w:rsid w:val="00AA350D"/>
    <w:rsid w:val="00AA35B5"/>
    <w:rsid w:val="00AA35C3"/>
    <w:rsid w:val="00AA3795"/>
    <w:rsid w:val="00AA396B"/>
    <w:rsid w:val="00AA3989"/>
    <w:rsid w:val="00AA39AF"/>
    <w:rsid w:val="00AA3BB4"/>
    <w:rsid w:val="00AA3F26"/>
    <w:rsid w:val="00AA3F31"/>
    <w:rsid w:val="00AA3F97"/>
    <w:rsid w:val="00AA4046"/>
    <w:rsid w:val="00AA406E"/>
    <w:rsid w:val="00AA423F"/>
    <w:rsid w:val="00AA4304"/>
    <w:rsid w:val="00AA4329"/>
    <w:rsid w:val="00AA4388"/>
    <w:rsid w:val="00AA45B1"/>
    <w:rsid w:val="00AA4661"/>
    <w:rsid w:val="00AA467D"/>
    <w:rsid w:val="00AA470A"/>
    <w:rsid w:val="00AA482C"/>
    <w:rsid w:val="00AA48F7"/>
    <w:rsid w:val="00AA4A5F"/>
    <w:rsid w:val="00AA4A6B"/>
    <w:rsid w:val="00AA4A9A"/>
    <w:rsid w:val="00AA4AA5"/>
    <w:rsid w:val="00AA4ADF"/>
    <w:rsid w:val="00AA4BA2"/>
    <w:rsid w:val="00AA4C0F"/>
    <w:rsid w:val="00AA4F64"/>
    <w:rsid w:val="00AA4F90"/>
    <w:rsid w:val="00AA4FD0"/>
    <w:rsid w:val="00AA51CD"/>
    <w:rsid w:val="00AA533E"/>
    <w:rsid w:val="00AA5389"/>
    <w:rsid w:val="00AA5519"/>
    <w:rsid w:val="00AA56A1"/>
    <w:rsid w:val="00AA56CD"/>
    <w:rsid w:val="00AA56EB"/>
    <w:rsid w:val="00AA5780"/>
    <w:rsid w:val="00AA58EB"/>
    <w:rsid w:val="00AA58FB"/>
    <w:rsid w:val="00AA5E04"/>
    <w:rsid w:val="00AA5EF7"/>
    <w:rsid w:val="00AA6052"/>
    <w:rsid w:val="00AA6456"/>
    <w:rsid w:val="00AA6508"/>
    <w:rsid w:val="00AA6557"/>
    <w:rsid w:val="00AA66A7"/>
    <w:rsid w:val="00AA694E"/>
    <w:rsid w:val="00AA69DF"/>
    <w:rsid w:val="00AA6A74"/>
    <w:rsid w:val="00AA6AA2"/>
    <w:rsid w:val="00AA6B33"/>
    <w:rsid w:val="00AA6C93"/>
    <w:rsid w:val="00AA6CAB"/>
    <w:rsid w:val="00AA7092"/>
    <w:rsid w:val="00AA71E5"/>
    <w:rsid w:val="00AA734E"/>
    <w:rsid w:val="00AA7350"/>
    <w:rsid w:val="00AA7616"/>
    <w:rsid w:val="00AA768C"/>
    <w:rsid w:val="00AA768E"/>
    <w:rsid w:val="00AA7806"/>
    <w:rsid w:val="00AA7895"/>
    <w:rsid w:val="00AA7932"/>
    <w:rsid w:val="00AA798F"/>
    <w:rsid w:val="00AA7AB6"/>
    <w:rsid w:val="00AA7B30"/>
    <w:rsid w:val="00AA7C82"/>
    <w:rsid w:val="00AA7DFB"/>
    <w:rsid w:val="00AA7F86"/>
    <w:rsid w:val="00AA7FCE"/>
    <w:rsid w:val="00AB00C7"/>
    <w:rsid w:val="00AB010B"/>
    <w:rsid w:val="00AB0237"/>
    <w:rsid w:val="00AB03E4"/>
    <w:rsid w:val="00AB0504"/>
    <w:rsid w:val="00AB096B"/>
    <w:rsid w:val="00AB0984"/>
    <w:rsid w:val="00AB0A2F"/>
    <w:rsid w:val="00AB0B96"/>
    <w:rsid w:val="00AB0BDD"/>
    <w:rsid w:val="00AB0BEC"/>
    <w:rsid w:val="00AB0CD6"/>
    <w:rsid w:val="00AB1153"/>
    <w:rsid w:val="00AB12AF"/>
    <w:rsid w:val="00AB1313"/>
    <w:rsid w:val="00AB1366"/>
    <w:rsid w:val="00AB137E"/>
    <w:rsid w:val="00AB1496"/>
    <w:rsid w:val="00AB1617"/>
    <w:rsid w:val="00AB1783"/>
    <w:rsid w:val="00AB17B4"/>
    <w:rsid w:val="00AB17F9"/>
    <w:rsid w:val="00AB19C5"/>
    <w:rsid w:val="00AB1BA6"/>
    <w:rsid w:val="00AB1C09"/>
    <w:rsid w:val="00AB1C1E"/>
    <w:rsid w:val="00AB1CAB"/>
    <w:rsid w:val="00AB1E26"/>
    <w:rsid w:val="00AB1EB6"/>
    <w:rsid w:val="00AB1FA0"/>
    <w:rsid w:val="00AB20F4"/>
    <w:rsid w:val="00AB2182"/>
    <w:rsid w:val="00AB230A"/>
    <w:rsid w:val="00AB246C"/>
    <w:rsid w:val="00AB24B9"/>
    <w:rsid w:val="00AB2506"/>
    <w:rsid w:val="00AB2518"/>
    <w:rsid w:val="00AB2586"/>
    <w:rsid w:val="00AB2720"/>
    <w:rsid w:val="00AB278E"/>
    <w:rsid w:val="00AB2A0F"/>
    <w:rsid w:val="00AB2AA4"/>
    <w:rsid w:val="00AB2CFC"/>
    <w:rsid w:val="00AB2D37"/>
    <w:rsid w:val="00AB2F87"/>
    <w:rsid w:val="00AB2FEC"/>
    <w:rsid w:val="00AB2FED"/>
    <w:rsid w:val="00AB3073"/>
    <w:rsid w:val="00AB30EA"/>
    <w:rsid w:val="00AB30FD"/>
    <w:rsid w:val="00AB3191"/>
    <w:rsid w:val="00AB32E6"/>
    <w:rsid w:val="00AB3456"/>
    <w:rsid w:val="00AB349E"/>
    <w:rsid w:val="00AB34AB"/>
    <w:rsid w:val="00AB360E"/>
    <w:rsid w:val="00AB36FF"/>
    <w:rsid w:val="00AB3AA6"/>
    <w:rsid w:val="00AB3BDA"/>
    <w:rsid w:val="00AB3C24"/>
    <w:rsid w:val="00AB3E79"/>
    <w:rsid w:val="00AB3F0A"/>
    <w:rsid w:val="00AB3F49"/>
    <w:rsid w:val="00AB4056"/>
    <w:rsid w:val="00AB4058"/>
    <w:rsid w:val="00AB42CD"/>
    <w:rsid w:val="00AB43BA"/>
    <w:rsid w:val="00AB43C8"/>
    <w:rsid w:val="00AB4524"/>
    <w:rsid w:val="00AB45CA"/>
    <w:rsid w:val="00AB4823"/>
    <w:rsid w:val="00AB4989"/>
    <w:rsid w:val="00AB4A15"/>
    <w:rsid w:val="00AB4A5F"/>
    <w:rsid w:val="00AB4BF5"/>
    <w:rsid w:val="00AB4CD3"/>
    <w:rsid w:val="00AB4D17"/>
    <w:rsid w:val="00AB4DFE"/>
    <w:rsid w:val="00AB4E17"/>
    <w:rsid w:val="00AB4E7B"/>
    <w:rsid w:val="00AB4E99"/>
    <w:rsid w:val="00AB4F4E"/>
    <w:rsid w:val="00AB50C9"/>
    <w:rsid w:val="00AB50EA"/>
    <w:rsid w:val="00AB511F"/>
    <w:rsid w:val="00AB514D"/>
    <w:rsid w:val="00AB521E"/>
    <w:rsid w:val="00AB53F5"/>
    <w:rsid w:val="00AB5477"/>
    <w:rsid w:val="00AB550E"/>
    <w:rsid w:val="00AB5564"/>
    <w:rsid w:val="00AB563E"/>
    <w:rsid w:val="00AB5688"/>
    <w:rsid w:val="00AB5A9D"/>
    <w:rsid w:val="00AB5ABE"/>
    <w:rsid w:val="00AB5ACF"/>
    <w:rsid w:val="00AB5B3C"/>
    <w:rsid w:val="00AB5B3F"/>
    <w:rsid w:val="00AB5BBB"/>
    <w:rsid w:val="00AB5C47"/>
    <w:rsid w:val="00AB5D6B"/>
    <w:rsid w:val="00AB5DD7"/>
    <w:rsid w:val="00AB5F8D"/>
    <w:rsid w:val="00AB60A5"/>
    <w:rsid w:val="00AB6127"/>
    <w:rsid w:val="00AB61AF"/>
    <w:rsid w:val="00AB62A4"/>
    <w:rsid w:val="00AB62D1"/>
    <w:rsid w:val="00AB63D4"/>
    <w:rsid w:val="00AB642B"/>
    <w:rsid w:val="00AB65CE"/>
    <w:rsid w:val="00AB6722"/>
    <w:rsid w:val="00AB6856"/>
    <w:rsid w:val="00AB6962"/>
    <w:rsid w:val="00AB6A44"/>
    <w:rsid w:val="00AB6B26"/>
    <w:rsid w:val="00AB6C64"/>
    <w:rsid w:val="00AB6C66"/>
    <w:rsid w:val="00AB6C8D"/>
    <w:rsid w:val="00AB6D58"/>
    <w:rsid w:val="00AB6DB0"/>
    <w:rsid w:val="00AB6EDD"/>
    <w:rsid w:val="00AB6FF2"/>
    <w:rsid w:val="00AB7161"/>
    <w:rsid w:val="00AB722E"/>
    <w:rsid w:val="00AB7280"/>
    <w:rsid w:val="00AB7324"/>
    <w:rsid w:val="00AB749C"/>
    <w:rsid w:val="00AB74E6"/>
    <w:rsid w:val="00AB7667"/>
    <w:rsid w:val="00AB76A9"/>
    <w:rsid w:val="00AB7793"/>
    <w:rsid w:val="00AB79B7"/>
    <w:rsid w:val="00AB7AB0"/>
    <w:rsid w:val="00AB7E29"/>
    <w:rsid w:val="00AB7E92"/>
    <w:rsid w:val="00AC0164"/>
    <w:rsid w:val="00AC0215"/>
    <w:rsid w:val="00AC03B1"/>
    <w:rsid w:val="00AC047F"/>
    <w:rsid w:val="00AC04F9"/>
    <w:rsid w:val="00AC0735"/>
    <w:rsid w:val="00AC0764"/>
    <w:rsid w:val="00AC0766"/>
    <w:rsid w:val="00AC096D"/>
    <w:rsid w:val="00AC0AB2"/>
    <w:rsid w:val="00AC0BFD"/>
    <w:rsid w:val="00AC0C50"/>
    <w:rsid w:val="00AC0CC1"/>
    <w:rsid w:val="00AC0CD6"/>
    <w:rsid w:val="00AC0FAF"/>
    <w:rsid w:val="00AC1175"/>
    <w:rsid w:val="00AC13BF"/>
    <w:rsid w:val="00AC148F"/>
    <w:rsid w:val="00AC158F"/>
    <w:rsid w:val="00AC17F4"/>
    <w:rsid w:val="00AC1841"/>
    <w:rsid w:val="00AC196D"/>
    <w:rsid w:val="00AC1A29"/>
    <w:rsid w:val="00AC1D45"/>
    <w:rsid w:val="00AC1E7F"/>
    <w:rsid w:val="00AC1FD4"/>
    <w:rsid w:val="00AC207B"/>
    <w:rsid w:val="00AC21CF"/>
    <w:rsid w:val="00AC22B8"/>
    <w:rsid w:val="00AC234D"/>
    <w:rsid w:val="00AC23F0"/>
    <w:rsid w:val="00AC2493"/>
    <w:rsid w:val="00AC24E5"/>
    <w:rsid w:val="00AC254F"/>
    <w:rsid w:val="00AC25F2"/>
    <w:rsid w:val="00AC26CD"/>
    <w:rsid w:val="00AC26D4"/>
    <w:rsid w:val="00AC277D"/>
    <w:rsid w:val="00AC27A5"/>
    <w:rsid w:val="00AC27D3"/>
    <w:rsid w:val="00AC280E"/>
    <w:rsid w:val="00AC29CC"/>
    <w:rsid w:val="00AC2A3C"/>
    <w:rsid w:val="00AC2B43"/>
    <w:rsid w:val="00AC2B58"/>
    <w:rsid w:val="00AC2CF4"/>
    <w:rsid w:val="00AC2D40"/>
    <w:rsid w:val="00AC2D9F"/>
    <w:rsid w:val="00AC2DAB"/>
    <w:rsid w:val="00AC2DD3"/>
    <w:rsid w:val="00AC2ECA"/>
    <w:rsid w:val="00AC2FC5"/>
    <w:rsid w:val="00AC311E"/>
    <w:rsid w:val="00AC328E"/>
    <w:rsid w:val="00AC3304"/>
    <w:rsid w:val="00AC3368"/>
    <w:rsid w:val="00AC34BB"/>
    <w:rsid w:val="00AC3502"/>
    <w:rsid w:val="00AC359F"/>
    <w:rsid w:val="00AC367E"/>
    <w:rsid w:val="00AC372B"/>
    <w:rsid w:val="00AC383A"/>
    <w:rsid w:val="00AC38CC"/>
    <w:rsid w:val="00AC39BF"/>
    <w:rsid w:val="00AC3A04"/>
    <w:rsid w:val="00AC3A88"/>
    <w:rsid w:val="00AC3ABE"/>
    <w:rsid w:val="00AC3C0D"/>
    <w:rsid w:val="00AC3DF6"/>
    <w:rsid w:val="00AC3E07"/>
    <w:rsid w:val="00AC3E47"/>
    <w:rsid w:val="00AC3E6C"/>
    <w:rsid w:val="00AC3F3E"/>
    <w:rsid w:val="00AC415C"/>
    <w:rsid w:val="00AC41D5"/>
    <w:rsid w:val="00AC432A"/>
    <w:rsid w:val="00AC4378"/>
    <w:rsid w:val="00AC4526"/>
    <w:rsid w:val="00AC4527"/>
    <w:rsid w:val="00AC4579"/>
    <w:rsid w:val="00AC45F0"/>
    <w:rsid w:val="00AC4626"/>
    <w:rsid w:val="00AC47DB"/>
    <w:rsid w:val="00AC4924"/>
    <w:rsid w:val="00AC49C9"/>
    <w:rsid w:val="00AC49CB"/>
    <w:rsid w:val="00AC4ACB"/>
    <w:rsid w:val="00AC4B4E"/>
    <w:rsid w:val="00AC4B53"/>
    <w:rsid w:val="00AC4EA6"/>
    <w:rsid w:val="00AC4EEF"/>
    <w:rsid w:val="00AC4FD2"/>
    <w:rsid w:val="00AC4FD7"/>
    <w:rsid w:val="00AC5016"/>
    <w:rsid w:val="00AC502D"/>
    <w:rsid w:val="00AC5328"/>
    <w:rsid w:val="00AC5339"/>
    <w:rsid w:val="00AC535A"/>
    <w:rsid w:val="00AC539E"/>
    <w:rsid w:val="00AC53B5"/>
    <w:rsid w:val="00AC5407"/>
    <w:rsid w:val="00AC55B3"/>
    <w:rsid w:val="00AC572B"/>
    <w:rsid w:val="00AC57ED"/>
    <w:rsid w:val="00AC586A"/>
    <w:rsid w:val="00AC5A66"/>
    <w:rsid w:val="00AC5B48"/>
    <w:rsid w:val="00AC5BE0"/>
    <w:rsid w:val="00AC5C37"/>
    <w:rsid w:val="00AC5C65"/>
    <w:rsid w:val="00AC5D0D"/>
    <w:rsid w:val="00AC5E3E"/>
    <w:rsid w:val="00AC5EDC"/>
    <w:rsid w:val="00AC5EFA"/>
    <w:rsid w:val="00AC5F0F"/>
    <w:rsid w:val="00AC5F77"/>
    <w:rsid w:val="00AC5F9E"/>
    <w:rsid w:val="00AC616E"/>
    <w:rsid w:val="00AC619A"/>
    <w:rsid w:val="00AC61E4"/>
    <w:rsid w:val="00AC624E"/>
    <w:rsid w:val="00AC62AC"/>
    <w:rsid w:val="00AC62AE"/>
    <w:rsid w:val="00AC6409"/>
    <w:rsid w:val="00AC6473"/>
    <w:rsid w:val="00AC64DB"/>
    <w:rsid w:val="00AC6541"/>
    <w:rsid w:val="00AC6620"/>
    <w:rsid w:val="00AC669F"/>
    <w:rsid w:val="00AC66AF"/>
    <w:rsid w:val="00AC6846"/>
    <w:rsid w:val="00AC69DC"/>
    <w:rsid w:val="00AC6BFE"/>
    <w:rsid w:val="00AC6C20"/>
    <w:rsid w:val="00AC6CBE"/>
    <w:rsid w:val="00AC6D98"/>
    <w:rsid w:val="00AC6E39"/>
    <w:rsid w:val="00AC6EE8"/>
    <w:rsid w:val="00AC7016"/>
    <w:rsid w:val="00AC7041"/>
    <w:rsid w:val="00AC70E2"/>
    <w:rsid w:val="00AC7457"/>
    <w:rsid w:val="00AC7503"/>
    <w:rsid w:val="00AC75C5"/>
    <w:rsid w:val="00AC7620"/>
    <w:rsid w:val="00AC76C1"/>
    <w:rsid w:val="00AC776C"/>
    <w:rsid w:val="00AC78B9"/>
    <w:rsid w:val="00AC7AF0"/>
    <w:rsid w:val="00AC7B2D"/>
    <w:rsid w:val="00AC7C3E"/>
    <w:rsid w:val="00AC7C8B"/>
    <w:rsid w:val="00AC7CA5"/>
    <w:rsid w:val="00AC7ED8"/>
    <w:rsid w:val="00AC7FC0"/>
    <w:rsid w:val="00AC7FE3"/>
    <w:rsid w:val="00AC7FE5"/>
    <w:rsid w:val="00AD00E3"/>
    <w:rsid w:val="00AD01F3"/>
    <w:rsid w:val="00AD0240"/>
    <w:rsid w:val="00AD0246"/>
    <w:rsid w:val="00AD0250"/>
    <w:rsid w:val="00AD0299"/>
    <w:rsid w:val="00AD029F"/>
    <w:rsid w:val="00AD0336"/>
    <w:rsid w:val="00AD0363"/>
    <w:rsid w:val="00AD03CE"/>
    <w:rsid w:val="00AD05B6"/>
    <w:rsid w:val="00AD0747"/>
    <w:rsid w:val="00AD0828"/>
    <w:rsid w:val="00AD0A9E"/>
    <w:rsid w:val="00AD0AB0"/>
    <w:rsid w:val="00AD0AB8"/>
    <w:rsid w:val="00AD0B10"/>
    <w:rsid w:val="00AD0C0B"/>
    <w:rsid w:val="00AD0C47"/>
    <w:rsid w:val="00AD0E0B"/>
    <w:rsid w:val="00AD0EFC"/>
    <w:rsid w:val="00AD1047"/>
    <w:rsid w:val="00AD1125"/>
    <w:rsid w:val="00AD1295"/>
    <w:rsid w:val="00AD13FA"/>
    <w:rsid w:val="00AD142B"/>
    <w:rsid w:val="00AD1430"/>
    <w:rsid w:val="00AD1568"/>
    <w:rsid w:val="00AD188A"/>
    <w:rsid w:val="00AD1A84"/>
    <w:rsid w:val="00AD1B51"/>
    <w:rsid w:val="00AD1BB9"/>
    <w:rsid w:val="00AD1D15"/>
    <w:rsid w:val="00AD201F"/>
    <w:rsid w:val="00AD2083"/>
    <w:rsid w:val="00AD20A3"/>
    <w:rsid w:val="00AD217F"/>
    <w:rsid w:val="00AD21C7"/>
    <w:rsid w:val="00AD23DE"/>
    <w:rsid w:val="00AD23EB"/>
    <w:rsid w:val="00AD273C"/>
    <w:rsid w:val="00AD286C"/>
    <w:rsid w:val="00AD28CD"/>
    <w:rsid w:val="00AD290A"/>
    <w:rsid w:val="00AD2936"/>
    <w:rsid w:val="00AD2BFB"/>
    <w:rsid w:val="00AD2CCD"/>
    <w:rsid w:val="00AD2F1F"/>
    <w:rsid w:val="00AD2F8D"/>
    <w:rsid w:val="00AD2FD6"/>
    <w:rsid w:val="00AD3096"/>
    <w:rsid w:val="00AD333E"/>
    <w:rsid w:val="00AD3546"/>
    <w:rsid w:val="00AD380D"/>
    <w:rsid w:val="00AD382C"/>
    <w:rsid w:val="00AD3982"/>
    <w:rsid w:val="00AD39E6"/>
    <w:rsid w:val="00AD3A3D"/>
    <w:rsid w:val="00AD3ABC"/>
    <w:rsid w:val="00AD3C80"/>
    <w:rsid w:val="00AD3ED3"/>
    <w:rsid w:val="00AD4024"/>
    <w:rsid w:val="00AD4143"/>
    <w:rsid w:val="00AD41DE"/>
    <w:rsid w:val="00AD42F2"/>
    <w:rsid w:val="00AD4354"/>
    <w:rsid w:val="00AD4460"/>
    <w:rsid w:val="00AD452D"/>
    <w:rsid w:val="00AD4791"/>
    <w:rsid w:val="00AD47A4"/>
    <w:rsid w:val="00AD4866"/>
    <w:rsid w:val="00AD4876"/>
    <w:rsid w:val="00AD4945"/>
    <w:rsid w:val="00AD4997"/>
    <w:rsid w:val="00AD49A1"/>
    <w:rsid w:val="00AD4A6F"/>
    <w:rsid w:val="00AD4BBC"/>
    <w:rsid w:val="00AD4BF4"/>
    <w:rsid w:val="00AD4CA9"/>
    <w:rsid w:val="00AD4E2C"/>
    <w:rsid w:val="00AD4EAE"/>
    <w:rsid w:val="00AD5103"/>
    <w:rsid w:val="00AD5104"/>
    <w:rsid w:val="00AD526D"/>
    <w:rsid w:val="00AD52A0"/>
    <w:rsid w:val="00AD53FD"/>
    <w:rsid w:val="00AD54B2"/>
    <w:rsid w:val="00AD551F"/>
    <w:rsid w:val="00AD5554"/>
    <w:rsid w:val="00AD55CA"/>
    <w:rsid w:val="00AD56D4"/>
    <w:rsid w:val="00AD5786"/>
    <w:rsid w:val="00AD57BD"/>
    <w:rsid w:val="00AD58D4"/>
    <w:rsid w:val="00AD5910"/>
    <w:rsid w:val="00AD5ADA"/>
    <w:rsid w:val="00AD5BA3"/>
    <w:rsid w:val="00AD5C3C"/>
    <w:rsid w:val="00AD5C4D"/>
    <w:rsid w:val="00AD5CC4"/>
    <w:rsid w:val="00AD5CF8"/>
    <w:rsid w:val="00AD5EBD"/>
    <w:rsid w:val="00AD5F88"/>
    <w:rsid w:val="00AD5FCE"/>
    <w:rsid w:val="00AD60A7"/>
    <w:rsid w:val="00AD618A"/>
    <w:rsid w:val="00AD61AF"/>
    <w:rsid w:val="00AD61B9"/>
    <w:rsid w:val="00AD62F7"/>
    <w:rsid w:val="00AD64B0"/>
    <w:rsid w:val="00AD653C"/>
    <w:rsid w:val="00AD659A"/>
    <w:rsid w:val="00AD66A3"/>
    <w:rsid w:val="00AD6717"/>
    <w:rsid w:val="00AD6861"/>
    <w:rsid w:val="00AD6973"/>
    <w:rsid w:val="00AD6B6B"/>
    <w:rsid w:val="00AD6BC2"/>
    <w:rsid w:val="00AD6BD1"/>
    <w:rsid w:val="00AD6C11"/>
    <w:rsid w:val="00AD6E34"/>
    <w:rsid w:val="00AD6E62"/>
    <w:rsid w:val="00AD7045"/>
    <w:rsid w:val="00AD716E"/>
    <w:rsid w:val="00AD716F"/>
    <w:rsid w:val="00AD718B"/>
    <w:rsid w:val="00AD71D5"/>
    <w:rsid w:val="00AD720E"/>
    <w:rsid w:val="00AD72D7"/>
    <w:rsid w:val="00AD732C"/>
    <w:rsid w:val="00AD734B"/>
    <w:rsid w:val="00AD74D2"/>
    <w:rsid w:val="00AD7739"/>
    <w:rsid w:val="00AD7758"/>
    <w:rsid w:val="00AD7881"/>
    <w:rsid w:val="00AD7E23"/>
    <w:rsid w:val="00AD7E31"/>
    <w:rsid w:val="00AD7E96"/>
    <w:rsid w:val="00AD7F34"/>
    <w:rsid w:val="00AD7F3C"/>
    <w:rsid w:val="00AD7FC8"/>
    <w:rsid w:val="00AE00E1"/>
    <w:rsid w:val="00AE029C"/>
    <w:rsid w:val="00AE02B2"/>
    <w:rsid w:val="00AE02E7"/>
    <w:rsid w:val="00AE0373"/>
    <w:rsid w:val="00AE0565"/>
    <w:rsid w:val="00AE05EC"/>
    <w:rsid w:val="00AE07AE"/>
    <w:rsid w:val="00AE08E4"/>
    <w:rsid w:val="00AE093A"/>
    <w:rsid w:val="00AE0C70"/>
    <w:rsid w:val="00AE0E1A"/>
    <w:rsid w:val="00AE0FE0"/>
    <w:rsid w:val="00AE10DB"/>
    <w:rsid w:val="00AE120F"/>
    <w:rsid w:val="00AE1540"/>
    <w:rsid w:val="00AE15EA"/>
    <w:rsid w:val="00AE16AF"/>
    <w:rsid w:val="00AE171B"/>
    <w:rsid w:val="00AE1732"/>
    <w:rsid w:val="00AE195C"/>
    <w:rsid w:val="00AE19AA"/>
    <w:rsid w:val="00AE1A96"/>
    <w:rsid w:val="00AE1B11"/>
    <w:rsid w:val="00AE1C93"/>
    <w:rsid w:val="00AE1D3C"/>
    <w:rsid w:val="00AE1E00"/>
    <w:rsid w:val="00AE1EC3"/>
    <w:rsid w:val="00AE1FE7"/>
    <w:rsid w:val="00AE20D2"/>
    <w:rsid w:val="00AE210F"/>
    <w:rsid w:val="00AE2150"/>
    <w:rsid w:val="00AE21BE"/>
    <w:rsid w:val="00AE22B7"/>
    <w:rsid w:val="00AE2519"/>
    <w:rsid w:val="00AE25E8"/>
    <w:rsid w:val="00AE265F"/>
    <w:rsid w:val="00AE2664"/>
    <w:rsid w:val="00AE2A9C"/>
    <w:rsid w:val="00AE2AE1"/>
    <w:rsid w:val="00AE2F1C"/>
    <w:rsid w:val="00AE2F26"/>
    <w:rsid w:val="00AE2FF0"/>
    <w:rsid w:val="00AE302A"/>
    <w:rsid w:val="00AE3227"/>
    <w:rsid w:val="00AE32D6"/>
    <w:rsid w:val="00AE3492"/>
    <w:rsid w:val="00AE3640"/>
    <w:rsid w:val="00AE398B"/>
    <w:rsid w:val="00AE3A91"/>
    <w:rsid w:val="00AE3A9F"/>
    <w:rsid w:val="00AE3BEE"/>
    <w:rsid w:val="00AE3D7C"/>
    <w:rsid w:val="00AE3E31"/>
    <w:rsid w:val="00AE3E6A"/>
    <w:rsid w:val="00AE4252"/>
    <w:rsid w:val="00AE4261"/>
    <w:rsid w:val="00AE42B0"/>
    <w:rsid w:val="00AE43AB"/>
    <w:rsid w:val="00AE45FF"/>
    <w:rsid w:val="00AE46AB"/>
    <w:rsid w:val="00AE46B7"/>
    <w:rsid w:val="00AE479D"/>
    <w:rsid w:val="00AE47F0"/>
    <w:rsid w:val="00AE4A3A"/>
    <w:rsid w:val="00AE4A51"/>
    <w:rsid w:val="00AE4B74"/>
    <w:rsid w:val="00AE4B7F"/>
    <w:rsid w:val="00AE4BFF"/>
    <w:rsid w:val="00AE4C6F"/>
    <w:rsid w:val="00AE4C7E"/>
    <w:rsid w:val="00AE4CD1"/>
    <w:rsid w:val="00AE4D2B"/>
    <w:rsid w:val="00AE4D69"/>
    <w:rsid w:val="00AE4EC5"/>
    <w:rsid w:val="00AE4F64"/>
    <w:rsid w:val="00AE5024"/>
    <w:rsid w:val="00AE527D"/>
    <w:rsid w:val="00AE5605"/>
    <w:rsid w:val="00AE5651"/>
    <w:rsid w:val="00AE573C"/>
    <w:rsid w:val="00AE58A0"/>
    <w:rsid w:val="00AE5BC9"/>
    <w:rsid w:val="00AE5BE3"/>
    <w:rsid w:val="00AE5D0D"/>
    <w:rsid w:val="00AE5F44"/>
    <w:rsid w:val="00AE5F4C"/>
    <w:rsid w:val="00AE601F"/>
    <w:rsid w:val="00AE6234"/>
    <w:rsid w:val="00AE631D"/>
    <w:rsid w:val="00AE6347"/>
    <w:rsid w:val="00AE663F"/>
    <w:rsid w:val="00AE6650"/>
    <w:rsid w:val="00AE67EC"/>
    <w:rsid w:val="00AE693D"/>
    <w:rsid w:val="00AE69A8"/>
    <w:rsid w:val="00AE6ACB"/>
    <w:rsid w:val="00AE6C57"/>
    <w:rsid w:val="00AE6DFB"/>
    <w:rsid w:val="00AE6E72"/>
    <w:rsid w:val="00AE6EB2"/>
    <w:rsid w:val="00AE6EBB"/>
    <w:rsid w:val="00AE6F4F"/>
    <w:rsid w:val="00AE7115"/>
    <w:rsid w:val="00AE7136"/>
    <w:rsid w:val="00AE720A"/>
    <w:rsid w:val="00AE7358"/>
    <w:rsid w:val="00AE75EB"/>
    <w:rsid w:val="00AE76A4"/>
    <w:rsid w:val="00AE76B1"/>
    <w:rsid w:val="00AE76C9"/>
    <w:rsid w:val="00AE76FB"/>
    <w:rsid w:val="00AE7702"/>
    <w:rsid w:val="00AE789C"/>
    <w:rsid w:val="00AE78C7"/>
    <w:rsid w:val="00AE79F6"/>
    <w:rsid w:val="00AE7A15"/>
    <w:rsid w:val="00AE7A9F"/>
    <w:rsid w:val="00AE7B05"/>
    <w:rsid w:val="00AE7BC7"/>
    <w:rsid w:val="00AE7D3F"/>
    <w:rsid w:val="00AE7D40"/>
    <w:rsid w:val="00AE7D73"/>
    <w:rsid w:val="00AE7DAD"/>
    <w:rsid w:val="00AE7E2B"/>
    <w:rsid w:val="00AE7E6C"/>
    <w:rsid w:val="00AE7ED6"/>
    <w:rsid w:val="00AF0130"/>
    <w:rsid w:val="00AF016D"/>
    <w:rsid w:val="00AF037E"/>
    <w:rsid w:val="00AF03E3"/>
    <w:rsid w:val="00AF058A"/>
    <w:rsid w:val="00AF05C3"/>
    <w:rsid w:val="00AF0678"/>
    <w:rsid w:val="00AF0721"/>
    <w:rsid w:val="00AF0775"/>
    <w:rsid w:val="00AF0831"/>
    <w:rsid w:val="00AF08BC"/>
    <w:rsid w:val="00AF0934"/>
    <w:rsid w:val="00AF0A6A"/>
    <w:rsid w:val="00AF0C8E"/>
    <w:rsid w:val="00AF0E00"/>
    <w:rsid w:val="00AF0E98"/>
    <w:rsid w:val="00AF0F9A"/>
    <w:rsid w:val="00AF0FBB"/>
    <w:rsid w:val="00AF0FFD"/>
    <w:rsid w:val="00AF1030"/>
    <w:rsid w:val="00AF10CC"/>
    <w:rsid w:val="00AF10D9"/>
    <w:rsid w:val="00AF1109"/>
    <w:rsid w:val="00AF1407"/>
    <w:rsid w:val="00AF1480"/>
    <w:rsid w:val="00AF1484"/>
    <w:rsid w:val="00AF14AB"/>
    <w:rsid w:val="00AF14D8"/>
    <w:rsid w:val="00AF1504"/>
    <w:rsid w:val="00AF1506"/>
    <w:rsid w:val="00AF1699"/>
    <w:rsid w:val="00AF175C"/>
    <w:rsid w:val="00AF187C"/>
    <w:rsid w:val="00AF19B7"/>
    <w:rsid w:val="00AF19F0"/>
    <w:rsid w:val="00AF1A69"/>
    <w:rsid w:val="00AF1B4A"/>
    <w:rsid w:val="00AF1CB9"/>
    <w:rsid w:val="00AF1D49"/>
    <w:rsid w:val="00AF2011"/>
    <w:rsid w:val="00AF20F1"/>
    <w:rsid w:val="00AF2170"/>
    <w:rsid w:val="00AF2428"/>
    <w:rsid w:val="00AF2437"/>
    <w:rsid w:val="00AF2633"/>
    <w:rsid w:val="00AF272E"/>
    <w:rsid w:val="00AF27A7"/>
    <w:rsid w:val="00AF27BA"/>
    <w:rsid w:val="00AF28C0"/>
    <w:rsid w:val="00AF2BAB"/>
    <w:rsid w:val="00AF2C43"/>
    <w:rsid w:val="00AF2D76"/>
    <w:rsid w:val="00AF2E01"/>
    <w:rsid w:val="00AF2ECC"/>
    <w:rsid w:val="00AF2EE8"/>
    <w:rsid w:val="00AF2F71"/>
    <w:rsid w:val="00AF2FA1"/>
    <w:rsid w:val="00AF3047"/>
    <w:rsid w:val="00AF3089"/>
    <w:rsid w:val="00AF311E"/>
    <w:rsid w:val="00AF320D"/>
    <w:rsid w:val="00AF32EC"/>
    <w:rsid w:val="00AF353C"/>
    <w:rsid w:val="00AF3820"/>
    <w:rsid w:val="00AF3898"/>
    <w:rsid w:val="00AF38B8"/>
    <w:rsid w:val="00AF3928"/>
    <w:rsid w:val="00AF3937"/>
    <w:rsid w:val="00AF3A6E"/>
    <w:rsid w:val="00AF3A72"/>
    <w:rsid w:val="00AF3ADB"/>
    <w:rsid w:val="00AF3BE7"/>
    <w:rsid w:val="00AF3E4D"/>
    <w:rsid w:val="00AF407E"/>
    <w:rsid w:val="00AF412F"/>
    <w:rsid w:val="00AF482C"/>
    <w:rsid w:val="00AF4AC8"/>
    <w:rsid w:val="00AF4AEA"/>
    <w:rsid w:val="00AF4B01"/>
    <w:rsid w:val="00AF4B36"/>
    <w:rsid w:val="00AF4D68"/>
    <w:rsid w:val="00AF4E34"/>
    <w:rsid w:val="00AF4E55"/>
    <w:rsid w:val="00AF5040"/>
    <w:rsid w:val="00AF50AC"/>
    <w:rsid w:val="00AF529F"/>
    <w:rsid w:val="00AF555B"/>
    <w:rsid w:val="00AF560E"/>
    <w:rsid w:val="00AF56DB"/>
    <w:rsid w:val="00AF5802"/>
    <w:rsid w:val="00AF5A28"/>
    <w:rsid w:val="00AF5A70"/>
    <w:rsid w:val="00AF5BB4"/>
    <w:rsid w:val="00AF5C62"/>
    <w:rsid w:val="00AF5D6A"/>
    <w:rsid w:val="00AF5D76"/>
    <w:rsid w:val="00AF5D7F"/>
    <w:rsid w:val="00AF5D95"/>
    <w:rsid w:val="00AF5DFE"/>
    <w:rsid w:val="00AF5F27"/>
    <w:rsid w:val="00AF5FD0"/>
    <w:rsid w:val="00AF612B"/>
    <w:rsid w:val="00AF617E"/>
    <w:rsid w:val="00AF62D2"/>
    <w:rsid w:val="00AF64F4"/>
    <w:rsid w:val="00AF65B4"/>
    <w:rsid w:val="00AF671B"/>
    <w:rsid w:val="00AF6830"/>
    <w:rsid w:val="00AF68E2"/>
    <w:rsid w:val="00AF6998"/>
    <w:rsid w:val="00AF69AA"/>
    <w:rsid w:val="00AF69F7"/>
    <w:rsid w:val="00AF6C07"/>
    <w:rsid w:val="00AF6CEB"/>
    <w:rsid w:val="00AF6D0B"/>
    <w:rsid w:val="00AF6DC3"/>
    <w:rsid w:val="00AF6DD9"/>
    <w:rsid w:val="00AF6FC8"/>
    <w:rsid w:val="00AF6FFC"/>
    <w:rsid w:val="00AF70C5"/>
    <w:rsid w:val="00AF7145"/>
    <w:rsid w:val="00AF72FC"/>
    <w:rsid w:val="00AF7330"/>
    <w:rsid w:val="00AF733C"/>
    <w:rsid w:val="00AF7404"/>
    <w:rsid w:val="00AF7521"/>
    <w:rsid w:val="00AF7568"/>
    <w:rsid w:val="00AF7805"/>
    <w:rsid w:val="00AF7A80"/>
    <w:rsid w:val="00AF7AA6"/>
    <w:rsid w:val="00AF7AF3"/>
    <w:rsid w:val="00AF7B0F"/>
    <w:rsid w:val="00AF7C27"/>
    <w:rsid w:val="00AF7CDB"/>
    <w:rsid w:val="00AF7E07"/>
    <w:rsid w:val="00AF7EDF"/>
    <w:rsid w:val="00B000A1"/>
    <w:rsid w:val="00B000DB"/>
    <w:rsid w:val="00B000E8"/>
    <w:rsid w:val="00B00166"/>
    <w:rsid w:val="00B0030A"/>
    <w:rsid w:val="00B00310"/>
    <w:rsid w:val="00B003E0"/>
    <w:rsid w:val="00B003E9"/>
    <w:rsid w:val="00B00493"/>
    <w:rsid w:val="00B008D6"/>
    <w:rsid w:val="00B0093E"/>
    <w:rsid w:val="00B00AF1"/>
    <w:rsid w:val="00B00CBE"/>
    <w:rsid w:val="00B00E25"/>
    <w:rsid w:val="00B00E59"/>
    <w:rsid w:val="00B00E7B"/>
    <w:rsid w:val="00B0109F"/>
    <w:rsid w:val="00B0110C"/>
    <w:rsid w:val="00B0113B"/>
    <w:rsid w:val="00B0113F"/>
    <w:rsid w:val="00B01413"/>
    <w:rsid w:val="00B01545"/>
    <w:rsid w:val="00B01647"/>
    <w:rsid w:val="00B0183E"/>
    <w:rsid w:val="00B0189B"/>
    <w:rsid w:val="00B0196B"/>
    <w:rsid w:val="00B01999"/>
    <w:rsid w:val="00B01ADF"/>
    <w:rsid w:val="00B01AFF"/>
    <w:rsid w:val="00B01BF9"/>
    <w:rsid w:val="00B01C73"/>
    <w:rsid w:val="00B01CBD"/>
    <w:rsid w:val="00B01CF6"/>
    <w:rsid w:val="00B01DCE"/>
    <w:rsid w:val="00B01E4A"/>
    <w:rsid w:val="00B01F41"/>
    <w:rsid w:val="00B01F69"/>
    <w:rsid w:val="00B01FF8"/>
    <w:rsid w:val="00B02197"/>
    <w:rsid w:val="00B0219C"/>
    <w:rsid w:val="00B02254"/>
    <w:rsid w:val="00B026A6"/>
    <w:rsid w:val="00B028E2"/>
    <w:rsid w:val="00B02B0A"/>
    <w:rsid w:val="00B02B9B"/>
    <w:rsid w:val="00B02BAF"/>
    <w:rsid w:val="00B02D2C"/>
    <w:rsid w:val="00B02D82"/>
    <w:rsid w:val="00B02F23"/>
    <w:rsid w:val="00B02F70"/>
    <w:rsid w:val="00B0314F"/>
    <w:rsid w:val="00B0350C"/>
    <w:rsid w:val="00B0351B"/>
    <w:rsid w:val="00B035FA"/>
    <w:rsid w:val="00B03770"/>
    <w:rsid w:val="00B037DE"/>
    <w:rsid w:val="00B03832"/>
    <w:rsid w:val="00B038C4"/>
    <w:rsid w:val="00B0398F"/>
    <w:rsid w:val="00B03AAB"/>
    <w:rsid w:val="00B03C0D"/>
    <w:rsid w:val="00B03C5B"/>
    <w:rsid w:val="00B03C66"/>
    <w:rsid w:val="00B03F1A"/>
    <w:rsid w:val="00B041C8"/>
    <w:rsid w:val="00B04328"/>
    <w:rsid w:val="00B043D7"/>
    <w:rsid w:val="00B046F1"/>
    <w:rsid w:val="00B04850"/>
    <w:rsid w:val="00B0489A"/>
    <w:rsid w:val="00B04933"/>
    <w:rsid w:val="00B04968"/>
    <w:rsid w:val="00B04BC3"/>
    <w:rsid w:val="00B04BF9"/>
    <w:rsid w:val="00B04DFE"/>
    <w:rsid w:val="00B04FD8"/>
    <w:rsid w:val="00B05070"/>
    <w:rsid w:val="00B05198"/>
    <w:rsid w:val="00B0529E"/>
    <w:rsid w:val="00B05499"/>
    <w:rsid w:val="00B054D5"/>
    <w:rsid w:val="00B05578"/>
    <w:rsid w:val="00B056E9"/>
    <w:rsid w:val="00B057FE"/>
    <w:rsid w:val="00B058BB"/>
    <w:rsid w:val="00B0596E"/>
    <w:rsid w:val="00B05A6C"/>
    <w:rsid w:val="00B05B75"/>
    <w:rsid w:val="00B05C51"/>
    <w:rsid w:val="00B05C63"/>
    <w:rsid w:val="00B05D5C"/>
    <w:rsid w:val="00B05D97"/>
    <w:rsid w:val="00B05DB3"/>
    <w:rsid w:val="00B05E2C"/>
    <w:rsid w:val="00B05F46"/>
    <w:rsid w:val="00B05F94"/>
    <w:rsid w:val="00B05FBD"/>
    <w:rsid w:val="00B060A1"/>
    <w:rsid w:val="00B0613D"/>
    <w:rsid w:val="00B0616C"/>
    <w:rsid w:val="00B061DA"/>
    <w:rsid w:val="00B06238"/>
    <w:rsid w:val="00B0630A"/>
    <w:rsid w:val="00B06322"/>
    <w:rsid w:val="00B06430"/>
    <w:rsid w:val="00B064F9"/>
    <w:rsid w:val="00B066C8"/>
    <w:rsid w:val="00B067E0"/>
    <w:rsid w:val="00B069AD"/>
    <w:rsid w:val="00B06A52"/>
    <w:rsid w:val="00B06AE2"/>
    <w:rsid w:val="00B06B23"/>
    <w:rsid w:val="00B06C82"/>
    <w:rsid w:val="00B06CAE"/>
    <w:rsid w:val="00B06CC9"/>
    <w:rsid w:val="00B06E15"/>
    <w:rsid w:val="00B06F7E"/>
    <w:rsid w:val="00B06FBC"/>
    <w:rsid w:val="00B070B1"/>
    <w:rsid w:val="00B070BE"/>
    <w:rsid w:val="00B070D9"/>
    <w:rsid w:val="00B0723C"/>
    <w:rsid w:val="00B07290"/>
    <w:rsid w:val="00B07385"/>
    <w:rsid w:val="00B07398"/>
    <w:rsid w:val="00B073E7"/>
    <w:rsid w:val="00B073F5"/>
    <w:rsid w:val="00B074F2"/>
    <w:rsid w:val="00B076D2"/>
    <w:rsid w:val="00B0780A"/>
    <w:rsid w:val="00B07936"/>
    <w:rsid w:val="00B07A8E"/>
    <w:rsid w:val="00B07B97"/>
    <w:rsid w:val="00B07BDA"/>
    <w:rsid w:val="00B07D2F"/>
    <w:rsid w:val="00B100C0"/>
    <w:rsid w:val="00B10122"/>
    <w:rsid w:val="00B102B0"/>
    <w:rsid w:val="00B102DE"/>
    <w:rsid w:val="00B103C3"/>
    <w:rsid w:val="00B10489"/>
    <w:rsid w:val="00B10558"/>
    <w:rsid w:val="00B10650"/>
    <w:rsid w:val="00B1067B"/>
    <w:rsid w:val="00B1092E"/>
    <w:rsid w:val="00B10A08"/>
    <w:rsid w:val="00B10A52"/>
    <w:rsid w:val="00B10A95"/>
    <w:rsid w:val="00B10CC3"/>
    <w:rsid w:val="00B10D0E"/>
    <w:rsid w:val="00B10DE4"/>
    <w:rsid w:val="00B10DF4"/>
    <w:rsid w:val="00B10E5A"/>
    <w:rsid w:val="00B10E93"/>
    <w:rsid w:val="00B10EA8"/>
    <w:rsid w:val="00B11096"/>
    <w:rsid w:val="00B11112"/>
    <w:rsid w:val="00B111B6"/>
    <w:rsid w:val="00B111D2"/>
    <w:rsid w:val="00B11263"/>
    <w:rsid w:val="00B11384"/>
    <w:rsid w:val="00B11566"/>
    <w:rsid w:val="00B115DA"/>
    <w:rsid w:val="00B1160F"/>
    <w:rsid w:val="00B1161F"/>
    <w:rsid w:val="00B11622"/>
    <w:rsid w:val="00B116D4"/>
    <w:rsid w:val="00B11806"/>
    <w:rsid w:val="00B11A64"/>
    <w:rsid w:val="00B11B09"/>
    <w:rsid w:val="00B11B9E"/>
    <w:rsid w:val="00B11BA5"/>
    <w:rsid w:val="00B11CD5"/>
    <w:rsid w:val="00B11D4F"/>
    <w:rsid w:val="00B11D8B"/>
    <w:rsid w:val="00B11F7A"/>
    <w:rsid w:val="00B11F7E"/>
    <w:rsid w:val="00B11F99"/>
    <w:rsid w:val="00B120D5"/>
    <w:rsid w:val="00B121D4"/>
    <w:rsid w:val="00B123A0"/>
    <w:rsid w:val="00B12582"/>
    <w:rsid w:val="00B127BB"/>
    <w:rsid w:val="00B128D0"/>
    <w:rsid w:val="00B1291B"/>
    <w:rsid w:val="00B12944"/>
    <w:rsid w:val="00B1295F"/>
    <w:rsid w:val="00B12B1E"/>
    <w:rsid w:val="00B12C78"/>
    <w:rsid w:val="00B12EF4"/>
    <w:rsid w:val="00B12F1C"/>
    <w:rsid w:val="00B1302F"/>
    <w:rsid w:val="00B130EB"/>
    <w:rsid w:val="00B131C0"/>
    <w:rsid w:val="00B13330"/>
    <w:rsid w:val="00B13378"/>
    <w:rsid w:val="00B1346B"/>
    <w:rsid w:val="00B134C2"/>
    <w:rsid w:val="00B13759"/>
    <w:rsid w:val="00B1389E"/>
    <w:rsid w:val="00B13953"/>
    <w:rsid w:val="00B139F9"/>
    <w:rsid w:val="00B13A87"/>
    <w:rsid w:val="00B13CBD"/>
    <w:rsid w:val="00B13D86"/>
    <w:rsid w:val="00B13F41"/>
    <w:rsid w:val="00B14133"/>
    <w:rsid w:val="00B14284"/>
    <w:rsid w:val="00B142FA"/>
    <w:rsid w:val="00B143B8"/>
    <w:rsid w:val="00B143C9"/>
    <w:rsid w:val="00B143CC"/>
    <w:rsid w:val="00B144AA"/>
    <w:rsid w:val="00B145A0"/>
    <w:rsid w:val="00B145EA"/>
    <w:rsid w:val="00B14702"/>
    <w:rsid w:val="00B147EA"/>
    <w:rsid w:val="00B14A0B"/>
    <w:rsid w:val="00B14A14"/>
    <w:rsid w:val="00B14D3B"/>
    <w:rsid w:val="00B14E9B"/>
    <w:rsid w:val="00B14FCB"/>
    <w:rsid w:val="00B150FF"/>
    <w:rsid w:val="00B1510F"/>
    <w:rsid w:val="00B15165"/>
    <w:rsid w:val="00B1527D"/>
    <w:rsid w:val="00B152D5"/>
    <w:rsid w:val="00B1531A"/>
    <w:rsid w:val="00B153C9"/>
    <w:rsid w:val="00B153E5"/>
    <w:rsid w:val="00B15442"/>
    <w:rsid w:val="00B155BB"/>
    <w:rsid w:val="00B15788"/>
    <w:rsid w:val="00B15806"/>
    <w:rsid w:val="00B1587E"/>
    <w:rsid w:val="00B15CF4"/>
    <w:rsid w:val="00B15F7C"/>
    <w:rsid w:val="00B160DF"/>
    <w:rsid w:val="00B16121"/>
    <w:rsid w:val="00B1634B"/>
    <w:rsid w:val="00B16487"/>
    <w:rsid w:val="00B16492"/>
    <w:rsid w:val="00B164F2"/>
    <w:rsid w:val="00B1660C"/>
    <w:rsid w:val="00B16750"/>
    <w:rsid w:val="00B16779"/>
    <w:rsid w:val="00B167C4"/>
    <w:rsid w:val="00B169C5"/>
    <w:rsid w:val="00B16BC1"/>
    <w:rsid w:val="00B16C5A"/>
    <w:rsid w:val="00B16C61"/>
    <w:rsid w:val="00B16D85"/>
    <w:rsid w:val="00B16E54"/>
    <w:rsid w:val="00B16F64"/>
    <w:rsid w:val="00B16F93"/>
    <w:rsid w:val="00B170AB"/>
    <w:rsid w:val="00B170B0"/>
    <w:rsid w:val="00B17163"/>
    <w:rsid w:val="00B1716D"/>
    <w:rsid w:val="00B1731B"/>
    <w:rsid w:val="00B17523"/>
    <w:rsid w:val="00B1753C"/>
    <w:rsid w:val="00B176C6"/>
    <w:rsid w:val="00B1772B"/>
    <w:rsid w:val="00B177FE"/>
    <w:rsid w:val="00B17935"/>
    <w:rsid w:val="00B179F5"/>
    <w:rsid w:val="00B17A4A"/>
    <w:rsid w:val="00B17D44"/>
    <w:rsid w:val="00B17F88"/>
    <w:rsid w:val="00B17F9E"/>
    <w:rsid w:val="00B2005C"/>
    <w:rsid w:val="00B200DF"/>
    <w:rsid w:val="00B202AD"/>
    <w:rsid w:val="00B20634"/>
    <w:rsid w:val="00B20742"/>
    <w:rsid w:val="00B20758"/>
    <w:rsid w:val="00B20822"/>
    <w:rsid w:val="00B2091B"/>
    <w:rsid w:val="00B209D5"/>
    <w:rsid w:val="00B20A27"/>
    <w:rsid w:val="00B20A73"/>
    <w:rsid w:val="00B20BDF"/>
    <w:rsid w:val="00B20BF9"/>
    <w:rsid w:val="00B20C6A"/>
    <w:rsid w:val="00B20D68"/>
    <w:rsid w:val="00B20F96"/>
    <w:rsid w:val="00B21006"/>
    <w:rsid w:val="00B21037"/>
    <w:rsid w:val="00B21077"/>
    <w:rsid w:val="00B21219"/>
    <w:rsid w:val="00B212C5"/>
    <w:rsid w:val="00B2132C"/>
    <w:rsid w:val="00B21396"/>
    <w:rsid w:val="00B213E4"/>
    <w:rsid w:val="00B2140F"/>
    <w:rsid w:val="00B214E1"/>
    <w:rsid w:val="00B21618"/>
    <w:rsid w:val="00B21712"/>
    <w:rsid w:val="00B2175E"/>
    <w:rsid w:val="00B218EA"/>
    <w:rsid w:val="00B219AF"/>
    <w:rsid w:val="00B21AB2"/>
    <w:rsid w:val="00B21BDA"/>
    <w:rsid w:val="00B21D51"/>
    <w:rsid w:val="00B21DA8"/>
    <w:rsid w:val="00B21E93"/>
    <w:rsid w:val="00B21F99"/>
    <w:rsid w:val="00B21FAC"/>
    <w:rsid w:val="00B220B2"/>
    <w:rsid w:val="00B220CD"/>
    <w:rsid w:val="00B2233E"/>
    <w:rsid w:val="00B2236E"/>
    <w:rsid w:val="00B224DD"/>
    <w:rsid w:val="00B22567"/>
    <w:rsid w:val="00B22580"/>
    <w:rsid w:val="00B225FF"/>
    <w:rsid w:val="00B226D5"/>
    <w:rsid w:val="00B2276C"/>
    <w:rsid w:val="00B22836"/>
    <w:rsid w:val="00B2290B"/>
    <w:rsid w:val="00B22967"/>
    <w:rsid w:val="00B22AB0"/>
    <w:rsid w:val="00B22B08"/>
    <w:rsid w:val="00B22BE7"/>
    <w:rsid w:val="00B22C40"/>
    <w:rsid w:val="00B22CE3"/>
    <w:rsid w:val="00B22D2B"/>
    <w:rsid w:val="00B22F8B"/>
    <w:rsid w:val="00B230D9"/>
    <w:rsid w:val="00B231ED"/>
    <w:rsid w:val="00B2335F"/>
    <w:rsid w:val="00B2350E"/>
    <w:rsid w:val="00B23813"/>
    <w:rsid w:val="00B238CB"/>
    <w:rsid w:val="00B23A80"/>
    <w:rsid w:val="00B23CD0"/>
    <w:rsid w:val="00B241BC"/>
    <w:rsid w:val="00B24247"/>
    <w:rsid w:val="00B24265"/>
    <w:rsid w:val="00B24281"/>
    <w:rsid w:val="00B24300"/>
    <w:rsid w:val="00B2451A"/>
    <w:rsid w:val="00B24547"/>
    <w:rsid w:val="00B246E5"/>
    <w:rsid w:val="00B2486F"/>
    <w:rsid w:val="00B24964"/>
    <w:rsid w:val="00B24ABF"/>
    <w:rsid w:val="00B24AD9"/>
    <w:rsid w:val="00B24C71"/>
    <w:rsid w:val="00B24CA2"/>
    <w:rsid w:val="00B24DAE"/>
    <w:rsid w:val="00B24E39"/>
    <w:rsid w:val="00B24F9D"/>
    <w:rsid w:val="00B24FF7"/>
    <w:rsid w:val="00B25013"/>
    <w:rsid w:val="00B25016"/>
    <w:rsid w:val="00B251E7"/>
    <w:rsid w:val="00B254E3"/>
    <w:rsid w:val="00B254E9"/>
    <w:rsid w:val="00B25547"/>
    <w:rsid w:val="00B256B5"/>
    <w:rsid w:val="00B257F3"/>
    <w:rsid w:val="00B25A3D"/>
    <w:rsid w:val="00B25C88"/>
    <w:rsid w:val="00B25CCD"/>
    <w:rsid w:val="00B25E32"/>
    <w:rsid w:val="00B25E5E"/>
    <w:rsid w:val="00B25E69"/>
    <w:rsid w:val="00B25EB5"/>
    <w:rsid w:val="00B2606B"/>
    <w:rsid w:val="00B260A7"/>
    <w:rsid w:val="00B260CB"/>
    <w:rsid w:val="00B2626D"/>
    <w:rsid w:val="00B262B2"/>
    <w:rsid w:val="00B262C4"/>
    <w:rsid w:val="00B26729"/>
    <w:rsid w:val="00B26A17"/>
    <w:rsid w:val="00B26AC4"/>
    <w:rsid w:val="00B26C48"/>
    <w:rsid w:val="00B26D43"/>
    <w:rsid w:val="00B26D89"/>
    <w:rsid w:val="00B26E02"/>
    <w:rsid w:val="00B26F3E"/>
    <w:rsid w:val="00B26F55"/>
    <w:rsid w:val="00B26FF0"/>
    <w:rsid w:val="00B2716C"/>
    <w:rsid w:val="00B27199"/>
    <w:rsid w:val="00B27292"/>
    <w:rsid w:val="00B2781A"/>
    <w:rsid w:val="00B27840"/>
    <w:rsid w:val="00B279CD"/>
    <w:rsid w:val="00B27A48"/>
    <w:rsid w:val="00B27ACF"/>
    <w:rsid w:val="00B27BB6"/>
    <w:rsid w:val="00B27CAB"/>
    <w:rsid w:val="00B27D77"/>
    <w:rsid w:val="00B27D98"/>
    <w:rsid w:val="00B27D9F"/>
    <w:rsid w:val="00B27ED5"/>
    <w:rsid w:val="00B27FEA"/>
    <w:rsid w:val="00B30052"/>
    <w:rsid w:val="00B300AF"/>
    <w:rsid w:val="00B300C5"/>
    <w:rsid w:val="00B300DA"/>
    <w:rsid w:val="00B30164"/>
    <w:rsid w:val="00B302B1"/>
    <w:rsid w:val="00B30301"/>
    <w:rsid w:val="00B3030A"/>
    <w:rsid w:val="00B30341"/>
    <w:rsid w:val="00B30362"/>
    <w:rsid w:val="00B303F7"/>
    <w:rsid w:val="00B304EC"/>
    <w:rsid w:val="00B305ED"/>
    <w:rsid w:val="00B306ED"/>
    <w:rsid w:val="00B306F7"/>
    <w:rsid w:val="00B306FD"/>
    <w:rsid w:val="00B3087B"/>
    <w:rsid w:val="00B3088C"/>
    <w:rsid w:val="00B308D7"/>
    <w:rsid w:val="00B30A49"/>
    <w:rsid w:val="00B30C50"/>
    <w:rsid w:val="00B30CC5"/>
    <w:rsid w:val="00B30D7A"/>
    <w:rsid w:val="00B30E29"/>
    <w:rsid w:val="00B30E7A"/>
    <w:rsid w:val="00B30F15"/>
    <w:rsid w:val="00B30FEA"/>
    <w:rsid w:val="00B3129F"/>
    <w:rsid w:val="00B314A0"/>
    <w:rsid w:val="00B3156E"/>
    <w:rsid w:val="00B316FD"/>
    <w:rsid w:val="00B3181F"/>
    <w:rsid w:val="00B31877"/>
    <w:rsid w:val="00B31911"/>
    <w:rsid w:val="00B31AEA"/>
    <w:rsid w:val="00B31DEF"/>
    <w:rsid w:val="00B32021"/>
    <w:rsid w:val="00B3208C"/>
    <w:rsid w:val="00B32231"/>
    <w:rsid w:val="00B327E8"/>
    <w:rsid w:val="00B3297B"/>
    <w:rsid w:val="00B32ADC"/>
    <w:rsid w:val="00B32DE1"/>
    <w:rsid w:val="00B32E51"/>
    <w:rsid w:val="00B32EFE"/>
    <w:rsid w:val="00B33055"/>
    <w:rsid w:val="00B33161"/>
    <w:rsid w:val="00B331BA"/>
    <w:rsid w:val="00B332D8"/>
    <w:rsid w:val="00B3334D"/>
    <w:rsid w:val="00B335CF"/>
    <w:rsid w:val="00B337DE"/>
    <w:rsid w:val="00B33A0E"/>
    <w:rsid w:val="00B33A66"/>
    <w:rsid w:val="00B33C25"/>
    <w:rsid w:val="00B33CCD"/>
    <w:rsid w:val="00B33CF6"/>
    <w:rsid w:val="00B33FC3"/>
    <w:rsid w:val="00B34108"/>
    <w:rsid w:val="00B3412E"/>
    <w:rsid w:val="00B341E9"/>
    <w:rsid w:val="00B3428B"/>
    <w:rsid w:val="00B342B8"/>
    <w:rsid w:val="00B342E0"/>
    <w:rsid w:val="00B343DC"/>
    <w:rsid w:val="00B34420"/>
    <w:rsid w:val="00B34443"/>
    <w:rsid w:val="00B3458C"/>
    <w:rsid w:val="00B34597"/>
    <w:rsid w:val="00B3461D"/>
    <w:rsid w:val="00B34640"/>
    <w:rsid w:val="00B34656"/>
    <w:rsid w:val="00B3470F"/>
    <w:rsid w:val="00B34784"/>
    <w:rsid w:val="00B348CF"/>
    <w:rsid w:val="00B34A12"/>
    <w:rsid w:val="00B34B82"/>
    <w:rsid w:val="00B34C00"/>
    <w:rsid w:val="00B34C51"/>
    <w:rsid w:val="00B34C99"/>
    <w:rsid w:val="00B34D5D"/>
    <w:rsid w:val="00B34D9F"/>
    <w:rsid w:val="00B34DF9"/>
    <w:rsid w:val="00B34E1B"/>
    <w:rsid w:val="00B34E4C"/>
    <w:rsid w:val="00B34EC2"/>
    <w:rsid w:val="00B34F04"/>
    <w:rsid w:val="00B34FC6"/>
    <w:rsid w:val="00B350B1"/>
    <w:rsid w:val="00B3514F"/>
    <w:rsid w:val="00B3516F"/>
    <w:rsid w:val="00B35584"/>
    <w:rsid w:val="00B35847"/>
    <w:rsid w:val="00B35904"/>
    <w:rsid w:val="00B35907"/>
    <w:rsid w:val="00B35986"/>
    <w:rsid w:val="00B35B7E"/>
    <w:rsid w:val="00B35CAB"/>
    <w:rsid w:val="00B35D2D"/>
    <w:rsid w:val="00B36392"/>
    <w:rsid w:val="00B36448"/>
    <w:rsid w:val="00B364C6"/>
    <w:rsid w:val="00B364DA"/>
    <w:rsid w:val="00B3652E"/>
    <w:rsid w:val="00B36636"/>
    <w:rsid w:val="00B366A3"/>
    <w:rsid w:val="00B366E0"/>
    <w:rsid w:val="00B36874"/>
    <w:rsid w:val="00B369C0"/>
    <w:rsid w:val="00B36A51"/>
    <w:rsid w:val="00B36C28"/>
    <w:rsid w:val="00B36D9E"/>
    <w:rsid w:val="00B36DA9"/>
    <w:rsid w:val="00B36DB8"/>
    <w:rsid w:val="00B36E48"/>
    <w:rsid w:val="00B36E85"/>
    <w:rsid w:val="00B36EC5"/>
    <w:rsid w:val="00B36EDB"/>
    <w:rsid w:val="00B36EDF"/>
    <w:rsid w:val="00B3728C"/>
    <w:rsid w:val="00B372FD"/>
    <w:rsid w:val="00B37402"/>
    <w:rsid w:val="00B37485"/>
    <w:rsid w:val="00B374F0"/>
    <w:rsid w:val="00B375F2"/>
    <w:rsid w:val="00B37697"/>
    <w:rsid w:val="00B3772E"/>
    <w:rsid w:val="00B37776"/>
    <w:rsid w:val="00B377AE"/>
    <w:rsid w:val="00B377BD"/>
    <w:rsid w:val="00B3787B"/>
    <w:rsid w:val="00B3787D"/>
    <w:rsid w:val="00B3790A"/>
    <w:rsid w:val="00B379B7"/>
    <w:rsid w:val="00B379BC"/>
    <w:rsid w:val="00B37A65"/>
    <w:rsid w:val="00B37AA0"/>
    <w:rsid w:val="00B37AAF"/>
    <w:rsid w:val="00B37D33"/>
    <w:rsid w:val="00B37E03"/>
    <w:rsid w:val="00B37E9E"/>
    <w:rsid w:val="00B40144"/>
    <w:rsid w:val="00B40332"/>
    <w:rsid w:val="00B40348"/>
    <w:rsid w:val="00B40359"/>
    <w:rsid w:val="00B4039E"/>
    <w:rsid w:val="00B40421"/>
    <w:rsid w:val="00B404EA"/>
    <w:rsid w:val="00B40686"/>
    <w:rsid w:val="00B40884"/>
    <w:rsid w:val="00B4088F"/>
    <w:rsid w:val="00B40912"/>
    <w:rsid w:val="00B40A31"/>
    <w:rsid w:val="00B40A6E"/>
    <w:rsid w:val="00B40CF3"/>
    <w:rsid w:val="00B40E87"/>
    <w:rsid w:val="00B40EB3"/>
    <w:rsid w:val="00B40EF9"/>
    <w:rsid w:val="00B41008"/>
    <w:rsid w:val="00B4106C"/>
    <w:rsid w:val="00B410EA"/>
    <w:rsid w:val="00B41372"/>
    <w:rsid w:val="00B4170A"/>
    <w:rsid w:val="00B4173A"/>
    <w:rsid w:val="00B41898"/>
    <w:rsid w:val="00B418FE"/>
    <w:rsid w:val="00B41A0C"/>
    <w:rsid w:val="00B41A55"/>
    <w:rsid w:val="00B41AE2"/>
    <w:rsid w:val="00B41DEE"/>
    <w:rsid w:val="00B41FF3"/>
    <w:rsid w:val="00B42132"/>
    <w:rsid w:val="00B4219D"/>
    <w:rsid w:val="00B4228A"/>
    <w:rsid w:val="00B42293"/>
    <w:rsid w:val="00B423DF"/>
    <w:rsid w:val="00B42413"/>
    <w:rsid w:val="00B4256C"/>
    <w:rsid w:val="00B426EB"/>
    <w:rsid w:val="00B42AB1"/>
    <w:rsid w:val="00B42B45"/>
    <w:rsid w:val="00B42B78"/>
    <w:rsid w:val="00B42C2F"/>
    <w:rsid w:val="00B42CB2"/>
    <w:rsid w:val="00B42DE1"/>
    <w:rsid w:val="00B42E21"/>
    <w:rsid w:val="00B42E69"/>
    <w:rsid w:val="00B42F1B"/>
    <w:rsid w:val="00B430DA"/>
    <w:rsid w:val="00B431DF"/>
    <w:rsid w:val="00B4326F"/>
    <w:rsid w:val="00B4332C"/>
    <w:rsid w:val="00B433E2"/>
    <w:rsid w:val="00B43476"/>
    <w:rsid w:val="00B434BC"/>
    <w:rsid w:val="00B4359F"/>
    <w:rsid w:val="00B43723"/>
    <w:rsid w:val="00B43752"/>
    <w:rsid w:val="00B437AE"/>
    <w:rsid w:val="00B4395B"/>
    <w:rsid w:val="00B43BF9"/>
    <w:rsid w:val="00B43C35"/>
    <w:rsid w:val="00B43DA2"/>
    <w:rsid w:val="00B43E34"/>
    <w:rsid w:val="00B43EA7"/>
    <w:rsid w:val="00B4440A"/>
    <w:rsid w:val="00B44576"/>
    <w:rsid w:val="00B445E8"/>
    <w:rsid w:val="00B44603"/>
    <w:rsid w:val="00B44604"/>
    <w:rsid w:val="00B4473A"/>
    <w:rsid w:val="00B44854"/>
    <w:rsid w:val="00B4486A"/>
    <w:rsid w:val="00B448DC"/>
    <w:rsid w:val="00B449E1"/>
    <w:rsid w:val="00B44A82"/>
    <w:rsid w:val="00B44BF7"/>
    <w:rsid w:val="00B44D38"/>
    <w:rsid w:val="00B450DB"/>
    <w:rsid w:val="00B45128"/>
    <w:rsid w:val="00B452C6"/>
    <w:rsid w:val="00B45406"/>
    <w:rsid w:val="00B45547"/>
    <w:rsid w:val="00B45556"/>
    <w:rsid w:val="00B45600"/>
    <w:rsid w:val="00B4566A"/>
    <w:rsid w:val="00B456C7"/>
    <w:rsid w:val="00B45966"/>
    <w:rsid w:val="00B45B90"/>
    <w:rsid w:val="00B45BDE"/>
    <w:rsid w:val="00B45DDF"/>
    <w:rsid w:val="00B45F3B"/>
    <w:rsid w:val="00B45F8D"/>
    <w:rsid w:val="00B46153"/>
    <w:rsid w:val="00B46174"/>
    <w:rsid w:val="00B461F1"/>
    <w:rsid w:val="00B46248"/>
    <w:rsid w:val="00B46302"/>
    <w:rsid w:val="00B463AE"/>
    <w:rsid w:val="00B4645C"/>
    <w:rsid w:val="00B464A1"/>
    <w:rsid w:val="00B464DA"/>
    <w:rsid w:val="00B465ED"/>
    <w:rsid w:val="00B4662F"/>
    <w:rsid w:val="00B466C4"/>
    <w:rsid w:val="00B466D7"/>
    <w:rsid w:val="00B46812"/>
    <w:rsid w:val="00B4688E"/>
    <w:rsid w:val="00B468EA"/>
    <w:rsid w:val="00B46D0D"/>
    <w:rsid w:val="00B46E1D"/>
    <w:rsid w:val="00B46E8B"/>
    <w:rsid w:val="00B470A7"/>
    <w:rsid w:val="00B47151"/>
    <w:rsid w:val="00B47156"/>
    <w:rsid w:val="00B471EA"/>
    <w:rsid w:val="00B4722E"/>
    <w:rsid w:val="00B472A3"/>
    <w:rsid w:val="00B473D3"/>
    <w:rsid w:val="00B473D5"/>
    <w:rsid w:val="00B4749E"/>
    <w:rsid w:val="00B474A5"/>
    <w:rsid w:val="00B474BC"/>
    <w:rsid w:val="00B474D8"/>
    <w:rsid w:val="00B47658"/>
    <w:rsid w:val="00B4781F"/>
    <w:rsid w:val="00B47869"/>
    <w:rsid w:val="00B47B06"/>
    <w:rsid w:val="00B47C23"/>
    <w:rsid w:val="00B47DB3"/>
    <w:rsid w:val="00B47E09"/>
    <w:rsid w:val="00B47EF7"/>
    <w:rsid w:val="00B50014"/>
    <w:rsid w:val="00B50084"/>
    <w:rsid w:val="00B503B0"/>
    <w:rsid w:val="00B50466"/>
    <w:rsid w:val="00B50658"/>
    <w:rsid w:val="00B50827"/>
    <w:rsid w:val="00B5083E"/>
    <w:rsid w:val="00B508DA"/>
    <w:rsid w:val="00B5097D"/>
    <w:rsid w:val="00B509BC"/>
    <w:rsid w:val="00B50BFD"/>
    <w:rsid w:val="00B50D00"/>
    <w:rsid w:val="00B50DAA"/>
    <w:rsid w:val="00B50EA0"/>
    <w:rsid w:val="00B50EC3"/>
    <w:rsid w:val="00B50EE4"/>
    <w:rsid w:val="00B50EF0"/>
    <w:rsid w:val="00B50F75"/>
    <w:rsid w:val="00B50FD2"/>
    <w:rsid w:val="00B50FFE"/>
    <w:rsid w:val="00B51074"/>
    <w:rsid w:val="00B5119A"/>
    <w:rsid w:val="00B511BB"/>
    <w:rsid w:val="00B512CF"/>
    <w:rsid w:val="00B514DC"/>
    <w:rsid w:val="00B51688"/>
    <w:rsid w:val="00B5168C"/>
    <w:rsid w:val="00B51698"/>
    <w:rsid w:val="00B5169F"/>
    <w:rsid w:val="00B51815"/>
    <w:rsid w:val="00B51842"/>
    <w:rsid w:val="00B51855"/>
    <w:rsid w:val="00B518E8"/>
    <w:rsid w:val="00B519AC"/>
    <w:rsid w:val="00B519F8"/>
    <w:rsid w:val="00B51A02"/>
    <w:rsid w:val="00B51BF0"/>
    <w:rsid w:val="00B51C9E"/>
    <w:rsid w:val="00B51CBF"/>
    <w:rsid w:val="00B51CF2"/>
    <w:rsid w:val="00B51F25"/>
    <w:rsid w:val="00B51F4B"/>
    <w:rsid w:val="00B52291"/>
    <w:rsid w:val="00B522F7"/>
    <w:rsid w:val="00B5230D"/>
    <w:rsid w:val="00B52338"/>
    <w:rsid w:val="00B5234F"/>
    <w:rsid w:val="00B5264E"/>
    <w:rsid w:val="00B526DB"/>
    <w:rsid w:val="00B52790"/>
    <w:rsid w:val="00B527E9"/>
    <w:rsid w:val="00B528F9"/>
    <w:rsid w:val="00B52956"/>
    <w:rsid w:val="00B52B91"/>
    <w:rsid w:val="00B52B98"/>
    <w:rsid w:val="00B52BAD"/>
    <w:rsid w:val="00B52C7A"/>
    <w:rsid w:val="00B52CAB"/>
    <w:rsid w:val="00B52D91"/>
    <w:rsid w:val="00B52EF4"/>
    <w:rsid w:val="00B52F85"/>
    <w:rsid w:val="00B530A2"/>
    <w:rsid w:val="00B531F9"/>
    <w:rsid w:val="00B532A1"/>
    <w:rsid w:val="00B53376"/>
    <w:rsid w:val="00B53383"/>
    <w:rsid w:val="00B5338E"/>
    <w:rsid w:val="00B53540"/>
    <w:rsid w:val="00B53838"/>
    <w:rsid w:val="00B53848"/>
    <w:rsid w:val="00B53861"/>
    <w:rsid w:val="00B53891"/>
    <w:rsid w:val="00B5390B"/>
    <w:rsid w:val="00B5393C"/>
    <w:rsid w:val="00B53B30"/>
    <w:rsid w:val="00B53B3D"/>
    <w:rsid w:val="00B53B8A"/>
    <w:rsid w:val="00B53BE2"/>
    <w:rsid w:val="00B53D01"/>
    <w:rsid w:val="00B53D9A"/>
    <w:rsid w:val="00B53DAE"/>
    <w:rsid w:val="00B5400D"/>
    <w:rsid w:val="00B5409C"/>
    <w:rsid w:val="00B540FB"/>
    <w:rsid w:val="00B54175"/>
    <w:rsid w:val="00B543CF"/>
    <w:rsid w:val="00B545F9"/>
    <w:rsid w:val="00B54629"/>
    <w:rsid w:val="00B5463F"/>
    <w:rsid w:val="00B547C3"/>
    <w:rsid w:val="00B547C8"/>
    <w:rsid w:val="00B549DA"/>
    <w:rsid w:val="00B54B15"/>
    <w:rsid w:val="00B54CD3"/>
    <w:rsid w:val="00B54F59"/>
    <w:rsid w:val="00B552F4"/>
    <w:rsid w:val="00B55558"/>
    <w:rsid w:val="00B55585"/>
    <w:rsid w:val="00B557D6"/>
    <w:rsid w:val="00B55876"/>
    <w:rsid w:val="00B55970"/>
    <w:rsid w:val="00B55AA0"/>
    <w:rsid w:val="00B55AB9"/>
    <w:rsid w:val="00B55CDC"/>
    <w:rsid w:val="00B55DCD"/>
    <w:rsid w:val="00B55EF1"/>
    <w:rsid w:val="00B56201"/>
    <w:rsid w:val="00B5626E"/>
    <w:rsid w:val="00B562A3"/>
    <w:rsid w:val="00B56455"/>
    <w:rsid w:val="00B56469"/>
    <w:rsid w:val="00B56808"/>
    <w:rsid w:val="00B568AA"/>
    <w:rsid w:val="00B5697F"/>
    <w:rsid w:val="00B56986"/>
    <w:rsid w:val="00B56B54"/>
    <w:rsid w:val="00B56CAA"/>
    <w:rsid w:val="00B56CEF"/>
    <w:rsid w:val="00B56DD8"/>
    <w:rsid w:val="00B56E68"/>
    <w:rsid w:val="00B5705A"/>
    <w:rsid w:val="00B571C7"/>
    <w:rsid w:val="00B57359"/>
    <w:rsid w:val="00B57426"/>
    <w:rsid w:val="00B57826"/>
    <w:rsid w:val="00B578A2"/>
    <w:rsid w:val="00B578D4"/>
    <w:rsid w:val="00B5797F"/>
    <w:rsid w:val="00B579AE"/>
    <w:rsid w:val="00B58461"/>
    <w:rsid w:val="00B60240"/>
    <w:rsid w:val="00B60279"/>
    <w:rsid w:val="00B602A0"/>
    <w:rsid w:val="00B60354"/>
    <w:rsid w:val="00B6046C"/>
    <w:rsid w:val="00B60561"/>
    <w:rsid w:val="00B6076D"/>
    <w:rsid w:val="00B6082D"/>
    <w:rsid w:val="00B60912"/>
    <w:rsid w:val="00B60915"/>
    <w:rsid w:val="00B609DA"/>
    <w:rsid w:val="00B60CD9"/>
    <w:rsid w:val="00B60DD9"/>
    <w:rsid w:val="00B60E93"/>
    <w:rsid w:val="00B60FCE"/>
    <w:rsid w:val="00B6109C"/>
    <w:rsid w:val="00B6120B"/>
    <w:rsid w:val="00B61431"/>
    <w:rsid w:val="00B6152D"/>
    <w:rsid w:val="00B6159B"/>
    <w:rsid w:val="00B6179C"/>
    <w:rsid w:val="00B617DF"/>
    <w:rsid w:val="00B619D8"/>
    <w:rsid w:val="00B61AB0"/>
    <w:rsid w:val="00B61B56"/>
    <w:rsid w:val="00B61BEE"/>
    <w:rsid w:val="00B61CAF"/>
    <w:rsid w:val="00B61D72"/>
    <w:rsid w:val="00B61D8B"/>
    <w:rsid w:val="00B61D9B"/>
    <w:rsid w:val="00B61F70"/>
    <w:rsid w:val="00B61FBB"/>
    <w:rsid w:val="00B6206D"/>
    <w:rsid w:val="00B620ED"/>
    <w:rsid w:val="00B62312"/>
    <w:rsid w:val="00B6235C"/>
    <w:rsid w:val="00B62634"/>
    <w:rsid w:val="00B627A3"/>
    <w:rsid w:val="00B6290D"/>
    <w:rsid w:val="00B62A51"/>
    <w:rsid w:val="00B62A72"/>
    <w:rsid w:val="00B62A88"/>
    <w:rsid w:val="00B62C5B"/>
    <w:rsid w:val="00B62CA3"/>
    <w:rsid w:val="00B632F6"/>
    <w:rsid w:val="00B6344E"/>
    <w:rsid w:val="00B63451"/>
    <w:rsid w:val="00B63906"/>
    <w:rsid w:val="00B63938"/>
    <w:rsid w:val="00B639BC"/>
    <w:rsid w:val="00B63B6D"/>
    <w:rsid w:val="00B63CA3"/>
    <w:rsid w:val="00B63D95"/>
    <w:rsid w:val="00B63E3D"/>
    <w:rsid w:val="00B63FA2"/>
    <w:rsid w:val="00B641A1"/>
    <w:rsid w:val="00B641B1"/>
    <w:rsid w:val="00B641F3"/>
    <w:rsid w:val="00B64579"/>
    <w:rsid w:val="00B645FC"/>
    <w:rsid w:val="00B645FD"/>
    <w:rsid w:val="00B64653"/>
    <w:rsid w:val="00B648DB"/>
    <w:rsid w:val="00B64922"/>
    <w:rsid w:val="00B649A5"/>
    <w:rsid w:val="00B64A0B"/>
    <w:rsid w:val="00B64A73"/>
    <w:rsid w:val="00B64BD6"/>
    <w:rsid w:val="00B64CCA"/>
    <w:rsid w:val="00B64D4B"/>
    <w:rsid w:val="00B64F4C"/>
    <w:rsid w:val="00B64FAD"/>
    <w:rsid w:val="00B64FF0"/>
    <w:rsid w:val="00B65159"/>
    <w:rsid w:val="00B6521B"/>
    <w:rsid w:val="00B653AC"/>
    <w:rsid w:val="00B65483"/>
    <w:rsid w:val="00B657C3"/>
    <w:rsid w:val="00B657D8"/>
    <w:rsid w:val="00B65903"/>
    <w:rsid w:val="00B65911"/>
    <w:rsid w:val="00B65A33"/>
    <w:rsid w:val="00B65A56"/>
    <w:rsid w:val="00B65A5B"/>
    <w:rsid w:val="00B65A9F"/>
    <w:rsid w:val="00B65CB7"/>
    <w:rsid w:val="00B65DE0"/>
    <w:rsid w:val="00B66033"/>
    <w:rsid w:val="00B660AB"/>
    <w:rsid w:val="00B660DA"/>
    <w:rsid w:val="00B6616E"/>
    <w:rsid w:val="00B66391"/>
    <w:rsid w:val="00B66405"/>
    <w:rsid w:val="00B66569"/>
    <w:rsid w:val="00B6666E"/>
    <w:rsid w:val="00B6671F"/>
    <w:rsid w:val="00B66B4D"/>
    <w:rsid w:val="00B66CAE"/>
    <w:rsid w:val="00B66FC9"/>
    <w:rsid w:val="00B66FD3"/>
    <w:rsid w:val="00B6728E"/>
    <w:rsid w:val="00B672B3"/>
    <w:rsid w:val="00B672C8"/>
    <w:rsid w:val="00B6742D"/>
    <w:rsid w:val="00B674A9"/>
    <w:rsid w:val="00B6753E"/>
    <w:rsid w:val="00B6770D"/>
    <w:rsid w:val="00B6780A"/>
    <w:rsid w:val="00B679E4"/>
    <w:rsid w:val="00B67B8A"/>
    <w:rsid w:val="00B67C69"/>
    <w:rsid w:val="00B67DAD"/>
    <w:rsid w:val="00B67DE3"/>
    <w:rsid w:val="00B67EE7"/>
    <w:rsid w:val="00B67F20"/>
    <w:rsid w:val="00B67F97"/>
    <w:rsid w:val="00B7005A"/>
    <w:rsid w:val="00B7014B"/>
    <w:rsid w:val="00B701F8"/>
    <w:rsid w:val="00B701FB"/>
    <w:rsid w:val="00B70255"/>
    <w:rsid w:val="00B70271"/>
    <w:rsid w:val="00B702DD"/>
    <w:rsid w:val="00B7031A"/>
    <w:rsid w:val="00B703ED"/>
    <w:rsid w:val="00B7046A"/>
    <w:rsid w:val="00B704FD"/>
    <w:rsid w:val="00B7055D"/>
    <w:rsid w:val="00B70628"/>
    <w:rsid w:val="00B70688"/>
    <w:rsid w:val="00B706B5"/>
    <w:rsid w:val="00B707BF"/>
    <w:rsid w:val="00B7089A"/>
    <w:rsid w:val="00B70A11"/>
    <w:rsid w:val="00B70AD9"/>
    <w:rsid w:val="00B70B47"/>
    <w:rsid w:val="00B70C75"/>
    <w:rsid w:val="00B70D1A"/>
    <w:rsid w:val="00B70D7D"/>
    <w:rsid w:val="00B70EBA"/>
    <w:rsid w:val="00B70FAD"/>
    <w:rsid w:val="00B71027"/>
    <w:rsid w:val="00B710CE"/>
    <w:rsid w:val="00B710EA"/>
    <w:rsid w:val="00B71127"/>
    <w:rsid w:val="00B71241"/>
    <w:rsid w:val="00B71387"/>
    <w:rsid w:val="00B715C9"/>
    <w:rsid w:val="00B715D1"/>
    <w:rsid w:val="00B71603"/>
    <w:rsid w:val="00B7176A"/>
    <w:rsid w:val="00B717AA"/>
    <w:rsid w:val="00B717BB"/>
    <w:rsid w:val="00B71834"/>
    <w:rsid w:val="00B719B4"/>
    <w:rsid w:val="00B71AC9"/>
    <w:rsid w:val="00B71CDA"/>
    <w:rsid w:val="00B71E09"/>
    <w:rsid w:val="00B71E12"/>
    <w:rsid w:val="00B71E17"/>
    <w:rsid w:val="00B71EC7"/>
    <w:rsid w:val="00B71F59"/>
    <w:rsid w:val="00B71FDD"/>
    <w:rsid w:val="00B720D7"/>
    <w:rsid w:val="00B7243A"/>
    <w:rsid w:val="00B7253C"/>
    <w:rsid w:val="00B72C5F"/>
    <w:rsid w:val="00B72D0C"/>
    <w:rsid w:val="00B72DE7"/>
    <w:rsid w:val="00B72EFA"/>
    <w:rsid w:val="00B72F15"/>
    <w:rsid w:val="00B72FE3"/>
    <w:rsid w:val="00B73124"/>
    <w:rsid w:val="00B73167"/>
    <w:rsid w:val="00B73433"/>
    <w:rsid w:val="00B73590"/>
    <w:rsid w:val="00B735AE"/>
    <w:rsid w:val="00B737AD"/>
    <w:rsid w:val="00B73A66"/>
    <w:rsid w:val="00B73B92"/>
    <w:rsid w:val="00B73B96"/>
    <w:rsid w:val="00B73C35"/>
    <w:rsid w:val="00B73C44"/>
    <w:rsid w:val="00B73C7E"/>
    <w:rsid w:val="00B73CF8"/>
    <w:rsid w:val="00B73E8E"/>
    <w:rsid w:val="00B73ECB"/>
    <w:rsid w:val="00B73FA6"/>
    <w:rsid w:val="00B73FF4"/>
    <w:rsid w:val="00B73FFD"/>
    <w:rsid w:val="00B74267"/>
    <w:rsid w:val="00B7440E"/>
    <w:rsid w:val="00B74524"/>
    <w:rsid w:val="00B74640"/>
    <w:rsid w:val="00B7472D"/>
    <w:rsid w:val="00B747A4"/>
    <w:rsid w:val="00B74971"/>
    <w:rsid w:val="00B749E9"/>
    <w:rsid w:val="00B74A81"/>
    <w:rsid w:val="00B74B44"/>
    <w:rsid w:val="00B74B61"/>
    <w:rsid w:val="00B74B86"/>
    <w:rsid w:val="00B74C3A"/>
    <w:rsid w:val="00B74D1D"/>
    <w:rsid w:val="00B74D81"/>
    <w:rsid w:val="00B74E13"/>
    <w:rsid w:val="00B74F8F"/>
    <w:rsid w:val="00B74F9F"/>
    <w:rsid w:val="00B75031"/>
    <w:rsid w:val="00B75055"/>
    <w:rsid w:val="00B7506D"/>
    <w:rsid w:val="00B75122"/>
    <w:rsid w:val="00B752D9"/>
    <w:rsid w:val="00B753F7"/>
    <w:rsid w:val="00B75545"/>
    <w:rsid w:val="00B75771"/>
    <w:rsid w:val="00B75794"/>
    <w:rsid w:val="00B7592C"/>
    <w:rsid w:val="00B7596F"/>
    <w:rsid w:val="00B75997"/>
    <w:rsid w:val="00B759BE"/>
    <w:rsid w:val="00B75A55"/>
    <w:rsid w:val="00B75ABB"/>
    <w:rsid w:val="00B75B00"/>
    <w:rsid w:val="00B75BDB"/>
    <w:rsid w:val="00B75C44"/>
    <w:rsid w:val="00B75DB6"/>
    <w:rsid w:val="00B75E00"/>
    <w:rsid w:val="00B7602D"/>
    <w:rsid w:val="00B760EC"/>
    <w:rsid w:val="00B760EF"/>
    <w:rsid w:val="00B76179"/>
    <w:rsid w:val="00B76253"/>
    <w:rsid w:val="00B76474"/>
    <w:rsid w:val="00B764B8"/>
    <w:rsid w:val="00B764DE"/>
    <w:rsid w:val="00B7656B"/>
    <w:rsid w:val="00B76631"/>
    <w:rsid w:val="00B76743"/>
    <w:rsid w:val="00B76AC5"/>
    <w:rsid w:val="00B76B39"/>
    <w:rsid w:val="00B76B7E"/>
    <w:rsid w:val="00B76C36"/>
    <w:rsid w:val="00B76C6F"/>
    <w:rsid w:val="00B76C9E"/>
    <w:rsid w:val="00B76D6E"/>
    <w:rsid w:val="00B76F1F"/>
    <w:rsid w:val="00B771E7"/>
    <w:rsid w:val="00B7729F"/>
    <w:rsid w:val="00B77470"/>
    <w:rsid w:val="00B77474"/>
    <w:rsid w:val="00B774DA"/>
    <w:rsid w:val="00B775BA"/>
    <w:rsid w:val="00B7763A"/>
    <w:rsid w:val="00B77743"/>
    <w:rsid w:val="00B77872"/>
    <w:rsid w:val="00B7790B"/>
    <w:rsid w:val="00B77A35"/>
    <w:rsid w:val="00B77E17"/>
    <w:rsid w:val="00B77E95"/>
    <w:rsid w:val="00B77EE5"/>
    <w:rsid w:val="00B80139"/>
    <w:rsid w:val="00B80560"/>
    <w:rsid w:val="00B806C9"/>
    <w:rsid w:val="00B80873"/>
    <w:rsid w:val="00B80895"/>
    <w:rsid w:val="00B808D1"/>
    <w:rsid w:val="00B80929"/>
    <w:rsid w:val="00B80988"/>
    <w:rsid w:val="00B80A42"/>
    <w:rsid w:val="00B80DED"/>
    <w:rsid w:val="00B8102D"/>
    <w:rsid w:val="00B81057"/>
    <w:rsid w:val="00B8125E"/>
    <w:rsid w:val="00B81420"/>
    <w:rsid w:val="00B81423"/>
    <w:rsid w:val="00B815BB"/>
    <w:rsid w:val="00B8167A"/>
    <w:rsid w:val="00B816D5"/>
    <w:rsid w:val="00B816F3"/>
    <w:rsid w:val="00B818F5"/>
    <w:rsid w:val="00B81B21"/>
    <w:rsid w:val="00B81C34"/>
    <w:rsid w:val="00B81CB5"/>
    <w:rsid w:val="00B81EAE"/>
    <w:rsid w:val="00B81EE8"/>
    <w:rsid w:val="00B82040"/>
    <w:rsid w:val="00B8215C"/>
    <w:rsid w:val="00B82180"/>
    <w:rsid w:val="00B8229E"/>
    <w:rsid w:val="00B822C4"/>
    <w:rsid w:val="00B82345"/>
    <w:rsid w:val="00B823FD"/>
    <w:rsid w:val="00B82595"/>
    <w:rsid w:val="00B82596"/>
    <w:rsid w:val="00B825F8"/>
    <w:rsid w:val="00B8263F"/>
    <w:rsid w:val="00B8285D"/>
    <w:rsid w:val="00B82A21"/>
    <w:rsid w:val="00B82ACB"/>
    <w:rsid w:val="00B82ADF"/>
    <w:rsid w:val="00B82AF0"/>
    <w:rsid w:val="00B82B35"/>
    <w:rsid w:val="00B82D18"/>
    <w:rsid w:val="00B82D8B"/>
    <w:rsid w:val="00B82D98"/>
    <w:rsid w:val="00B82F0E"/>
    <w:rsid w:val="00B8303C"/>
    <w:rsid w:val="00B834C1"/>
    <w:rsid w:val="00B83634"/>
    <w:rsid w:val="00B83674"/>
    <w:rsid w:val="00B83685"/>
    <w:rsid w:val="00B837CD"/>
    <w:rsid w:val="00B8387D"/>
    <w:rsid w:val="00B839BF"/>
    <w:rsid w:val="00B83AC5"/>
    <w:rsid w:val="00B83B2F"/>
    <w:rsid w:val="00B83CA7"/>
    <w:rsid w:val="00B83CB0"/>
    <w:rsid w:val="00B83E7F"/>
    <w:rsid w:val="00B8401D"/>
    <w:rsid w:val="00B840E7"/>
    <w:rsid w:val="00B844A5"/>
    <w:rsid w:val="00B84548"/>
    <w:rsid w:val="00B8458A"/>
    <w:rsid w:val="00B84680"/>
    <w:rsid w:val="00B8471B"/>
    <w:rsid w:val="00B847AC"/>
    <w:rsid w:val="00B8486E"/>
    <w:rsid w:val="00B84899"/>
    <w:rsid w:val="00B848D0"/>
    <w:rsid w:val="00B848D6"/>
    <w:rsid w:val="00B849EB"/>
    <w:rsid w:val="00B849F0"/>
    <w:rsid w:val="00B84A53"/>
    <w:rsid w:val="00B84B66"/>
    <w:rsid w:val="00B84C4F"/>
    <w:rsid w:val="00B84E7F"/>
    <w:rsid w:val="00B84FFE"/>
    <w:rsid w:val="00B85190"/>
    <w:rsid w:val="00B852FE"/>
    <w:rsid w:val="00B8531F"/>
    <w:rsid w:val="00B85325"/>
    <w:rsid w:val="00B85338"/>
    <w:rsid w:val="00B854DC"/>
    <w:rsid w:val="00B855E5"/>
    <w:rsid w:val="00B855FB"/>
    <w:rsid w:val="00B8574B"/>
    <w:rsid w:val="00B857A4"/>
    <w:rsid w:val="00B857FE"/>
    <w:rsid w:val="00B859B8"/>
    <w:rsid w:val="00B85B37"/>
    <w:rsid w:val="00B85B6F"/>
    <w:rsid w:val="00B85E3D"/>
    <w:rsid w:val="00B860A8"/>
    <w:rsid w:val="00B8635E"/>
    <w:rsid w:val="00B8643F"/>
    <w:rsid w:val="00B8647E"/>
    <w:rsid w:val="00B8675C"/>
    <w:rsid w:val="00B8683E"/>
    <w:rsid w:val="00B86850"/>
    <w:rsid w:val="00B86936"/>
    <w:rsid w:val="00B86977"/>
    <w:rsid w:val="00B86A4E"/>
    <w:rsid w:val="00B86A93"/>
    <w:rsid w:val="00B86BFA"/>
    <w:rsid w:val="00B86BFC"/>
    <w:rsid w:val="00B86E11"/>
    <w:rsid w:val="00B86F0C"/>
    <w:rsid w:val="00B87250"/>
    <w:rsid w:val="00B872EB"/>
    <w:rsid w:val="00B872F1"/>
    <w:rsid w:val="00B873B7"/>
    <w:rsid w:val="00B87518"/>
    <w:rsid w:val="00B876DB"/>
    <w:rsid w:val="00B87773"/>
    <w:rsid w:val="00B87CCE"/>
    <w:rsid w:val="00B87DB7"/>
    <w:rsid w:val="00B87E85"/>
    <w:rsid w:val="00B87E89"/>
    <w:rsid w:val="00B87EB4"/>
    <w:rsid w:val="00B87EF9"/>
    <w:rsid w:val="00B87F89"/>
    <w:rsid w:val="00B87FC1"/>
    <w:rsid w:val="00B900D8"/>
    <w:rsid w:val="00B9015A"/>
    <w:rsid w:val="00B90245"/>
    <w:rsid w:val="00B90250"/>
    <w:rsid w:val="00B90299"/>
    <w:rsid w:val="00B902C2"/>
    <w:rsid w:val="00B903B4"/>
    <w:rsid w:val="00B90779"/>
    <w:rsid w:val="00B90807"/>
    <w:rsid w:val="00B9090E"/>
    <w:rsid w:val="00B9091E"/>
    <w:rsid w:val="00B90BD0"/>
    <w:rsid w:val="00B90BE9"/>
    <w:rsid w:val="00B90BF8"/>
    <w:rsid w:val="00B90CB6"/>
    <w:rsid w:val="00B90D05"/>
    <w:rsid w:val="00B90E7B"/>
    <w:rsid w:val="00B912B7"/>
    <w:rsid w:val="00B91374"/>
    <w:rsid w:val="00B91382"/>
    <w:rsid w:val="00B913D9"/>
    <w:rsid w:val="00B915E9"/>
    <w:rsid w:val="00B91629"/>
    <w:rsid w:val="00B9163C"/>
    <w:rsid w:val="00B91829"/>
    <w:rsid w:val="00B91989"/>
    <w:rsid w:val="00B919EB"/>
    <w:rsid w:val="00B91AE9"/>
    <w:rsid w:val="00B91C9D"/>
    <w:rsid w:val="00B91ED7"/>
    <w:rsid w:val="00B91EDB"/>
    <w:rsid w:val="00B91FF0"/>
    <w:rsid w:val="00B920C4"/>
    <w:rsid w:val="00B920F0"/>
    <w:rsid w:val="00B9212C"/>
    <w:rsid w:val="00B9221D"/>
    <w:rsid w:val="00B922D6"/>
    <w:rsid w:val="00B922EC"/>
    <w:rsid w:val="00B9242D"/>
    <w:rsid w:val="00B9242E"/>
    <w:rsid w:val="00B924F6"/>
    <w:rsid w:val="00B9278E"/>
    <w:rsid w:val="00B927C3"/>
    <w:rsid w:val="00B92812"/>
    <w:rsid w:val="00B92923"/>
    <w:rsid w:val="00B929C6"/>
    <w:rsid w:val="00B92A03"/>
    <w:rsid w:val="00B92AB4"/>
    <w:rsid w:val="00B92B05"/>
    <w:rsid w:val="00B92CB3"/>
    <w:rsid w:val="00B92D18"/>
    <w:rsid w:val="00B92F8C"/>
    <w:rsid w:val="00B92F95"/>
    <w:rsid w:val="00B9320E"/>
    <w:rsid w:val="00B9323A"/>
    <w:rsid w:val="00B932FA"/>
    <w:rsid w:val="00B933D6"/>
    <w:rsid w:val="00B93558"/>
    <w:rsid w:val="00B935AC"/>
    <w:rsid w:val="00B936CC"/>
    <w:rsid w:val="00B93750"/>
    <w:rsid w:val="00B9394F"/>
    <w:rsid w:val="00B93BD3"/>
    <w:rsid w:val="00B94001"/>
    <w:rsid w:val="00B9420F"/>
    <w:rsid w:val="00B94328"/>
    <w:rsid w:val="00B943C7"/>
    <w:rsid w:val="00B94587"/>
    <w:rsid w:val="00B94595"/>
    <w:rsid w:val="00B94879"/>
    <w:rsid w:val="00B949FC"/>
    <w:rsid w:val="00B94A35"/>
    <w:rsid w:val="00B94A5F"/>
    <w:rsid w:val="00B94B7E"/>
    <w:rsid w:val="00B94C8C"/>
    <w:rsid w:val="00B94E80"/>
    <w:rsid w:val="00B94FF2"/>
    <w:rsid w:val="00B95021"/>
    <w:rsid w:val="00B952B3"/>
    <w:rsid w:val="00B95466"/>
    <w:rsid w:val="00B954C7"/>
    <w:rsid w:val="00B954C9"/>
    <w:rsid w:val="00B954FA"/>
    <w:rsid w:val="00B95542"/>
    <w:rsid w:val="00B956D0"/>
    <w:rsid w:val="00B956DB"/>
    <w:rsid w:val="00B95984"/>
    <w:rsid w:val="00B95AEA"/>
    <w:rsid w:val="00B95B6C"/>
    <w:rsid w:val="00B95CF1"/>
    <w:rsid w:val="00B95D54"/>
    <w:rsid w:val="00B95F50"/>
    <w:rsid w:val="00B96000"/>
    <w:rsid w:val="00B96025"/>
    <w:rsid w:val="00B96061"/>
    <w:rsid w:val="00B961E2"/>
    <w:rsid w:val="00B9656F"/>
    <w:rsid w:val="00B9665C"/>
    <w:rsid w:val="00B966F2"/>
    <w:rsid w:val="00B96806"/>
    <w:rsid w:val="00B96891"/>
    <w:rsid w:val="00B96C0A"/>
    <w:rsid w:val="00B96C30"/>
    <w:rsid w:val="00B96CD3"/>
    <w:rsid w:val="00B96EBC"/>
    <w:rsid w:val="00B96ECE"/>
    <w:rsid w:val="00B96F2E"/>
    <w:rsid w:val="00B96FE5"/>
    <w:rsid w:val="00B970A4"/>
    <w:rsid w:val="00B97145"/>
    <w:rsid w:val="00B97177"/>
    <w:rsid w:val="00B97483"/>
    <w:rsid w:val="00B97549"/>
    <w:rsid w:val="00B97572"/>
    <w:rsid w:val="00B97746"/>
    <w:rsid w:val="00B97956"/>
    <w:rsid w:val="00B979E3"/>
    <w:rsid w:val="00B97AC1"/>
    <w:rsid w:val="00B97BCE"/>
    <w:rsid w:val="00B97DEA"/>
    <w:rsid w:val="00B97E25"/>
    <w:rsid w:val="00B97ED4"/>
    <w:rsid w:val="00B97F28"/>
    <w:rsid w:val="00B97FCC"/>
    <w:rsid w:val="00BA0175"/>
    <w:rsid w:val="00BA034C"/>
    <w:rsid w:val="00BA04F5"/>
    <w:rsid w:val="00BA0502"/>
    <w:rsid w:val="00BA058C"/>
    <w:rsid w:val="00BA05C0"/>
    <w:rsid w:val="00BA069F"/>
    <w:rsid w:val="00BA06CB"/>
    <w:rsid w:val="00BA06E4"/>
    <w:rsid w:val="00BA0862"/>
    <w:rsid w:val="00BA0A79"/>
    <w:rsid w:val="00BA0BD2"/>
    <w:rsid w:val="00BA0DFF"/>
    <w:rsid w:val="00BA0F30"/>
    <w:rsid w:val="00BA119E"/>
    <w:rsid w:val="00BA11E7"/>
    <w:rsid w:val="00BA1240"/>
    <w:rsid w:val="00BA13CE"/>
    <w:rsid w:val="00BA150E"/>
    <w:rsid w:val="00BA17D8"/>
    <w:rsid w:val="00BA1878"/>
    <w:rsid w:val="00BA1A2E"/>
    <w:rsid w:val="00BA1A33"/>
    <w:rsid w:val="00BA1A55"/>
    <w:rsid w:val="00BA1AE9"/>
    <w:rsid w:val="00BA1B33"/>
    <w:rsid w:val="00BA1CDD"/>
    <w:rsid w:val="00BA1D49"/>
    <w:rsid w:val="00BA1DBC"/>
    <w:rsid w:val="00BA1DFD"/>
    <w:rsid w:val="00BA1E36"/>
    <w:rsid w:val="00BA1E7B"/>
    <w:rsid w:val="00BA1F94"/>
    <w:rsid w:val="00BA1FBF"/>
    <w:rsid w:val="00BA2128"/>
    <w:rsid w:val="00BA2224"/>
    <w:rsid w:val="00BA22E3"/>
    <w:rsid w:val="00BA2473"/>
    <w:rsid w:val="00BA258A"/>
    <w:rsid w:val="00BA2608"/>
    <w:rsid w:val="00BA273B"/>
    <w:rsid w:val="00BA2815"/>
    <w:rsid w:val="00BA285F"/>
    <w:rsid w:val="00BA289A"/>
    <w:rsid w:val="00BA2974"/>
    <w:rsid w:val="00BA2B47"/>
    <w:rsid w:val="00BA2B52"/>
    <w:rsid w:val="00BA2BBF"/>
    <w:rsid w:val="00BA2CF2"/>
    <w:rsid w:val="00BA2D35"/>
    <w:rsid w:val="00BA2ED2"/>
    <w:rsid w:val="00BA3150"/>
    <w:rsid w:val="00BA315C"/>
    <w:rsid w:val="00BA32EA"/>
    <w:rsid w:val="00BA3380"/>
    <w:rsid w:val="00BA34F7"/>
    <w:rsid w:val="00BA367C"/>
    <w:rsid w:val="00BA3748"/>
    <w:rsid w:val="00BA37E1"/>
    <w:rsid w:val="00BA3951"/>
    <w:rsid w:val="00BA3A2C"/>
    <w:rsid w:val="00BA3B33"/>
    <w:rsid w:val="00BA3C63"/>
    <w:rsid w:val="00BA3C7F"/>
    <w:rsid w:val="00BA3DFF"/>
    <w:rsid w:val="00BA3ED4"/>
    <w:rsid w:val="00BA3EF5"/>
    <w:rsid w:val="00BA402D"/>
    <w:rsid w:val="00BA40F4"/>
    <w:rsid w:val="00BA425B"/>
    <w:rsid w:val="00BA4270"/>
    <w:rsid w:val="00BA430B"/>
    <w:rsid w:val="00BA4486"/>
    <w:rsid w:val="00BA45D3"/>
    <w:rsid w:val="00BA46E9"/>
    <w:rsid w:val="00BA46F3"/>
    <w:rsid w:val="00BA4938"/>
    <w:rsid w:val="00BA4B27"/>
    <w:rsid w:val="00BA4B36"/>
    <w:rsid w:val="00BA4B86"/>
    <w:rsid w:val="00BA4C5E"/>
    <w:rsid w:val="00BA4CAA"/>
    <w:rsid w:val="00BA4D6B"/>
    <w:rsid w:val="00BA4D83"/>
    <w:rsid w:val="00BA4D8A"/>
    <w:rsid w:val="00BA4E8A"/>
    <w:rsid w:val="00BA4F6D"/>
    <w:rsid w:val="00BA4FD2"/>
    <w:rsid w:val="00BA511F"/>
    <w:rsid w:val="00BA5193"/>
    <w:rsid w:val="00BA5464"/>
    <w:rsid w:val="00BA5496"/>
    <w:rsid w:val="00BA54F4"/>
    <w:rsid w:val="00BA54FB"/>
    <w:rsid w:val="00BA55A6"/>
    <w:rsid w:val="00BA55CB"/>
    <w:rsid w:val="00BA5717"/>
    <w:rsid w:val="00BA58C6"/>
    <w:rsid w:val="00BA59F4"/>
    <w:rsid w:val="00BA5B16"/>
    <w:rsid w:val="00BA5B72"/>
    <w:rsid w:val="00BA5B96"/>
    <w:rsid w:val="00BA5C24"/>
    <w:rsid w:val="00BA5CA5"/>
    <w:rsid w:val="00BA5DA4"/>
    <w:rsid w:val="00BA600B"/>
    <w:rsid w:val="00BA6202"/>
    <w:rsid w:val="00BA62DD"/>
    <w:rsid w:val="00BA636D"/>
    <w:rsid w:val="00BA6424"/>
    <w:rsid w:val="00BA6663"/>
    <w:rsid w:val="00BA669D"/>
    <w:rsid w:val="00BA676E"/>
    <w:rsid w:val="00BA68DC"/>
    <w:rsid w:val="00BA68F3"/>
    <w:rsid w:val="00BA6901"/>
    <w:rsid w:val="00BA6A2D"/>
    <w:rsid w:val="00BA6AEB"/>
    <w:rsid w:val="00BA6BEC"/>
    <w:rsid w:val="00BA6C5F"/>
    <w:rsid w:val="00BA6D92"/>
    <w:rsid w:val="00BA6E4A"/>
    <w:rsid w:val="00BA700C"/>
    <w:rsid w:val="00BA711C"/>
    <w:rsid w:val="00BA71A1"/>
    <w:rsid w:val="00BA71BF"/>
    <w:rsid w:val="00BA729B"/>
    <w:rsid w:val="00BA72B7"/>
    <w:rsid w:val="00BA72D7"/>
    <w:rsid w:val="00BA7591"/>
    <w:rsid w:val="00BA787E"/>
    <w:rsid w:val="00BA7CC5"/>
    <w:rsid w:val="00BA7D0D"/>
    <w:rsid w:val="00BA7E42"/>
    <w:rsid w:val="00BA7E70"/>
    <w:rsid w:val="00BA7EB3"/>
    <w:rsid w:val="00BA7F4A"/>
    <w:rsid w:val="00BB0386"/>
    <w:rsid w:val="00BB0410"/>
    <w:rsid w:val="00BB0466"/>
    <w:rsid w:val="00BB0547"/>
    <w:rsid w:val="00BB0551"/>
    <w:rsid w:val="00BB0639"/>
    <w:rsid w:val="00BB07FF"/>
    <w:rsid w:val="00BB0816"/>
    <w:rsid w:val="00BB098F"/>
    <w:rsid w:val="00BB099C"/>
    <w:rsid w:val="00BB0A0A"/>
    <w:rsid w:val="00BB0AD6"/>
    <w:rsid w:val="00BB0B38"/>
    <w:rsid w:val="00BB0E8A"/>
    <w:rsid w:val="00BB0FB4"/>
    <w:rsid w:val="00BB1083"/>
    <w:rsid w:val="00BB1167"/>
    <w:rsid w:val="00BB11BF"/>
    <w:rsid w:val="00BB125B"/>
    <w:rsid w:val="00BB13FA"/>
    <w:rsid w:val="00BB1477"/>
    <w:rsid w:val="00BB15BF"/>
    <w:rsid w:val="00BB166D"/>
    <w:rsid w:val="00BB171D"/>
    <w:rsid w:val="00BB1819"/>
    <w:rsid w:val="00BB187F"/>
    <w:rsid w:val="00BB1B93"/>
    <w:rsid w:val="00BB1C7F"/>
    <w:rsid w:val="00BB1DD1"/>
    <w:rsid w:val="00BB1DE2"/>
    <w:rsid w:val="00BB1E2F"/>
    <w:rsid w:val="00BB2076"/>
    <w:rsid w:val="00BB2078"/>
    <w:rsid w:val="00BB2201"/>
    <w:rsid w:val="00BB258F"/>
    <w:rsid w:val="00BB25C6"/>
    <w:rsid w:val="00BB2635"/>
    <w:rsid w:val="00BB267C"/>
    <w:rsid w:val="00BB2940"/>
    <w:rsid w:val="00BB29CC"/>
    <w:rsid w:val="00BB2B79"/>
    <w:rsid w:val="00BB2BB9"/>
    <w:rsid w:val="00BB2C3A"/>
    <w:rsid w:val="00BB2DCF"/>
    <w:rsid w:val="00BB2ED6"/>
    <w:rsid w:val="00BB2F02"/>
    <w:rsid w:val="00BB2FD6"/>
    <w:rsid w:val="00BB30D8"/>
    <w:rsid w:val="00BB31A8"/>
    <w:rsid w:val="00BB3248"/>
    <w:rsid w:val="00BB3274"/>
    <w:rsid w:val="00BB346E"/>
    <w:rsid w:val="00BB35EF"/>
    <w:rsid w:val="00BB37B5"/>
    <w:rsid w:val="00BB37D8"/>
    <w:rsid w:val="00BB3842"/>
    <w:rsid w:val="00BB3862"/>
    <w:rsid w:val="00BB387E"/>
    <w:rsid w:val="00BB3882"/>
    <w:rsid w:val="00BB391F"/>
    <w:rsid w:val="00BB39FC"/>
    <w:rsid w:val="00BB3A83"/>
    <w:rsid w:val="00BB3BB6"/>
    <w:rsid w:val="00BB3D2D"/>
    <w:rsid w:val="00BB3FC1"/>
    <w:rsid w:val="00BB4030"/>
    <w:rsid w:val="00BB410C"/>
    <w:rsid w:val="00BB429D"/>
    <w:rsid w:val="00BB42BF"/>
    <w:rsid w:val="00BB437F"/>
    <w:rsid w:val="00BB43EE"/>
    <w:rsid w:val="00BB440F"/>
    <w:rsid w:val="00BB44DE"/>
    <w:rsid w:val="00BB4510"/>
    <w:rsid w:val="00BB493D"/>
    <w:rsid w:val="00BB4B83"/>
    <w:rsid w:val="00BB4C61"/>
    <w:rsid w:val="00BB4D11"/>
    <w:rsid w:val="00BB4D12"/>
    <w:rsid w:val="00BB4DA4"/>
    <w:rsid w:val="00BB4E2D"/>
    <w:rsid w:val="00BB4E58"/>
    <w:rsid w:val="00BB4F2F"/>
    <w:rsid w:val="00BB5065"/>
    <w:rsid w:val="00BB5086"/>
    <w:rsid w:val="00BB5124"/>
    <w:rsid w:val="00BB5200"/>
    <w:rsid w:val="00BB5336"/>
    <w:rsid w:val="00BB54A7"/>
    <w:rsid w:val="00BB54EF"/>
    <w:rsid w:val="00BB560A"/>
    <w:rsid w:val="00BB5790"/>
    <w:rsid w:val="00BB5A9B"/>
    <w:rsid w:val="00BB5D74"/>
    <w:rsid w:val="00BB5DD6"/>
    <w:rsid w:val="00BB5E0B"/>
    <w:rsid w:val="00BB5F3F"/>
    <w:rsid w:val="00BB60A7"/>
    <w:rsid w:val="00BB62D5"/>
    <w:rsid w:val="00BB647A"/>
    <w:rsid w:val="00BB650D"/>
    <w:rsid w:val="00BB651C"/>
    <w:rsid w:val="00BB6A0C"/>
    <w:rsid w:val="00BB6A24"/>
    <w:rsid w:val="00BB6C19"/>
    <w:rsid w:val="00BB6E00"/>
    <w:rsid w:val="00BB6EB1"/>
    <w:rsid w:val="00BB70E4"/>
    <w:rsid w:val="00BB70FB"/>
    <w:rsid w:val="00BB719C"/>
    <w:rsid w:val="00BB7215"/>
    <w:rsid w:val="00BB7265"/>
    <w:rsid w:val="00BB72DD"/>
    <w:rsid w:val="00BB748D"/>
    <w:rsid w:val="00BB7532"/>
    <w:rsid w:val="00BB763B"/>
    <w:rsid w:val="00BB76F7"/>
    <w:rsid w:val="00BB7708"/>
    <w:rsid w:val="00BB7831"/>
    <w:rsid w:val="00BB7862"/>
    <w:rsid w:val="00BB79B1"/>
    <w:rsid w:val="00BB79B4"/>
    <w:rsid w:val="00BB7B3E"/>
    <w:rsid w:val="00BB7B50"/>
    <w:rsid w:val="00BB7B6D"/>
    <w:rsid w:val="00BB7B9A"/>
    <w:rsid w:val="00BB7C5A"/>
    <w:rsid w:val="00BB7C98"/>
    <w:rsid w:val="00BB7DE8"/>
    <w:rsid w:val="00BB7EDD"/>
    <w:rsid w:val="00BB7F8C"/>
    <w:rsid w:val="00BB7FD0"/>
    <w:rsid w:val="00BC006B"/>
    <w:rsid w:val="00BC0320"/>
    <w:rsid w:val="00BC03E2"/>
    <w:rsid w:val="00BC0403"/>
    <w:rsid w:val="00BC0461"/>
    <w:rsid w:val="00BC053B"/>
    <w:rsid w:val="00BC074E"/>
    <w:rsid w:val="00BC07F1"/>
    <w:rsid w:val="00BC087C"/>
    <w:rsid w:val="00BC08D4"/>
    <w:rsid w:val="00BC0914"/>
    <w:rsid w:val="00BC09E1"/>
    <w:rsid w:val="00BC09EB"/>
    <w:rsid w:val="00BC0A32"/>
    <w:rsid w:val="00BC0AC4"/>
    <w:rsid w:val="00BC0B94"/>
    <w:rsid w:val="00BC0DC4"/>
    <w:rsid w:val="00BC0E73"/>
    <w:rsid w:val="00BC1038"/>
    <w:rsid w:val="00BC1119"/>
    <w:rsid w:val="00BC1128"/>
    <w:rsid w:val="00BC116A"/>
    <w:rsid w:val="00BC119C"/>
    <w:rsid w:val="00BC1354"/>
    <w:rsid w:val="00BC13DB"/>
    <w:rsid w:val="00BC146B"/>
    <w:rsid w:val="00BC159B"/>
    <w:rsid w:val="00BC1706"/>
    <w:rsid w:val="00BC170D"/>
    <w:rsid w:val="00BC1736"/>
    <w:rsid w:val="00BC178F"/>
    <w:rsid w:val="00BC17D4"/>
    <w:rsid w:val="00BC183B"/>
    <w:rsid w:val="00BC183D"/>
    <w:rsid w:val="00BC199B"/>
    <w:rsid w:val="00BC1A7B"/>
    <w:rsid w:val="00BC1A90"/>
    <w:rsid w:val="00BC1C83"/>
    <w:rsid w:val="00BC1CF4"/>
    <w:rsid w:val="00BC1D04"/>
    <w:rsid w:val="00BC1DE7"/>
    <w:rsid w:val="00BC1F85"/>
    <w:rsid w:val="00BC20AC"/>
    <w:rsid w:val="00BC21B8"/>
    <w:rsid w:val="00BC2297"/>
    <w:rsid w:val="00BC2298"/>
    <w:rsid w:val="00BC23FA"/>
    <w:rsid w:val="00BC255E"/>
    <w:rsid w:val="00BC25D6"/>
    <w:rsid w:val="00BC27A6"/>
    <w:rsid w:val="00BC2919"/>
    <w:rsid w:val="00BC2982"/>
    <w:rsid w:val="00BC2A31"/>
    <w:rsid w:val="00BC2A3C"/>
    <w:rsid w:val="00BC2B27"/>
    <w:rsid w:val="00BC2B2F"/>
    <w:rsid w:val="00BC2C1E"/>
    <w:rsid w:val="00BC2CEA"/>
    <w:rsid w:val="00BC2E5B"/>
    <w:rsid w:val="00BC2EE0"/>
    <w:rsid w:val="00BC2EF7"/>
    <w:rsid w:val="00BC2EFD"/>
    <w:rsid w:val="00BC30E5"/>
    <w:rsid w:val="00BC3109"/>
    <w:rsid w:val="00BC315A"/>
    <w:rsid w:val="00BC316F"/>
    <w:rsid w:val="00BC31FF"/>
    <w:rsid w:val="00BC331B"/>
    <w:rsid w:val="00BC33A4"/>
    <w:rsid w:val="00BC33B7"/>
    <w:rsid w:val="00BC35EB"/>
    <w:rsid w:val="00BC37ED"/>
    <w:rsid w:val="00BC387E"/>
    <w:rsid w:val="00BC3890"/>
    <w:rsid w:val="00BC3935"/>
    <w:rsid w:val="00BC39A5"/>
    <w:rsid w:val="00BC39EE"/>
    <w:rsid w:val="00BC3B2F"/>
    <w:rsid w:val="00BC3B44"/>
    <w:rsid w:val="00BC3BF5"/>
    <w:rsid w:val="00BC3C24"/>
    <w:rsid w:val="00BC3C7D"/>
    <w:rsid w:val="00BC3D29"/>
    <w:rsid w:val="00BC3D5F"/>
    <w:rsid w:val="00BC3D67"/>
    <w:rsid w:val="00BC3E00"/>
    <w:rsid w:val="00BC3E39"/>
    <w:rsid w:val="00BC3E8B"/>
    <w:rsid w:val="00BC40C2"/>
    <w:rsid w:val="00BC40D9"/>
    <w:rsid w:val="00BC4134"/>
    <w:rsid w:val="00BC42D3"/>
    <w:rsid w:val="00BC44C2"/>
    <w:rsid w:val="00BC4721"/>
    <w:rsid w:val="00BC480E"/>
    <w:rsid w:val="00BC483B"/>
    <w:rsid w:val="00BC493D"/>
    <w:rsid w:val="00BC49E4"/>
    <w:rsid w:val="00BC4DE2"/>
    <w:rsid w:val="00BC4E59"/>
    <w:rsid w:val="00BC4E79"/>
    <w:rsid w:val="00BC4F3E"/>
    <w:rsid w:val="00BC4F4C"/>
    <w:rsid w:val="00BC4FBD"/>
    <w:rsid w:val="00BC5031"/>
    <w:rsid w:val="00BC50DB"/>
    <w:rsid w:val="00BC53CE"/>
    <w:rsid w:val="00BC5449"/>
    <w:rsid w:val="00BC550C"/>
    <w:rsid w:val="00BC5582"/>
    <w:rsid w:val="00BC5679"/>
    <w:rsid w:val="00BC576B"/>
    <w:rsid w:val="00BC581E"/>
    <w:rsid w:val="00BC58B1"/>
    <w:rsid w:val="00BC58D9"/>
    <w:rsid w:val="00BC596F"/>
    <w:rsid w:val="00BC59D6"/>
    <w:rsid w:val="00BC5B11"/>
    <w:rsid w:val="00BC5B9E"/>
    <w:rsid w:val="00BC5BD3"/>
    <w:rsid w:val="00BC5C6A"/>
    <w:rsid w:val="00BC5D31"/>
    <w:rsid w:val="00BC5D32"/>
    <w:rsid w:val="00BC5D3A"/>
    <w:rsid w:val="00BC5DD3"/>
    <w:rsid w:val="00BC5E22"/>
    <w:rsid w:val="00BC610B"/>
    <w:rsid w:val="00BC626A"/>
    <w:rsid w:val="00BC636B"/>
    <w:rsid w:val="00BC643A"/>
    <w:rsid w:val="00BC64BA"/>
    <w:rsid w:val="00BC654B"/>
    <w:rsid w:val="00BC6573"/>
    <w:rsid w:val="00BC65A1"/>
    <w:rsid w:val="00BC679A"/>
    <w:rsid w:val="00BC6AD9"/>
    <w:rsid w:val="00BC6B2E"/>
    <w:rsid w:val="00BC6BE9"/>
    <w:rsid w:val="00BC6C98"/>
    <w:rsid w:val="00BC6DE2"/>
    <w:rsid w:val="00BC6E2E"/>
    <w:rsid w:val="00BC6E78"/>
    <w:rsid w:val="00BC6F24"/>
    <w:rsid w:val="00BC6F3B"/>
    <w:rsid w:val="00BC6F3F"/>
    <w:rsid w:val="00BC708B"/>
    <w:rsid w:val="00BC70C2"/>
    <w:rsid w:val="00BC7261"/>
    <w:rsid w:val="00BC72D6"/>
    <w:rsid w:val="00BC731C"/>
    <w:rsid w:val="00BC748C"/>
    <w:rsid w:val="00BC7610"/>
    <w:rsid w:val="00BC7707"/>
    <w:rsid w:val="00BC7728"/>
    <w:rsid w:val="00BC77D4"/>
    <w:rsid w:val="00BC7865"/>
    <w:rsid w:val="00BC790B"/>
    <w:rsid w:val="00BC7B1C"/>
    <w:rsid w:val="00BC7B7B"/>
    <w:rsid w:val="00BC7CAD"/>
    <w:rsid w:val="00BC7FD3"/>
    <w:rsid w:val="00BD0095"/>
    <w:rsid w:val="00BD01AD"/>
    <w:rsid w:val="00BD03A2"/>
    <w:rsid w:val="00BD03D3"/>
    <w:rsid w:val="00BD03F2"/>
    <w:rsid w:val="00BD04AB"/>
    <w:rsid w:val="00BD0504"/>
    <w:rsid w:val="00BD055E"/>
    <w:rsid w:val="00BD0612"/>
    <w:rsid w:val="00BD06BB"/>
    <w:rsid w:val="00BD07F7"/>
    <w:rsid w:val="00BD091D"/>
    <w:rsid w:val="00BD0C73"/>
    <w:rsid w:val="00BD0CB4"/>
    <w:rsid w:val="00BD1346"/>
    <w:rsid w:val="00BD14D8"/>
    <w:rsid w:val="00BD19BF"/>
    <w:rsid w:val="00BD1A85"/>
    <w:rsid w:val="00BD1ABE"/>
    <w:rsid w:val="00BD1D5F"/>
    <w:rsid w:val="00BD20FE"/>
    <w:rsid w:val="00BD2137"/>
    <w:rsid w:val="00BD22ED"/>
    <w:rsid w:val="00BD243A"/>
    <w:rsid w:val="00BD24E9"/>
    <w:rsid w:val="00BD2699"/>
    <w:rsid w:val="00BD277C"/>
    <w:rsid w:val="00BD27E1"/>
    <w:rsid w:val="00BD2B19"/>
    <w:rsid w:val="00BD2B37"/>
    <w:rsid w:val="00BD2BCA"/>
    <w:rsid w:val="00BD2D27"/>
    <w:rsid w:val="00BD2DEA"/>
    <w:rsid w:val="00BD2F5A"/>
    <w:rsid w:val="00BD2FA6"/>
    <w:rsid w:val="00BD30FA"/>
    <w:rsid w:val="00BD359B"/>
    <w:rsid w:val="00BD378A"/>
    <w:rsid w:val="00BD385F"/>
    <w:rsid w:val="00BD38C0"/>
    <w:rsid w:val="00BD3CE0"/>
    <w:rsid w:val="00BD3CED"/>
    <w:rsid w:val="00BD3DD9"/>
    <w:rsid w:val="00BD3EB1"/>
    <w:rsid w:val="00BD3F14"/>
    <w:rsid w:val="00BD3F2E"/>
    <w:rsid w:val="00BD4173"/>
    <w:rsid w:val="00BD41B4"/>
    <w:rsid w:val="00BD41D3"/>
    <w:rsid w:val="00BD41E8"/>
    <w:rsid w:val="00BD4206"/>
    <w:rsid w:val="00BD4248"/>
    <w:rsid w:val="00BD4399"/>
    <w:rsid w:val="00BD44CC"/>
    <w:rsid w:val="00BD4667"/>
    <w:rsid w:val="00BD4978"/>
    <w:rsid w:val="00BD4B82"/>
    <w:rsid w:val="00BD4CB9"/>
    <w:rsid w:val="00BD4E49"/>
    <w:rsid w:val="00BD4E8C"/>
    <w:rsid w:val="00BD5092"/>
    <w:rsid w:val="00BD512F"/>
    <w:rsid w:val="00BD51AD"/>
    <w:rsid w:val="00BD51B4"/>
    <w:rsid w:val="00BD530C"/>
    <w:rsid w:val="00BD535A"/>
    <w:rsid w:val="00BD54A3"/>
    <w:rsid w:val="00BD55A6"/>
    <w:rsid w:val="00BD579A"/>
    <w:rsid w:val="00BD5AC8"/>
    <w:rsid w:val="00BD5B19"/>
    <w:rsid w:val="00BD5B34"/>
    <w:rsid w:val="00BD5C08"/>
    <w:rsid w:val="00BD5D96"/>
    <w:rsid w:val="00BD5F8C"/>
    <w:rsid w:val="00BD6065"/>
    <w:rsid w:val="00BD608A"/>
    <w:rsid w:val="00BD619E"/>
    <w:rsid w:val="00BD639E"/>
    <w:rsid w:val="00BD6451"/>
    <w:rsid w:val="00BD64AF"/>
    <w:rsid w:val="00BD651E"/>
    <w:rsid w:val="00BD6568"/>
    <w:rsid w:val="00BD6656"/>
    <w:rsid w:val="00BD66E3"/>
    <w:rsid w:val="00BD6913"/>
    <w:rsid w:val="00BD6A54"/>
    <w:rsid w:val="00BD6C24"/>
    <w:rsid w:val="00BD6C75"/>
    <w:rsid w:val="00BD6CAC"/>
    <w:rsid w:val="00BD6CBC"/>
    <w:rsid w:val="00BD6E58"/>
    <w:rsid w:val="00BD6F3E"/>
    <w:rsid w:val="00BD6F56"/>
    <w:rsid w:val="00BD70BA"/>
    <w:rsid w:val="00BD7149"/>
    <w:rsid w:val="00BD715B"/>
    <w:rsid w:val="00BD7193"/>
    <w:rsid w:val="00BD71D9"/>
    <w:rsid w:val="00BD7486"/>
    <w:rsid w:val="00BD7502"/>
    <w:rsid w:val="00BD75A0"/>
    <w:rsid w:val="00BD7651"/>
    <w:rsid w:val="00BD78A3"/>
    <w:rsid w:val="00BD78DF"/>
    <w:rsid w:val="00BD7953"/>
    <w:rsid w:val="00BD7979"/>
    <w:rsid w:val="00BD7997"/>
    <w:rsid w:val="00BD79F3"/>
    <w:rsid w:val="00BD7A97"/>
    <w:rsid w:val="00BD7AB0"/>
    <w:rsid w:val="00BD7B4C"/>
    <w:rsid w:val="00BD7C71"/>
    <w:rsid w:val="00BD7D88"/>
    <w:rsid w:val="00BD7EE1"/>
    <w:rsid w:val="00BD7F5A"/>
    <w:rsid w:val="00BE019E"/>
    <w:rsid w:val="00BE02B6"/>
    <w:rsid w:val="00BE0495"/>
    <w:rsid w:val="00BE069A"/>
    <w:rsid w:val="00BE0724"/>
    <w:rsid w:val="00BE0911"/>
    <w:rsid w:val="00BE0BB5"/>
    <w:rsid w:val="00BE0DE4"/>
    <w:rsid w:val="00BE110A"/>
    <w:rsid w:val="00BE110D"/>
    <w:rsid w:val="00BE117B"/>
    <w:rsid w:val="00BE11BB"/>
    <w:rsid w:val="00BE12C8"/>
    <w:rsid w:val="00BE153C"/>
    <w:rsid w:val="00BE1606"/>
    <w:rsid w:val="00BE1679"/>
    <w:rsid w:val="00BE1748"/>
    <w:rsid w:val="00BE181C"/>
    <w:rsid w:val="00BE18A5"/>
    <w:rsid w:val="00BE19F2"/>
    <w:rsid w:val="00BE1A5F"/>
    <w:rsid w:val="00BE1ABE"/>
    <w:rsid w:val="00BE1B6C"/>
    <w:rsid w:val="00BE2026"/>
    <w:rsid w:val="00BE2077"/>
    <w:rsid w:val="00BE208D"/>
    <w:rsid w:val="00BE20C8"/>
    <w:rsid w:val="00BE2138"/>
    <w:rsid w:val="00BE2145"/>
    <w:rsid w:val="00BE2146"/>
    <w:rsid w:val="00BE2262"/>
    <w:rsid w:val="00BE22D8"/>
    <w:rsid w:val="00BE2412"/>
    <w:rsid w:val="00BE2448"/>
    <w:rsid w:val="00BE24EA"/>
    <w:rsid w:val="00BE2853"/>
    <w:rsid w:val="00BE285F"/>
    <w:rsid w:val="00BE29EB"/>
    <w:rsid w:val="00BE2A17"/>
    <w:rsid w:val="00BE2C2F"/>
    <w:rsid w:val="00BE2C3B"/>
    <w:rsid w:val="00BE2E55"/>
    <w:rsid w:val="00BE2E81"/>
    <w:rsid w:val="00BE339E"/>
    <w:rsid w:val="00BE345A"/>
    <w:rsid w:val="00BE34BC"/>
    <w:rsid w:val="00BE357B"/>
    <w:rsid w:val="00BE35B5"/>
    <w:rsid w:val="00BE35EB"/>
    <w:rsid w:val="00BE375F"/>
    <w:rsid w:val="00BE3981"/>
    <w:rsid w:val="00BE39BC"/>
    <w:rsid w:val="00BE3C32"/>
    <w:rsid w:val="00BE3D0B"/>
    <w:rsid w:val="00BE3E91"/>
    <w:rsid w:val="00BE3FD7"/>
    <w:rsid w:val="00BE400E"/>
    <w:rsid w:val="00BE406E"/>
    <w:rsid w:val="00BE4096"/>
    <w:rsid w:val="00BE40CC"/>
    <w:rsid w:val="00BE412A"/>
    <w:rsid w:val="00BE4143"/>
    <w:rsid w:val="00BE41F3"/>
    <w:rsid w:val="00BE4205"/>
    <w:rsid w:val="00BE4528"/>
    <w:rsid w:val="00BE455A"/>
    <w:rsid w:val="00BE464C"/>
    <w:rsid w:val="00BE4784"/>
    <w:rsid w:val="00BE478B"/>
    <w:rsid w:val="00BE4836"/>
    <w:rsid w:val="00BE48D3"/>
    <w:rsid w:val="00BE4A14"/>
    <w:rsid w:val="00BE4A96"/>
    <w:rsid w:val="00BE4B91"/>
    <w:rsid w:val="00BE4BF6"/>
    <w:rsid w:val="00BE4D29"/>
    <w:rsid w:val="00BE4F07"/>
    <w:rsid w:val="00BE4F6F"/>
    <w:rsid w:val="00BE4FB5"/>
    <w:rsid w:val="00BE5088"/>
    <w:rsid w:val="00BE515A"/>
    <w:rsid w:val="00BE529B"/>
    <w:rsid w:val="00BE5385"/>
    <w:rsid w:val="00BE538F"/>
    <w:rsid w:val="00BE550F"/>
    <w:rsid w:val="00BE55BB"/>
    <w:rsid w:val="00BE572F"/>
    <w:rsid w:val="00BE575B"/>
    <w:rsid w:val="00BE5808"/>
    <w:rsid w:val="00BE5883"/>
    <w:rsid w:val="00BE58DB"/>
    <w:rsid w:val="00BE595E"/>
    <w:rsid w:val="00BE59D5"/>
    <w:rsid w:val="00BE5DBE"/>
    <w:rsid w:val="00BE5E46"/>
    <w:rsid w:val="00BE5F25"/>
    <w:rsid w:val="00BE61CD"/>
    <w:rsid w:val="00BE644B"/>
    <w:rsid w:val="00BE652C"/>
    <w:rsid w:val="00BE65E8"/>
    <w:rsid w:val="00BE663F"/>
    <w:rsid w:val="00BE66BA"/>
    <w:rsid w:val="00BE6747"/>
    <w:rsid w:val="00BE6939"/>
    <w:rsid w:val="00BE697A"/>
    <w:rsid w:val="00BE69D7"/>
    <w:rsid w:val="00BE6A70"/>
    <w:rsid w:val="00BE6B02"/>
    <w:rsid w:val="00BE6B07"/>
    <w:rsid w:val="00BE6B37"/>
    <w:rsid w:val="00BE6CD4"/>
    <w:rsid w:val="00BE6DAA"/>
    <w:rsid w:val="00BE6E90"/>
    <w:rsid w:val="00BE7006"/>
    <w:rsid w:val="00BE7050"/>
    <w:rsid w:val="00BE7091"/>
    <w:rsid w:val="00BE71B1"/>
    <w:rsid w:val="00BE7203"/>
    <w:rsid w:val="00BE727E"/>
    <w:rsid w:val="00BE728D"/>
    <w:rsid w:val="00BE7392"/>
    <w:rsid w:val="00BE7460"/>
    <w:rsid w:val="00BE74F4"/>
    <w:rsid w:val="00BE77E0"/>
    <w:rsid w:val="00BE7895"/>
    <w:rsid w:val="00BE7985"/>
    <w:rsid w:val="00BE79A8"/>
    <w:rsid w:val="00BE79D8"/>
    <w:rsid w:val="00BE7ADE"/>
    <w:rsid w:val="00BE7AE0"/>
    <w:rsid w:val="00BE7C16"/>
    <w:rsid w:val="00BE7E13"/>
    <w:rsid w:val="00BE7EBC"/>
    <w:rsid w:val="00BE7FB8"/>
    <w:rsid w:val="00BE7FDD"/>
    <w:rsid w:val="00BF0139"/>
    <w:rsid w:val="00BF01B0"/>
    <w:rsid w:val="00BF0232"/>
    <w:rsid w:val="00BF03ED"/>
    <w:rsid w:val="00BF04AB"/>
    <w:rsid w:val="00BF0532"/>
    <w:rsid w:val="00BF065D"/>
    <w:rsid w:val="00BF0666"/>
    <w:rsid w:val="00BF06AC"/>
    <w:rsid w:val="00BF0775"/>
    <w:rsid w:val="00BF07C5"/>
    <w:rsid w:val="00BF082A"/>
    <w:rsid w:val="00BF09AD"/>
    <w:rsid w:val="00BF09D2"/>
    <w:rsid w:val="00BF0C91"/>
    <w:rsid w:val="00BF0D86"/>
    <w:rsid w:val="00BF0FCF"/>
    <w:rsid w:val="00BF0FEF"/>
    <w:rsid w:val="00BF11F9"/>
    <w:rsid w:val="00BF12A5"/>
    <w:rsid w:val="00BF138F"/>
    <w:rsid w:val="00BF14D3"/>
    <w:rsid w:val="00BF15EC"/>
    <w:rsid w:val="00BF165C"/>
    <w:rsid w:val="00BF1710"/>
    <w:rsid w:val="00BF174A"/>
    <w:rsid w:val="00BF191A"/>
    <w:rsid w:val="00BF1A39"/>
    <w:rsid w:val="00BF1A89"/>
    <w:rsid w:val="00BF1AA4"/>
    <w:rsid w:val="00BF1AD3"/>
    <w:rsid w:val="00BF1B34"/>
    <w:rsid w:val="00BF1C9D"/>
    <w:rsid w:val="00BF1CE8"/>
    <w:rsid w:val="00BF1DFB"/>
    <w:rsid w:val="00BF1EB7"/>
    <w:rsid w:val="00BF1F2D"/>
    <w:rsid w:val="00BF1FD0"/>
    <w:rsid w:val="00BF20BD"/>
    <w:rsid w:val="00BF2109"/>
    <w:rsid w:val="00BF22DD"/>
    <w:rsid w:val="00BF25AF"/>
    <w:rsid w:val="00BF2976"/>
    <w:rsid w:val="00BF2A18"/>
    <w:rsid w:val="00BF2A7D"/>
    <w:rsid w:val="00BF2B10"/>
    <w:rsid w:val="00BF2B98"/>
    <w:rsid w:val="00BF2C29"/>
    <w:rsid w:val="00BF2CB8"/>
    <w:rsid w:val="00BF2DBC"/>
    <w:rsid w:val="00BF2E0A"/>
    <w:rsid w:val="00BF2EEA"/>
    <w:rsid w:val="00BF312C"/>
    <w:rsid w:val="00BF31A1"/>
    <w:rsid w:val="00BF323B"/>
    <w:rsid w:val="00BF33A2"/>
    <w:rsid w:val="00BF3476"/>
    <w:rsid w:val="00BF349F"/>
    <w:rsid w:val="00BF34D5"/>
    <w:rsid w:val="00BF3E77"/>
    <w:rsid w:val="00BF3ECF"/>
    <w:rsid w:val="00BF3EDC"/>
    <w:rsid w:val="00BF4099"/>
    <w:rsid w:val="00BF418D"/>
    <w:rsid w:val="00BF4199"/>
    <w:rsid w:val="00BF44A6"/>
    <w:rsid w:val="00BF44F9"/>
    <w:rsid w:val="00BF45A7"/>
    <w:rsid w:val="00BF4613"/>
    <w:rsid w:val="00BF4748"/>
    <w:rsid w:val="00BF48D5"/>
    <w:rsid w:val="00BF49A0"/>
    <w:rsid w:val="00BF4A27"/>
    <w:rsid w:val="00BF4E2B"/>
    <w:rsid w:val="00BF4E5C"/>
    <w:rsid w:val="00BF4E81"/>
    <w:rsid w:val="00BF4FE2"/>
    <w:rsid w:val="00BF50B8"/>
    <w:rsid w:val="00BF5296"/>
    <w:rsid w:val="00BF54FF"/>
    <w:rsid w:val="00BF556C"/>
    <w:rsid w:val="00BF5712"/>
    <w:rsid w:val="00BF576C"/>
    <w:rsid w:val="00BF5A14"/>
    <w:rsid w:val="00BF5C7A"/>
    <w:rsid w:val="00BF5E3F"/>
    <w:rsid w:val="00BF5E64"/>
    <w:rsid w:val="00BF5FAB"/>
    <w:rsid w:val="00BF6021"/>
    <w:rsid w:val="00BF607D"/>
    <w:rsid w:val="00BF62F1"/>
    <w:rsid w:val="00BF6322"/>
    <w:rsid w:val="00BF634A"/>
    <w:rsid w:val="00BF647E"/>
    <w:rsid w:val="00BF6509"/>
    <w:rsid w:val="00BF657E"/>
    <w:rsid w:val="00BF65CF"/>
    <w:rsid w:val="00BF66BF"/>
    <w:rsid w:val="00BF68BC"/>
    <w:rsid w:val="00BF68D6"/>
    <w:rsid w:val="00BF6954"/>
    <w:rsid w:val="00BF6A0D"/>
    <w:rsid w:val="00BF6AE2"/>
    <w:rsid w:val="00BF6B3A"/>
    <w:rsid w:val="00BF6B50"/>
    <w:rsid w:val="00BF6D2D"/>
    <w:rsid w:val="00BF6E2C"/>
    <w:rsid w:val="00BF6FC2"/>
    <w:rsid w:val="00BF703E"/>
    <w:rsid w:val="00BF705F"/>
    <w:rsid w:val="00BF7065"/>
    <w:rsid w:val="00BF707B"/>
    <w:rsid w:val="00BF7116"/>
    <w:rsid w:val="00BF7342"/>
    <w:rsid w:val="00BF737C"/>
    <w:rsid w:val="00BF74E7"/>
    <w:rsid w:val="00BF7509"/>
    <w:rsid w:val="00BF750E"/>
    <w:rsid w:val="00BF777D"/>
    <w:rsid w:val="00BF790A"/>
    <w:rsid w:val="00BF79C7"/>
    <w:rsid w:val="00BF7A41"/>
    <w:rsid w:val="00BF7AE0"/>
    <w:rsid w:val="00BF7B8C"/>
    <w:rsid w:val="00BF7C34"/>
    <w:rsid w:val="00BF7CC0"/>
    <w:rsid w:val="00BF7CE4"/>
    <w:rsid w:val="00BF7F47"/>
    <w:rsid w:val="00BF7FE9"/>
    <w:rsid w:val="00C003C3"/>
    <w:rsid w:val="00C0040F"/>
    <w:rsid w:val="00C00604"/>
    <w:rsid w:val="00C00685"/>
    <w:rsid w:val="00C00AAB"/>
    <w:rsid w:val="00C00B27"/>
    <w:rsid w:val="00C00C74"/>
    <w:rsid w:val="00C00F65"/>
    <w:rsid w:val="00C00F89"/>
    <w:rsid w:val="00C00F8F"/>
    <w:rsid w:val="00C00FF8"/>
    <w:rsid w:val="00C01099"/>
    <w:rsid w:val="00C01170"/>
    <w:rsid w:val="00C01224"/>
    <w:rsid w:val="00C012B1"/>
    <w:rsid w:val="00C012B6"/>
    <w:rsid w:val="00C0139E"/>
    <w:rsid w:val="00C01665"/>
    <w:rsid w:val="00C016CA"/>
    <w:rsid w:val="00C0182A"/>
    <w:rsid w:val="00C0184F"/>
    <w:rsid w:val="00C0199B"/>
    <w:rsid w:val="00C01A0B"/>
    <w:rsid w:val="00C01A13"/>
    <w:rsid w:val="00C01AAB"/>
    <w:rsid w:val="00C01B09"/>
    <w:rsid w:val="00C01BE2"/>
    <w:rsid w:val="00C01CBD"/>
    <w:rsid w:val="00C01D88"/>
    <w:rsid w:val="00C01E1C"/>
    <w:rsid w:val="00C01E66"/>
    <w:rsid w:val="00C022F5"/>
    <w:rsid w:val="00C0238D"/>
    <w:rsid w:val="00C023AE"/>
    <w:rsid w:val="00C02415"/>
    <w:rsid w:val="00C024FC"/>
    <w:rsid w:val="00C02598"/>
    <w:rsid w:val="00C025D2"/>
    <w:rsid w:val="00C02636"/>
    <w:rsid w:val="00C0263E"/>
    <w:rsid w:val="00C02664"/>
    <w:rsid w:val="00C0273E"/>
    <w:rsid w:val="00C027B0"/>
    <w:rsid w:val="00C02846"/>
    <w:rsid w:val="00C02883"/>
    <w:rsid w:val="00C0288F"/>
    <w:rsid w:val="00C029DD"/>
    <w:rsid w:val="00C02BE5"/>
    <w:rsid w:val="00C02C2B"/>
    <w:rsid w:val="00C02D57"/>
    <w:rsid w:val="00C02D8E"/>
    <w:rsid w:val="00C02D99"/>
    <w:rsid w:val="00C0324B"/>
    <w:rsid w:val="00C0330C"/>
    <w:rsid w:val="00C03530"/>
    <w:rsid w:val="00C035CD"/>
    <w:rsid w:val="00C03712"/>
    <w:rsid w:val="00C038A1"/>
    <w:rsid w:val="00C038FE"/>
    <w:rsid w:val="00C0390E"/>
    <w:rsid w:val="00C03928"/>
    <w:rsid w:val="00C03AE3"/>
    <w:rsid w:val="00C03D98"/>
    <w:rsid w:val="00C040B8"/>
    <w:rsid w:val="00C041B9"/>
    <w:rsid w:val="00C04218"/>
    <w:rsid w:val="00C0429E"/>
    <w:rsid w:val="00C046B2"/>
    <w:rsid w:val="00C04709"/>
    <w:rsid w:val="00C047F6"/>
    <w:rsid w:val="00C04845"/>
    <w:rsid w:val="00C048D9"/>
    <w:rsid w:val="00C04A5D"/>
    <w:rsid w:val="00C04BC9"/>
    <w:rsid w:val="00C04BE2"/>
    <w:rsid w:val="00C04D14"/>
    <w:rsid w:val="00C04DB6"/>
    <w:rsid w:val="00C04E95"/>
    <w:rsid w:val="00C04F69"/>
    <w:rsid w:val="00C04F86"/>
    <w:rsid w:val="00C051AE"/>
    <w:rsid w:val="00C05207"/>
    <w:rsid w:val="00C05212"/>
    <w:rsid w:val="00C052AE"/>
    <w:rsid w:val="00C053A1"/>
    <w:rsid w:val="00C054AE"/>
    <w:rsid w:val="00C05505"/>
    <w:rsid w:val="00C055C5"/>
    <w:rsid w:val="00C05654"/>
    <w:rsid w:val="00C0565B"/>
    <w:rsid w:val="00C058F9"/>
    <w:rsid w:val="00C05A1E"/>
    <w:rsid w:val="00C05ADC"/>
    <w:rsid w:val="00C05BFE"/>
    <w:rsid w:val="00C05C61"/>
    <w:rsid w:val="00C05DE4"/>
    <w:rsid w:val="00C05F93"/>
    <w:rsid w:val="00C05FAA"/>
    <w:rsid w:val="00C05FD7"/>
    <w:rsid w:val="00C05FFC"/>
    <w:rsid w:val="00C0601F"/>
    <w:rsid w:val="00C060BC"/>
    <w:rsid w:val="00C06224"/>
    <w:rsid w:val="00C06390"/>
    <w:rsid w:val="00C0645D"/>
    <w:rsid w:val="00C06677"/>
    <w:rsid w:val="00C067A6"/>
    <w:rsid w:val="00C069E5"/>
    <w:rsid w:val="00C06AC6"/>
    <w:rsid w:val="00C06C2C"/>
    <w:rsid w:val="00C06D0D"/>
    <w:rsid w:val="00C06DA1"/>
    <w:rsid w:val="00C06DD1"/>
    <w:rsid w:val="00C06F1A"/>
    <w:rsid w:val="00C070FE"/>
    <w:rsid w:val="00C071DF"/>
    <w:rsid w:val="00C07218"/>
    <w:rsid w:val="00C0721E"/>
    <w:rsid w:val="00C072DF"/>
    <w:rsid w:val="00C07502"/>
    <w:rsid w:val="00C075B5"/>
    <w:rsid w:val="00C075FD"/>
    <w:rsid w:val="00C0764C"/>
    <w:rsid w:val="00C07724"/>
    <w:rsid w:val="00C07778"/>
    <w:rsid w:val="00C077DA"/>
    <w:rsid w:val="00C07B56"/>
    <w:rsid w:val="00C07C51"/>
    <w:rsid w:val="00C07E28"/>
    <w:rsid w:val="00C07F8F"/>
    <w:rsid w:val="00C0C6DE"/>
    <w:rsid w:val="00C102F6"/>
    <w:rsid w:val="00C103A2"/>
    <w:rsid w:val="00C10503"/>
    <w:rsid w:val="00C105AE"/>
    <w:rsid w:val="00C1065E"/>
    <w:rsid w:val="00C10685"/>
    <w:rsid w:val="00C106CF"/>
    <w:rsid w:val="00C108E1"/>
    <w:rsid w:val="00C10A5D"/>
    <w:rsid w:val="00C10BA6"/>
    <w:rsid w:val="00C10DF6"/>
    <w:rsid w:val="00C10F75"/>
    <w:rsid w:val="00C111C2"/>
    <w:rsid w:val="00C1149A"/>
    <w:rsid w:val="00C114FB"/>
    <w:rsid w:val="00C116B6"/>
    <w:rsid w:val="00C1188E"/>
    <w:rsid w:val="00C118F2"/>
    <w:rsid w:val="00C11988"/>
    <w:rsid w:val="00C11A40"/>
    <w:rsid w:val="00C11A6A"/>
    <w:rsid w:val="00C11A9C"/>
    <w:rsid w:val="00C11AF7"/>
    <w:rsid w:val="00C11CB5"/>
    <w:rsid w:val="00C11D7E"/>
    <w:rsid w:val="00C11EB9"/>
    <w:rsid w:val="00C11F19"/>
    <w:rsid w:val="00C11FD5"/>
    <w:rsid w:val="00C11FE8"/>
    <w:rsid w:val="00C120F4"/>
    <w:rsid w:val="00C12174"/>
    <w:rsid w:val="00C12185"/>
    <w:rsid w:val="00C121A6"/>
    <w:rsid w:val="00C12232"/>
    <w:rsid w:val="00C1244A"/>
    <w:rsid w:val="00C12550"/>
    <w:rsid w:val="00C125EC"/>
    <w:rsid w:val="00C126A1"/>
    <w:rsid w:val="00C12794"/>
    <w:rsid w:val="00C127E2"/>
    <w:rsid w:val="00C12A41"/>
    <w:rsid w:val="00C12A68"/>
    <w:rsid w:val="00C12BD4"/>
    <w:rsid w:val="00C12BF6"/>
    <w:rsid w:val="00C12CB9"/>
    <w:rsid w:val="00C12D3F"/>
    <w:rsid w:val="00C12F92"/>
    <w:rsid w:val="00C130EF"/>
    <w:rsid w:val="00C133D9"/>
    <w:rsid w:val="00C134E5"/>
    <w:rsid w:val="00C1372C"/>
    <w:rsid w:val="00C137F7"/>
    <w:rsid w:val="00C13A04"/>
    <w:rsid w:val="00C13AA0"/>
    <w:rsid w:val="00C13B66"/>
    <w:rsid w:val="00C13B68"/>
    <w:rsid w:val="00C13D2A"/>
    <w:rsid w:val="00C13DFB"/>
    <w:rsid w:val="00C13E03"/>
    <w:rsid w:val="00C13EF1"/>
    <w:rsid w:val="00C13F1F"/>
    <w:rsid w:val="00C14181"/>
    <w:rsid w:val="00C14253"/>
    <w:rsid w:val="00C1426C"/>
    <w:rsid w:val="00C1426D"/>
    <w:rsid w:val="00C142C8"/>
    <w:rsid w:val="00C14497"/>
    <w:rsid w:val="00C14531"/>
    <w:rsid w:val="00C145EF"/>
    <w:rsid w:val="00C146C6"/>
    <w:rsid w:val="00C14766"/>
    <w:rsid w:val="00C14872"/>
    <w:rsid w:val="00C148E0"/>
    <w:rsid w:val="00C1499A"/>
    <w:rsid w:val="00C149CB"/>
    <w:rsid w:val="00C149E1"/>
    <w:rsid w:val="00C14AC4"/>
    <w:rsid w:val="00C14BB1"/>
    <w:rsid w:val="00C14BDD"/>
    <w:rsid w:val="00C14C86"/>
    <w:rsid w:val="00C14CBE"/>
    <w:rsid w:val="00C15131"/>
    <w:rsid w:val="00C1515C"/>
    <w:rsid w:val="00C15255"/>
    <w:rsid w:val="00C15307"/>
    <w:rsid w:val="00C15448"/>
    <w:rsid w:val="00C154D5"/>
    <w:rsid w:val="00C15526"/>
    <w:rsid w:val="00C15746"/>
    <w:rsid w:val="00C157D8"/>
    <w:rsid w:val="00C158BD"/>
    <w:rsid w:val="00C159D4"/>
    <w:rsid w:val="00C15B0E"/>
    <w:rsid w:val="00C15B5B"/>
    <w:rsid w:val="00C15C31"/>
    <w:rsid w:val="00C15CA8"/>
    <w:rsid w:val="00C15DEC"/>
    <w:rsid w:val="00C15FD0"/>
    <w:rsid w:val="00C1616F"/>
    <w:rsid w:val="00C16684"/>
    <w:rsid w:val="00C16695"/>
    <w:rsid w:val="00C16798"/>
    <w:rsid w:val="00C167C0"/>
    <w:rsid w:val="00C16A93"/>
    <w:rsid w:val="00C16BA9"/>
    <w:rsid w:val="00C16BFB"/>
    <w:rsid w:val="00C16C0C"/>
    <w:rsid w:val="00C16C9E"/>
    <w:rsid w:val="00C16CC6"/>
    <w:rsid w:val="00C16D68"/>
    <w:rsid w:val="00C16E4D"/>
    <w:rsid w:val="00C1702B"/>
    <w:rsid w:val="00C17122"/>
    <w:rsid w:val="00C17386"/>
    <w:rsid w:val="00C173CA"/>
    <w:rsid w:val="00C173D0"/>
    <w:rsid w:val="00C175EB"/>
    <w:rsid w:val="00C175EE"/>
    <w:rsid w:val="00C176C2"/>
    <w:rsid w:val="00C1782B"/>
    <w:rsid w:val="00C17840"/>
    <w:rsid w:val="00C178CF"/>
    <w:rsid w:val="00C17964"/>
    <w:rsid w:val="00C17B23"/>
    <w:rsid w:val="00C17C40"/>
    <w:rsid w:val="00C17CBB"/>
    <w:rsid w:val="00C17CC8"/>
    <w:rsid w:val="00C17E05"/>
    <w:rsid w:val="00C17FA7"/>
    <w:rsid w:val="00C20036"/>
    <w:rsid w:val="00C200B5"/>
    <w:rsid w:val="00C20349"/>
    <w:rsid w:val="00C2047B"/>
    <w:rsid w:val="00C204F7"/>
    <w:rsid w:val="00C206A6"/>
    <w:rsid w:val="00C206AE"/>
    <w:rsid w:val="00C2077F"/>
    <w:rsid w:val="00C209F0"/>
    <w:rsid w:val="00C20A51"/>
    <w:rsid w:val="00C21052"/>
    <w:rsid w:val="00C2109D"/>
    <w:rsid w:val="00C210A7"/>
    <w:rsid w:val="00C212C4"/>
    <w:rsid w:val="00C212D7"/>
    <w:rsid w:val="00C212FE"/>
    <w:rsid w:val="00C21319"/>
    <w:rsid w:val="00C213CA"/>
    <w:rsid w:val="00C21677"/>
    <w:rsid w:val="00C217F5"/>
    <w:rsid w:val="00C21822"/>
    <w:rsid w:val="00C21895"/>
    <w:rsid w:val="00C21978"/>
    <w:rsid w:val="00C21B9B"/>
    <w:rsid w:val="00C21C80"/>
    <w:rsid w:val="00C21C92"/>
    <w:rsid w:val="00C21D08"/>
    <w:rsid w:val="00C21D70"/>
    <w:rsid w:val="00C21DDA"/>
    <w:rsid w:val="00C21DE3"/>
    <w:rsid w:val="00C21E61"/>
    <w:rsid w:val="00C21E79"/>
    <w:rsid w:val="00C21EBE"/>
    <w:rsid w:val="00C22033"/>
    <w:rsid w:val="00C220A5"/>
    <w:rsid w:val="00C22100"/>
    <w:rsid w:val="00C221DC"/>
    <w:rsid w:val="00C22218"/>
    <w:rsid w:val="00C222E5"/>
    <w:rsid w:val="00C22415"/>
    <w:rsid w:val="00C22450"/>
    <w:rsid w:val="00C224C0"/>
    <w:rsid w:val="00C22581"/>
    <w:rsid w:val="00C225A6"/>
    <w:rsid w:val="00C22632"/>
    <w:rsid w:val="00C2280C"/>
    <w:rsid w:val="00C22813"/>
    <w:rsid w:val="00C2283D"/>
    <w:rsid w:val="00C229D3"/>
    <w:rsid w:val="00C22A9A"/>
    <w:rsid w:val="00C22AD2"/>
    <w:rsid w:val="00C22B25"/>
    <w:rsid w:val="00C22B50"/>
    <w:rsid w:val="00C22C05"/>
    <w:rsid w:val="00C22C3C"/>
    <w:rsid w:val="00C22D39"/>
    <w:rsid w:val="00C22D4A"/>
    <w:rsid w:val="00C22DEE"/>
    <w:rsid w:val="00C23029"/>
    <w:rsid w:val="00C2315B"/>
    <w:rsid w:val="00C23463"/>
    <w:rsid w:val="00C234C0"/>
    <w:rsid w:val="00C23625"/>
    <w:rsid w:val="00C236FB"/>
    <w:rsid w:val="00C23834"/>
    <w:rsid w:val="00C2399D"/>
    <w:rsid w:val="00C23A3B"/>
    <w:rsid w:val="00C23ACA"/>
    <w:rsid w:val="00C23C67"/>
    <w:rsid w:val="00C23D2C"/>
    <w:rsid w:val="00C23DDD"/>
    <w:rsid w:val="00C23F9C"/>
    <w:rsid w:val="00C23FBD"/>
    <w:rsid w:val="00C24098"/>
    <w:rsid w:val="00C24149"/>
    <w:rsid w:val="00C2420F"/>
    <w:rsid w:val="00C24234"/>
    <w:rsid w:val="00C242A3"/>
    <w:rsid w:val="00C242C2"/>
    <w:rsid w:val="00C243B4"/>
    <w:rsid w:val="00C243FF"/>
    <w:rsid w:val="00C244D6"/>
    <w:rsid w:val="00C2453F"/>
    <w:rsid w:val="00C24579"/>
    <w:rsid w:val="00C245FF"/>
    <w:rsid w:val="00C24680"/>
    <w:rsid w:val="00C24739"/>
    <w:rsid w:val="00C24774"/>
    <w:rsid w:val="00C2484C"/>
    <w:rsid w:val="00C24875"/>
    <w:rsid w:val="00C248D6"/>
    <w:rsid w:val="00C248FE"/>
    <w:rsid w:val="00C24940"/>
    <w:rsid w:val="00C249AC"/>
    <w:rsid w:val="00C24B59"/>
    <w:rsid w:val="00C24D09"/>
    <w:rsid w:val="00C24D15"/>
    <w:rsid w:val="00C24E14"/>
    <w:rsid w:val="00C24E27"/>
    <w:rsid w:val="00C24E76"/>
    <w:rsid w:val="00C24FC8"/>
    <w:rsid w:val="00C25344"/>
    <w:rsid w:val="00C2535E"/>
    <w:rsid w:val="00C2576F"/>
    <w:rsid w:val="00C2588F"/>
    <w:rsid w:val="00C259BC"/>
    <w:rsid w:val="00C25A31"/>
    <w:rsid w:val="00C25A61"/>
    <w:rsid w:val="00C25ACB"/>
    <w:rsid w:val="00C25ADE"/>
    <w:rsid w:val="00C25B1E"/>
    <w:rsid w:val="00C25BAD"/>
    <w:rsid w:val="00C25BFD"/>
    <w:rsid w:val="00C25FCF"/>
    <w:rsid w:val="00C261A6"/>
    <w:rsid w:val="00C2630B"/>
    <w:rsid w:val="00C26333"/>
    <w:rsid w:val="00C26340"/>
    <w:rsid w:val="00C265B7"/>
    <w:rsid w:val="00C265D5"/>
    <w:rsid w:val="00C26828"/>
    <w:rsid w:val="00C269F7"/>
    <w:rsid w:val="00C26A12"/>
    <w:rsid w:val="00C26B58"/>
    <w:rsid w:val="00C26B5A"/>
    <w:rsid w:val="00C26E6F"/>
    <w:rsid w:val="00C26F64"/>
    <w:rsid w:val="00C27068"/>
    <w:rsid w:val="00C27086"/>
    <w:rsid w:val="00C27166"/>
    <w:rsid w:val="00C271CD"/>
    <w:rsid w:val="00C27280"/>
    <w:rsid w:val="00C272F9"/>
    <w:rsid w:val="00C27575"/>
    <w:rsid w:val="00C276C3"/>
    <w:rsid w:val="00C2770C"/>
    <w:rsid w:val="00C27788"/>
    <w:rsid w:val="00C27A90"/>
    <w:rsid w:val="00C27AE5"/>
    <w:rsid w:val="00C27B2B"/>
    <w:rsid w:val="00C27B33"/>
    <w:rsid w:val="00C27B51"/>
    <w:rsid w:val="00C27B8F"/>
    <w:rsid w:val="00C27CA9"/>
    <w:rsid w:val="00C27D83"/>
    <w:rsid w:val="00C27F46"/>
    <w:rsid w:val="00C27FB1"/>
    <w:rsid w:val="00C300EC"/>
    <w:rsid w:val="00C3022A"/>
    <w:rsid w:val="00C303CA"/>
    <w:rsid w:val="00C304AA"/>
    <w:rsid w:val="00C30691"/>
    <w:rsid w:val="00C306FA"/>
    <w:rsid w:val="00C307EF"/>
    <w:rsid w:val="00C30C3B"/>
    <w:rsid w:val="00C30D05"/>
    <w:rsid w:val="00C30D34"/>
    <w:rsid w:val="00C30F8F"/>
    <w:rsid w:val="00C3100B"/>
    <w:rsid w:val="00C31155"/>
    <w:rsid w:val="00C3116E"/>
    <w:rsid w:val="00C311E0"/>
    <w:rsid w:val="00C31211"/>
    <w:rsid w:val="00C312DF"/>
    <w:rsid w:val="00C3171B"/>
    <w:rsid w:val="00C318EA"/>
    <w:rsid w:val="00C31B6C"/>
    <w:rsid w:val="00C31D4C"/>
    <w:rsid w:val="00C31E0B"/>
    <w:rsid w:val="00C3204B"/>
    <w:rsid w:val="00C32055"/>
    <w:rsid w:val="00C32220"/>
    <w:rsid w:val="00C3226E"/>
    <w:rsid w:val="00C322EA"/>
    <w:rsid w:val="00C32366"/>
    <w:rsid w:val="00C32571"/>
    <w:rsid w:val="00C32737"/>
    <w:rsid w:val="00C32775"/>
    <w:rsid w:val="00C328BC"/>
    <w:rsid w:val="00C32A83"/>
    <w:rsid w:val="00C32B3A"/>
    <w:rsid w:val="00C32BC9"/>
    <w:rsid w:val="00C32CDC"/>
    <w:rsid w:val="00C32E2D"/>
    <w:rsid w:val="00C32ECA"/>
    <w:rsid w:val="00C32F57"/>
    <w:rsid w:val="00C331C9"/>
    <w:rsid w:val="00C331E1"/>
    <w:rsid w:val="00C33345"/>
    <w:rsid w:val="00C3342A"/>
    <w:rsid w:val="00C33477"/>
    <w:rsid w:val="00C33478"/>
    <w:rsid w:val="00C33637"/>
    <w:rsid w:val="00C33788"/>
    <w:rsid w:val="00C337CF"/>
    <w:rsid w:val="00C3398D"/>
    <w:rsid w:val="00C33A20"/>
    <w:rsid w:val="00C33B12"/>
    <w:rsid w:val="00C33B62"/>
    <w:rsid w:val="00C33D98"/>
    <w:rsid w:val="00C33E75"/>
    <w:rsid w:val="00C33EF9"/>
    <w:rsid w:val="00C34137"/>
    <w:rsid w:val="00C34151"/>
    <w:rsid w:val="00C342CE"/>
    <w:rsid w:val="00C3434F"/>
    <w:rsid w:val="00C34504"/>
    <w:rsid w:val="00C34580"/>
    <w:rsid w:val="00C34617"/>
    <w:rsid w:val="00C346B3"/>
    <w:rsid w:val="00C34769"/>
    <w:rsid w:val="00C3485A"/>
    <w:rsid w:val="00C3490B"/>
    <w:rsid w:val="00C34AEA"/>
    <w:rsid w:val="00C34B6E"/>
    <w:rsid w:val="00C34BA8"/>
    <w:rsid w:val="00C34BC1"/>
    <w:rsid w:val="00C34F52"/>
    <w:rsid w:val="00C34F6F"/>
    <w:rsid w:val="00C34F9F"/>
    <w:rsid w:val="00C3521F"/>
    <w:rsid w:val="00C35335"/>
    <w:rsid w:val="00C35385"/>
    <w:rsid w:val="00C353A7"/>
    <w:rsid w:val="00C354B3"/>
    <w:rsid w:val="00C354F8"/>
    <w:rsid w:val="00C355EA"/>
    <w:rsid w:val="00C35739"/>
    <w:rsid w:val="00C35767"/>
    <w:rsid w:val="00C359CD"/>
    <w:rsid w:val="00C35AAF"/>
    <w:rsid w:val="00C35B6D"/>
    <w:rsid w:val="00C35BEB"/>
    <w:rsid w:val="00C35C08"/>
    <w:rsid w:val="00C35C52"/>
    <w:rsid w:val="00C35E3C"/>
    <w:rsid w:val="00C35F04"/>
    <w:rsid w:val="00C35F4F"/>
    <w:rsid w:val="00C360F3"/>
    <w:rsid w:val="00C361CD"/>
    <w:rsid w:val="00C36333"/>
    <w:rsid w:val="00C36398"/>
    <w:rsid w:val="00C36545"/>
    <w:rsid w:val="00C3664E"/>
    <w:rsid w:val="00C36975"/>
    <w:rsid w:val="00C36B24"/>
    <w:rsid w:val="00C36D51"/>
    <w:rsid w:val="00C36D64"/>
    <w:rsid w:val="00C36EF1"/>
    <w:rsid w:val="00C36F4A"/>
    <w:rsid w:val="00C370E1"/>
    <w:rsid w:val="00C370EB"/>
    <w:rsid w:val="00C3712C"/>
    <w:rsid w:val="00C3718C"/>
    <w:rsid w:val="00C371D7"/>
    <w:rsid w:val="00C37318"/>
    <w:rsid w:val="00C3737D"/>
    <w:rsid w:val="00C37460"/>
    <w:rsid w:val="00C3765C"/>
    <w:rsid w:val="00C377AA"/>
    <w:rsid w:val="00C3781B"/>
    <w:rsid w:val="00C3783B"/>
    <w:rsid w:val="00C378D2"/>
    <w:rsid w:val="00C3790E"/>
    <w:rsid w:val="00C3797E"/>
    <w:rsid w:val="00C379A1"/>
    <w:rsid w:val="00C37A2A"/>
    <w:rsid w:val="00C37B85"/>
    <w:rsid w:val="00C37BBF"/>
    <w:rsid w:val="00C37DBB"/>
    <w:rsid w:val="00C37DFE"/>
    <w:rsid w:val="00C37E07"/>
    <w:rsid w:val="00C37EAF"/>
    <w:rsid w:val="00C37FA2"/>
    <w:rsid w:val="00C400B5"/>
    <w:rsid w:val="00C401A9"/>
    <w:rsid w:val="00C4032E"/>
    <w:rsid w:val="00C40431"/>
    <w:rsid w:val="00C40539"/>
    <w:rsid w:val="00C405D1"/>
    <w:rsid w:val="00C4067D"/>
    <w:rsid w:val="00C406D9"/>
    <w:rsid w:val="00C408E5"/>
    <w:rsid w:val="00C40A8B"/>
    <w:rsid w:val="00C40AAF"/>
    <w:rsid w:val="00C40CD5"/>
    <w:rsid w:val="00C40E6B"/>
    <w:rsid w:val="00C410E7"/>
    <w:rsid w:val="00C4111F"/>
    <w:rsid w:val="00C41180"/>
    <w:rsid w:val="00C411A8"/>
    <w:rsid w:val="00C411EE"/>
    <w:rsid w:val="00C4120A"/>
    <w:rsid w:val="00C41219"/>
    <w:rsid w:val="00C41348"/>
    <w:rsid w:val="00C41349"/>
    <w:rsid w:val="00C413D6"/>
    <w:rsid w:val="00C413F4"/>
    <w:rsid w:val="00C41417"/>
    <w:rsid w:val="00C414B7"/>
    <w:rsid w:val="00C414D3"/>
    <w:rsid w:val="00C4198D"/>
    <w:rsid w:val="00C41A2F"/>
    <w:rsid w:val="00C41A41"/>
    <w:rsid w:val="00C41B1C"/>
    <w:rsid w:val="00C41BCF"/>
    <w:rsid w:val="00C41CE1"/>
    <w:rsid w:val="00C41D4F"/>
    <w:rsid w:val="00C41E6A"/>
    <w:rsid w:val="00C41FE7"/>
    <w:rsid w:val="00C4206A"/>
    <w:rsid w:val="00C420F1"/>
    <w:rsid w:val="00C42100"/>
    <w:rsid w:val="00C42125"/>
    <w:rsid w:val="00C4217D"/>
    <w:rsid w:val="00C422F2"/>
    <w:rsid w:val="00C4231D"/>
    <w:rsid w:val="00C4251A"/>
    <w:rsid w:val="00C42896"/>
    <w:rsid w:val="00C428FE"/>
    <w:rsid w:val="00C4291A"/>
    <w:rsid w:val="00C429E6"/>
    <w:rsid w:val="00C42B2D"/>
    <w:rsid w:val="00C42BDB"/>
    <w:rsid w:val="00C42CEF"/>
    <w:rsid w:val="00C42DCA"/>
    <w:rsid w:val="00C42E2E"/>
    <w:rsid w:val="00C42EC3"/>
    <w:rsid w:val="00C42F37"/>
    <w:rsid w:val="00C42F89"/>
    <w:rsid w:val="00C43203"/>
    <w:rsid w:val="00C43251"/>
    <w:rsid w:val="00C432CB"/>
    <w:rsid w:val="00C43316"/>
    <w:rsid w:val="00C43419"/>
    <w:rsid w:val="00C435BC"/>
    <w:rsid w:val="00C436C1"/>
    <w:rsid w:val="00C436D5"/>
    <w:rsid w:val="00C436E7"/>
    <w:rsid w:val="00C437DF"/>
    <w:rsid w:val="00C43897"/>
    <w:rsid w:val="00C438AD"/>
    <w:rsid w:val="00C43AC1"/>
    <w:rsid w:val="00C43AE3"/>
    <w:rsid w:val="00C43B81"/>
    <w:rsid w:val="00C43BA2"/>
    <w:rsid w:val="00C43C0A"/>
    <w:rsid w:val="00C43DAF"/>
    <w:rsid w:val="00C43E4B"/>
    <w:rsid w:val="00C43ED0"/>
    <w:rsid w:val="00C43FF3"/>
    <w:rsid w:val="00C44073"/>
    <w:rsid w:val="00C4408F"/>
    <w:rsid w:val="00C440A9"/>
    <w:rsid w:val="00C440E3"/>
    <w:rsid w:val="00C44110"/>
    <w:rsid w:val="00C4420E"/>
    <w:rsid w:val="00C44233"/>
    <w:rsid w:val="00C4428C"/>
    <w:rsid w:val="00C44298"/>
    <w:rsid w:val="00C44315"/>
    <w:rsid w:val="00C4436B"/>
    <w:rsid w:val="00C443AE"/>
    <w:rsid w:val="00C443BA"/>
    <w:rsid w:val="00C44477"/>
    <w:rsid w:val="00C44602"/>
    <w:rsid w:val="00C44715"/>
    <w:rsid w:val="00C44871"/>
    <w:rsid w:val="00C44943"/>
    <w:rsid w:val="00C4494C"/>
    <w:rsid w:val="00C44A9B"/>
    <w:rsid w:val="00C44BE0"/>
    <w:rsid w:val="00C44D76"/>
    <w:rsid w:val="00C44EF8"/>
    <w:rsid w:val="00C45025"/>
    <w:rsid w:val="00C4503D"/>
    <w:rsid w:val="00C4514E"/>
    <w:rsid w:val="00C451DC"/>
    <w:rsid w:val="00C4525F"/>
    <w:rsid w:val="00C454B4"/>
    <w:rsid w:val="00C454FC"/>
    <w:rsid w:val="00C4550B"/>
    <w:rsid w:val="00C456A9"/>
    <w:rsid w:val="00C457D0"/>
    <w:rsid w:val="00C45916"/>
    <w:rsid w:val="00C45AC6"/>
    <w:rsid w:val="00C45B99"/>
    <w:rsid w:val="00C45EFF"/>
    <w:rsid w:val="00C46097"/>
    <w:rsid w:val="00C460C8"/>
    <w:rsid w:val="00C460D4"/>
    <w:rsid w:val="00C46222"/>
    <w:rsid w:val="00C46281"/>
    <w:rsid w:val="00C4652B"/>
    <w:rsid w:val="00C46641"/>
    <w:rsid w:val="00C46726"/>
    <w:rsid w:val="00C4672D"/>
    <w:rsid w:val="00C4679D"/>
    <w:rsid w:val="00C4683E"/>
    <w:rsid w:val="00C468BC"/>
    <w:rsid w:val="00C46A79"/>
    <w:rsid w:val="00C46ADF"/>
    <w:rsid w:val="00C46BE8"/>
    <w:rsid w:val="00C46CAE"/>
    <w:rsid w:val="00C46CF3"/>
    <w:rsid w:val="00C46D13"/>
    <w:rsid w:val="00C46E8F"/>
    <w:rsid w:val="00C47041"/>
    <w:rsid w:val="00C472E6"/>
    <w:rsid w:val="00C47462"/>
    <w:rsid w:val="00C474BA"/>
    <w:rsid w:val="00C474FB"/>
    <w:rsid w:val="00C47534"/>
    <w:rsid w:val="00C47784"/>
    <w:rsid w:val="00C477C3"/>
    <w:rsid w:val="00C478C3"/>
    <w:rsid w:val="00C47907"/>
    <w:rsid w:val="00C479A1"/>
    <w:rsid w:val="00C479CF"/>
    <w:rsid w:val="00C47A31"/>
    <w:rsid w:val="00C47AB0"/>
    <w:rsid w:val="00C47B6E"/>
    <w:rsid w:val="00C47CA1"/>
    <w:rsid w:val="00C47CE0"/>
    <w:rsid w:val="00C47D7E"/>
    <w:rsid w:val="00C47E5E"/>
    <w:rsid w:val="00C47EA1"/>
    <w:rsid w:val="00C47EA7"/>
    <w:rsid w:val="00C47EAE"/>
    <w:rsid w:val="00C50180"/>
    <w:rsid w:val="00C5018E"/>
    <w:rsid w:val="00C50216"/>
    <w:rsid w:val="00C5038F"/>
    <w:rsid w:val="00C503CD"/>
    <w:rsid w:val="00C50453"/>
    <w:rsid w:val="00C50549"/>
    <w:rsid w:val="00C505E0"/>
    <w:rsid w:val="00C50693"/>
    <w:rsid w:val="00C506E7"/>
    <w:rsid w:val="00C5074D"/>
    <w:rsid w:val="00C50787"/>
    <w:rsid w:val="00C507B8"/>
    <w:rsid w:val="00C50A50"/>
    <w:rsid w:val="00C50B50"/>
    <w:rsid w:val="00C50D49"/>
    <w:rsid w:val="00C50D77"/>
    <w:rsid w:val="00C50D78"/>
    <w:rsid w:val="00C50D7E"/>
    <w:rsid w:val="00C50EBE"/>
    <w:rsid w:val="00C51067"/>
    <w:rsid w:val="00C512BB"/>
    <w:rsid w:val="00C51360"/>
    <w:rsid w:val="00C51383"/>
    <w:rsid w:val="00C51473"/>
    <w:rsid w:val="00C514D7"/>
    <w:rsid w:val="00C515CA"/>
    <w:rsid w:val="00C515CB"/>
    <w:rsid w:val="00C51630"/>
    <w:rsid w:val="00C5166D"/>
    <w:rsid w:val="00C518A7"/>
    <w:rsid w:val="00C51A1B"/>
    <w:rsid w:val="00C51A47"/>
    <w:rsid w:val="00C51C39"/>
    <w:rsid w:val="00C51D0C"/>
    <w:rsid w:val="00C51D45"/>
    <w:rsid w:val="00C52038"/>
    <w:rsid w:val="00C5218A"/>
    <w:rsid w:val="00C5233F"/>
    <w:rsid w:val="00C52374"/>
    <w:rsid w:val="00C523EE"/>
    <w:rsid w:val="00C52419"/>
    <w:rsid w:val="00C52452"/>
    <w:rsid w:val="00C524B5"/>
    <w:rsid w:val="00C5256B"/>
    <w:rsid w:val="00C527EB"/>
    <w:rsid w:val="00C52895"/>
    <w:rsid w:val="00C52ABC"/>
    <w:rsid w:val="00C52BB7"/>
    <w:rsid w:val="00C52C06"/>
    <w:rsid w:val="00C52C5F"/>
    <w:rsid w:val="00C52D41"/>
    <w:rsid w:val="00C52D5E"/>
    <w:rsid w:val="00C52D75"/>
    <w:rsid w:val="00C53008"/>
    <w:rsid w:val="00C531C4"/>
    <w:rsid w:val="00C531ED"/>
    <w:rsid w:val="00C532ED"/>
    <w:rsid w:val="00C53318"/>
    <w:rsid w:val="00C534CA"/>
    <w:rsid w:val="00C53574"/>
    <w:rsid w:val="00C535AE"/>
    <w:rsid w:val="00C535CC"/>
    <w:rsid w:val="00C53751"/>
    <w:rsid w:val="00C538C5"/>
    <w:rsid w:val="00C5398B"/>
    <w:rsid w:val="00C5398F"/>
    <w:rsid w:val="00C53B51"/>
    <w:rsid w:val="00C53CC2"/>
    <w:rsid w:val="00C53CD2"/>
    <w:rsid w:val="00C53D16"/>
    <w:rsid w:val="00C53FFB"/>
    <w:rsid w:val="00C54030"/>
    <w:rsid w:val="00C540A1"/>
    <w:rsid w:val="00C540CA"/>
    <w:rsid w:val="00C541AE"/>
    <w:rsid w:val="00C54394"/>
    <w:rsid w:val="00C544BD"/>
    <w:rsid w:val="00C5454F"/>
    <w:rsid w:val="00C545C6"/>
    <w:rsid w:val="00C5468E"/>
    <w:rsid w:val="00C546F6"/>
    <w:rsid w:val="00C547D9"/>
    <w:rsid w:val="00C54865"/>
    <w:rsid w:val="00C548F3"/>
    <w:rsid w:val="00C549F8"/>
    <w:rsid w:val="00C54A95"/>
    <w:rsid w:val="00C54BE9"/>
    <w:rsid w:val="00C54D23"/>
    <w:rsid w:val="00C54E3F"/>
    <w:rsid w:val="00C54E42"/>
    <w:rsid w:val="00C54E5A"/>
    <w:rsid w:val="00C54F48"/>
    <w:rsid w:val="00C54F71"/>
    <w:rsid w:val="00C55086"/>
    <w:rsid w:val="00C55231"/>
    <w:rsid w:val="00C5524D"/>
    <w:rsid w:val="00C55341"/>
    <w:rsid w:val="00C554A1"/>
    <w:rsid w:val="00C555E4"/>
    <w:rsid w:val="00C5560D"/>
    <w:rsid w:val="00C557E2"/>
    <w:rsid w:val="00C5584D"/>
    <w:rsid w:val="00C558CC"/>
    <w:rsid w:val="00C55992"/>
    <w:rsid w:val="00C559CE"/>
    <w:rsid w:val="00C559D5"/>
    <w:rsid w:val="00C55A59"/>
    <w:rsid w:val="00C55BF6"/>
    <w:rsid w:val="00C55DAF"/>
    <w:rsid w:val="00C55E1B"/>
    <w:rsid w:val="00C55EC2"/>
    <w:rsid w:val="00C560EB"/>
    <w:rsid w:val="00C5634C"/>
    <w:rsid w:val="00C56351"/>
    <w:rsid w:val="00C56466"/>
    <w:rsid w:val="00C5646C"/>
    <w:rsid w:val="00C56509"/>
    <w:rsid w:val="00C565DA"/>
    <w:rsid w:val="00C56680"/>
    <w:rsid w:val="00C566BA"/>
    <w:rsid w:val="00C56869"/>
    <w:rsid w:val="00C569DC"/>
    <w:rsid w:val="00C56A5B"/>
    <w:rsid w:val="00C56CC8"/>
    <w:rsid w:val="00C56E22"/>
    <w:rsid w:val="00C56ECA"/>
    <w:rsid w:val="00C56F8C"/>
    <w:rsid w:val="00C5703B"/>
    <w:rsid w:val="00C57096"/>
    <w:rsid w:val="00C572AD"/>
    <w:rsid w:val="00C573DE"/>
    <w:rsid w:val="00C576F8"/>
    <w:rsid w:val="00C577DF"/>
    <w:rsid w:val="00C57808"/>
    <w:rsid w:val="00C57831"/>
    <w:rsid w:val="00C57919"/>
    <w:rsid w:val="00C579D1"/>
    <w:rsid w:val="00C57A28"/>
    <w:rsid w:val="00C57A80"/>
    <w:rsid w:val="00C57A85"/>
    <w:rsid w:val="00C57BC3"/>
    <w:rsid w:val="00C57CAF"/>
    <w:rsid w:val="00C57D41"/>
    <w:rsid w:val="00C57DC7"/>
    <w:rsid w:val="00C57E4F"/>
    <w:rsid w:val="00C57E56"/>
    <w:rsid w:val="00C57E68"/>
    <w:rsid w:val="00C57F5C"/>
    <w:rsid w:val="00C57F77"/>
    <w:rsid w:val="00C57FC0"/>
    <w:rsid w:val="00C600A1"/>
    <w:rsid w:val="00C60258"/>
    <w:rsid w:val="00C6028C"/>
    <w:rsid w:val="00C6042C"/>
    <w:rsid w:val="00C60436"/>
    <w:rsid w:val="00C60507"/>
    <w:rsid w:val="00C60517"/>
    <w:rsid w:val="00C605C3"/>
    <w:rsid w:val="00C60637"/>
    <w:rsid w:val="00C6063B"/>
    <w:rsid w:val="00C60705"/>
    <w:rsid w:val="00C60827"/>
    <w:rsid w:val="00C6090D"/>
    <w:rsid w:val="00C6096E"/>
    <w:rsid w:val="00C60A97"/>
    <w:rsid w:val="00C60B98"/>
    <w:rsid w:val="00C60D24"/>
    <w:rsid w:val="00C60E4C"/>
    <w:rsid w:val="00C60FB8"/>
    <w:rsid w:val="00C6112F"/>
    <w:rsid w:val="00C6120A"/>
    <w:rsid w:val="00C612E0"/>
    <w:rsid w:val="00C6135E"/>
    <w:rsid w:val="00C613C5"/>
    <w:rsid w:val="00C614EB"/>
    <w:rsid w:val="00C617A3"/>
    <w:rsid w:val="00C617B4"/>
    <w:rsid w:val="00C61806"/>
    <w:rsid w:val="00C61BB4"/>
    <w:rsid w:val="00C61D53"/>
    <w:rsid w:val="00C61E72"/>
    <w:rsid w:val="00C61F3F"/>
    <w:rsid w:val="00C61FAF"/>
    <w:rsid w:val="00C6207F"/>
    <w:rsid w:val="00C620D8"/>
    <w:rsid w:val="00C6224A"/>
    <w:rsid w:val="00C6237F"/>
    <w:rsid w:val="00C6248B"/>
    <w:rsid w:val="00C62591"/>
    <w:rsid w:val="00C626B6"/>
    <w:rsid w:val="00C626EB"/>
    <w:rsid w:val="00C626EE"/>
    <w:rsid w:val="00C6287F"/>
    <w:rsid w:val="00C628D7"/>
    <w:rsid w:val="00C629A9"/>
    <w:rsid w:val="00C629FA"/>
    <w:rsid w:val="00C62A50"/>
    <w:rsid w:val="00C62AFF"/>
    <w:rsid w:val="00C62B63"/>
    <w:rsid w:val="00C62BA0"/>
    <w:rsid w:val="00C62C96"/>
    <w:rsid w:val="00C62E3C"/>
    <w:rsid w:val="00C62FFA"/>
    <w:rsid w:val="00C63066"/>
    <w:rsid w:val="00C63237"/>
    <w:rsid w:val="00C6334C"/>
    <w:rsid w:val="00C634F9"/>
    <w:rsid w:val="00C63690"/>
    <w:rsid w:val="00C63744"/>
    <w:rsid w:val="00C63777"/>
    <w:rsid w:val="00C63944"/>
    <w:rsid w:val="00C63A01"/>
    <w:rsid w:val="00C63ABA"/>
    <w:rsid w:val="00C63B8B"/>
    <w:rsid w:val="00C63BB3"/>
    <w:rsid w:val="00C63BE8"/>
    <w:rsid w:val="00C63BEE"/>
    <w:rsid w:val="00C63E33"/>
    <w:rsid w:val="00C63E47"/>
    <w:rsid w:val="00C63EC2"/>
    <w:rsid w:val="00C63F0E"/>
    <w:rsid w:val="00C63F28"/>
    <w:rsid w:val="00C63F89"/>
    <w:rsid w:val="00C63FB5"/>
    <w:rsid w:val="00C64044"/>
    <w:rsid w:val="00C6407C"/>
    <w:rsid w:val="00C640D8"/>
    <w:rsid w:val="00C64108"/>
    <w:rsid w:val="00C64201"/>
    <w:rsid w:val="00C64634"/>
    <w:rsid w:val="00C64851"/>
    <w:rsid w:val="00C64953"/>
    <w:rsid w:val="00C64A37"/>
    <w:rsid w:val="00C64B35"/>
    <w:rsid w:val="00C64B6B"/>
    <w:rsid w:val="00C64BCD"/>
    <w:rsid w:val="00C64CDC"/>
    <w:rsid w:val="00C64EEA"/>
    <w:rsid w:val="00C6533A"/>
    <w:rsid w:val="00C6537D"/>
    <w:rsid w:val="00C653FA"/>
    <w:rsid w:val="00C6542D"/>
    <w:rsid w:val="00C654A2"/>
    <w:rsid w:val="00C655B5"/>
    <w:rsid w:val="00C65602"/>
    <w:rsid w:val="00C65642"/>
    <w:rsid w:val="00C65803"/>
    <w:rsid w:val="00C65862"/>
    <w:rsid w:val="00C6589B"/>
    <w:rsid w:val="00C658FC"/>
    <w:rsid w:val="00C65948"/>
    <w:rsid w:val="00C65993"/>
    <w:rsid w:val="00C65AC4"/>
    <w:rsid w:val="00C65BBA"/>
    <w:rsid w:val="00C65C99"/>
    <w:rsid w:val="00C65D9A"/>
    <w:rsid w:val="00C65E71"/>
    <w:rsid w:val="00C65EA8"/>
    <w:rsid w:val="00C65F39"/>
    <w:rsid w:val="00C65F4E"/>
    <w:rsid w:val="00C6621A"/>
    <w:rsid w:val="00C66279"/>
    <w:rsid w:val="00C6650E"/>
    <w:rsid w:val="00C66588"/>
    <w:rsid w:val="00C665DE"/>
    <w:rsid w:val="00C66628"/>
    <w:rsid w:val="00C66659"/>
    <w:rsid w:val="00C66737"/>
    <w:rsid w:val="00C667EA"/>
    <w:rsid w:val="00C6687C"/>
    <w:rsid w:val="00C6693C"/>
    <w:rsid w:val="00C66A99"/>
    <w:rsid w:val="00C66AF8"/>
    <w:rsid w:val="00C66B09"/>
    <w:rsid w:val="00C66B8B"/>
    <w:rsid w:val="00C66BF3"/>
    <w:rsid w:val="00C66C5C"/>
    <w:rsid w:val="00C66DAF"/>
    <w:rsid w:val="00C66E0C"/>
    <w:rsid w:val="00C66E7D"/>
    <w:rsid w:val="00C67098"/>
    <w:rsid w:val="00C670CC"/>
    <w:rsid w:val="00C67101"/>
    <w:rsid w:val="00C672CC"/>
    <w:rsid w:val="00C673CD"/>
    <w:rsid w:val="00C6742B"/>
    <w:rsid w:val="00C67439"/>
    <w:rsid w:val="00C67465"/>
    <w:rsid w:val="00C67596"/>
    <w:rsid w:val="00C677CC"/>
    <w:rsid w:val="00C678F4"/>
    <w:rsid w:val="00C6799A"/>
    <w:rsid w:val="00C67A28"/>
    <w:rsid w:val="00C67B60"/>
    <w:rsid w:val="00C67C19"/>
    <w:rsid w:val="00C67D23"/>
    <w:rsid w:val="00C67E07"/>
    <w:rsid w:val="00C67E72"/>
    <w:rsid w:val="00C67E7F"/>
    <w:rsid w:val="00C67EE9"/>
    <w:rsid w:val="00C67FA0"/>
    <w:rsid w:val="00C70104"/>
    <w:rsid w:val="00C70114"/>
    <w:rsid w:val="00C7016A"/>
    <w:rsid w:val="00C7019F"/>
    <w:rsid w:val="00C701E5"/>
    <w:rsid w:val="00C702E4"/>
    <w:rsid w:val="00C70471"/>
    <w:rsid w:val="00C7048B"/>
    <w:rsid w:val="00C704B0"/>
    <w:rsid w:val="00C704D5"/>
    <w:rsid w:val="00C7052E"/>
    <w:rsid w:val="00C7069B"/>
    <w:rsid w:val="00C706D6"/>
    <w:rsid w:val="00C70748"/>
    <w:rsid w:val="00C70832"/>
    <w:rsid w:val="00C708B8"/>
    <w:rsid w:val="00C70CDD"/>
    <w:rsid w:val="00C70EA9"/>
    <w:rsid w:val="00C70F3B"/>
    <w:rsid w:val="00C713F8"/>
    <w:rsid w:val="00C7156D"/>
    <w:rsid w:val="00C715B4"/>
    <w:rsid w:val="00C715D0"/>
    <w:rsid w:val="00C716BF"/>
    <w:rsid w:val="00C716DD"/>
    <w:rsid w:val="00C7174B"/>
    <w:rsid w:val="00C71850"/>
    <w:rsid w:val="00C71928"/>
    <w:rsid w:val="00C71999"/>
    <w:rsid w:val="00C71A2A"/>
    <w:rsid w:val="00C71A4A"/>
    <w:rsid w:val="00C71ABA"/>
    <w:rsid w:val="00C71D66"/>
    <w:rsid w:val="00C71E0F"/>
    <w:rsid w:val="00C71E23"/>
    <w:rsid w:val="00C71ED0"/>
    <w:rsid w:val="00C71EDA"/>
    <w:rsid w:val="00C71EE3"/>
    <w:rsid w:val="00C71F75"/>
    <w:rsid w:val="00C72116"/>
    <w:rsid w:val="00C72130"/>
    <w:rsid w:val="00C723D3"/>
    <w:rsid w:val="00C72413"/>
    <w:rsid w:val="00C72746"/>
    <w:rsid w:val="00C727D1"/>
    <w:rsid w:val="00C72994"/>
    <w:rsid w:val="00C72A00"/>
    <w:rsid w:val="00C72A77"/>
    <w:rsid w:val="00C72AA0"/>
    <w:rsid w:val="00C72B33"/>
    <w:rsid w:val="00C72E3D"/>
    <w:rsid w:val="00C72EAE"/>
    <w:rsid w:val="00C72EEF"/>
    <w:rsid w:val="00C72F13"/>
    <w:rsid w:val="00C72FD1"/>
    <w:rsid w:val="00C7304A"/>
    <w:rsid w:val="00C73166"/>
    <w:rsid w:val="00C732CA"/>
    <w:rsid w:val="00C73383"/>
    <w:rsid w:val="00C73440"/>
    <w:rsid w:val="00C735D5"/>
    <w:rsid w:val="00C73606"/>
    <w:rsid w:val="00C73894"/>
    <w:rsid w:val="00C738C3"/>
    <w:rsid w:val="00C738EF"/>
    <w:rsid w:val="00C73901"/>
    <w:rsid w:val="00C73BE4"/>
    <w:rsid w:val="00C73C2B"/>
    <w:rsid w:val="00C73C73"/>
    <w:rsid w:val="00C73D0A"/>
    <w:rsid w:val="00C73D21"/>
    <w:rsid w:val="00C73DB0"/>
    <w:rsid w:val="00C73E2D"/>
    <w:rsid w:val="00C73E4A"/>
    <w:rsid w:val="00C74085"/>
    <w:rsid w:val="00C74262"/>
    <w:rsid w:val="00C742E6"/>
    <w:rsid w:val="00C74324"/>
    <w:rsid w:val="00C743AF"/>
    <w:rsid w:val="00C743C2"/>
    <w:rsid w:val="00C74610"/>
    <w:rsid w:val="00C74622"/>
    <w:rsid w:val="00C74689"/>
    <w:rsid w:val="00C746F1"/>
    <w:rsid w:val="00C747E7"/>
    <w:rsid w:val="00C74908"/>
    <w:rsid w:val="00C749CD"/>
    <w:rsid w:val="00C74AE1"/>
    <w:rsid w:val="00C74AEF"/>
    <w:rsid w:val="00C74B35"/>
    <w:rsid w:val="00C74B48"/>
    <w:rsid w:val="00C74B54"/>
    <w:rsid w:val="00C74D55"/>
    <w:rsid w:val="00C74DFE"/>
    <w:rsid w:val="00C74E79"/>
    <w:rsid w:val="00C750C1"/>
    <w:rsid w:val="00C7532D"/>
    <w:rsid w:val="00C75385"/>
    <w:rsid w:val="00C753AB"/>
    <w:rsid w:val="00C754A6"/>
    <w:rsid w:val="00C7557F"/>
    <w:rsid w:val="00C7570B"/>
    <w:rsid w:val="00C757C7"/>
    <w:rsid w:val="00C75876"/>
    <w:rsid w:val="00C75991"/>
    <w:rsid w:val="00C759A5"/>
    <w:rsid w:val="00C75A44"/>
    <w:rsid w:val="00C75A81"/>
    <w:rsid w:val="00C75AC7"/>
    <w:rsid w:val="00C75B57"/>
    <w:rsid w:val="00C75E7C"/>
    <w:rsid w:val="00C75F69"/>
    <w:rsid w:val="00C75F83"/>
    <w:rsid w:val="00C76064"/>
    <w:rsid w:val="00C76291"/>
    <w:rsid w:val="00C763AB"/>
    <w:rsid w:val="00C764ED"/>
    <w:rsid w:val="00C76514"/>
    <w:rsid w:val="00C7652A"/>
    <w:rsid w:val="00C7662B"/>
    <w:rsid w:val="00C7662C"/>
    <w:rsid w:val="00C76717"/>
    <w:rsid w:val="00C76769"/>
    <w:rsid w:val="00C76909"/>
    <w:rsid w:val="00C7691C"/>
    <w:rsid w:val="00C76C03"/>
    <w:rsid w:val="00C76C4A"/>
    <w:rsid w:val="00C76C68"/>
    <w:rsid w:val="00C76DCA"/>
    <w:rsid w:val="00C76E0E"/>
    <w:rsid w:val="00C76EC4"/>
    <w:rsid w:val="00C76ED6"/>
    <w:rsid w:val="00C76ED7"/>
    <w:rsid w:val="00C76F66"/>
    <w:rsid w:val="00C7711A"/>
    <w:rsid w:val="00C775A3"/>
    <w:rsid w:val="00C77A06"/>
    <w:rsid w:val="00C77C08"/>
    <w:rsid w:val="00C77C2B"/>
    <w:rsid w:val="00C77D80"/>
    <w:rsid w:val="00C77E07"/>
    <w:rsid w:val="00C77F68"/>
    <w:rsid w:val="00C80036"/>
    <w:rsid w:val="00C802AC"/>
    <w:rsid w:val="00C80334"/>
    <w:rsid w:val="00C80404"/>
    <w:rsid w:val="00C80483"/>
    <w:rsid w:val="00C80763"/>
    <w:rsid w:val="00C8096C"/>
    <w:rsid w:val="00C80C22"/>
    <w:rsid w:val="00C80D3F"/>
    <w:rsid w:val="00C80DB5"/>
    <w:rsid w:val="00C80E90"/>
    <w:rsid w:val="00C80ED4"/>
    <w:rsid w:val="00C80F5D"/>
    <w:rsid w:val="00C80F88"/>
    <w:rsid w:val="00C811D8"/>
    <w:rsid w:val="00C8133A"/>
    <w:rsid w:val="00C813C8"/>
    <w:rsid w:val="00C81639"/>
    <w:rsid w:val="00C81646"/>
    <w:rsid w:val="00C81767"/>
    <w:rsid w:val="00C81B91"/>
    <w:rsid w:val="00C81C7C"/>
    <w:rsid w:val="00C81DF7"/>
    <w:rsid w:val="00C81E01"/>
    <w:rsid w:val="00C81E2E"/>
    <w:rsid w:val="00C82029"/>
    <w:rsid w:val="00C8205D"/>
    <w:rsid w:val="00C820E8"/>
    <w:rsid w:val="00C8228F"/>
    <w:rsid w:val="00C822BB"/>
    <w:rsid w:val="00C8236D"/>
    <w:rsid w:val="00C82424"/>
    <w:rsid w:val="00C82892"/>
    <w:rsid w:val="00C8291F"/>
    <w:rsid w:val="00C82A67"/>
    <w:rsid w:val="00C82C13"/>
    <w:rsid w:val="00C82D0A"/>
    <w:rsid w:val="00C82DA2"/>
    <w:rsid w:val="00C82DC8"/>
    <w:rsid w:val="00C82E3D"/>
    <w:rsid w:val="00C82EDA"/>
    <w:rsid w:val="00C82F0F"/>
    <w:rsid w:val="00C82FC7"/>
    <w:rsid w:val="00C82FE0"/>
    <w:rsid w:val="00C832F0"/>
    <w:rsid w:val="00C832FB"/>
    <w:rsid w:val="00C83380"/>
    <w:rsid w:val="00C833A1"/>
    <w:rsid w:val="00C83429"/>
    <w:rsid w:val="00C835AC"/>
    <w:rsid w:val="00C8363C"/>
    <w:rsid w:val="00C836CB"/>
    <w:rsid w:val="00C83833"/>
    <w:rsid w:val="00C83840"/>
    <w:rsid w:val="00C83911"/>
    <w:rsid w:val="00C83A83"/>
    <w:rsid w:val="00C83F21"/>
    <w:rsid w:val="00C83F7B"/>
    <w:rsid w:val="00C840F6"/>
    <w:rsid w:val="00C840F7"/>
    <w:rsid w:val="00C84107"/>
    <w:rsid w:val="00C8418E"/>
    <w:rsid w:val="00C8435F"/>
    <w:rsid w:val="00C844AB"/>
    <w:rsid w:val="00C84542"/>
    <w:rsid w:val="00C847F1"/>
    <w:rsid w:val="00C84879"/>
    <w:rsid w:val="00C84919"/>
    <w:rsid w:val="00C84928"/>
    <w:rsid w:val="00C84C08"/>
    <w:rsid w:val="00C84C64"/>
    <w:rsid w:val="00C84CD1"/>
    <w:rsid w:val="00C84DFA"/>
    <w:rsid w:val="00C84F3F"/>
    <w:rsid w:val="00C84F45"/>
    <w:rsid w:val="00C84FCA"/>
    <w:rsid w:val="00C85042"/>
    <w:rsid w:val="00C850BC"/>
    <w:rsid w:val="00C850BF"/>
    <w:rsid w:val="00C850D1"/>
    <w:rsid w:val="00C850D9"/>
    <w:rsid w:val="00C8530E"/>
    <w:rsid w:val="00C85326"/>
    <w:rsid w:val="00C8534A"/>
    <w:rsid w:val="00C8540B"/>
    <w:rsid w:val="00C85571"/>
    <w:rsid w:val="00C855BE"/>
    <w:rsid w:val="00C85618"/>
    <w:rsid w:val="00C85667"/>
    <w:rsid w:val="00C85861"/>
    <w:rsid w:val="00C85903"/>
    <w:rsid w:val="00C85A81"/>
    <w:rsid w:val="00C85E82"/>
    <w:rsid w:val="00C85E99"/>
    <w:rsid w:val="00C85EC7"/>
    <w:rsid w:val="00C85F45"/>
    <w:rsid w:val="00C85F63"/>
    <w:rsid w:val="00C85F78"/>
    <w:rsid w:val="00C860AC"/>
    <w:rsid w:val="00C8612D"/>
    <w:rsid w:val="00C8626B"/>
    <w:rsid w:val="00C86395"/>
    <w:rsid w:val="00C8648A"/>
    <w:rsid w:val="00C86671"/>
    <w:rsid w:val="00C866BF"/>
    <w:rsid w:val="00C8671C"/>
    <w:rsid w:val="00C8672A"/>
    <w:rsid w:val="00C867DD"/>
    <w:rsid w:val="00C867F3"/>
    <w:rsid w:val="00C8684A"/>
    <w:rsid w:val="00C868A7"/>
    <w:rsid w:val="00C86932"/>
    <w:rsid w:val="00C869F0"/>
    <w:rsid w:val="00C86AF7"/>
    <w:rsid w:val="00C86C7D"/>
    <w:rsid w:val="00C86E03"/>
    <w:rsid w:val="00C86E27"/>
    <w:rsid w:val="00C87015"/>
    <w:rsid w:val="00C87031"/>
    <w:rsid w:val="00C87098"/>
    <w:rsid w:val="00C870B5"/>
    <w:rsid w:val="00C87216"/>
    <w:rsid w:val="00C87253"/>
    <w:rsid w:val="00C87321"/>
    <w:rsid w:val="00C873B2"/>
    <w:rsid w:val="00C8754C"/>
    <w:rsid w:val="00C8758F"/>
    <w:rsid w:val="00C87593"/>
    <w:rsid w:val="00C8760B"/>
    <w:rsid w:val="00C878FA"/>
    <w:rsid w:val="00C8795C"/>
    <w:rsid w:val="00C87A0C"/>
    <w:rsid w:val="00C87A53"/>
    <w:rsid w:val="00C87AE7"/>
    <w:rsid w:val="00C87B72"/>
    <w:rsid w:val="00C87E10"/>
    <w:rsid w:val="00C87E39"/>
    <w:rsid w:val="00C87F7F"/>
    <w:rsid w:val="00C87FEA"/>
    <w:rsid w:val="00C9002A"/>
    <w:rsid w:val="00C9014A"/>
    <w:rsid w:val="00C901A8"/>
    <w:rsid w:val="00C901FA"/>
    <w:rsid w:val="00C9035F"/>
    <w:rsid w:val="00C903CD"/>
    <w:rsid w:val="00C904A5"/>
    <w:rsid w:val="00C904B8"/>
    <w:rsid w:val="00C9053A"/>
    <w:rsid w:val="00C90739"/>
    <w:rsid w:val="00C90799"/>
    <w:rsid w:val="00C90812"/>
    <w:rsid w:val="00C90871"/>
    <w:rsid w:val="00C90920"/>
    <w:rsid w:val="00C9098C"/>
    <w:rsid w:val="00C90A51"/>
    <w:rsid w:val="00C90A80"/>
    <w:rsid w:val="00C90AE5"/>
    <w:rsid w:val="00C90B09"/>
    <w:rsid w:val="00C90B2D"/>
    <w:rsid w:val="00C910C8"/>
    <w:rsid w:val="00C91192"/>
    <w:rsid w:val="00C9121B"/>
    <w:rsid w:val="00C9125A"/>
    <w:rsid w:val="00C9127C"/>
    <w:rsid w:val="00C912AB"/>
    <w:rsid w:val="00C912AF"/>
    <w:rsid w:val="00C91306"/>
    <w:rsid w:val="00C91313"/>
    <w:rsid w:val="00C913C5"/>
    <w:rsid w:val="00C915B2"/>
    <w:rsid w:val="00C917E8"/>
    <w:rsid w:val="00C91E92"/>
    <w:rsid w:val="00C92049"/>
    <w:rsid w:val="00C92113"/>
    <w:rsid w:val="00C921F2"/>
    <w:rsid w:val="00C9237B"/>
    <w:rsid w:val="00C923E3"/>
    <w:rsid w:val="00C9245C"/>
    <w:rsid w:val="00C92463"/>
    <w:rsid w:val="00C924F6"/>
    <w:rsid w:val="00C92573"/>
    <w:rsid w:val="00C92622"/>
    <w:rsid w:val="00C9273F"/>
    <w:rsid w:val="00C92781"/>
    <w:rsid w:val="00C927D6"/>
    <w:rsid w:val="00C928D2"/>
    <w:rsid w:val="00C9296F"/>
    <w:rsid w:val="00C929B7"/>
    <w:rsid w:val="00C92A1B"/>
    <w:rsid w:val="00C92A2D"/>
    <w:rsid w:val="00C92ACB"/>
    <w:rsid w:val="00C92ADD"/>
    <w:rsid w:val="00C92C03"/>
    <w:rsid w:val="00C92D4B"/>
    <w:rsid w:val="00C92D74"/>
    <w:rsid w:val="00C92EF9"/>
    <w:rsid w:val="00C92F6A"/>
    <w:rsid w:val="00C92F7A"/>
    <w:rsid w:val="00C9305A"/>
    <w:rsid w:val="00C930F3"/>
    <w:rsid w:val="00C93564"/>
    <w:rsid w:val="00C93579"/>
    <w:rsid w:val="00C9359C"/>
    <w:rsid w:val="00C93642"/>
    <w:rsid w:val="00C936B6"/>
    <w:rsid w:val="00C936D2"/>
    <w:rsid w:val="00C936F4"/>
    <w:rsid w:val="00C93834"/>
    <w:rsid w:val="00C93891"/>
    <w:rsid w:val="00C9395F"/>
    <w:rsid w:val="00C939BA"/>
    <w:rsid w:val="00C93A20"/>
    <w:rsid w:val="00C93A2A"/>
    <w:rsid w:val="00C93ABA"/>
    <w:rsid w:val="00C93BA3"/>
    <w:rsid w:val="00C93BA9"/>
    <w:rsid w:val="00C93C29"/>
    <w:rsid w:val="00C93FBC"/>
    <w:rsid w:val="00C941FB"/>
    <w:rsid w:val="00C942F6"/>
    <w:rsid w:val="00C9431C"/>
    <w:rsid w:val="00C94321"/>
    <w:rsid w:val="00C943F3"/>
    <w:rsid w:val="00C94476"/>
    <w:rsid w:val="00C945AA"/>
    <w:rsid w:val="00C94633"/>
    <w:rsid w:val="00C947BF"/>
    <w:rsid w:val="00C9482D"/>
    <w:rsid w:val="00C9488B"/>
    <w:rsid w:val="00C948DD"/>
    <w:rsid w:val="00C94A24"/>
    <w:rsid w:val="00C94A52"/>
    <w:rsid w:val="00C94E24"/>
    <w:rsid w:val="00C94E42"/>
    <w:rsid w:val="00C94E87"/>
    <w:rsid w:val="00C94ECF"/>
    <w:rsid w:val="00C94FF0"/>
    <w:rsid w:val="00C94FF2"/>
    <w:rsid w:val="00C950B5"/>
    <w:rsid w:val="00C951B5"/>
    <w:rsid w:val="00C951FD"/>
    <w:rsid w:val="00C95294"/>
    <w:rsid w:val="00C952F1"/>
    <w:rsid w:val="00C95392"/>
    <w:rsid w:val="00C95446"/>
    <w:rsid w:val="00C954A8"/>
    <w:rsid w:val="00C95593"/>
    <w:rsid w:val="00C95984"/>
    <w:rsid w:val="00C95A41"/>
    <w:rsid w:val="00C95BA6"/>
    <w:rsid w:val="00C95CC1"/>
    <w:rsid w:val="00C95CD4"/>
    <w:rsid w:val="00C95E13"/>
    <w:rsid w:val="00C95E26"/>
    <w:rsid w:val="00C95EBC"/>
    <w:rsid w:val="00C95F0F"/>
    <w:rsid w:val="00C95FFA"/>
    <w:rsid w:val="00C96000"/>
    <w:rsid w:val="00C9623B"/>
    <w:rsid w:val="00C96303"/>
    <w:rsid w:val="00C96409"/>
    <w:rsid w:val="00C96476"/>
    <w:rsid w:val="00C9651E"/>
    <w:rsid w:val="00C9653D"/>
    <w:rsid w:val="00C965B8"/>
    <w:rsid w:val="00C9669C"/>
    <w:rsid w:val="00C96753"/>
    <w:rsid w:val="00C96877"/>
    <w:rsid w:val="00C96925"/>
    <w:rsid w:val="00C9692F"/>
    <w:rsid w:val="00C96933"/>
    <w:rsid w:val="00C969A0"/>
    <w:rsid w:val="00C969AB"/>
    <w:rsid w:val="00C96C13"/>
    <w:rsid w:val="00C96CC9"/>
    <w:rsid w:val="00C97257"/>
    <w:rsid w:val="00C972D2"/>
    <w:rsid w:val="00C97381"/>
    <w:rsid w:val="00C97590"/>
    <w:rsid w:val="00C976A6"/>
    <w:rsid w:val="00C9770A"/>
    <w:rsid w:val="00C97810"/>
    <w:rsid w:val="00C97BD1"/>
    <w:rsid w:val="00C97CD9"/>
    <w:rsid w:val="00C97CE6"/>
    <w:rsid w:val="00C97F17"/>
    <w:rsid w:val="00C97FF2"/>
    <w:rsid w:val="00CA007B"/>
    <w:rsid w:val="00CA018E"/>
    <w:rsid w:val="00CA01A2"/>
    <w:rsid w:val="00CA036C"/>
    <w:rsid w:val="00CA03B2"/>
    <w:rsid w:val="00CA0548"/>
    <w:rsid w:val="00CA0574"/>
    <w:rsid w:val="00CA08F6"/>
    <w:rsid w:val="00CA0A8C"/>
    <w:rsid w:val="00CA0B18"/>
    <w:rsid w:val="00CA0BDF"/>
    <w:rsid w:val="00CA0C02"/>
    <w:rsid w:val="00CA0C5D"/>
    <w:rsid w:val="00CA0C7A"/>
    <w:rsid w:val="00CA0DFA"/>
    <w:rsid w:val="00CA105E"/>
    <w:rsid w:val="00CA1248"/>
    <w:rsid w:val="00CA13A8"/>
    <w:rsid w:val="00CA14BB"/>
    <w:rsid w:val="00CA15A7"/>
    <w:rsid w:val="00CA1642"/>
    <w:rsid w:val="00CA16B4"/>
    <w:rsid w:val="00CA16C3"/>
    <w:rsid w:val="00CA1719"/>
    <w:rsid w:val="00CA1740"/>
    <w:rsid w:val="00CA185A"/>
    <w:rsid w:val="00CA18E9"/>
    <w:rsid w:val="00CA1955"/>
    <w:rsid w:val="00CA1967"/>
    <w:rsid w:val="00CA1988"/>
    <w:rsid w:val="00CA19CE"/>
    <w:rsid w:val="00CA19E4"/>
    <w:rsid w:val="00CA1A3F"/>
    <w:rsid w:val="00CA1B30"/>
    <w:rsid w:val="00CA1B46"/>
    <w:rsid w:val="00CA1B92"/>
    <w:rsid w:val="00CA1DB0"/>
    <w:rsid w:val="00CA1DBC"/>
    <w:rsid w:val="00CA1E4A"/>
    <w:rsid w:val="00CA1E67"/>
    <w:rsid w:val="00CA1F80"/>
    <w:rsid w:val="00CA2059"/>
    <w:rsid w:val="00CA20C3"/>
    <w:rsid w:val="00CA2127"/>
    <w:rsid w:val="00CA2212"/>
    <w:rsid w:val="00CA2307"/>
    <w:rsid w:val="00CA2378"/>
    <w:rsid w:val="00CA23BC"/>
    <w:rsid w:val="00CA23FB"/>
    <w:rsid w:val="00CA2513"/>
    <w:rsid w:val="00CA271C"/>
    <w:rsid w:val="00CA27AB"/>
    <w:rsid w:val="00CA27F1"/>
    <w:rsid w:val="00CA281D"/>
    <w:rsid w:val="00CA284E"/>
    <w:rsid w:val="00CA285D"/>
    <w:rsid w:val="00CA2984"/>
    <w:rsid w:val="00CA29E9"/>
    <w:rsid w:val="00CA2A6D"/>
    <w:rsid w:val="00CA2AAB"/>
    <w:rsid w:val="00CA2AED"/>
    <w:rsid w:val="00CA2B48"/>
    <w:rsid w:val="00CA2BAA"/>
    <w:rsid w:val="00CA2BE2"/>
    <w:rsid w:val="00CA2D60"/>
    <w:rsid w:val="00CA2E51"/>
    <w:rsid w:val="00CA3032"/>
    <w:rsid w:val="00CA30FE"/>
    <w:rsid w:val="00CA315E"/>
    <w:rsid w:val="00CA327B"/>
    <w:rsid w:val="00CA3363"/>
    <w:rsid w:val="00CA33B1"/>
    <w:rsid w:val="00CA33F0"/>
    <w:rsid w:val="00CA3440"/>
    <w:rsid w:val="00CA379F"/>
    <w:rsid w:val="00CA3860"/>
    <w:rsid w:val="00CA398A"/>
    <w:rsid w:val="00CA39B7"/>
    <w:rsid w:val="00CA3B13"/>
    <w:rsid w:val="00CA3B97"/>
    <w:rsid w:val="00CA3BD6"/>
    <w:rsid w:val="00CA3C3D"/>
    <w:rsid w:val="00CA3CA6"/>
    <w:rsid w:val="00CA3CE3"/>
    <w:rsid w:val="00CA3D5E"/>
    <w:rsid w:val="00CA3EB3"/>
    <w:rsid w:val="00CA3EDC"/>
    <w:rsid w:val="00CA3EF3"/>
    <w:rsid w:val="00CA3F45"/>
    <w:rsid w:val="00CA3F99"/>
    <w:rsid w:val="00CA4073"/>
    <w:rsid w:val="00CA4074"/>
    <w:rsid w:val="00CA40B4"/>
    <w:rsid w:val="00CA414F"/>
    <w:rsid w:val="00CA423A"/>
    <w:rsid w:val="00CA428F"/>
    <w:rsid w:val="00CA42E4"/>
    <w:rsid w:val="00CA4311"/>
    <w:rsid w:val="00CA4671"/>
    <w:rsid w:val="00CA4710"/>
    <w:rsid w:val="00CA48C5"/>
    <w:rsid w:val="00CA4A69"/>
    <w:rsid w:val="00CA4C2A"/>
    <w:rsid w:val="00CA4CD4"/>
    <w:rsid w:val="00CA4CDC"/>
    <w:rsid w:val="00CA4E40"/>
    <w:rsid w:val="00CA4FB1"/>
    <w:rsid w:val="00CA5026"/>
    <w:rsid w:val="00CA51D2"/>
    <w:rsid w:val="00CA5231"/>
    <w:rsid w:val="00CA52A2"/>
    <w:rsid w:val="00CA52C6"/>
    <w:rsid w:val="00CA5336"/>
    <w:rsid w:val="00CA54D8"/>
    <w:rsid w:val="00CA5588"/>
    <w:rsid w:val="00CA56D6"/>
    <w:rsid w:val="00CA571B"/>
    <w:rsid w:val="00CA58EC"/>
    <w:rsid w:val="00CA59CD"/>
    <w:rsid w:val="00CA5A59"/>
    <w:rsid w:val="00CA5AB7"/>
    <w:rsid w:val="00CA5D88"/>
    <w:rsid w:val="00CA5D90"/>
    <w:rsid w:val="00CA5F4E"/>
    <w:rsid w:val="00CA5FBC"/>
    <w:rsid w:val="00CA61DE"/>
    <w:rsid w:val="00CA622A"/>
    <w:rsid w:val="00CA62A6"/>
    <w:rsid w:val="00CA62C6"/>
    <w:rsid w:val="00CA63DB"/>
    <w:rsid w:val="00CA6722"/>
    <w:rsid w:val="00CA68BA"/>
    <w:rsid w:val="00CA6A6D"/>
    <w:rsid w:val="00CA6AB0"/>
    <w:rsid w:val="00CA6AF4"/>
    <w:rsid w:val="00CA6D15"/>
    <w:rsid w:val="00CA6D82"/>
    <w:rsid w:val="00CA6DF1"/>
    <w:rsid w:val="00CA6E36"/>
    <w:rsid w:val="00CA6EC6"/>
    <w:rsid w:val="00CA6ED1"/>
    <w:rsid w:val="00CA6F20"/>
    <w:rsid w:val="00CA7019"/>
    <w:rsid w:val="00CA7434"/>
    <w:rsid w:val="00CA74AA"/>
    <w:rsid w:val="00CA75B4"/>
    <w:rsid w:val="00CA7815"/>
    <w:rsid w:val="00CA7859"/>
    <w:rsid w:val="00CA791F"/>
    <w:rsid w:val="00CA7941"/>
    <w:rsid w:val="00CA7AA1"/>
    <w:rsid w:val="00CA7ABD"/>
    <w:rsid w:val="00CA7D11"/>
    <w:rsid w:val="00CA7DA5"/>
    <w:rsid w:val="00CA7DD6"/>
    <w:rsid w:val="00CA7EBA"/>
    <w:rsid w:val="00CB0077"/>
    <w:rsid w:val="00CB025F"/>
    <w:rsid w:val="00CB02E7"/>
    <w:rsid w:val="00CB0327"/>
    <w:rsid w:val="00CB03C9"/>
    <w:rsid w:val="00CB0456"/>
    <w:rsid w:val="00CB0585"/>
    <w:rsid w:val="00CB069F"/>
    <w:rsid w:val="00CB06E9"/>
    <w:rsid w:val="00CB077B"/>
    <w:rsid w:val="00CB0797"/>
    <w:rsid w:val="00CB0A29"/>
    <w:rsid w:val="00CB0B3D"/>
    <w:rsid w:val="00CB0BAD"/>
    <w:rsid w:val="00CB0BF1"/>
    <w:rsid w:val="00CB0C8E"/>
    <w:rsid w:val="00CB0CE2"/>
    <w:rsid w:val="00CB0DBB"/>
    <w:rsid w:val="00CB0DD4"/>
    <w:rsid w:val="00CB0EB4"/>
    <w:rsid w:val="00CB0EF7"/>
    <w:rsid w:val="00CB0FDB"/>
    <w:rsid w:val="00CB105F"/>
    <w:rsid w:val="00CB1149"/>
    <w:rsid w:val="00CB13DF"/>
    <w:rsid w:val="00CB1505"/>
    <w:rsid w:val="00CB15C4"/>
    <w:rsid w:val="00CB170D"/>
    <w:rsid w:val="00CB17E2"/>
    <w:rsid w:val="00CB17FE"/>
    <w:rsid w:val="00CB1875"/>
    <w:rsid w:val="00CB1A84"/>
    <w:rsid w:val="00CB1AEF"/>
    <w:rsid w:val="00CB1C60"/>
    <w:rsid w:val="00CB1C7A"/>
    <w:rsid w:val="00CB1D03"/>
    <w:rsid w:val="00CB1D6D"/>
    <w:rsid w:val="00CB1EC0"/>
    <w:rsid w:val="00CB1F84"/>
    <w:rsid w:val="00CB2141"/>
    <w:rsid w:val="00CB2267"/>
    <w:rsid w:val="00CB2277"/>
    <w:rsid w:val="00CB227B"/>
    <w:rsid w:val="00CB23B6"/>
    <w:rsid w:val="00CB2408"/>
    <w:rsid w:val="00CB252B"/>
    <w:rsid w:val="00CB25A4"/>
    <w:rsid w:val="00CB281B"/>
    <w:rsid w:val="00CB28B2"/>
    <w:rsid w:val="00CB2A04"/>
    <w:rsid w:val="00CB2A79"/>
    <w:rsid w:val="00CB2B2D"/>
    <w:rsid w:val="00CB2B35"/>
    <w:rsid w:val="00CB2E69"/>
    <w:rsid w:val="00CB2F1D"/>
    <w:rsid w:val="00CB3111"/>
    <w:rsid w:val="00CB325B"/>
    <w:rsid w:val="00CB3366"/>
    <w:rsid w:val="00CB336A"/>
    <w:rsid w:val="00CB33E7"/>
    <w:rsid w:val="00CB35A2"/>
    <w:rsid w:val="00CB35C4"/>
    <w:rsid w:val="00CB3708"/>
    <w:rsid w:val="00CB385D"/>
    <w:rsid w:val="00CB388A"/>
    <w:rsid w:val="00CB39B4"/>
    <w:rsid w:val="00CB39DF"/>
    <w:rsid w:val="00CB39FC"/>
    <w:rsid w:val="00CB3ABC"/>
    <w:rsid w:val="00CB3C46"/>
    <w:rsid w:val="00CB3C68"/>
    <w:rsid w:val="00CB3D3E"/>
    <w:rsid w:val="00CB3FE0"/>
    <w:rsid w:val="00CB402C"/>
    <w:rsid w:val="00CB4033"/>
    <w:rsid w:val="00CB41A8"/>
    <w:rsid w:val="00CB4229"/>
    <w:rsid w:val="00CB4242"/>
    <w:rsid w:val="00CB443A"/>
    <w:rsid w:val="00CB44F6"/>
    <w:rsid w:val="00CB4580"/>
    <w:rsid w:val="00CB4583"/>
    <w:rsid w:val="00CB45F0"/>
    <w:rsid w:val="00CB464E"/>
    <w:rsid w:val="00CB4700"/>
    <w:rsid w:val="00CB4902"/>
    <w:rsid w:val="00CB494A"/>
    <w:rsid w:val="00CB4A00"/>
    <w:rsid w:val="00CB4BF0"/>
    <w:rsid w:val="00CB4F36"/>
    <w:rsid w:val="00CB5013"/>
    <w:rsid w:val="00CB50EB"/>
    <w:rsid w:val="00CB5362"/>
    <w:rsid w:val="00CB53B3"/>
    <w:rsid w:val="00CB54E6"/>
    <w:rsid w:val="00CB5872"/>
    <w:rsid w:val="00CB58BF"/>
    <w:rsid w:val="00CB597C"/>
    <w:rsid w:val="00CB5B1C"/>
    <w:rsid w:val="00CB5BEB"/>
    <w:rsid w:val="00CB5C0F"/>
    <w:rsid w:val="00CB5D88"/>
    <w:rsid w:val="00CB5D91"/>
    <w:rsid w:val="00CB5E4C"/>
    <w:rsid w:val="00CB5F1C"/>
    <w:rsid w:val="00CB5FA8"/>
    <w:rsid w:val="00CB607D"/>
    <w:rsid w:val="00CB60A9"/>
    <w:rsid w:val="00CB60C6"/>
    <w:rsid w:val="00CB60CE"/>
    <w:rsid w:val="00CB6105"/>
    <w:rsid w:val="00CB619B"/>
    <w:rsid w:val="00CB642C"/>
    <w:rsid w:val="00CB6431"/>
    <w:rsid w:val="00CB6487"/>
    <w:rsid w:val="00CB6491"/>
    <w:rsid w:val="00CB64C9"/>
    <w:rsid w:val="00CB64FE"/>
    <w:rsid w:val="00CB65C5"/>
    <w:rsid w:val="00CB661E"/>
    <w:rsid w:val="00CB665F"/>
    <w:rsid w:val="00CB666E"/>
    <w:rsid w:val="00CB672C"/>
    <w:rsid w:val="00CB6781"/>
    <w:rsid w:val="00CB6787"/>
    <w:rsid w:val="00CB6870"/>
    <w:rsid w:val="00CB6924"/>
    <w:rsid w:val="00CB6C68"/>
    <w:rsid w:val="00CB6EFB"/>
    <w:rsid w:val="00CB6FF7"/>
    <w:rsid w:val="00CB72F3"/>
    <w:rsid w:val="00CB74FD"/>
    <w:rsid w:val="00CB7562"/>
    <w:rsid w:val="00CB76A3"/>
    <w:rsid w:val="00CB7A09"/>
    <w:rsid w:val="00CB7AAC"/>
    <w:rsid w:val="00CB7AEB"/>
    <w:rsid w:val="00CB7D3D"/>
    <w:rsid w:val="00CC010E"/>
    <w:rsid w:val="00CC01D8"/>
    <w:rsid w:val="00CC02DF"/>
    <w:rsid w:val="00CC0302"/>
    <w:rsid w:val="00CC045E"/>
    <w:rsid w:val="00CC0479"/>
    <w:rsid w:val="00CC0523"/>
    <w:rsid w:val="00CC0558"/>
    <w:rsid w:val="00CC0788"/>
    <w:rsid w:val="00CC07BF"/>
    <w:rsid w:val="00CC0921"/>
    <w:rsid w:val="00CC0A30"/>
    <w:rsid w:val="00CC0A81"/>
    <w:rsid w:val="00CC0CCA"/>
    <w:rsid w:val="00CC0F3E"/>
    <w:rsid w:val="00CC1089"/>
    <w:rsid w:val="00CC1154"/>
    <w:rsid w:val="00CC126A"/>
    <w:rsid w:val="00CC12A3"/>
    <w:rsid w:val="00CC130B"/>
    <w:rsid w:val="00CC131A"/>
    <w:rsid w:val="00CC1350"/>
    <w:rsid w:val="00CC15DF"/>
    <w:rsid w:val="00CC187B"/>
    <w:rsid w:val="00CC1991"/>
    <w:rsid w:val="00CC1A0A"/>
    <w:rsid w:val="00CC1A73"/>
    <w:rsid w:val="00CC1AE4"/>
    <w:rsid w:val="00CC1BEA"/>
    <w:rsid w:val="00CC1C11"/>
    <w:rsid w:val="00CC1D75"/>
    <w:rsid w:val="00CC1E83"/>
    <w:rsid w:val="00CC1EC8"/>
    <w:rsid w:val="00CC2010"/>
    <w:rsid w:val="00CC2091"/>
    <w:rsid w:val="00CC2282"/>
    <w:rsid w:val="00CC2300"/>
    <w:rsid w:val="00CC2326"/>
    <w:rsid w:val="00CC2339"/>
    <w:rsid w:val="00CC23A6"/>
    <w:rsid w:val="00CC2450"/>
    <w:rsid w:val="00CC2532"/>
    <w:rsid w:val="00CC26B2"/>
    <w:rsid w:val="00CC26C9"/>
    <w:rsid w:val="00CC275F"/>
    <w:rsid w:val="00CC2818"/>
    <w:rsid w:val="00CC28C5"/>
    <w:rsid w:val="00CC28E6"/>
    <w:rsid w:val="00CC291B"/>
    <w:rsid w:val="00CC2A09"/>
    <w:rsid w:val="00CC2A66"/>
    <w:rsid w:val="00CC2B77"/>
    <w:rsid w:val="00CC2DAF"/>
    <w:rsid w:val="00CC2E25"/>
    <w:rsid w:val="00CC2ECF"/>
    <w:rsid w:val="00CC2F8A"/>
    <w:rsid w:val="00CC3083"/>
    <w:rsid w:val="00CC3179"/>
    <w:rsid w:val="00CC318B"/>
    <w:rsid w:val="00CC32D0"/>
    <w:rsid w:val="00CC33EB"/>
    <w:rsid w:val="00CC3411"/>
    <w:rsid w:val="00CC3433"/>
    <w:rsid w:val="00CC368A"/>
    <w:rsid w:val="00CC377A"/>
    <w:rsid w:val="00CC37A2"/>
    <w:rsid w:val="00CC3839"/>
    <w:rsid w:val="00CC3A4B"/>
    <w:rsid w:val="00CC3AEF"/>
    <w:rsid w:val="00CC3B61"/>
    <w:rsid w:val="00CC3BAB"/>
    <w:rsid w:val="00CC3D7B"/>
    <w:rsid w:val="00CC3E15"/>
    <w:rsid w:val="00CC3F76"/>
    <w:rsid w:val="00CC3FAC"/>
    <w:rsid w:val="00CC4007"/>
    <w:rsid w:val="00CC401A"/>
    <w:rsid w:val="00CC4043"/>
    <w:rsid w:val="00CC412D"/>
    <w:rsid w:val="00CC4256"/>
    <w:rsid w:val="00CC442A"/>
    <w:rsid w:val="00CC445A"/>
    <w:rsid w:val="00CC4548"/>
    <w:rsid w:val="00CC4713"/>
    <w:rsid w:val="00CC4729"/>
    <w:rsid w:val="00CC4761"/>
    <w:rsid w:val="00CC4772"/>
    <w:rsid w:val="00CC47AA"/>
    <w:rsid w:val="00CC4824"/>
    <w:rsid w:val="00CC48E2"/>
    <w:rsid w:val="00CC4B0F"/>
    <w:rsid w:val="00CC4CBA"/>
    <w:rsid w:val="00CC4D83"/>
    <w:rsid w:val="00CC4F12"/>
    <w:rsid w:val="00CC5108"/>
    <w:rsid w:val="00CC5113"/>
    <w:rsid w:val="00CC5344"/>
    <w:rsid w:val="00CC537E"/>
    <w:rsid w:val="00CC53A7"/>
    <w:rsid w:val="00CC54C8"/>
    <w:rsid w:val="00CC54D7"/>
    <w:rsid w:val="00CC54E9"/>
    <w:rsid w:val="00CC5583"/>
    <w:rsid w:val="00CC5688"/>
    <w:rsid w:val="00CC56D5"/>
    <w:rsid w:val="00CC5AA0"/>
    <w:rsid w:val="00CC5AB7"/>
    <w:rsid w:val="00CC5D40"/>
    <w:rsid w:val="00CC5E25"/>
    <w:rsid w:val="00CC604D"/>
    <w:rsid w:val="00CC608C"/>
    <w:rsid w:val="00CC6114"/>
    <w:rsid w:val="00CC6256"/>
    <w:rsid w:val="00CC62F7"/>
    <w:rsid w:val="00CC6358"/>
    <w:rsid w:val="00CC6399"/>
    <w:rsid w:val="00CC63C2"/>
    <w:rsid w:val="00CC63D9"/>
    <w:rsid w:val="00CC67D1"/>
    <w:rsid w:val="00CC6949"/>
    <w:rsid w:val="00CC6BF3"/>
    <w:rsid w:val="00CC6C1D"/>
    <w:rsid w:val="00CC6E90"/>
    <w:rsid w:val="00CC6EAE"/>
    <w:rsid w:val="00CC7144"/>
    <w:rsid w:val="00CC7170"/>
    <w:rsid w:val="00CC71D7"/>
    <w:rsid w:val="00CC7336"/>
    <w:rsid w:val="00CC73DE"/>
    <w:rsid w:val="00CC746F"/>
    <w:rsid w:val="00CC7496"/>
    <w:rsid w:val="00CC74A9"/>
    <w:rsid w:val="00CC7533"/>
    <w:rsid w:val="00CC7563"/>
    <w:rsid w:val="00CC7722"/>
    <w:rsid w:val="00CC77BE"/>
    <w:rsid w:val="00CC78E7"/>
    <w:rsid w:val="00CC79A1"/>
    <w:rsid w:val="00CC7A32"/>
    <w:rsid w:val="00CC7B76"/>
    <w:rsid w:val="00CC7C67"/>
    <w:rsid w:val="00CC7DDD"/>
    <w:rsid w:val="00CC7E30"/>
    <w:rsid w:val="00CD00D7"/>
    <w:rsid w:val="00CD0224"/>
    <w:rsid w:val="00CD038E"/>
    <w:rsid w:val="00CD0409"/>
    <w:rsid w:val="00CD046A"/>
    <w:rsid w:val="00CD0475"/>
    <w:rsid w:val="00CD054C"/>
    <w:rsid w:val="00CD05E4"/>
    <w:rsid w:val="00CD065E"/>
    <w:rsid w:val="00CD077E"/>
    <w:rsid w:val="00CD07BB"/>
    <w:rsid w:val="00CD089A"/>
    <w:rsid w:val="00CD08B2"/>
    <w:rsid w:val="00CD0951"/>
    <w:rsid w:val="00CD09C4"/>
    <w:rsid w:val="00CD0B33"/>
    <w:rsid w:val="00CD0B4C"/>
    <w:rsid w:val="00CD0BC6"/>
    <w:rsid w:val="00CD0D5A"/>
    <w:rsid w:val="00CD0D81"/>
    <w:rsid w:val="00CD0DF8"/>
    <w:rsid w:val="00CD0DFE"/>
    <w:rsid w:val="00CD0F5C"/>
    <w:rsid w:val="00CD0F98"/>
    <w:rsid w:val="00CD1150"/>
    <w:rsid w:val="00CD1311"/>
    <w:rsid w:val="00CD14E6"/>
    <w:rsid w:val="00CD15A9"/>
    <w:rsid w:val="00CD15BB"/>
    <w:rsid w:val="00CD1611"/>
    <w:rsid w:val="00CD1656"/>
    <w:rsid w:val="00CD184E"/>
    <w:rsid w:val="00CD193B"/>
    <w:rsid w:val="00CD1A01"/>
    <w:rsid w:val="00CD1B1E"/>
    <w:rsid w:val="00CD1CA5"/>
    <w:rsid w:val="00CD1D1F"/>
    <w:rsid w:val="00CD1E13"/>
    <w:rsid w:val="00CD204F"/>
    <w:rsid w:val="00CD205E"/>
    <w:rsid w:val="00CD207D"/>
    <w:rsid w:val="00CD20C2"/>
    <w:rsid w:val="00CD2295"/>
    <w:rsid w:val="00CD23D0"/>
    <w:rsid w:val="00CD24F9"/>
    <w:rsid w:val="00CD2534"/>
    <w:rsid w:val="00CD293E"/>
    <w:rsid w:val="00CD29D9"/>
    <w:rsid w:val="00CD2B2E"/>
    <w:rsid w:val="00CD2B72"/>
    <w:rsid w:val="00CD2B87"/>
    <w:rsid w:val="00CD2CC8"/>
    <w:rsid w:val="00CD2E4E"/>
    <w:rsid w:val="00CD2E77"/>
    <w:rsid w:val="00CD2E84"/>
    <w:rsid w:val="00CD2F86"/>
    <w:rsid w:val="00CD3034"/>
    <w:rsid w:val="00CD30E0"/>
    <w:rsid w:val="00CD3163"/>
    <w:rsid w:val="00CD3184"/>
    <w:rsid w:val="00CD32B4"/>
    <w:rsid w:val="00CD3309"/>
    <w:rsid w:val="00CD3442"/>
    <w:rsid w:val="00CD3550"/>
    <w:rsid w:val="00CD3800"/>
    <w:rsid w:val="00CD38AE"/>
    <w:rsid w:val="00CD38BF"/>
    <w:rsid w:val="00CD3B58"/>
    <w:rsid w:val="00CD3C12"/>
    <w:rsid w:val="00CD3C6F"/>
    <w:rsid w:val="00CD3CF5"/>
    <w:rsid w:val="00CD3D76"/>
    <w:rsid w:val="00CD3F10"/>
    <w:rsid w:val="00CD4253"/>
    <w:rsid w:val="00CD435F"/>
    <w:rsid w:val="00CD43A3"/>
    <w:rsid w:val="00CD454E"/>
    <w:rsid w:val="00CD45A3"/>
    <w:rsid w:val="00CD472B"/>
    <w:rsid w:val="00CD4735"/>
    <w:rsid w:val="00CD47FC"/>
    <w:rsid w:val="00CD4832"/>
    <w:rsid w:val="00CD494B"/>
    <w:rsid w:val="00CD4A7C"/>
    <w:rsid w:val="00CD4C28"/>
    <w:rsid w:val="00CD4C3D"/>
    <w:rsid w:val="00CD4D85"/>
    <w:rsid w:val="00CD4EA3"/>
    <w:rsid w:val="00CD5060"/>
    <w:rsid w:val="00CD5112"/>
    <w:rsid w:val="00CD514E"/>
    <w:rsid w:val="00CD5151"/>
    <w:rsid w:val="00CD51EE"/>
    <w:rsid w:val="00CD536C"/>
    <w:rsid w:val="00CD53BD"/>
    <w:rsid w:val="00CD5513"/>
    <w:rsid w:val="00CD55D4"/>
    <w:rsid w:val="00CD560A"/>
    <w:rsid w:val="00CD5758"/>
    <w:rsid w:val="00CD579E"/>
    <w:rsid w:val="00CD5BF3"/>
    <w:rsid w:val="00CD5C9E"/>
    <w:rsid w:val="00CD5DF9"/>
    <w:rsid w:val="00CD5E01"/>
    <w:rsid w:val="00CD5E29"/>
    <w:rsid w:val="00CD5E8B"/>
    <w:rsid w:val="00CD60D0"/>
    <w:rsid w:val="00CD610E"/>
    <w:rsid w:val="00CD662D"/>
    <w:rsid w:val="00CD66F1"/>
    <w:rsid w:val="00CD679C"/>
    <w:rsid w:val="00CD68E3"/>
    <w:rsid w:val="00CD6930"/>
    <w:rsid w:val="00CD6C88"/>
    <w:rsid w:val="00CD6CAD"/>
    <w:rsid w:val="00CD7031"/>
    <w:rsid w:val="00CD70B2"/>
    <w:rsid w:val="00CD70BB"/>
    <w:rsid w:val="00CD71F3"/>
    <w:rsid w:val="00CD7207"/>
    <w:rsid w:val="00CD749B"/>
    <w:rsid w:val="00CD7605"/>
    <w:rsid w:val="00CD7649"/>
    <w:rsid w:val="00CD77B8"/>
    <w:rsid w:val="00CD7805"/>
    <w:rsid w:val="00CD7834"/>
    <w:rsid w:val="00CD7937"/>
    <w:rsid w:val="00CD7938"/>
    <w:rsid w:val="00CD79B1"/>
    <w:rsid w:val="00CD7A15"/>
    <w:rsid w:val="00CD7AE5"/>
    <w:rsid w:val="00CD7D1A"/>
    <w:rsid w:val="00CD7D64"/>
    <w:rsid w:val="00CD7DFF"/>
    <w:rsid w:val="00CD7E1F"/>
    <w:rsid w:val="00CD7FE4"/>
    <w:rsid w:val="00CE00BC"/>
    <w:rsid w:val="00CE0139"/>
    <w:rsid w:val="00CE01A6"/>
    <w:rsid w:val="00CE0293"/>
    <w:rsid w:val="00CE02E8"/>
    <w:rsid w:val="00CE0329"/>
    <w:rsid w:val="00CE0376"/>
    <w:rsid w:val="00CE046E"/>
    <w:rsid w:val="00CE04F1"/>
    <w:rsid w:val="00CE0652"/>
    <w:rsid w:val="00CE069D"/>
    <w:rsid w:val="00CE0767"/>
    <w:rsid w:val="00CE0768"/>
    <w:rsid w:val="00CE0803"/>
    <w:rsid w:val="00CE084C"/>
    <w:rsid w:val="00CE0962"/>
    <w:rsid w:val="00CE09F3"/>
    <w:rsid w:val="00CE0A9A"/>
    <w:rsid w:val="00CE0B05"/>
    <w:rsid w:val="00CE0B6C"/>
    <w:rsid w:val="00CE0CF4"/>
    <w:rsid w:val="00CE0D7B"/>
    <w:rsid w:val="00CE0D85"/>
    <w:rsid w:val="00CE0E71"/>
    <w:rsid w:val="00CE0E95"/>
    <w:rsid w:val="00CE0FE9"/>
    <w:rsid w:val="00CE103D"/>
    <w:rsid w:val="00CE10B8"/>
    <w:rsid w:val="00CE1218"/>
    <w:rsid w:val="00CE13FD"/>
    <w:rsid w:val="00CE140A"/>
    <w:rsid w:val="00CE1531"/>
    <w:rsid w:val="00CE1543"/>
    <w:rsid w:val="00CE1630"/>
    <w:rsid w:val="00CE1741"/>
    <w:rsid w:val="00CE17DE"/>
    <w:rsid w:val="00CE1877"/>
    <w:rsid w:val="00CE1894"/>
    <w:rsid w:val="00CE1AA0"/>
    <w:rsid w:val="00CE1AA9"/>
    <w:rsid w:val="00CE1B00"/>
    <w:rsid w:val="00CE1B79"/>
    <w:rsid w:val="00CE1C21"/>
    <w:rsid w:val="00CE1CAB"/>
    <w:rsid w:val="00CE1CF8"/>
    <w:rsid w:val="00CE1DA2"/>
    <w:rsid w:val="00CE1DE5"/>
    <w:rsid w:val="00CE1F01"/>
    <w:rsid w:val="00CE21A9"/>
    <w:rsid w:val="00CE21FB"/>
    <w:rsid w:val="00CE25AF"/>
    <w:rsid w:val="00CE2781"/>
    <w:rsid w:val="00CE27DF"/>
    <w:rsid w:val="00CE2896"/>
    <w:rsid w:val="00CE2899"/>
    <w:rsid w:val="00CE28FB"/>
    <w:rsid w:val="00CE2914"/>
    <w:rsid w:val="00CE2948"/>
    <w:rsid w:val="00CE2957"/>
    <w:rsid w:val="00CE2960"/>
    <w:rsid w:val="00CE29BA"/>
    <w:rsid w:val="00CE2AAB"/>
    <w:rsid w:val="00CE2B8A"/>
    <w:rsid w:val="00CE2C39"/>
    <w:rsid w:val="00CE2C76"/>
    <w:rsid w:val="00CE2DFC"/>
    <w:rsid w:val="00CE2FF5"/>
    <w:rsid w:val="00CE3344"/>
    <w:rsid w:val="00CE3386"/>
    <w:rsid w:val="00CE3472"/>
    <w:rsid w:val="00CE350B"/>
    <w:rsid w:val="00CE3655"/>
    <w:rsid w:val="00CE372B"/>
    <w:rsid w:val="00CE3754"/>
    <w:rsid w:val="00CE390A"/>
    <w:rsid w:val="00CE39C5"/>
    <w:rsid w:val="00CE39DF"/>
    <w:rsid w:val="00CE3AF1"/>
    <w:rsid w:val="00CE3B23"/>
    <w:rsid w:val="00CE3BB5"/>
    <w:rsid w:val="00CE3C8C"/>
    <w:rsid w:val="00CE3CB3"/>
    <w:rsid w:val="00CE3DF7"/>
    <w:rsid w:val="00CE3E5E"/>
    <w:rsid w:val="00CE3EFC"/>
    <w:rsid w:val="00CE40A8"/>
    <w:rsid w:val="00CE40B0"/>
    <w:rsid w:val="00CE44C1"/>
    <w:rsid w:val="00CE462B"/>
    <w:rsid w:val="00CE4711"/>
    <w:rsid w:val="00CE48AF"/>
    <w:rsid w:val="00CE497E"/>
    <w:rsid w:val="00CE4A23"/>
    <w:rsid w:val="00CE4AAC"/>
    <w:rsid w:val="00CE4AB5"/>
    <w:rsid w:val="00CE4C50"/>
    <w:rsid w:val="00CE4D54"/>
    <w:rsid w:val="00CE4E63"/>
    <w:rsid w:val="00CE5133"/>
    <w:rsid w:val="00CE5426"/>
    <w:rsid w:val="00CE5547"/>
    <w:rsid w:val="00CE55F0"/>
    <w:rsid w:val="00CE5619"/>
    <w:rsid w:val="00CE57D1"/>
    <w:rsid w:val="00CE5817"/>
    <w:rsid w:val="00CE5AFB"/>
    <w:rsid w:val="00CE5B02"/>
    <w:rsid w:val="00CE5CC3"/>
    <w:rsid w:val="00CE5E72"/>
    <w:rsid w:val="00CE5F42"/>
    <w:rsid w:val="00CE60CB"/>
    <w:rsid w:val="00CE61AC"/>
    <w:rsid w:val="00CE61C9"/>
    <w:rsid w:val="00CE623B"/>
    <w:rsid w:val="00CE6471"/>
    <w:rsid w:val="00CE64D4"/>
    <w:rsid w:val="00CE64D6"/>
    <w:rsid w:val="00CE6587"/>
    <w:rsid w:val="00CE66B1"/>
    <w:rsid w:val="00CE67FB"/>
    <w:rsid w:val="00CE6817"/>
    <w:rsid w:val="00CE68D3"/>
    <w:rsid w:val="00CE6943"/>
    <w:rsid w:val="00CE6B7A"/>
    <w:rsid w:val="00CE6C06"/>
    <w:rsid w:val="00CE6D84"/>
    <w:rsid w:val="00CE6FA1"/>
    <w:rsid w:val="00CE6FEF"/>
    <w:rsid w:val="00CE7198"/>
    <w:rsid w:val="00CE74F0"/>
    <w:rsid w:val="00CE750D"/>
    <w:rsid w:val="00CE755A"/>
    <w:rsid w:val="00CE7840"/>
    <w:rsid w:val="00CE7859"/>
    <w:rsid w:val="00CE78CF"/>
    <w:rsid w:val="00CE79BE"/>
    <w:rsid w:val="00CE7A55"/>
    <w:rsid w:val="00CE7AC2"/>
    <w:rsid w:val="00CE7BEE"/>
    <w:rsid w:val="00CE7C59"/>
    <w:rsid w:val="00CE7C6A"/>
    <w:rsid w:val="00CE7CEA"/>
    <w:rsid w:val="00CE7D60"/>
    <w:rsid w:val="00CE7D85"/>
    <w:rsid w:val="00CE7F9A"/>
    <w:rsid w:val="00CF0096"/>
    <w:rsid w:val="00CF0208"/>
    <w:rsid w:val="00CF02FC"/>
    <w:rsid w:val="00CF0420"/>
    <w:rsid w:val="00CF0483"/>
    <w:rsid w:val="00CF04D6"/>
    <w:rsid w:val="00CF052B"/>
    <w:rsid w:val="00CF05E2"/>
    <w:rsid w:val="00CF06CD"/>
    <w:rsid w:val="00CF0874"/>
    <w:rsid w:val="00CF09CF"/>
    <w:rsid w:val="00CF0A42"/>
    <w:rsid w:val="00CF0B96"/>
    <w:rsid w:val="00CF0C75"/>
    <w:rsid w:val="00CF0C88"/>
    <w:rsid w:val="00CF0D0E"/>
    <w:rsid w:val="00CF0DA4"/>
    <w:rsid w:val="00CF0DB3"/>
    <w:rsid w:val="00CF0DB5"/>
    <w:rsid w:val="00CF0EF0"/>
    <w:rsid w:val="00CF10D7"/>
    <w:rsid w:val="00CF13B0"/>
    <w:rsid w:val="00CF14B5"/>
    <w:rsid w:val="00CF1757"/>
    <w:rsid w:val="00CF176A"/>
    <w:rsid w:val="00CF17AA"/>
    <w:rsid w:val="00CF17C3"/>
    <w:rsid w:val="00CF184A"/>
    <w:rsid w:val="00CF19AE"/>
    <w:rsid w:val="00CF1CFD"/>
    <w:rsid w:val="00CF1D25"/>
    <w:rsid w:val="00CF1E14"/>
    <w:rsid w:val="00CF1E99"/>
    <w:rsid w:val="00CF224D"/>
    <w:rsid w:val="00CF2297"/>
    <w:rsid w:val="00CF22AF"/>
    <w:rsid w:val="00CF2424"/>
    <w:rsid w:val="00CF24FC"/>
    <w:rsid w:val="00CF2514"/>
    <w:rsid w:val="00CF2577"/>
    <w:rsid w:val="00CF2653"/>
    <w:rsid w:val="00CF2816"/>
    <w:rsid w:val="00CF2903"/>
    <w:rsid w:val="00CF290E"/>
    <w:rsid w:val="00CF2B62"/>
    <w:rsid w:val="00CF2D64"/>
    <w:rsid w:val="00CF3059"/>
    <w:rsid w:val="00CF3152"/>
    <w:rsid w:val="00CF3404"/>
    <w:rsid w:val="00CF3410"/>
    <w:rsid w:val="00CF35A4"/>
    <w:rsid w:val="00CF363C"/>
    <w:rsid w:val="00CF364A"/>
    <w:rsid w:val="00CF36A0"/>
    <w:rsid w:val="00CF37DC"/>
    <w:rsid w:val="00CF37EF"/>
    <w:rsid w:val="00CF3856"/>
    <w:rsid w:val="00CF38D8"/>
    <w:rsid w:val="00CF38E5"/>
    <w:rsid w:val="00CF39F4"/>
    <w:rsid w:val="00CF3A41"/>
    <w:rsid w:val="00CF3B10"/>
    <w:rsid w:val="00CF3B11"/>
    <w:rsid w:val="00CF3BAF"/>
    <w:rsid w:val="00CF3CB8"/>
    <w:rsid w:val="00CF3D62"/>
    <w:rsid w:val="00CF3E85"/>
    <w:rsid w:val="00CF3F38"/>
    <w:rsid w:val="00CF4090"/>
    <w:rsid w:val="00CF412F"/>
    <w:rsid w:val="00CF41B4"/>
    <w:rsid w:val="00CF4394"/>
    <w:rsid w:val="00CF43F5"/>
    <w:rsid w:val="00CF44EB"/>
    <w:rsid w:val="00CF453C"/>
    <w:rsid w:val="00CF474A"/>
    <w:rsid w:val="00CF479C"/>
    <w:rsid w:val="00CF4882"/>
    <w:rsid w:val="00CF4A6D"/>
    <w:rsid w:val="00CF4A9E"/>
    <w:rsid w:val="00CF4C4D"/>
    <w:rsid w:val="00CF4E00"/>
    <w:rsid w:val="00CF4FE1"/>
    <w:rsid w:val="00CF50BE"/>
    <w:rsid w:val="00CF51E9"/>
    <w:rsid w:val="00CF52D1"/>
    <w:rsid w:val="00CF537D"/>
    <w:rsid w:val="00CF5486"/>
    <w:rsid w:val="00CF5487"/>
    <w:rsid w:val="00CF555C"/>
    <w:rsid w:val="00CF5661"/>
    <w:rsid w:val="00CF5665"/>
    <w:rsid w:val="00CF5720"/>
    <w:rsid w:val="00CF5BA1"/>
    <w:rsid w:val="00CF5BC9"/>
    <w:rsid w:val="00CF5BE7"/>
    <w:rsid w:val="00CF5D5E"/>
    <w:rsid w:val="00CF5D60"/>
    <w:rsid w:val="00CF5EBA"/>
    <w:rsid w:val="00CF60C6"/>
    <w:rsid w:val="00CF618E"/>
    <w:rsid w:val="00CF61F5"/>
    <w:rsid w:val="00CF6322"/>
    <w:rsid w:val="00CF6387"/>
    <w:rsid w:val="00CF63CD"/>
    <w:rsid w:val="00CF6527"/>
    <w:rsid w:val="00CF65C7"/>
    <w:rsid w:val="00CF6AF8"/>
    <w:rsid w:val="00CF6D53"/>
    <w:rsid w:val="00CF6DAB"/>
    <w:rsid w:val="00CF6DF6"/>
    <w:rsid w:val="00CF6FA9"/>
    <w:rsid w:val="00CF700D"/>
    <w:rsid w:val="00CF7133"/>
    <w:rsid w:val="00CF7332"/>
    <w:rsid w:val="00CF736D"/>
    <w:rsid w:val="00CF7385"/>
    <w:rsid w:val="00CF7389"/>
    <w:rsid w:val="00CF75FC"/>
    <w:rsid w:val="00CF7617"/>
    <w:rsid w:val="00CF76AA"/>
    <w:rsid w:val="00CF7782"/>
    <w:rsid w:val="00CF77FC"/>
    <w:rsid w:val="00CF7B4B"/>
    <w:rsid w:val="00CF7B5C"/>
    <w:rsid w:val="00CF7BCF"/>
    <w:rsid w:val="00CF7D16"/>
    <w:rsid w:val="00CF7D8B"/>
    <w:rsid w:val="00CF7DF4"/>
    <w:rsid w:val="00CF7EBF"/>
    <w:rsid w:val="00CF7F40"/>
    <w:rsid w:val="00CF7F55"/>
    <w:rsid w:val="00CF84BD"/>
    <w:rsid w:val="00D00080"/>
    <w:rsid w:val="00D001CC"/>
    <w:rsid w:val="00D0021A"/>
    <w:rsid w:val="00D003A3"/>
    <w:rsid w:val="00D005C3"/>
    <w:rsid w:val="00D005D0"/>
    <w:rsid w:val="00D009C5"/>
    <w:rsid w:val="00D00B18"/>
    <w:rsid w:val="00D00B2D"/>
    <w:rsid w:val="00D00B9A"/>
    <w:rsid w:val="00D00E36"/>
    <w:rsid w:val="00D00F17"/>
    <w:rsid w:val="00D01046"/>
    <w:rsid w:val="00D012AE"/>
    <w:rsid w:val="00D018A1"/>
    <w:rsid w:val="00D01B05"/>
    <w:rsid w:val="00D01C49"/>
    <w:rsid w:val="00D01FA7"/>
    <w:rsid w:val="00D020D0"/>
    <w:rsid w:val="00D026EE"/>
    <w:rsid w:val="00D027AC"/>
    <w:rsid w:val="00D02844"/>
    <w:rsid w:val="00D02890"/>
    <w:rsid w:val="00D02961"/>
    <w:rsid w:val="00D02A9A"/>
    <w:rsid w:val="00D02DD1"/>
    <w:rsid w:val="00D02E76"/>
    <w:rsid w:val="00D02F37"/>
    <w:rsid w:val="00D02F8E"/>
    <w:rsid w:val="00D03146"/>
    <w:rsid w:val="00D0316E"/>
    <w:rsid w:val="00D031C4"/>
    <w:rsid w:val="00D03241"/>
    <w:rsid w:val="00D03283"/>
    <w:rsid w:val="00D0349A"/>
    <w:rsid w:val="00D03519"/>
    <w:rsid w:val="00D03773"/>
    <w:rsid w:val="00D037C0"/>
    <w:rsid w:val="00D03839"/>
    <w:rsid w:val="00D03901"/>
    <w:rsid w:val="00D039BF"/>
    <w:rsid w:val="00D03B62"/>
    <w:rsid w:val="00D03C2C"/>
    <w:rsid w:val="00D03C4B"/>
    <w:rsid w:val="00D03CD3"/>
    <w:rsid w:val="00D04007"/>
    <w:rsid w:val="00D04097"/>
    <w:rsid w:val="00D04199"/>
    <w:rsid w:val="00D04214"/>
    <w:rsid w:val="00D04315"/>
    <w:rsid w:val="00D043D4"/>
    <w:rsid w:val="00D043F3"/>
    <w:rsid w:val="00D044FB"/>
    <w:rsid w:val="00D04549"/>
    <w:rsid w:val="00D045E6"/>
    <w:rsid w:val="00D04828"/>
    <w:rsid w:val="00D048B7"/>
    <w:rsid w:val="00D04CB6"/>
    <w:rsid w:val="00D04E30"/>
    <w:rsid w:val="00D04E6B"/>
    <w:rsid w:val="00D04FE1"/>
    <w:rsid w:val="00D0503C"/>
    <w:rsid w:val="00D0509F"/>
    <w:rsid w:val="00D050BB"/>
    <w:rsid w:val="00D053A5"/>
    <w:rsid w:val="00D054D6"/>
    <w:rsid w:val="00D05594"/>
    <w:rsid w:val="00D05989"/>
    <w:rsid w:val="00D059F6"/>
    <w:rsid w:val="00D05B7F"/>
    <w:rsid w:val="00D05E18"/>
    <w:rsid w:val="00D05E4F"/>
    <w:rsid w:val="00D05E75"/>
    <w:rsid w:val="00D05F6C"/>
    <w:rsid w:val="00D05FA3"/>
    <w:rsid w:val="00D06030"/>
    <w:rsid w:val="00D0604E"/>
    <w:rsid w:val="00D060CB"/>
    <w:rsid w:val="00D06126"/>
    <w:rsid w:val="00D061D4"/>
    <w:rsid w:val="00D06239"/>
    <w:rsid w:val="00D06432"/>
    <w:rsid w:val="00D066F0"/>
    <w:rsid w:val="00D06732"/>
    <w:rsid w:val="00D0673A"/>
    <w:rsid w:val="00D0674E"/>
    <w:rsid w:val="00D06945"/>
    <w:rsid w:val="00D06959"/>
    <w:rsid w:val="00D0697B"/>
    <w:rsid w:val="00D06B30"/>
    <w:rsid w:val="00D06B69"/>
    <w:rsid w:val="00D06C37"/>
    <w:rsid w:val="00D06D46"/>
    <w:rsid w:val="00D06E02"/>
    <w:rsid w:val="00D06E20"/>
    <w:rsid w:val="00D06F30"/>
    <w:rsid w:val="00D06F6D"/>
    <w:rsid w:val="00D070D5"/>
    <w:rsid w:val="00D07167"/>
    <w:rsid w:val="00D0735F"/>
    <w:rsid w:val="00D073DC"/>
    <w:rsid w:val="00D075CF"/>
    <w:rsid w:val="00D07683"/>
    <w:rsid w:val="00D07A66"/>
    <w:rsid w:val="00D07A81"/>
    <w:rsid w:val="00D07B27"/>
    <w:rsid w:val="00D07BA4"/>
    <w:rsid w:val="00D07C75"/>
    <w:rsid w:val="00D07E6B"/>
    <w:rsid w:val="00D07E98"/>
    <w:rsid w:val="00D1006D"/>
    <w:rsid w:val="00D100DF"/>
    <w:rsid w:val="00D101CD"/>
    <w:rsid w:val="00D1025E"/>
    <w:rsid w:val="00D1038D"/>
    <w:rsid w:val="00D105B1"/>
    <w:rsid w:val="00D105D0"/>
    <w:rsid w:val="00D105DA"/>
    <w:rsid w:val="00D10716"/>
    <w:rsid w:val="00D1078C"/>
    <w:rsid w:val="00D10797"/>
    <w:rsid w:val="00D1079E"/>
    <w:rsid w:val="00D10828"/>
    <w:rsid w:val="00D10A13"/>
    <w:rsid w:val="00D10B01"/>
    <w:rsid w:val="00D10B5D"/>
    <w:rsid w:val="00D10D26"/>
    <w:rsid w:val="00D10D3C"/>
    <w:rsid w:val="00D10DCD"/>
    <w:rsid w:val="00D10E55"/>
    <w:rsid w:val="00D10E59"/>
    <w:rsid w:val="00D11179"/>
    <w:rsid w:val="00D1129C"/>
    <w:rsid w:val="00D1139E"/>
    <w:rsid w:val="00D113B1"/>
    <w:rsid w:val="00D1143E"/>
    <w:rsid w:val="00D1145D"/>
    <w:rsid w:val="00D1148C"/>
    <w:rsid w:val="00D11597"/>
    <w:rsid w:val="00D1162D"/>
    <w:rsid w:val="00D116E0"/>
    <w:rsid w:val="00D11732"/>
    <w:rsid w:val="00D11788"/>
    <w:rsid w:val="00D1181C"/>
    <w:rsid w:val="00D11901"/>
    <w:rsid w:val="00D119B4"/>
    <w:rsid w:val="00D11BCC"/>
    <w:rsid w:val="00D11D93"/>
    <w:rsid w:val="00D11DBB"/>
    <w:rsid w:val="00D11DE5"/>
    <w:rsid w:val="00D11E46"/>
    <w:rsid w:val="00D11E4C"/>
    <w:rsid w:val="00D11F28"/>
    <w:rsid w:val="00D11FEE"/>
    <w:rsid w:val="00D121E5"/>
    <w:rsid w:val="00D123C8"/>
    <w:rsid w:val="00D124DC"/>
    <w:rsid w:val="00D12516"/>
    <w:rsid w:val="00D127FB"/>
    <w:rsid w:val="00D128AB"/>
    <w:rsid w:val="00D128DA"/>
    <w:rsid w:val="00D12A56"/>
    <w:rsid w:val="00D12A65"/>
    <w:rsid w:val="00D12AA6"/>
    <w:rsid w:val="00D12D26"/>
    <w:rsid w:val="00D12DB6"/>
    <w:rsid w:val="00D13023"/>
    <w:rsid w:val="00D132B8"/>
    <w:rsid w:val="00D1331A"/>
    <w:rsid w:val="00D1359C"/>
    <w:rsid w:val="00D13768"/>
    <w:rsid w:val="00D137B1"/>
    <w:rsid w:val="00D13922"/>
    <w:rsid w:val="00D13989"/>
    <w:rsid w:val="00D139EF"/>
    <w:rsid w:val="00D13AD4"/>
    <w:rsid w:val="00D13C54"/>
    <w:rsid w:val="00D13E19"/>
    <w:rsid w:val="00D13EBA"/>
    <w:rsid w:val="00D14086"/>
    <w:rsid w:val="00D1416C"/>
    <w:rsid w:val="00D1421B"/>
    <w:rsid w:val="00D143E5"/>
    <w:rsid w:val="00D144AD"/>
    <w:rsid w:val="00D147D5"/>
    <w:rsid w:val="00D147DD"/>
    <w:rsid w:val="00D14C78"/>
    <w:rsid w:val="00D14DDA"/>
    <w:rsid w:val="00D14F77"/>
    <w:rsid w:val="00D14FB7"/>
    <w:rsid w:val="00D150B1"/>
    <w:rsid w:val="00D15204"/>
    <w:rsid w:val="00D152C3"/>
    <w:rsid w:val="00D155A3"/>
    <w:rsid w:val="00D156F9"/>
    <w:rsid w:val="00D15817"/>
    <w:rsid w:val="00D15A39"/>
    <w:rsid w:val="00D15B2A"/>
    <w:rsid w:val="00D15BEC"/>
    <w:rsid w:val="00D15C00"/>
    <w:rsid w:val="00D15C59"/>
    <w:rsid w:val="00D15F58"/>
    <w:rsid w:val="00D15FA2"/>
    <w:rsid w:val="00D15FAA"/>
    <w:rsid w:val="00D15FB9"/>
    <w:rsid w:val="00D15FC0"/>
    <w:rsid w:val="00D1628B"/>
    <w:rsid w:val="00D1629E"/>
    <w:rsid w:val="00D16446"/>
    <w:rsid w:val="00D164D2"/>
    <w:rsid w:val="00D165AE"/>
    <w:rsid w:val="00D16919"/>
    <w:rsid w:val="00D16E54"/>
    <w:rsid w:val="00D16EA5"/>
    <w:rsid w:val="00D16F88"/>
    <w:rsid w:val="00D17165"/>
    <w:rsid w:val="00D17191"/>
    <w:rsid w:val="00D17240"/>
    <w:rsid w:val="00D1725B"/>
    <w:rsid w:val="00D1725F"/>
    <w:rsid w:val="00D17414"/>
    <w:rsid w:val="00D17443"/>
    <w:rsid w:val="00D175E4"/>
    <w:rsid w:val="00D175EE"/>
    <w:rsid w:val="00D1772D"/>
    <w:rsid w:val="00D17776"/>
    <w:rsid w:val="00D178F0"/>
    <w:rsid w:val="00D17944"/>
    <w:rsid w:val="00D179D9"/>
    <w:rsid w:val="00D179EA"/>
    <w:rsid w:val="00D17A1C"/>
    <w:rsid w:val="00D17AB5"/>
    <w:rsid w:val="00D17AC2"/>
    <w:rsid w:val="00D17B76"/>
    <w:rsid w:val="00D17CB4"/>
    <w:rsid w:val="00D17D2D"/>
    <w:rsid w:val="00D17D73"/>
    <w:rsid w:val="00D17DA0"/>
    <w:rsid w:val="00D20003"/>
    <w:rsid w:val="00D200A6"/>
    <w:rsid w:val="00D20194"/>
    <w:rsid w:val="00D201A4"/>
    <w:rsid w:val="00D201BF"/>
    <w:rsid w:val="00D20206"/>
    <w:rsid w:val="00D20407"/>
    <w:rsid w:val="00D2058B"/>
    <w:rsid w:val="00D2072A"/>
    <w:rsid w:val="00D207E4"/>
    <w:rsid w:val="00D2089D"/>
    <w:rsid w:val="00D20993"/>
    <w:rsid w:val="00D209D8"/>
    <w:rsid w:val="00D20C92"/>
    <w:rsid w:val="00D20CDB"/>
    <w:rsid w:val="00D20CE9"/>
    <w:rsid w:val="00D21040"/>
    <w:rsid w:val="00D210A7"/>
    <w:rsid w:val="00D210F7"/>
    <w:rsid w:val="00D211BE"/>
    <w:rsid w:val="00D213F2"/>
    <w:rsid w:val="00D2151A"/>
    <w:rsid w:val="00D21530"/>
    <w:rsid w:val="00D21783"/>
    <w:rsid w:val="00D218D0"/>
    <w:rsid w:val="00D21AA7"/>
    <w:rsid w:val="00D21AC8"/>
    <w:rsid w:val="00D21B0A"/>
    <w:rsid w:val="00D21B71"/>
    <w:rsid w:val="00D21CA6"/>
    <w:rsid w:val="00D21D25"/>
    <w:rsid w:val="00D21FAD"/>
    <w:rsid w:val="00D21FD0"/>
    <w:rsid w:val="00D22026"/>
    <w:rsid w:val="00D220DA"/>
    <w:rsid w:val="00D222AC"/>
    <w:rsid w:val="00D222F2"/>
    <w:rsid w:val="00D22304"/>
    <w:rsid w:val="00D22391"/>
    <w:rsid w:val="00D2239D"/>
    <w:rsid w:val="00D22486"/>
    <w:rsid w:val="00D2253D"/>
    <w:rsid w:val="00D22563"/>
    <w:rsid w:val="00D22596"/>
    <w:rsid w:val="00D227A2"/>
    <w:rsid w:val="00D22802"/>
    <w:rsid w:val="00D22812"/>
    <w:rsid w:val="00D2292D"/>
    <w:rsid w:val="00D2293F"/>
    <w:rsid w:val="00D22A40"/>
    <w:rsid w:val="00D22ABD"/>
    <w:rsid w:val="00D22AD1"/>
    <w:rsid w:val="00D22B52"/>
    <w:rsid w:val="00D22B62"/>
    <w:rsid w:val="00D22CA2"/>
    <w:rsid w:val="00D22CA6"/>
    <w:rsid w:val="00D22DC3"/>
    <w:rsid w:val="00D22E13"/>
    <w:rsid w:val="00D22EF0"/>
    <w:rsid w:val="00D23161"/>
    <w:rsid w:val="00D2317A"/>
    <w:rsid w:val="00D23367"/>
    <w:rsid w:val="00D233A6"/>
    <w:rsid w:val="00D233AE"/>
    <w:rsid w:val="00D23487"/>
    <w:rsid w:val="00D23795"/>
    <w:rsid w:val="00D23A3A"/>
    <w:rsid w:val="00D23D27"/>
    <w:rsid w:val="00D23D65"/>
    <w:rsid w:val="00D23DBB"/>
    <w:rsid w:val="00D23E0E"/>
    <w:rsid w:val="00D23E3C"/>
    <w:rsid w:val="00D2403C"/>
    <w:rsid w:val="00D24077"/>
    <w:rsid w:val="00D2420E"/>
    <w:rsid w:val="00D242BB"/>
    <w:rsid w:val="00D24346"/>
    <w:rsid w:val="00D2440D"/>
    <w:rsid w:val="00D2459D"/>
    <w:rsid w:val="00D245AD"/>
    <w:rsid w:val="00D24656"/>
    <w:rsid w:val="00D24658"/>
    <w:rsid w:val="00D247FF"/>
    <w:rsid w:val="00D248FD"/>
    <w:rsid w:val="00D24C96"/>
    <w:rsid w:val="00D24DB3"/>
    <w:rsid w:val="00D24F4E"/>
    <w:rsid w:val="00D24F6F"/>
    <w:rsid w:val="00D24FB4"/>
    <w:rsid w:val="00D2503A"/>
    <w:rsid w:val="00D25042"/>
    <w:rsid w:val="00D25055"/>
    <w:rsid w:val="00D2510F"/>
    <w:rsid w:val="00D25187"/>
    <w:rsid w:val="00D252AB"/>
    <w:rsid w:val="00D252AF"/>
    <w:rsid w:val="00D25312"/>
    <w:rsid w:val="00D2532C"/>
    <w:rsid w:val="00D25347"/>
    <w:rsid w:val="00D253C5"/>
    <w:rsid w:val="00D2543B"/>
    <w:rsid w:val="00D254FF"/>
    <w:rsid w:val="00D25552"/>
    <w:rsid w:val="00D25623"/>
    <w:rsid w:val="00D25689"/>
    <w:rsid w:val="00D25A7F"/>
    <w:rsid w:val="00D25C94"/>
    <w:rsid w:val="00D25CE2"/>
    <w:rsid w:val="00D25DA3"/>
    <w:rsid w:val="00D25DBC"/>
    <w:rsid w:val="00D25EE8"/>
    <w:rsid w:val="00D25EF1"/>
    <w:rsid w:val="00D25EFE"/>
    <w:rsid w:val="00D260B2"/>
    <w:rsid w:val="00D2610B"/>
    <w:rsid w:val="00D26133"/>
    <w:rsid w:val="00D263A2"/>
    <w:rsid w:val="00D263F3"/>
    <w:rsid w:val="00D26441"/>
    <w:rsid w:val="00D2645E"/>
    <w:rsid w:val="00D26475"/>
    <w:rsid w:val="00D264C0"/>
    <w:rsid w:val="00D26569"/>
    <w:rsid w:val="00D26684"/>
    <w:rsid w:val="00D2671E"/>
    <w:rsid w:val="00D26773"/>
    <w:rsid w:val="00D2687F"/>
    <w:rsid w:val="00D268D1"/>
    <w:rsid w:val="00D268FE"/>
    <w:rsid w:val="00D26998"/>
    <w:rsid w:val="00D26CD0"/>
    <w:rsid w:val="00D26CDF"/>
    <w:rsid w:val="00D26F91"/>
    <w:rsid w:val="00D26FEE"/>
    <w:rsid w:val="00D270EF"/>
    <w:rsid w:val="00D27149"/>
    <w:rsid w:val="00D27168"/>
    <w:rsid w:val="00D271DF"/>
    <w:rsid w:val="00D2722B"/>
    <w:rsid w:val="00D2726A"/>
    <w:rsid w:val="00D27320"/>
    <w:rsid w:val="00D27476"/>
    <w:rsid w:val="00D27829"/>
    <w:rsid w:val="00D27843"/>
    <w:rsid w:val="00D27857"/>
    <w:rsid w:val="00D27879"/>
    <w:rsid w:val="00D278CA"/>
    <w:rsid w:val="00D278DF"/>
    <w:rsid w:val="00D279C5"/>
    <w:rsid w:val="00D27B16"/>
    <w:rsid w:val="00D27E02"/>
    <w:rsid w:val="00D27E77"/>
    <w:rsid w:val="00D27F56"/>
    <w:rsid w:val="00D30075"/>
    <w:rsid w:val="00D30157"/>
    <w:rsid w:val="00D30267"/>
    <w:rsid w:val="00D3035C"/>
    <w:rsid w:val="00D30684"/>
    <w:rsid w:val="00D30695"/>
    <w:rsid w:val="00D306BF"/>
    <w:rsid w:val="00D309D7"/>
    <w:rsid w:val="00D30A43"/>
    <w:rsid w:val="00D30ABD"/>
    <w:rsid w:val="00D30CD5"/>
    <w:rsid w:val="00D30E8B"/>
    <w:rsid w:val="00D30EA7"/>
    <w:rsid w:val="00D30EE1"/>
    <w:rsid w:val="00D30F9D"/>
    <w:rsid w:val="00D30FF0"/>
    <w:rsid w:val="00D311BD"/>
    <w:rsid w:val="00D31282"/>
    <w:rsid w:val="00D312FD"/>
    <w:rsid w:val="00D3133C"/>
    <w:rsid w:val="00D314D6"/>
    <w:rsid w:val="00D315D1"/>
    <w:rsid w:val="00D31658"/>
    <w:rsid w:val="00D3192C"/>
    <w:rsid w:val="00D319C1"/>
    <w:rsid w:val="00D319FB"/>
    <w:rsid w:val="00D31A1A"/>
    <w:rsid w:val="00D31C31"/>
    <w:rsid w:val="00D31D2E"/>
    <w:rsid w:val="00D31D69"/>
    <w:rsid w:val="00D31E4A"/>
    <w:rsid w:val="00D31EB8"/>
    <w:rsid w:val="00D31ECB"/>
    <w:rsid w:val="00D31F18"/>
    <w:rsid w:val="00D31F9B"/>
    <w:rsid w:val="00D321C0"/>
    <w:rsid w:val="00D321E8"/>
    <w:rsid w:val="00D3230F"/>
    <w:rsid w:val="00D324DC"/>
    <w:rsid w:val="00D3255C"/>
    <w:rsid w:val="00D3259D"/>
    <w:rsid w:val="00D32601"/>
    <w:rsid w:val="00D32796"/>
    <w:rsid w:val="00D32895"/>
    <w:rsid w:val="00D3289D"/>
    <w:rsid w:val="00D3289F"/>
    <w:rsid w:val="00D32908"/>
    <w:rsid w:val="00D3290E"/>
    <w:rsid w:val="00D3297E"/>
    <w:rsid w:val="00D32B7F"/>
    <w:rsid w:val="00D32BF7"/>
    <w:rsid w:val="00D32C1F"/>
    <w:rsid w:val="00D32E4B"/>
    <w:rsid w:val="00D32E78"/>
    <w:rsid w:val="00D32FA0"/>
    <w:rsid w:val="00D32FD2"/>
    <w:rsid w:val="00D3316D"/>
    <w:rsid w:val="00D33192"/>
    <w:rsid w:val="00D331C5"/>
    <w:rsid w:val="00D3320B"/>
    <w:rsid w:val="00D3326B"/>
    <w:rsid w:val="00D33312"/>
    <w:rsid w:val="00D33313"/>
    <w:rsid w:val="00D33549"/>
    <w:rsid w:val="00D3359E"/>
    <w:rsid w:val="00D335C4"/>
    <w:rsid w:val="00D3363F"/>
    <w:rsid w:val="00D337ED"/>
    <w:rsid w:val="00D3391F"/>
    <w:rsid w:val="00D33BB6"/>
    <w:rsid w:val="00D33F0F"/>
    <w:rsid w:val="00D34062"/>
    <w:rsid w:val="00D34224"/>
    <w:rsid w:val="00D34236"/>
    <w:rsid w:val="00D34286"/>
    <w:rsid w:val="00D34311"/>
    <w:rsid w:val="00D3440D"/>
    <w:rsid w:val="00D3449A"/>
    <w:rsid w:val="00D34737"/>
    <w:rsid w:val="00D349D0"/>
    <w:rsid w:val="00D34A86"/>
    <w:rsid w:val="00D34B5C"/>
    <w:rsid w:val="00D34BDB"/>
    <w:rsid w:val="00D34BFF"/>
    <w:rsid w:val="00D34CD7"/>
    <w:rsid w:val="00D34D69"/>
    <w:rsid w:val="00D34F20"/>
    <w:rsid w:val="00D34F2E"/>
    <w:rsid w:val="00D34FB2"/>
    <w:rsid w:val="00D34FFD"/>
    <w:rsid w:val="00D35098"/>
    <w:rsid w:val="00D350BF"/>
    <w:rsid w:val="00D35259"/>
    <w:rsid w:val="00D3529E"/>
    <w:rsid w:val="00D352FF"/>
    <w:rsid w:val="00D3530D"/>
    <w:rsid w:val="00D3542C"/>
    <w:rsid w:val="00D35554"/>
    <w:rsid w:val="00D355BA"/>
    <w:rsid w:val="00D3569A"/>
    <w:rsid w:val="00D357CA"/>
    <w:rsid w:val="00D35851"/>
    <w:rsid w:val="00D3588C"/>
    <w:rsid w:val="00D35B0B"/>
    <w:rsid w:val="00D35D35"/>
    <w:rsid w:val="00D35DF4"/>
    <w:rsid w:val="00D35E0A"/>
    <w:rsid w:val="00D3607C"/>
    <w:rsid w:val="00D360B2"/>
    <w:rsid w:val="00D361B9"/>
    <w:rsid w:val="00D36362"/>
    <w:rsid w:val="00D363EB"/>
    <w:rsid w:val="00D36565"/>
    <w:rsid w:val="00D365BC"/>
    <w:rsid w:val="00D3695A"/>
    <w:rsid w:val="00D36AAD"/>
    <w:rsid w:val="00D36CE3"/>
    <w:rsid w:val="00D36D57"/>
    <w:rsid w:val="00D36E13"/>
    <w:rsid w:val="00D36F99"/>
    <w:rsid w:val="00D371EF"/>
    <w:rsid w:val="00D37263"/>
    <w:rsid w:val="00D37266"/>
    <w:rsid w:val="00D372FE"/>
    <w:rsid w:val="00D37405"/>
    <w:rsid w:val="00D3756B"/>
    <w:rsid w:val="00D376DB"/>
    <w:rsid w:val="00D377C8"/>
    <w:rsid w:val="00D3783A"/>
    <w:rsid w:val="00D3791E"/>
    <w:rsid w:val="00D37A8F"/>
    <w:rsid w:val="00D37D48"/>
    <w:rsid w:val="00D37E9E"/>
    <w:rsid w:val="00D37EBC"/>
    <w:rsid w:val="00D37F6C"/>
    <w:rsid w:val="00D37FB0"/>
    <w:rsid w:val="00D4003E"/>
    <w:rsid w:val="00D400A2"/>
    <w:rsid w:val="00D401BE"/>
    <w:rsid w:val="00D401D2"/>
    <w:rsid w:val="00D40226"/>
    <w:rsid w:val="00D40243"/>
    <w:rsid w:val="00D40483"/>
    <w:rsid w:val="00D40485"/>
    <w:rsid w:val="00D40564"/>
    <w:rsid w:val="00D40652"/>
    <w:rsid w:val="00D40670"/>
    <w:rsid w:val="00D40688"/>
    <w:rsid w:val="00D406C5"/>
    <w:rsid w:val="00D40742"/>
    <w:rsid w:val="00D40856"/>
    <w:rsid w:val="00D40B47"/>
    <w:rsid w:val="00D40B8A"/>
    <w:rsid w:val="00D40BAD"/>
    <w:rsid w:val="00D40C58"/>
    <w:rsid w:val="00D40C84"/>
    <w:rsid w:val="00D40CD1"/>
    <w:rsid w:val="00D40D6D"/>
    <w:rsid w:val="00D40E3F"/>
    <w:rsid w:val="00D40EC7"/>
    <w:rsid w:val="00D41052"/>
    <w:rsid w:val="00D412C7"/>
    <w:rsid w:val="00D4141B"/>
    <w:rsid w:val="00D4151C"/>
    <w:rsid w:val="00D41838"/>
    <w:rsid w:val="00D41974"/>
    <w:rsid w:val="00D41A35"/>
    <w:rsid w:val="00D41A9E"/>
    <w:rsid w:val="00D41AFA"/>
    <w:rsid w:val="00D41B21"/>
    <w:rsid w:val="00D41B3D"/>
    <w:rsid w:val="00D41B4D"/>
    <w:rsid w:val="00D41BC2"/>
    <w:rsid w:val="00D41C50"/>
    <w:rsid w:val="00D41D02"/>
    <w:rsid w:val="00D41F0A"/>
    <w:rsid w:val="00D42019"/>
    <w:rsid w:val="00D421D3"/>
    <w:rsid w:val="00D4220B"/>
    <w:rsid w:val="00D4225F"/>
    <w:rsid w:val="00D4232C"/>
    <w:rsid w:val="00D425BC"/>
    <w:rsid w:val="00D425EF"/>
    <w:rsid w:val="00D42606"/>
    <w:rsid w:val="00D42649"/>
    <w:rsid w:val="00D42663"/>
    <w:rsid w:val="00D426EE"/>
    <w:rsid w:val="00D4275F"/>
    <w:rsid w:val="00D427C0"/>
    <w:rsid w:val="00D427D9"/>
    <w:rsid w:val="00D42861"/>
    <w:rsid w:val="00D42938"/>
    <w:rsid w:val="00D429EF"/>
    <w:rsid w:val="00D42A28"/>
    <w:rsid w:val="00D42F29"/>
    <w:rsid w:val="00D42F49"/>
    <w:rsid w:val="00D42F94"/>
    <w:rsid w:val="00D43065"/>
    <w:rsid w:val="00D43137"/>
    <w:rsid w:val="00D4323A"/>
    <w:rsid w:val="00D4358C"/>
    <w:rsid w:val="00D436C3"/>
    <w:rsid w:val="00D43718"/>
    <w:rsid w:val="00D43831"/>
    <w:rsid w:val="00D4385B"/>
    <w:rsid w:val="00D438C6"/>
    <w:rsid w:val="00D43BCD"/>
    <w:rsid w:val="00D43CA5"/>
    <w:rsid w:val="00D43D67"/>
    <w:rsid w:val="00D43E5A"/>
    <w:rsid w:val="00D43EA5"/>
    <w:rsid w:val="00D43EDC"/>
    <w:rsid w:val="00D4408F"/>
    <w:rsid w:val="00D440A2"/>
    <w:rsid w:val="00D44211"/>
    <w:rsid w:val="00D44228"/>
    <w:rsid w:val="00D44251"/>
    <w:rsid w:val="00D442DD"/>
    <w:rsid w:val="00D444ED"/>
    <w:rsid w:val="00D4453D"/>
    <w:rsid w:val="00D4461D"/>
    <w:rsid w:val="00D4462B"/>
    <w:rsid w:val="00D44652"/>
    <w:rsid w:val="00D4465B"/>
    <w:rsid w:val="00D447A6"/>
    <w:rsid w:val="00D4485E"/>
    <w:rsid w:val="00D44944"/>
    <w:rsid w:val="00D449D5"/>
    <w:rsid w:val="00D44AA3"/>
    <w:rsid w:val="00D44B75"/>
    <w:rsid w:val="00D44BC2"/>
    <w:rsid w:val="00D44CFD"/>
    <w:rsid w:val="00D44D92"/>
    <w:rsid w:val="00D44F17"/>
    <w:rsid w:val="00D44FAB"/>
    <w:rsid w:val="00D4501C"/>
    <w:rsid w:val="00D45055"/>
    <w:rsid w:val="00D450B8"/>
    <w:rsid w:val="00D450F4"/>
    <w:rsid w:val="00D45150"/>
    <w:rsid w:val="00D45211"/>
    <w:rsid w:val="00D452AD"/>
    <w:rsid w:val="00D45344"/>
    <w:rsid w:val="00D4539C"/>
    <w:rsid w:val="00D453B9"/>
    <w:rsid w:val="00D45595"/>
    <w:rsid w:val="00D45AD0"/>
    <w:rsid w:val="00D45CDC"/>
    <w:rsid w:val="00D45D86"/>
    <w:rsid w:val="00D45F1F"/>
    <w:rsid w:val="00D45F2E"/>
    <w:rsid w:val="00D45F94"/>
    <w:rsid w:val="00D45FDD"/>
    <w:rsid w:val="00D46027"/>
    <w:rsid w:val="00D461B2"/>
    <w:rsid w:val="00D461C2"/>
    <w:rsid w:val="00D461F0"/>
    <w:rsid w:val="00D4628F"/>
    <w:rsid w:val="00D46382"/>
    <w:rsid w:val="00D463E6"/>
    <w:rsid w:val="00D4650D"/>
    <w:rsid w:val="00D4652A"/>
    <w:rsid w:val="00D468B7"/>
    <w:rsid w:val="00D468EF"/>
    <w:rsid w:val="00D46982"/>
    <w:rsid w:val="00D469BC"/>
    <w:rsid w:val="00D46C90"/>
    <w:rsid w:val="00D46CC1"/>
    <w:rsid w:val="00D46D8F"/>
    <w:rsid w:val="00D46D96"/>
    <w:rsid w:val="00D46E0B"/>
    <w:rsid w:val="00D4703E"/>
    <w:rsid w:val="00D47049"/>
    <w:rsid w:val="00D4715C"/>
    <w:rsid w:val="00D471E5"/>
    <w:rsid w:val="00D47212"/>
    <w:rsid w:val="00D472C2"/>
    <w:rsid w:val="00D4737D"/>
    <w:rsid w:val="00D473A7"/>
    <w:rsid w:val="00D473BB"/>
    <w:rsid w:val="00D4750C"/>
    <w:rsid w:val="00D4752C"/>
    <w:rsid w:val="00D47574"/>
    <w:rsid w:val="00D4761F"/>
    <w:rsid w:val="00D47744"/>
    <w:rsid w:val="00D47823"/>
    <w:rsid w:val="00D478D4"/>
    <w:rsid w:val="00D47928"/>
    <w:rsid w:val="00D47DBB"/>
    <w:rsid w:val="00D5041C"/>
    <w:rsid w:val="00D5050D"/>
    <w:rsid w:val="00D5058E"/>
    <w:rsid w:val="00D505FF"/>
    <w:rsid w:val="00D50629"/>
    <w:rsid w:val="00D50648"/>
    <w:rsid w:val="00D507CC"/>
    <w:rsid w:val="00D50822"/>
    <w:rsid w:val="00D50826"/>
    <w:rsid w:val="00D50839"/>
    <w:rsid w:val="00D5085F"/>
    <w:rsid w:val="00D50A7C"/>
    <w:rsid w:val="00D50CA5"/>
    <w:rsid w:val="00D50CE0"/>
    <w:rsid w:val="00D50D35"/>
    <w:rsid w:val="00D50DE4"/>
    <w:rsid w:val="00D50E79"/>
    <w:rsid w:val="00D50EB0"/>
    <w:rsid w:val="00D50F00"/>
    <w:rsid w:val="00D50F31"/>
    <w:rsid w:val="00D50FC4"/>
    <w:rsid w:val="00D5104C"/>
    <w:rsid w:val="00D5148D"/>
    <w:rsid w:val="00D51540"/>
    <w:rsid w:val="00D5157D"/>
    <w:rsid w:val="00D515D2"/>
    <w:rsid w:val="00D5171C"/>
    <w:rsid w:val="00D517AA"/>
    <w:rsid w:val="00D519F7"/>
    <w:rsid w:val="00D51DE6"/>
    <w:rsid w:val="00D51DED"/>
    <w:rsid w:val="00D51EFA"/>
    <w:rsid w:val="00D51F1D"/>
    <w:rsid w:val="00D52267"/>
    <w:rsid w:val="00D52280"/>
    <w:rsid w:val="00D523AF"/>
    <w:rsid w:val="00D52859"/>
    <w:rsid w:val="00D52928"/>
    <w:rsid w:val="00D52A21"/>
    <w:rsid w:val="00D52CCC"/>
    <w:rsid w:val="00D52DF3"/>
    <w:rsid w:val="00D52E17"/>
    <w:rsid w:val="00D52E60"/>
    <w:rsid w:val="00D52F5B"/>
    <w:rsid w:val="00D52F81"/>
    <w:rsid w:val="00D53043"/>
    <w:rsid w:val="00D53230"/>
    <w:rsid w:val="00D532BD"/>
    <w:rsid w:val="00D5334B"/>
    <w:rsid w:val="00D53362"/>
    <w:rsid w:val="00D53631"/>
    <w:rsid w:val="00D5366D"/>
    <w:rsid w:val="00D53682"/>
    <w:rsid w:val="00D537A5"/>
    <w:rsid w:val="00D5380C"/>
    <w:rsid w:val="00D53C63"/>
    <w:rsid w:val="00D53C78"/>
    <w:rsid w:val="00D53D05"/>
    <w:rsid w:val="00D53D19"/>
    <w:rsid w:val="00D53E5A"/>
    <w:rsid w:val="00D5401D"/>
    <w:rsid w:val="00D5416E"/>
    <w:rsid w:val="00D541CD"/>
    <w:rsid w:val="00D54245"/>
    <w:rsid w:val="00D54385"/>
    <w:rsid w:val="00D54539"/>
    <w:rsid w:val="00D5485B"/>
    <w:rsid w:val="00D54860"/>
    <w:rsid w:val="00D54893"/>
    <w:rsid w:val="00D54A51"/>
    <w:rsid w:val="00D54D0F"/>
    <w:rsid w:val="00D54DDE"/>
    <w:rsid w:val="00D5517F"/>
    <w:rsid w:val="00D5563A"/>
    <w:rsid w:val="00D556E3"/>
    <w:rsid w:val="00D557AC"/>
    <w:rsid w:val="00D557BF"/>
    <w:rsid w:val="00D55902"/>
    <w:rsid w:val="00D55934"/>
    <w:rsid w:val="00D55994"/>
    <w:rsid w:val="00D55AEE"/>
    <w:rsid w:val="00D55BD7"/>
    <w:rsid w:val="00D55C9D"/>
    <w:rsid w:val="00D55EA7"/>
    <w:rsid w:val="00D561D4"/>
    <w:rsid w:val="00D561D7"/>
    <w:rsid w:val="00D5647D"/>
    <w:rsid w:val="00D564C6"/>
    <w:rsid w:val="00D56526"/>
    <w:rsid w:val="00D56573"/>
    <w:rsid w:val="00D565BC"/>
    <w:rsid w:val="00D56683"/>
    <w:rsid w:val="00D56742"/>
    <w:rsid w:val="00D56819"/>
    <w:rsid w:val="00D569E5"/>
    <w:rsid w:val="00D56B32"/>
    <w:rsid w:val="00D56B6C"/>
    <w:rsid w:val="00D56CBE"/>
    <w:rsid w:val="00D56CC3"/>
    <w:rsid w:val="00D56DE6"/>
    <w:rsid w:val="00D56FBA"/>
    <w:rsid w:val="00D570AA"/>
    <w:rsid w:val="00D570B2"/>
    <w:rsid w:val="00D57144"/>
    <w:rsid w:val="00D571D8"/>
    <w:rsid w:val="00D57340"/>
    <w:rsid w:val="00D57575"/>
    <w:rsid w:val="00D5765D"/>
    <w:rsid w:val="00D57708"/>
    <w:rsid w:val="00D57810"/>
    <w:rsid w:val="00D57826"/>
    <w:rsid w:val="00D5782B"/>
    <w:rsid w:val="00D57965"/>
    <w:rsid w:val="00D57A19"/>
    <w:rsid w:val="00D57A31"/>
    <w:rsid w:val="00D57CE6"/>
    <w:rsid w:val="00D57E70"/>
    <w:rsid w:val="00D57F4A"/>
    <w:rsid w:val="00D57F61"/>
    <w:rsid w:val="00D60429"/>
    <w:rsid w:val="00D6044D"/>
    <w:rsid w:val="00D60684"/>
    <w:rsid w:val="00D6077F"/>
    <w:rsid w:val="00D60823"/>
    <w:rsid w:val="00D6082A"/>
    <w:rsid w:val="00D60887"/>
    <w:rsid w:val="00D609A3"/>
    <w:rsid w:val="00D609D8"/>
    <w:rsid w:val="00D60A8C"/>
    <w:rsid w:val="00D60B35"/>
    <w:rsid w:val="00D60B4E"/>
    <w:rsid w:val="00D60C58"/>
    <w:rsid w:val="00D60CAC"/>
    <w:rsid w:val="00D60DDB"/>
    <w:rsid w:val="00D60ED7"/>
    <w:rsid w:val="00D60F59"/>
    <w:rsid w:val="00D6108C"/>
    <w:rsid w:val="00D610AE"/>
    <w:rsid w:val="00D6112B"/>
    <w:rsid w:val="00D6118F"/>
    <w:rsid w:val="00D611FC"/>
    <w:rsid w:val="00D61258"/>
    <w:rsid w:val="00D61417"/>
    <w:rsid w:val="00D614CD"/>
    <w:rsid w:val="00D614FE"/>
    <w:rsid w:val="00D6158B"/>
    <w:rsid w:val="00D615EE"/>
    <w:rsid w:val="00D616F1"/>
    <w:rsid w:val="00D61803"/>
    <w:rsid w:val="00D61979"/>
    <w:rsid w:val="00D61987"/>
    <w:rsid w:val="00D61AEC"/>
    <w:rsid w:val="00D61B92"/>
    <w:rsid w:val="00D61C06"/>
    <w:rsid w:val="00D61EBE"/>
    <w:rsid w:val="00D61F97"/>
    <w:rsid w:val="00D620CC"/>
    <w:rsid w:val="00D6211B"/>
    <w:rsid w:val="00D622FA"/>
    <w:rsid w:val="00D623D2"/>
    <w:rsid w:val="00D62489"/>
    <w:rsid w:val="00D6251A"/>
    <w:rsid w:val="00D62590"/>
    <w:rsid w:val="00D625CC"/>
    <w:rsid w:val="00D62862"/>
    <w:rsid w:val="00D6296D"/>
    <w:rsid w:val="00D62995"/>
    <w:rsid w:val="00D629B4"/>
    <w:rsid w:val="00D62A0C"/>
    <w:rsid w:val="00D62AD1"/>
    <w:rsid w:val="00D62B54"/>
    <w:rsid w:val="00D62D2B"/>
    <w:rsid w:val="00D63026"/>
    <w:rsid w:val="00D63075"/>
    <w:rsid w:val="00D6318E"/>
    <w:rsid w:val="00D632BE"/>
    <w:rsid w:val="00D632E3"/>
    <w:rsid w:val="00D6333B"/>
    <w:rsid w:val="00D6342D"/>
    <w:rsid w:val="00D6373D"/>
    <w:rsid w:val="00D63770"/>
    <w:rsid w:val="00D6397A"/>
    <w:rsid w:val="00D63A9F"/>
    <w:rsid w:val="00D63C00"/>
    <w:rsid w:val="00D63C04"/>
    <w:rsid w:val="00D63C3E"/>
    <w:rsid w:val="00D63D1C"/>
    <w:rsid w:val="00D63D87"/>
    <w:rsid w:val="00D63D8B"/>
    <w:rsid w:val="00D63E6E"/>
    <w:rsid w:val="00D63E87"/>
    <w:rsid w:val="00D640BA"/>
    <w:rsid w:val="00D642F5"/>
    <w:rsid w:val="00D643E4"/>
    <w:rsid w:val="00D644E0"/>
    <w:rsid w:val="00D6457C"/>
    <w:rsid w:val="00D645ED"/>
    <w:rsid w:val="00D645F7"/>
    <w:rsid w:val="00D646F4"/>
    <w:rsid w:val="00D64897"/>
    <w:rsid w:val="00D6493B"/>
    <w:rsid w:val="00D64AE0"/>
    <w:rsid w:val="00D64CA7"/>
    <w:rsid w:val="00D64F77"/>
    <w:rsid w:val="00D64F79"/>
    <w:rsid w:val="00D64F95"/>
    <w:rsid w:val="00D6509E"/>
    <w:rsid w:val="00D65171"/>
    <w:rsid w:val="00D65211"/>
    <w:rsid w:val="00D652DE"/>
    <w:rsid w:val="00D65324"/>
    <w:rsid w:val="00D6547C"/>
    <w:rsid w:val="00D6558B"/>
    <w:rsid w:val="00D65591"/>
    <w:rsid w:val="00D655CF"/>
    <w:rsid w:val="00D65802"/>
    <w:rsid w:val="00D658A7"/>
    <w:rsid w:val="00D65991"/>
    <w:rsid w:val="00D659D3"/>
    <w:rsid w:val="00D65AE2"/>
    <w:rsid w:val="00D65B0F"/>
    <w:rsid w:val="00D65B13"/>
    <w:rsid w:val="00D65B38"/>
    <w:rsid w:val="00D65B4B"/>
    <w:rsid w:val="00D65C27"/>
    <w:rsid w:val="00D65CBA"/>
    <w:rsid w:val="00D65E1B"/>
    <w:rsid w:val="00D65E3A"/>
    <w:rsid w:val="00D65F62"/>
    <w:rsid w:val="00D65FF4"/>
    <w:rsid w:val="00D661C9"/>
    <w:rsid w:val="00D662AA"/>
    <w:rsid w:val="00D662F0"/>
    <w:rsid w:val="00D6636C"/>
    <w:rsid w:val="00D6649A"/>
    <w:rsid w:val="00D664B6"/>
    <w:rsid w:val="00D66518"/>
    <w:rsid w:val="00D665B2"/>
    <w:rsid w:val="00D666DA"/>
    <w:rsid w:val="00D667E0"/>
    <w:rsid w:val="00D667E3"/>
    <w:rsid w:val="00D668BF"/>
    <w:rsid w:val="00D669C6"/>
    <w:rsid w:val="00D66BA7"/>
    <w:rsid w:val="00D66CE5"/>
    <w:rsid w:val="00D66CF0"/>
    <w:rsid w:val="00D66E97"/>
    <w:rsid w:val="00D66F13"/>
    <w:rsid w:val="00D66F44"/>
    <w:rsid w:val="00D6700A"/>
    <w:rsid w:val="00D670AE"/>
    <w:rsid w:val="00D670EC"/>
    <w:rsid w:val="00D6716F"/>
    <w:rsid w:val="00D672ED"/>
    <w:rsid w:val="00D67577"/>
    <w:rsid w:val="00D67579"/>
    <w:rsid w:val="00D676F0"/>
    <w:rsid w:val="00D6771D"/>
    <w:rsid w:val="00D677B4"/>
    <w:rsid w:val="00D67886"/>
    <w:rsid w:val="00D67AFF"/>
    <w:rsid w:val="00D67C27"/>
    <w:rsid w:val="00D67D24"/>
    <w:rsid w:val="00D67E9A"/>
    <w:rsid w:val="00D67EBD"/>
    <w:rsid w:val="00D67EF4"/>
    <w:rsid w:val="00D67F00"/>
    <w:rsid w:val="00D67F0F"/>
    <w:rsid w:val="00D67F76"/>
    <w:rsid w:val="00D7006F"/>
    <w:rsid w:val="00D70085"/>
    <w:rsid w:val="00D702F5"/>
    <w:rsid w:val="00D703AA"/>
    <w:rsid w:val="00D703E7"/>
    <w:rsid w:val="00D70587"/>
    <w:rsid w:val="00D706F6"/>
    <w:rsid w:val="00D7078B"/>
    <w:rsid w:val="00D70824"/>
    <w:rsid w:val="00D7086B"/>
    <w:rsid w:val="00D708FF"/>
    <w:rsid w:val="00D70943"/>
    <w:rsid w:val="00D7095B"/>
    <w:rsid w:val="00D70BF5"/>
    <w:rsid w:val="00D70CC4"/>
    <w:rsid w:val="00D70CF9"/>
    <w:rsid w:val="00D70E90"/>
    <w:rsid w:val="00D70EF3"/>
    <w:rsid w:val="00D70F1F"/>
    <w:rsid w:val="00D70FA0"/>
    <w:rsid w:val="00D70FEF"/>
    <w:rsid w:val="00D71063"/>
    <w:rsid w:val="00D71190"/>
    <w:rsid w:val="00D711CD"/>
    <w:rsid w:val="00D71243"/>
    <w:rsid w:val="00D7156C"/>
    <w:rsid w:val="00D71961"/>
    <w:rsid w:val="00D719CD"/>
    <w:rsid w:val="00D719F2"/>
    <w:rsid w:val="00D71ADD"/>
    <w:rsid w:val="00D71AE0"/>
    <w:rsid w:val="00D71B2A"/>
    <w:rsid w:val="00D71B32"/>
    <w:rsid w:val="00D71C6E"/>
    <w:rsid w:val="00D71D42"/>
    <w:rsid w:val="00D71D4A"/>
    <w:rsid w:val="00D7209F"/>
    <w:rsid w:val="00D7215A"/>
    <w:rsid w:val="00D721C1"/>
    <w:rsid w:val="00D721F5"/>
    <w:rsid w:val="00D72403"/>
    <w:rsid w:val="00D72509"/>
    <w:rsid w:val="00D72511"/>
    <w:rsid w:val="00D7251D"/>
    <w:rsid w:val="00D727A4"/>
    <w:rsid w:val="00D728FD"/>
    <w:rsid w:val="00D7291B"/>
    <w:rsid w:val="00D72994"/>
    <w:rsid w:val="00D72B67"/>
    <w:rsid w:val="00D72CF5"/>
    <w:rsid w:val="00D72D09"/>
    <w:rsid w:val="00D72D6F"/>
    <w:rsid w:val="00D72DD8"/>
    <w:rsid w:val="00D72EE2"/>
    <w:rsid w:val="00D730D4"/>
    <w:rsid w:val="00D730EE"/>
    <w:rsid w:val="00D7316E"/>
    <w:rsid w:val="00D73194"/>
    <w:rsid w:val="00D731A7"/>
    <w:rsid w:val="00D732CC"/>
    <w:rsid w:val="00D732EE"/>
    <w:rsid w:val="00D73316"/>
    <w:rsid w:val="00D7332E"/>
    <w:rsid w:val="00D7336B"/>
    <w:rsid w:val="00D7340D"/>
    <w:rsid w:val="00D73547"/>
    <w:rsid w:val="00D735D8"/>
    <w:rsid w:val="00D735FC"/>
    <w:rsid w:val="00D73668"/>
    <w:rsid w:val="00D736D3"/>
    <w:rsid w:val="00D737BB"/>
    <w:rsid w:val="00D73948"/>
    <w:rsid w:val="00D7395D"/>
    <w:rsid w:val="00D73A17"/>
    <w:rsid w:val="00D73A40"/>
    <w:rsid w:val="00D73A95"/>
    <w:rsid w:val="00D73AB3"/>
    <w:rsid w:val="00D73B4B"/>
    <w:rsid w:val="00D73B9F"/>
    <w:rsid w:val="00D73D19"/>
    <w:rsid w:val="00D73E45"/>
    <w:rsid w:val="00D73E54"/>
    <w:rsid w:val="00D73E63"/>
    <w:rsid w:val="00D73F11"/>
    <w:rsid w:val="00D73FEC"/>
    <w:rsid w:val="00D74169"/>
    <w:rsid w:val="00D741AB"/>
    <w:rsid w:val="00D7422B"/>
    <w:rsid w:val="00D7455C"/>
    <w:rsid w:val="00D74595"/>
    <w:rsid w:val="00D745A7"/>
    <w:rsid w:val="00D746EE"/>
    <w:rsid w:val="00D74704"/>
    <w:rsid w:val="00D7476D"/>
    <w:rsid w:val="00D747E5"/>
    <w:rsid w:val="00D7484E"/>
    <w:rsid w:val="00D74880"/>
    <w:rsid w:val="00D748AF"/>
    <w:rsid w:val="00D749B2"/>
    <w:rsid w:val="00D74BE0"/>
    <w:rsid w:val="00D74C02"/>
    <w:rsid w:val="00D74C97"/>
    <w:rsid w:val="00D74DF5"/>
    <w:rsid w:val="00D74E97"/>
    <w:rsid w:val="00D7500B"/>
    <w:rsid w:val="00D7508D"/>
    <w:rsid w:val="00D75225"/>
    <w:rsid w:val="00D754E1"/>
    <w:rsid w:val="00D756B6"/>
    <w:rsid w:val="00D75A35"/>
    <w:rsid w:val="00D75B13"/>
    <w:rsid w:val="00D75B9F"/>
    <w:rsid w:val="00D75C85"/>
    <w:rsid w:val="00D75D49"/>
    <w:rsid w:val="00D75E11"/>
    <w:rsid w:val="00D75EFA"/>
    <w:rsid w:val="00D75EFD"/>
    <w:rsid w:val="00D75F02"/>
    <w:rsid w:val="00D75F53"/>
    <w:rsid w:val="00D75FF7"/>
    <w:rsid w:val="00D763FA"/>
    <w:rsid w:val="00D76437"/>
    <w:rsid w:val="00D7659C"/>
    <w:rsid w:val="00D765B7"/>
    <w:rsid w:val="00D76645"/>
    <w:rsid w:val="00D7668D"/>
    <w:rsid w:val="00D766F6"/>
    <w:rsid w:val="00D7670F"/>
    <w:rsid w:val="00D76712"/>
    <w:rsid w:val="00D769AD"/>
    <w:rsid w:val="00D76BB7"/>
    <w:rsid w:val="00D76D02"/>
    <w:rsid w:val="00D76D75"/>
    <w:rsid w:val="00D76DD9"/>
    <w:rsid w:val="00D76DEE"/>
    <w:rsid w:val="00D76DF3"/>
    <w:rsid w:val="00D76F86"/>
    <w:rsid w:val="00D77216"/>
    <w:rsid w:val="00D77326"/>
    <w:rsid w:val="00D77358"/>
    <w:rsid w:val="00D77531"/>
    <w:rsid w:val="00D7760E"/>
    <w:rsid w:val="00D77643"/>
    <w:rsid w:val="00D778C9"/>
    <w:rsid w:val="00D7792F"/>
    <w:rsid w:val="00D7794A"/>
    <w:rsid w:val="00D779B9"/>
    <w:rsid w:val="00D779E1"/>
    <w:rsid w:val="00D77B02"/>
    <w:rsid w:val="00D77B36"/>
    <w:rsid w:val="00D77B7E"/>
    <w:rsid w:val="00D77BF1"/>
    <w:rsid w:val="00D77CC4"/>
    <w:rsid w:val="00D77D76"/>
    <w:rsid w:val="00D77DFA"/>
    <w:rsid w:val="00D800B1"/>
    <w:rsid w:val="00D8028A"/>
    <w:rsid w:val="00D802E9"/>
    <w:rsid w:val="00D8048B"/>
    <w:rsid w:val="00D804AF"/>
    <w:rsid w:val="00D804E2"/>
    <w:rsid w:val="00D804F6"/>
    <w:rsid w:val="00D80530"/>
    <w:rsid w:val="00D80566"/>
    <w:rsid w:val="00D80964"/>
    <w:rsid w:val="00D80A57"/>
    <w:rsid w:val="00D80A98"/>
    <w:rsid w:val="00D80D04"/>
    <w:rsid w:val="00D80F26"/>
    <w:rsid w:val="00D8100A"/>
    <w:rsid w:val="00D81081"/>
    <w:rsid w:val="00D81087"/>
    <w:rsid w:val="00D81099"/>
    <w:rsid w:val="00D8110E"/>
    <w:rsid w:val="00D811AC"/>
    <w:rsid w:val="00D81203"/>
    <w:rsid w:val="00D813E4"/>
    <w:rsid w:val="00D81467"/>
    <w:rsid w:val="00D81472"/>
    <w:rsid w:val="00D814AF"/>
    <w:rsid w:val="00D814D8"/>
    <w:rsid w:val="00D8162E"/>
    <w:rsid w:val="00D818EF"/>
    <w:rsid w:val="00D8193E"/>
    <w:rsid w:val="00D81A1B"/>
    <w:rsid w:val="00D81BB1"/>
    <w:rsid w:val="00D81C6D"/>
    <w:rsid w:val="00D81EC1"/>
    <w:rsid w:val="00D81ED2"/>
    <w:rsid w:val="00D81EDD"/>
    <w:rsid w:val="00D8200C"/>
    <w:rsid w:val="00D8205E"/>
    <w:rsid w:val="00D820A9"/>
    <w:rsid w:val="00D82131"/>
    <w:rsid w:val="00D8255E"/>
    <w:rsid w:val="00D82607"/>
    <w:rsid w:val="00D826CE"/>
    <w:rsid w:val="00D82709"/>
    <w:rsid w:val="00D82AE3"/>
    <w:rsid w:val="00D82BBC"/>
    <w:rsid w:val="00D82BFC"/>
    <w:rsid w:val="00D82CCC"/>
    <w:rsid w:val="00D82D2F"/>
    <w:rsid w:val="00D8306D"/>
    <w:rsid w:val="00D8333F"/>
    <w:rsid w:val="00D835D8"/>
    <w:rsid w:val="00D83681"/>
    <w:rsid w:val="00D836B5"/>
    <w:rsid w:val="00D836EA"/>
    <w:rsid w:val="00D83707"/>
    <w:rsid w:val="00D837F0"/>
    <w:rsid w:val="00D839F0"/>
    <w:rsid w:val="00D83AC9"/>
    <w:rsid w:val="00D83AFE"/>
    <w:rsid w:val="00D83B91"/>
    <w:rsid w:val="00D83BA4"/>
    <w:rsid w:val="00D83F0D"/>
    <w:rsid w:val="00D83FB1"/>
    <w:rsid w:val="00D83FC8"/>
    <w:rsid w:val="00D8402D"/>
    <w:rsid w:val="00D840A3"/>
    <w:rsid w:val="00D84186"/>
    <w:rsid w:val="00D84214"/>
    <w:rsid w:val="00D8421A"/>
    <w:rsid w:val="00D842C0"/>
    <w:rsid w:val="00D8443B"/>
    <w:rsid w:val="00D84492"/>
    <w:rsid w:val="00D845CA"/>
    <w:rsid w:val="00D84835"/>
    <w:rsid w:val="00D8495F"/>
    <w:rsid w:val="00D849F2"/>
    <w:rsid w:val="00D84CC0"/>
    <w:rsid w:val="00D84CC2"/>
    <w:rsid w:val="00D84E23"/>
    <w:rsid w:val="00D84E5B"/>
    <w:rsid w:val="00D84F36"/>
    <w:rsid w:val="00D84FAD"/>
    <w:rsid w:val="00D84FB6"/>
    <w:rsid w:val="00D85084"/>
    <w:rsid w:val="00D850C7"/>
    <w:rsid w:val="00D8515B"/>
    <w:rsid w:val="00D85249"/>
    <w:rsid w:val="00D85269"/>
    <w:rsid w:val="00D85305"/>
    <w:rsid w:val="00D8533F"/>
    <w:rsid w:val="00D853FF"/>
    <w:rsid w:val="00D855D6"/>
    <w:rsid w:val="00D855D9"/>
    <w:rsid w:val="00D85694"/>
    <w:rsid w:val="00D8588C"/>
    <w:rsid w:val="00D85967"/>
    <w:rsid w:val="00D85A64"/>
    <w:rsid w:val="00D85A6F"/>
    <w:rsid w:val="00D85BFD"/>
    <w:rsid w:val="00D8602A"/>
    <w:rsid w:val="00D860B9"/>
    <w:rsid w:val="00D860F3"/>
    <w:rsid w:val="00D8618F"/>
    <w:rsid w:val="00D861D2"/>
    <w:rsid w:val="00D86233"/>
    <w:rsid w:val="00D86290"/>
    <w:rsid w:val="00D86703"/>
    <w:rsid w:val="00D8678C"/>
    <w:rsid w:val="00D8698F"/>
    <w:rsid w:val="00D869AB"/>
    <w:rsid w:val="00D86A7E"/>
    <w:rsid w:val="00D86E31"/>
    <w:rsid w:val="00D86EDB"/>
    <w:rsid w:val="00D86F26"/>
    <w:rsid w:val="00D86F66"/>
    <w:rsid w:val="00D86F75"/>
    <w:rsid w:val="00D86FB4"/>
    <w:rsid w:val="00D8700C"/>
    <w:rsid w:val="00D871B2"/>
    <w:rsid w:val="00D87261"/>
    <w:rsid w:val="00D87321"/>
    <w:rsid w:val="00D8749D"/>
    <w:rsid w:val="00D87602"/>
    <w:rsid w:val="00D87660"/>
    <w:rsid w:val="00D8767D"/>
    <w:rsid w:val="00D87769"/>
    <w:rsid w:val="00D877DB"/>
    <w:rsid w:val="00D878AC"/>
    <w:rsid w:val="00D879AC"/>
    <w:rsid w:val="00D87B10"/>
    <w:rsid w:val="00D87DA9"/>
    <w:rsid w:val="00D87DB7"/>
    <w:rsid w:val="00D87DCF"/>
    <w:rsid w:val="00D87E26"/>
    <w:rsid w:val="00D87F4E"/>
    <w:rsid w:val="00D87F95"/>
    <w:rsid w:val="00D87FF7"/>
    <w:rsid w:val="00D9006E"/>
    <w:rsid w:val="00D9026B"/>
    <w:rsid w:val="00D9026C"/>
    <w:rsid w:val="00D90358"/>
    <w:rsid w:val="00D9042C"/>
    <w:rsid w:val="00D9048C"/>
    <w:rsid w:val="00D904AD"/>
    <w:rsid w:val="00D905C8"/>
    <w:rsid w:val="00D90608"/>
    <w:rsid w:val="00D9060D"/>
    <w:rsid w:val="00D9065D"/>
    <w:rsid w:val="00D9077F"/>
    <w:rsid w:val="00D9079C"/>
    <w:rsid w:val="00D90BC1"/>
    <w:rsid w:val="00D90BDE"/>
    <w:rsid w:val="00D90BF8"/>
    <w:rsid w:val="00D90C2E"/>
    <w:rsid w:val="00D90E64"/>
    <w:rsid w:val="00D90F65"/>
    <w:rsid w:val="00D90F6C"/>
    <w:rsid w:val="00D91089"/>
    <w:rsid w:val="00D910AA"/>
    <w:rsid w:val="00D911D3"/>
    <w:rsid w:val="00D91408"/>
    <w:rsid w:val="00D9180C"/>
    <w:rsid w:val="00D91957"/>
    <w:rsid w:val="00D91C5F"/>
    <w:rsid w:val="00D91C84"/>
    <w:rsid w:val="00D91D50"/>
    <w:rsid w:val="00D91E4E"/>
    <w:rsid w:val="00D921D2"/>
    <w:rsid w:val="00D92244"/>
    <w:rsid w:val="00D9229A"/>
    <w:rsid w:val="00D923C8"/>
    <w:rsid w:val="00D92535"/>
    <w:rsid w:val="00D92628"/>
    <w:rsid w:val="00D9269C"/>
    <w:rsid w:val="00D926AA"/>
    <w:rsid w:val="00D926E5"/>
    <w:rsid w:val="00D9275F"/>
    <w:rsid w:val="00D92767"/>
    <w:rsid w:val="00D927FB"/>
    <w:rsid w:val="00D9283C"/>
    <w:rsid w:val="00D928CF"/>
    <w:rsid w:val="00D9293E"/>
    <w:rsid w:val="00D9296A"/>
    <w:rsid w:val="00D92A0E"/>
    <w:rsid w:val="00D92C32"/>
    <w:rsid w:val="00D92E40"/>
    <w:rsid w:val="00D92F38"/>
    <w:rsid w:val="00D92FAE"/>
    <w:rsid w:val="00D9317D"/>
    <w:rsid w:val="00D931A7"/>
    <w:rsid w:val="00D932EA"/>
    <w:rsid w:val="00D932EC"/>
    <w:rsid w:val="00D93341"/>
    <w:rsid w:val="00D93371"/>
    <w:rsid w:val="00D934AB"/>
    <w:rsid w:val="00D934F2"/>
    <w:rsid w:val="00D9351B"/>
    <w:rsid w:val="00D9362D"/>
    <w:rsid w:val="00D93678"/>
    <w:rsid w:val="00D937A9"/>
    <w:rsid w:val="00D937FD"/>
    <w:rsid w:val="00D938C8"/>
    <w:rsid w:val="00D93986"/>
    <w:rsid w:val="00D93A71"/>
    <w:rsid w:val="00D93D04"/>
    <w:rsid w:val="00D93E13"/>
    <w:rsid w:val="00D93EC2"/>
    <w:rsid w:val="00D93F92"/>
    <w:rsid w:val="00D94034"/>
    <w:rsid w:val="00D9409C"/>
    <w:rsid w:val="00D94313"/>
    <w:rsid w:val="00D94490"/>
    <w:rsid w:val="00D9449D"/>
    <w:rsid w:val="00D94589"/>
    <w:rsid w:val="00D945F1"/>
    <w:rsid w:val="00D946D6"/>
    <w:rsid w:val="00D948E1"/>
    <w:rsid w:val="00D9499C"/>
    <w:rsid w:val="00D94BAC"/>
    <w:rsid w:val="00D94DAA"/>
    <w:rsid w:val="00D94DC2"/>
    <w:rsid w:val="00D94E33"/>
    <w:rsid w:val="00D94E3D"/>
    <w:rsid w:val="00D950C5"/>
    <w:rsid w:val="00D950FD"/>
    <w:rsid w:val="00D95191"/>
    <w:rsid w:val="00D952D0"/>
    <w:rsid w:val="00D95339"/>
    <w:rsid w:val="00D95503"/>
    <w:rsid w:val="00D955CA"/>
    <w:rsid w:val="00D95649"/>
    <w:rsid w:val="00D958D4"/>
    <w:rsid w:val="00D95924"/>
    <w:rsid w:val="00D9596B"/>
    <w:rsid w:val="00D9599B"/>
    <w:rsid w:val="00D959EC"/>
    <w:rsid w:val="00D95A06"/>
    <w:rsid w:val="00D95A63"/>
    <w:rsid w:val="00D95A7A"/>
    <w:rsid w:val="00D95AE1"/>
    <w:rsid w:val="00D95AE5"/>
    <w:rsid w:val="00D95AEF"/>
    <w:rsid w:val="00D95BB8"/>
    <w:rsid w:val="00D95C0B"/>
    <w:rsid w:val="00D95D04"/>
    <w:rsid w:val="00D95D1E"/>
    <w:rsid w:val="00D95D4D"/>
    <w:rsid w:val="00D95DDB"/>
    <w:rsid w:val="00D96013"/>
    <w:rsid w:val="00D96066"/>
    <w:rsid w:val="00D960F6"/>
    <w:rsid w:val="00D9610D"/>
    <w:rsid w:val="00D9629B"/>
    <w:rsid w:val="00D96355"/>
    <w:rsid w:val="00D963BD"/>
    <w:rsid w:val="00D96455"/>
    <w:rsid w:val="00D96547"/>
    <w:rsid w:val="00D96578"/>
    <w:rsid w:val="00D96617"/>
    <w:rsid w:val="00D96635"/>
    <w:rsid w:val="00D96769"/>
    <w:rsid w:val="00D968D5"/>
    <w:rsid w:val="00D968E0"/>
    <w:rsid w:val="00D96934"/>
    <w:rsid w:val="00D96A6F"/>
    <w:rsid w:val="00D96AE2"/>
    <w:rsid w:val="00D96CE4"/>
    <w:rsid w:val="00D96F13"/>
    <w:rsid w:val="00D96F26"/>
    <w:rsid w:val="00D970CF"/>
    <w:rsid w:val="00D97344"/>
    <w:rsid w:val="00D97404"/>
    <w:rsid w:val="00D97608"/>
    <w:rsid w:val="00D97621"/>
    <w:rsid w:val="00D976F5"/>
    <w:rsid w:val="00D97997"/>
    <w:rsid w:val="00D97AAB"/>
    <w:rsid w:val="00D97C8D"/>
    <w:rsid w:val="00D97C97"/>
    <w:rsid w:val="00D97D4C"/>
    <w:rsid w:val="00D97DF1"/>
    <w:rsid w:val="00D97F1F"/>
    <w:rsid w:val="00DA00D8"/>
    <w:rsid w:val="00DA0302"/>
    <w:rsid w:val="00DA035C"/>
    <w:rsid w:val="00DA0422"/>
    <w:rsid w:val="00DA05BA"/>
    <w:rsid w:val="00DA05F3"/>
    <w:rsid w:val="00DA0784"/>
    <w:rsid w:val="00DA0B03"/>
    <w:rsid w:val="00DA0B81"/>
    <w:rsid w:val="00DA0E75"/>
    <w:rsid w:val="00DA0ED2"/>
    <w:rsid w:val="00DA0F2E"/>
    <w:rsid w:val="00DA0F6A"/>
    <w:rsid w:val="00DA1129"/>
    <w:rsid w:val="00DA1422"/>
    <w:rsid w:val="00DA146A"/>
    <w:rsid w:val="00DA16EC"/>
    <w:rsid w:val="00DA1811"/>
    <w:rsid w:val="00DA19C7"/>
    <w:rsid w:val="00DA19FE"/>
    <w:rsid w:val="00DA1D5F"/>
    <w:rsid w:val="00DA1EFC"/>
    <w:rsid w:val="00DA1F82"/>
    <w:rsid w:val="00DA2193"/>
    <w:rsid w:val="00DA2196"/>
    <w:rsid w:val="00DA22D3"/>
    <w:rsid w:val="00DA2326"/>
    <w:rsid w:val="00DA2332"/>
    <w:rsid w:val="00DA2484"/>
    <w:rsid w:val="00DA2736"/>
    <w:rsid w:val="00DA289B"/>
    <w:rsid w:val="00DA2B78"/>
    <w:rsid w:val="00DA2CE5"/>
    <w:rsid w:val="00DA2D4D"/>
    <w:rsid w:val="00DA2EA1"/>
    <w:rsid w:val="00DA2EE6"/>
    <w:rsid w:val="00DA2EF1"/>
    <w:rsid w:val="00DA2F05"/>
    <w:rsid w:val="00DA2FAD"/>
    <w:rsid w:val="00DA304D"/>
    <w:rsid w:val="00DA3082"/>
    <w:rsid w:val="00DA3177"/>
    <w:rsid w:val="00DA32F1"/>
    <w:rsid w:val="00DA32FD"/>
    <w:rsid w:val="00DA335A"/>
    <w:rsid w:val="00DA33CF"/>
    <w:rsid w:val="00DA34A3"/>
    <w:rsid w:val="00DA3552"/>
    <w:rsid w:val="00DA35E1"/>
    <w:rsid w:val="00DA37C8"/>
    <w:rsid w:val="00DA3933"/>
    <w:rsid w:val="00DA3AAC"/>
    <w:rsid w:val="00DA3C1E"/>
    <w:rsid w:val="00DA3CD5"/>
    <w:rsid w:val="00DA3DEB"/>
    <w:rsid w:val="00DA3EC3"/>
    <w:rsid w:val="00DA3F1F"/>
    <w:rsid w:val="00DA40BA"/>
    <w:rsid w:val="00DA420D"/>
    <w:rsid w:val="00DA427F"/>
    <w:rsid w:val="00DA42BA"/>
    <w:rsid w:val="00DA4389"/>
    <w:rsid w:val="00DA451B"/>
    <w:rsid w:val="00DA454E"/>
    <w:rsid w:val="00DA46AB"/>
    <w:rsid w:val="00DA4759"/>
    <w:rsid w:val="00DA4A6E"/>
    <w:rsid w:val="00DA4AD8"/>
    <w:rsid w:val="00DA4B35"/>
    <w:rsid w:val="00DA4BCD"/>
    <w:rsid w:val="00DA4C7B"/>
    <w:rsid w:val="00DA4D83"/>
    <w:rsid w:val="00DA4EB8"/>
    <w:rsid w:val="00DA506A"/>
    <w:rsid w:val="00DA5098"/>
    <w:rsid w:val="00DA52E4"/>
    <w:rsid w:val="00DA531C"/>
    <w:rsid w:val="00DA53C0"/>
    <w:rsid w:val="00DA53C3"/>
    <w:rsid w:val="00DA5456"/>
    <w:rsid w:val="00DA5458"/>
    <w:rsid w:val="00DA546F"/>
    <w:rsid w:val="00DA5573"/>
    <w:rsid w:val="00DA56A3"/>
    <w:rsid w:val="00DA56E4"/>
    <w:rsid w:val="00DA57A9"/>
    <w:rsid w:val="00DA57B5"/>
    <w:rsid w:val="00DA5909"/>
    <w:rsid w:val="00DA5921"/>
    <w:rsid w:val="00DA59E3"/>
    <w:rsid w:val="00DA5A42"/>
    <w:rsid w:val="00DA5A48"/>
    <w:rsid w:val="00DA5A82"/>
    <w:rsid w:val="00DA5B60"/>
    <w:rsid w:val="00DA5D05"/>
    <w:rsid w:val="00DA5D21"/>
    <w:rsid w:val="00DA5D8B"/>
    <w:rsid w:val="00DA5DFB"/>
    <w:rsid w:val="00DA5EA1"/>
    <w:rsid w:val="00DA5EAE"/>
    <w:rsid w:val="00DA5F16"/>
    <w:rsid w:val="00DA6051"/>
    <w:rsid w:val="00DA6158"/>
    <w:rsid w:val="00DA61E8"/>
    <w:rsid w:val="00DA622C"/>
    <w:rsid w:val="00DA6254"/>
    <w:rsid w:val="00DA6334"/>
    <w:rsid w:val="00DA6426"/>
    <w:rsid w:val="00DA652C"/>
    <w:rsid w:val="00DA660D"/>
    <w:rsid w:val="00DA6682"/>
    <w:rsid w:val="00DA6721"/>
    <w:rsid w:val="00DA6817"/>
    <w:rsid w:val="00DA6888"/>
    <w:rsid w:val="00DA6A85"/>
    <w:rsid w:val="00DA6BDE"/>
    <w:rsid w:val="00DA6D12"/>
    <w:rsid w:val="00DA6DF3"/>
    <w:rsid w:val="00DA6E0E"/>
    <w:rsid w:val="00DA7261"/>
    <w:rsid w:val="00DA74ED"/>
    <w:rsid w:val="00DA752F"/>
    <w:rsid w:val="00DA75D0"/>
    <w:rsid w:val="00DA75F3"/>
    <w:rsid w:val="00DA776C"/>
    <w:rsid w:val="00DA7817"/>
    <w:rsid w:val="00DA7906"/>
    <w:rsid w:val="00DA7BA8"/>
    <w:rsid w:val="00DA7C8A"/>
    <w:rsid w:val="00DA7D36"/>
    <w:rsid w:val="00DA7D62"/>
    <w:rsid w:val="00DA7FE7"/>
    <w:rsid w:val="00DB000D"/>
    <w:rsid w:val="00DB022E"/>
    <w:rsid w:val="00DB0324"/>
    <w:rsid w:val="00DB03FB"/>
    <w:rsid w:val="00DB04D7"/>
    <w:rsid w:val="00DB0561"/>
    <w:rsid w:val="00DB0668"/>
    <w:rsid w:val="00DB0677"/>
    <w:rsid w:val="00DB0717"/>
    <w:rsid w:val="00DB0784"/>
    <w:rsid w:val="00DB0820"/>
    <w:rsid w:val="00DB08D0"/>
    <w:rsid w:val="00DB0A29"/>
    <w:rsid w:val="00DB0B42"/>
    <w:rsid w:val="00DB0B4A"/>
    <w:rsid w:val="00DB0C31"/>
    <w:rsid w:val="00DB10E5"/>
    <w:rsid w:val="00DB11C3"/>
    <w:rsid w:val="00DB14D9"/>
    <w:rsid w:val="00DB16BD"/>
    <w:rsid w:val="00DB1750"/>
    <w:rsid w:val="00DB1909"/>
    <w:rsid w:val="00DB1B4C"/>
    <w:rsid w:val="00DB1C0A"/>
    <w:rsid w:val="00DB1C69"/>
    <w:rsid w:val="00DB1D9C"/>
    <w:rsid w:val="00DB1EF3"/>
    <w:rsid w:val="00DB1F15"/>
    <w:rsid w:val="00DB2050"/>
    <w:rsid w:val="00DB2247"/>
    <w:rsid w:val="00DB22D4"/>
    <w:rsid w:val="00DB2403"/>
    <w:rsid w:val="00DB240F"/>
    <w:rsid w:val="00DB25B9"/>
    <w:rsid w:val="00DB2749"/>
    <w:rsid w:val="00DB2B02"/>
    <w:rsid w:val="00DB2B59"/>
    <w:rsid w:val="00DB2B74"/>
    <w:rsid w:val="00DB2CB9"/>
    <w:rsid w:val="00DB2D7C"/>
    <w:rsid w:val="00DB2DA2"/>
    <w:rsid w:val="00DB2F3A"/>
    <w:rsid w:val="00DB3036"/>
    <w:rsid w:val="00DB3160"/>
    <w:rsid w:val="00DB3250"/>
    <w:rsid w:val="00DB3266"/>
    <w:rsid w:val="00DB32E4"/>
    <w:rsid w:val="00DB3419"/>
    <w:rsid w:val="00DB345C"/>
    <w:rsid w:val="00DB34BF"/>
    <w:rsid w:val="00DB3547"/>
    <w:rsid w:val="00DB3595"/>
    <w:rsid w:val="00DB35F7"/>
    <w:rsid w:val="00DB36BF"/>
    <w:rsid w:val="00DB3767"/>
    <w:rsid w:val="00DB3831"/>
    <w:rsid w:val="00DB3940"/>
    <w:rsid w:val="00DB3942"/>
    <w:rsid w:val="00DB3945"/>
    <w:rsid w:val="00DB3950"/>
    <w:rsid w:val="00DB39D2"/>
    <w:rsid w:val="00DB3B66"/>
    <w:rsid w:val="00DB3DE3"/>
    <w:rsid w:val="00DB3E99"/>
    <w:rsid w:val="00DB3EA0"/>
    <w:rsid w:val="00DB3EC3"/>
    <w:rsid w:val="00DB3FFC"/>
    <w:rsid w:val="00DB4191"/>
    <w:rsid w:val="00DB4264"/>
    <w:rsid w:val="00DB434B"/>
    <w:rsid w:val="00DB466D"/>
    <w:rsid w:val="00DB4675"/>
    <w:rsid w:val="00DB46B3"/>
    <w:rsid w:val="00DB4738"/>
    <w:rsid w:val="00DB478F"/>
    <w:rsid w:val="00DB4B54"/>
    <w:rsid w:val="00DB4C41"/>
    <w:rsid w:val="00DB4CDD"/>
    <w:rsid w:val="00DB4E3E"/>
    <w:rsid w:val="00DB4EBF"/>
    <w:rsid w:val="00DB4EC7"/>
    <w:rsid w:val="00DB4F35"/>
    <w:rsid w:val="00DB4F91"/>
    <w:rsid w:val="00DB519D"/>
    <w:rsid w:val="00DB5370"/>
    <w:rsid w:val="00DB53A7"/>
    <w:rsid w:val="00DB5439"/>
    <w:rsid w:val="00DB5636"/>
    <w:rsid w:val="00DB56F9"/>
    <w:rsid w:val="00DB5AAA"/>
    <w:rsid w:val="00DB5CA1"/>
    <w:rsid w:val="00DB5E0D"/>
    <w:rsid w:val="00DB5E4A"/>
    <w:rsid w:val="00DB5E70"/>
    <w:rsid w:val="00DB5EA1"/>
    <w:rsid w:val="00DB5F9A"/>
    <w:rsid w:val="00DB602E"/>
    <w:rsid w:val="00DB607A"/>
    <w:rsid w:val="00DB60E0"/>
    <w:rsid w:val="00DB65C1"/>
    <w:rsid w:val="00DB6618"/>
    <w:rsid w:val="00DB6621"/>
    <w:rsid w:val="00DB664A"/>
    <w:rsid w:val="00DB68E2"/>
    <w:rsid w:val="00DB68F7"/>
    <w:rsid w:val="00DB6C5B"/>
    <w:rsid w:val="00DB6CC1"/>
    <w:rsid w:val="00DB6CD0"/>
    <w:rsid w:val="00DB6CD7"/>
    <w:rsid w:val="00DB6D32"/>
    <w:rsid w:val="00DB6E09"/>
    <w:rsid w:val="00DB6E91"/>
    <w:rsid w:val="00DB7174"/>
    <w:rsid w:val="00DB71E9"/>
    <w:rsid w:val="00DB720F"/>
    <w:rsid w:val="00DB7235"/>
    <w:rsid w:val="00DB724B"/>
    <w:rsid w:val="00DB7250"/>
    <w:rsid w:val="00DB731C"/>
    <w:rsid w:val="00DB73BD"/>
    <w:rsid w:val="00DB73F7"/>
    <w:rsid w:val="00DB75D9"/>
    <w:rsid w:val="00DB76D9"/>
    <w:rsid w:val="00DB76FE"/>
    <w:rsid w:val="00DB77A4"/>
    <w:rsid w:val="00DB7808"/>
    <w:rsid w:val="00DB7944"/>
    <w:rsid w:val="00DB7974"/>
    <w:rsid w:val="00DB79BB"/>
    <w:rsid w:val="00DB79E6"/>
    <w:rsid w:val="00DB79FE"/>
    <w:rsid w:val="00DB7A53"/>
    <w:rsid w:val="00DB7B32"/>
    <w:rsid w:val="00DB7E1F"/>
    <w:rsid w:val="00DB7EF4"/>
    <w:rsid w:val="00DC011B"/>
    <w:rsid w:val="00DC0173"/>
    <w:rsid w:val="00DC01AE"/>
    <w:rsid w:val="00DC01FE"/>
    <w:rsid w:val="00DC0257"/>
    <w:rsid w:val="00DC028F"/>
    <w:rsid w:val="00DC02CB"/>
    <w:rsid w:val="00DC0389"/>
    <w:rsid w:val="00DC03E9"/>
    <w:rsid w:val="00DC0463"/>
    <w:rsid w:val="00DC0760"/>
    <w:rsid w:val="00DC0A03"/>
    <w:rsid w:val="00DC0BBC"/>
    <w:rsid w:val="00DC0BF2"/>
    <w:rsid w:val="00DC0C95"/>
    <w:rsid w:val="00DC0DB8"/>
    <w:rsid w:val="00DC106D"/>
    <w:rsid w:val="00DC11B6"/>
    <w:rsid w:val="00DC11BA"/>
    <w:rsid w:val="00DC1261"/>
    <w:rsid w:val="00DC14E0"/>
    <w:rsid w:val="00DC1555"/>
    <w:rsid w:val="00DC1636"/>
    <w:rsid w:val="00DC1693"/>
    <w:rsid w:val="00DC192E"/>
    <w:rsid w:val="00DC19B9"/>
    <w:rsid w:val="00DC1A4F"/>
    <w:rsid w:val="00DC1ABA"/>
    <w:rsid w:val="00DC1AC7"/>
    <w:rsid w:val="00DC1B03"/>
    <w:rsid w:val="00DC1CD4"/>
    <w:rsid w:val="00DC1CF2"/>
    <w:rsid w:val="00DC1D58"/>
    <w:rsid w:val="00DC1EFF"/>
    <w:rsid w:val="00DC1F7F"/>
    <w:rsid w:val="00DC228E"/>
    <w:rsid w:val="00DC241F"/>
    <w:rsid w:val="00DC2424"/>
    <w:rsid w:val="00DC254B"/>
    <w:rsid w:val="00DC25F3"/>
    <w:rsid w:val="00DC263F"/>
    <w:rsid w:val="00DC2681"/>
    <w:rsid w:val="00DC26A0"/>
    <w:rsid w:val="00DC27C0"/>
    <w:rsid w:val="00DC2C0B"/>
    <w:rsid w:val="00DC2D40"/>
    <w:rsid w:val="00DC2D6E"/>
    <w:rsid w:val="00DC2E8D"/>
    <w:rsid w:val="00DC3032"/>
    <w:rsid w:val="00DC30E9"/>
    <w:rsid w:val="00DC30F8"/>
    <w:rsid w:val="00DC31C6"/>
    <w:rsid w:val="00DC3203"/>
    <w:rsid w:val="00DC32CD"/>
    <w:rsid w:val="00DC32F6"/>
    <w:rsid w:val="00DC3371"/>
    <w:rsid w:val="00DC3509"/>
    <w:rsid w:val="00DC376B"/>
    <w:rsid w:val="00DC37EB"/>
    <w:rsid w:val="00DC3832"/>
    <w:rsid w:val="00DC38E7"/>
    <w:rsid w:val="00DC396A"/>
    <w:rsid w:val="00DC39B7"/>
    <w:rsid w:val="00DC39D2"/>
    <w:rsid w:val="00DC39D8"/>
    <w:rsid w:val="00DC39DC"/>
    <w:rsid w:val="00DC3A13"/>
    <w:rsid w:val="00DC42F5"/>
    <w:rsid w:val="00DC446B"/>
    <w:rsid w:val="00DC4478"/>
    <w:rsid w:val="00DC44C7"/>
    <w:rsid w:val="00DC45DD"/>
    <w:rsid w:val="00DC4859"/>
    <w:rsid w:val="00DC4888"/>
    <w:rsid w:val="00DC4A18"/>
    <w:rsid w:val="00DC4A30"/>
    <w:rsid w:val="00DC4A95"/>
    <w:rsid w:val="00DC4C73"/>
    <w:rsid w:val="00DC4CE2"/>
    <w:rsid w:val="00DC4EB6"/>
    <w:rsid w:val="00DC4F4C"/>
    <w:rsid w:val="00DC4F7B"/>
    <w:rsid w:val="00DC5064"/>
    <w:rsid w:val="00DC5131"/>
    <w:rsid w:val="00DC513A"/>
    <w:rsid w:val="00DC524B"/>
    <w:rsid w:val="00DC5297"/>
    <w:rsid w:val="00DC532E"/>
    <w:rsid w:val="00DC5373"/>
    <w:rsid w:val="00DC5404"/>
    <w:rsid w:val="00DC5422"/>
    <w:rsid w:val="00DC5470"/>
    <w:rsid w:val="00DC55E2"/>
    <w:rsid w:val="00DC591F"/>
    <w:rsid w:val="00DC59E8"/>
    <w:rsid w:val="00DC5AA9"/>
    <w:rsid w:val="00DC5AC5"/>
    <w:rsid w:val="00DC5D86"/>
    <w:rsid w:val="00DC5E03"/>
    <w:rsid w:val="00DC5F7D"/>
    <w:rsid w:val="00DC6081"/>
    <w:rsid w:val="00DC61AD"/>
    <w:rsid w:val="00DC6262"/>
    <w:rsid w:val="00DC62D9"/>
    <w:rsid w:val="00DC6435"/>
    <w:rsid w:val="00DC6444"/>
    <w:rsid w:val="00DC6462"/>
    <w:rsid w:val="00DC6581"/>
    <w:rsid w:val="00DC659F"/>
    <w:rsid w:val="00DC6601"/>
    <w:rsid w:val="00DC6734"/>
    <w:rsid w:val="00DC6757"/>
    <w:rsid w:val="00DC677F"/>
    <w:rsid w:val="00DC6795"/>
    <w:rsid w:val="00DC68B7"/>
    <w:rsid w:val="00DC6A0B"/>
    <w:rsid w:val="00DC6AD7"/>
    <w:rsid w:val="00DC6BD9"/>
    <w:rsid w:val="00DC6C03"/>
    <w:rsid w:val="00DC6C8C"/>
    <w:rsid w:val="00DC6CA7"/>
    <w:rsid w:val="00DC6DB5"/>
    <w:rsid w:val="00DC6E07"/>
    <w:rsid w:val="00DC6E8B"/>
    <w:rsid w:val="00DC7069"/>
    <w:rsid w:val="00DC70D0"/>
    <w:rsid w:val="00DC70FE"/>
    <w:rsid w:val="00DC7109"/>
    <w:rsid w:val="00DC7164"/>
    <w:rsid w:val="00DC71E1"/>
    <w:rsid w:val="00DC72DC"/>
    <w:rsid w:val="00DC72F5"/>
    <w:rsid w:val="00DC748F"/>
    <w:rsid w:val="00DC74B4"/>
    <w:rsid w:val="00DC7725"/>
    <w:rsid w:val="00DC7839"/>
    <w:rsid w:val="00DC7994"/>
    <w:rsid w:val="00DC7AC7"/>
    <w:rsid w:val="00DC7BC9"/>
    <w:rsid w:val="00DC7C1C"/>
    <w:rsid w:val="00DC7C23"/>
    <w:rsid w:val="00DC7CB3"/>
    <w:rsid w:val="00DC7DEB"/>
    <w:rsid w:val="00DD01D7"/>
    <w:rsid w:val="00DD022A"/>
    <w:rsid w:val="00DD0239"/>
    <w:rsid w:val="00DD03D6"/>
    <w:rsid w:val="00DD0420"/>
    <w:rsid w:val="00DD04F3"/>
    <w:rsid w:val="00DD0744"/>
    <w:rsid w:val="00DD08AC"/>
    <w:rsid w:val="00DD08CC"/>
    <w:rsid w:val="00DD08F0"/>
    <w:rsid w:val="00DD095E"/>
    <w:rsid w:val="00DD09B4"/>
    <w:rsid w:val="00DD0B3B"/>
    <w:rsid w:val="00DD0BF7"/>
    <w:rsid w:val="00DD0CA8"/>
    <w:rsid w:val="00DD0DFF"/>
    <w:rsid w:val="00DD0EE4"/>
    <w:rsid w:val="00DD0EF1"/>
    <w:rsid w:val="00DD0F03"/>
    <w:rsid w:val="00DD0F7A"/>
    <w:rsid w:val="00DD0F92"/>
    <w:rsid w:val="00DD10F9"/>
    <w:rsid w:val="00DD1108"/>
    <w:rsid w:val="00DD115A"/>
    <w:rsid w:val="00DD150A"/>
    <w:rsid w:val="00DD1561"/>
    <w:rsid w:val="00DD15C8"/>
    <w:rsid w:val="00DD1684"/>
    <w:rsid w:val="00DD171B"/>
    <w:rsid w:val="00DD1734"/>
    <w:rsid w:val="00DD1859"/>
    <w:rsid w:val="00DD1B18"/>
    <w:rsid w:val="00DD1CBF"/>
    <w:rsid w:val="00DD1E47"/>
    <w:rsid w:val="00DD1F5D"/>
    <w:rsid w:val="00DD1FC8"/>
    <w:rsid w:val="00DD2039"/>
    <w:rsid w:val="00DD20D0"/>
    <w:rsid w:val="00DD2571"/>
    <w:rsid w:val="00DD25A1"/>
    <w:rsid w:val="00DD27E8"/>
    <w:rsid w:val="00DD2808"/>
    <w:rsid w:val="00DD2883"/>
    <w:rsid w:val="00DD2A41"/>
    <w:rsid w:val="00DD2A62"/>
    <w:rsid w:val="00DD2D5E"/>
    <w:rsid w:val="00DD2D6A"/>
    <w:rsid w:val="00DD3138"/>
    <w:rsid w:val="00DD3154"/>
    <w:rsid w:val="00DD31AD"/>
    <w:rsid w:val="00DD3566"/>
    <w:rsid w:val="00DD3569"/>
    <w:rsid w:val="00DD35BF"/>
    <w:rsid w:val="00DD36C3"/>
    <w:rsid w:val="00DD3932"/>
    <w:rsid w:val="00DD399E"/>
    <w:rsid w:val="00DD3A1A"/>
    <w:rsid w:val="00DD3CF5"/>
    <w:rsid w:val="00DD3D26"/>
    <w:rsid w:val="00DD3ED9"/>
    <w:rsid w:val="00DD4042"/>
    <w:rsid w:val="00DD40B1"/>
    <w:rsid w:val="00DD4130"/>
    <w:rsid w:val="00DD4312"/>
    <w:rsid w:val="00DD43EC"/>
    <w:rsid w:val="00DD4410"/>
    <w:rsid w:val="00DD4447"/>
    <w:rsid w:val="00DD447C"/>
    <w:rsid w:val="00DD4599"/>
    <w:rsid w:val="00DD4643"/>
    <w:rsid w:val="00DD4668"/>
    <w:rsid w:val="00DD4672"/>
    <w:rsid w:val="00DD468C"/>
    <w:rsid w:val="00DD48F9"/>
    <w:rsid w:val="00DD4C51"/>
    <w:rsid w:val="00DD4D06"/>
    <w:rsid w:val="00DD4EA7"/>
    <w:rsid w:val="00DD52A0"/>
    <w:rsid w:val="00DD54E5"/>
    <w:rsid w:val="00DD5581"/>
    <w:rsid w:val="00DD570B"/>
    <w:rsid w:val="00DD585A"/>
    <w:rsid w:val="00DD5C08"/>
    <w:rsid w:val="00DD5C3D"/>
    <w:rsid w:val="00DD5C96"/>
    <w:rsid w:val="00DD5D70"/>
    <w:rsid w:val="00DD5E84"/>
    <w:rsid w:val="00DD5F13"/>
    <w:rsid w:val="00DD610B"/>
    <w:rsid w:val="00DD62AA"/>
    <w:rsid w:val="00DD62B1"/>
    <w:rsid w:val="00DD62C7"/>
    <w:rsid w:val="00DD6303"/>
    <w:rsid w:val="00DD670D"/>
    <w:rsid w:val="00DD67CF"/>
    <w:rsid w:val="00DD6809"/>
    <w:rsid w:val="00DD6907"/>
    <w:rsid w:val="00DD6FD4"/>
    <w:rsid w:val="00DD70D0"/>
    <w:rsid w:val="00DD71C1"/>
    <w:rsid w:val="00DD724F"/>
    <w:rsid w:val="00DD734F"/>
    <w:rsid w:val="00DD7405"/>
    <w:rsid w:val="00DD7460"/>
    <w:rsid w:val="00DD7574"/>
    <w:rsid w:val="00DD7664"/>
    <w:rsid w:val="00DD769C"/>
    <w:rsid w:val="00DD76EF"/>
    <w:rsid w:val="00DD76FD"/>
    <w:rsid w:val="00DD773A"/>
    <w:rsid w:val="00DD7D49"/>
    <w:rsid w:val="00DD7DFD"/>
    <w:rsid w:val="00DD7FCD"/>
    <w:rsid w:val="00DE003F"/>
    <w:rsid w:val="00DE021F"/>
    <w:rsid w:val="00DE0286"/>
    <w:rsid w:val="00DE0475"/>
    <w:rsid w:val="00DE05CE"/>
    <w:rsid w:val="00DE06A2"/>
    <w:rsid w:val="00DE06FD"/>
    <w:rsid w:val="00DE07CE"/>
    <w:rsid w:val="00DE08C1"/>
    <w:rsid w:val="00DE08E6"/>
    <w:rsid w:val="00DE094B"/>
    <w:rsid w:val="00DE09D6"/>
    <w:rsid w:val="00DE09EC"/>
    <w:rsid w:val="00DE09F6"/>
    <w:rsid w:val="00DE0A3E"/>
    <w:rsid w:val="00DE0A6B"/>
    <w:rsid w:val="00DE0BE4"/>
    <w:rsid w:val="00DE0C2C"/>
    <w:rsid w:val="00DE0C4D"/>
    <w:rsid w:val="00DE0D08"/>
    <w:rsid w:val="00DE0E50"/>
    <w:rsid w:val="00DE1028"/>
    <w:rsid w:val="00DE10FE"/>
    <w:rsid w:val="00DE112A"/>
    <w:rsid w:val="00DE11BB"/>
    <w:rsid w:val="00DE11DB"/>
    <w:rsid w:val="00DE1336"/>
    <w:rsid w:val="00DE14BF"/>
    <w:rsid w:val="00DE15EF"/>
    <w:rsid w:val="00DE1618"/>
    <w:rsid w:val="00DE1696"/>
    <w:rsid w:val="00DE1711"/>
    <w:rsid w:val="00DE1713"/>
    <w:rsid w:val="00DE190A"/>
    <w:rsid w:val="00DE1A48"/>
    <w:rsid w:val="00DE1DA4"/>
    <w:rsid w:val="00DE1DD8"/>
    <w:rsid w:val="00DE1DF3"/>
    <w:rsid w:val="00DE1ED3"/>
    <w:rsid w:val="00DE20AF"/>
    <w:rsid w:val="00DE21D2"/>
    <w:rsid w:val="00DE228F"/>
    <w:rsid w:val="00DE241A"/>
    <w:rsid w:val="00DE24C6"/>
    <w:rsid w:val="00DE276C"/>
    <w:rsid w:val="00DE27A7"/>
    <w:rsid w:val="00DE27C3"/>
    <w:rsid w:val="00DE28A9"/>
    <w:rsid w:val="00DE2B0F"/>
    <w:rsid w:val="00DE2C44"/>
    <w:rsid w:val="00DE2C7A"/>
    <w:rsid w:val="00DE2C86"/>
    <w:rsid w:val="00DE2D26"/>
    <w:rsid w:val="00DE2D39"/>
    <w:rsid w:val="00DE30D5"/>
    <w:rsid w:val="00DE31BE"/>
    <w:rsid w:val="00DE32B6"/>
    <w:rsid w:val="00DE3330"/>
    <w:rsid w:val="00DE3693"/>
    <w:rsid w:val="00DE3964"/>
    <w:rsid w:val="00DE3992"/>
    <w:rsid w:val="00DE3AD5"/>
    <w:rsid w:val="00DE3B77"/>
    <w:rsid w:val="00DE3C3C"/>
    <w:rsid w:val="00DE3C49"/>
    <w:rsid w:val="00DE3D65"/>
    <w:rsid w:val="00DE3F62"/>
    <w:rsid w:val="00DE3FC6"/>
    <w:rsid w:val="00DE410B"/>
    <w:rsid w:val="00DE4172"/>
    <w:rsid w:val="00DE428E"/>
    <w:rsid w:val="00DE4378"/>
    <w:rsid w:val="00DE449B"/>
    <w:rsid w:val="00DE4502"/>
    <w:rsid w:val="00DE4561"/>
    <w:rsid w:val="00DE4736"/>
    <w:rsid w:val="00DE4776"/>
    <w:rsid w:val="00DE47B5"/>
    <w:rsid w:val="00DE4841"/>
    <w:rsid w:val="00DE4859"/>
    <w:rsid w:val="00DE4B0B"/>
    <w:rsid w:val="00DE4D45"/>
    <w:rsid w:val="00DE4DD0"/>
    <w:rsid w:val="00DE4DDA"/>
    <w:rsid w:val="00DE4E4C"/>
    <w:rsid w:val="00DE4EC4"/>
    <w:rsid w:val="00DE51E8"/>
    <w:rsid w:val="00DE51F3"/>
    <w:rsid w:val="00DE527D"/>
    <w:rsid w:val="00DE5294"/>
    <w:rsid w:val="00DE5431"/>
    <w:rsid w:val="00DE5721"/>
    <w:rsid w:val="00DE5806"/>
    <w:rsid w:val="00DE5890"/>
    <w:rsid w:val="00DE58DD"/>
    <w:rsid w:val="00DE5A02"/>
    <w:rsid w:val="00DE5BB9"/>
    <w:rsid w:val="00DE5C83"/>
    <w:rsid w:val="00DE5C9C"/>
    <w:rsid w:val="00DE5CCF"/>
    <w:rsid w:val="00DE5E41"/>
    <w:rsid w:val="00DE5EA6"/>
    <w:rsid w:val="00DE5FA8"/>
    <w:rsid w:val="00DE5FEB"/>
    <w:rsid w:val="00DE6037"/>
    <w:rsid w:val="00DE6062"/>
    <w:rsid w:val="00DE60B4"/>
    <w:rsid w:val="00DE6211"/>
    <w:rsid w:val="00DE63B8"/>
    <w:rsid w:val="00DE64F2"/>
    <w:rsid w:val="00DE6560"/>
    <w:rsid w:val="00DE67AC"/>
    <w:rsid w:val="00DE6950"/>
    <w:rsid w:val="00DE695B"/>
    <w:rsid w:val="00DE695C"/>
    <w:rsid w:val="00DE6987"/>
    <w:rsid w:val="00DE6C0C"/>
    <w:rsid w:val="00DE6D33"/>
    <w:rsid w:val="00DE7020"/>
    <w:rsid w:val="00DE70A1"/>
    <w:rsid w:val="00DE70FB"/>
    <w:rsid w:val="00DE7226"/>
    <w:rsid w:val="00DE7340"/>
    <w:rsid w:val="00DE73D9"/>
    <w:rsid w:val="00DE7476"/>
    <w:rsid w:val="00DE764E"/>
    <w:rsid w:val="00DE783B"/>
    <w:rsid w:val="00DE7841"/>
    <w:rsid w:val="00DE7AD1"/>
    <w:rsid w:val="00DE7B81"/>
    <w:rsid w:val="00DE7BA5"/>
    <w:rsid w:val="00DE7BC0"/>
    <w:rsid w:val="00DE7C94"/>
    <w:rsid w:val="00DE7EDD"/>
    <w:rsid w:val="00DE7F6F"/>
    <w:rsid w:val="00DE7FD9"/>
    <w:rsid w:val="00DF0062"/>
    <w:rsid w:val="00DF0063"/>
    <w:rsid w:val="00DF0086"/>
    <w:rsid w:val="00DF011F"/>
    <w:rsid w:val="00DF01A3"/>
    <w:rsid w:val="00DF032A"/>
    <w:rsid w:val="00DF047E"/>
    <w:rsid w:val="00DF0517"/>
    <w:rsid w:val="00DF06AA"/>
    <w:rsid w:val="00DF07B8"/>
    <w:rsid w:val="00DF0845"/>
    <w:rsid w:val="00DF0A5C"/>
    <w:rsid w:val="00DF0BA7"/>
    <w:rsid w:val="00DF0BE9"/>
    <w:rsid w:val="00DF0C40"/>
    <w:rsid w:val="00DF0DD4"/>
    <w:rsid w:val="00DF0DDC"/>
    <w:rsid w:val="00DF0DE2"/>
    <w:rsid w:val="00DF0EC3"/>
    <w:rsid w:val="00DF0FED"/>
    <w:rsid w:val="00DF10BE"/>
    <w:rsid w:val="00DF1244"/>
    <w:rsid w:val="00DF13F7"/>
    <w:rsid w:val="00DF15E0"/>
    <w:rsid w:val="00DF176F"/>
    <w:rsid w:val="00DF1781"/>
    <w:rsid w:val="00DF1858"/>
    <w:rsid w:val="00DF191B"/>
    <w:rsid w:val="00DF1959"/>
    <w:rsid w:val="00DF198C"/>
    <w:rsid w:val="00DF1AAB"/>
    <w:rsid w:val="00DF1BA0"/>
    <w:rsid w:val="00DF1BFB"/>
    <w:rsid w:val="00DF1C04"/>
    <w:rsid w:val="00DF1D08"/>
    <w:rsid w:val="00DF1E27"/>
    <w:rsid w:val="00DF1EE2"/>
    <w:rsid w:val="00DF1F82"/>
    <w:rsid w:val="00DF2084"/>
    <w:rsid w:val="00DF20CD"/>
    <w:rsid w:val="00DF219E"/>
    <w:rsid w:val="00DF232C"/>
    <w:rsid w:val="00DF2572"/>
    <w:rsid w:val="00DF263A"/>
    <w:rsid w:val="00DF279B"/>
    <w:rsid w:val="00DF288F"/>
    <w:rsid w:val="00DF28F6"/>
    <w:rsid w:val="00DF2978"/>
    <w:rsid w:val="00DF2CA7"/>
    <w:rsid w:val="00DF2D4C"/>
    <w:rsid w:val="00DF2D99"/>
    <w:rsid w:val="00DF2DE8"/>
    <w:rsid w:val="00DF3359"/>
    <w:rsid w:val="00DF33DA"/>
    <w:rsid w:val="00DF347A"/>
    <w:rsid w:val="00DF3565"/>
    <w:rsid w:val="00DF3650"/>
    <w:rsid w:val="00DF3681"/>
    <w:rsid w:val="00DF368A"/>
    <w:rsid w:val="00DF373F"/>
    <w:rsid w:val="00DF3774"/>
    <w:rsid w:val="00DF3835"/>
    <w:rsid w:val="00DF396B"/>
    <w:rsid w:val="00DF39A3"/>
    <w:rsid w:val="00DF3CF1"/>
    <w:rsid w:val="00DF3D3A"/>
    <w:rsid w:val="00DF3DED"/>
    <w:rsid w:val="00DF3E09"/>
    <w:rsid w:val="00DF3F56"/>
    <w:rsid w:val="00DF409A"/>
    <w:rsid w:val="00DF434E"/>
    <w:rsid w:val="00DF437A"/>
    <w:rsid w:val="00DF4380"/>
    <w:rsid w:val="00DF44C8"/>
    <w:rsid w:val="00DF4568"/>
    <w:rsid w:val="00DF45DA"/>
    <w:rsid w:val="00DF4744"/>
    <w:rsid w:val="00DF48A6"/>
    <w:rsid w:val="00DF48A9"/>
    <w:rsid w:val="00DF48DD"/>
    <w:rsid w:val="00DF4909"/>
    <w:rsid w:val="00DF4AF1"/>
    <w:rsid w:val="00DF4BDD"/>
    <w:rsid w:val="00DF4C04"/>
    <w:rsid w:val="00DF4D22"/>
    <w:rsid w:val="00DF4DDB"/>
    <w:rsid w:val="00DF4F87"/>
    <w:rsid w:val="00DF5058"/>
    <w:rsid w:val="00DF505A"/>
    <w:rsid w:val="00DF50F5"/>
    <w:rsid w:val="00DF5124"/>
    <w:rsid w:val="00DF512B"/>
    <w:rsid w:val="00DF518D"/>
    <w:rsid w:val="00DF5228"/>
    <w:rsid w:val="00DF5230"/>
    <w:rsid w:val="00DF5248"/>
    <w:rsid w:val="00DF5374"/>
    <w:rsid w:val="00DF5434"/>
    <w:rsid w:val="00DF5524"/>
    <w:rsid w:val="00DF557F"/>
    <w:rsid w:val="00DF5662"/>
    <w:rsid w:val="00DF5694"/>
    <w:rsid w:val="00DF56EE"/>
    <w:rsid w:val="00DF582F"/>
    <w:rsid w:val="00DF587D"/>
    <w:rsid w:val="00DF588A"/>
    <w:rsid w:val="00DF588D"/>
    <w:rsid w:val="00DF58CE"/>
    <w:rsid w:val="00DF59D2"/>
    <w:rsid w:val="00DF5BAC"/>
    <w:rsid w:val="00DF5CD8"/>
    <w:rsid w:val="00DF5E0C"/>
    <w:rsid w:val="00DF5EA7"/>
    <w:rsid w:val="00DF5ECC"/>
    <w:rsid w:val="00DF5F19"/>
    <w:rsid w:val="00DF6060"/>
    <w:rsid w:val="00DF6073"/>
    <w:rsid w:val="00DF60DB"/>
    <w:rsid w:val="00DF60F3"/>
    <w:rsid w:val="00DF616A"/>
    <w:rsid w:val="00DF61C4"/>
    <w:rsid w:val="00DF62B0"/>
    <w:rsid w:val="00DF6404"/>
    <w:rsid w:val="00DF6473"/>
    <w:rsid w:val="00DF6855"/>
    <w:rsid w:val="00DF68F7"/>
    <w:rsid w:val="00DF691E"/>
    <w:rsid w:val="00DF6BB5"/>
    <w:rsid w:val="00DF6C14"/>
    <w:rsid w:val="00DF6C79"/>
    <w:rsid w:val="00DF6C7F"/>
    <w:rsid w:val="00DF6C85"/>
    <w:rsid w:val="00DF701D"/>
    <w:rsid w:val="00DF7052"/>
    <w:rsid w:val="00DF707E"/>
    <w:rsid w:val="00DF70C9"/>
    <w:rsid w:val="00DF7129"/>
    <w:rsid w:val="00DF71EB"/>
    <w:rsid w:val="00DF738C"/>
    <w:rsid w:val="00DF73AF"/>
    <w:rsid w:val="00DF744C"/>
    <w:rsid w:val="00DF7518"/>
    <w:rsid w:val="00DF75CE"/>
    <w:rsid w:val="00DF7830"/>
    <w:rsid w:val="00DF7940"/>
    <w:rsid w:val="00DF79E2"/>
    <w:rsid w:val="00DF7A7E"/>
    <w:rsid w:val="00DF7CBB"/>
    <w:rsid w:val="00DF7DD5"/>
    <w:rsid w:val="00DF7F0C"/>
    <w:rsid w:val="00DF7F17"/>
    <w:rsid w:val="00E000DF"/>
    <w:rsid w:val="00E00213"/>
    <w:rsid w:val="00E002B6"/>
    <w:rsid w:val="00E003AF"/>
    <w:rsid w:val="00E00595"/>
    <w:rsid w:val="00E00635"/>
    <w:rsid w:val="00E00666"/>
    <w:rsid w:val="00E0076C"/>
    <w:rsid w:val="00E00A8A"/>
    <w:rsid w:val="00E00AD3"/>
    <w:rsid w:val="00E00C3C"/>
    <w:rsid w:val="00E00DAB"/>
    <w:rsid w:val="00E00E3A"/>
    <w:rsid w:val="00E00E9D"/>
    <w:rsid w:val="00E00F18"/>
    <w:rsid w:val="00E00F23"/>
    <w:rsid w:val="00E00F8E"/>
    <w:rsid w:val="00E01093"/>
    <w:rsid w:val="00E0114F"/>
    <w:rsid w:val="00E01280"/>
    <w:rsid w:val="00E015EA"/>
    <w:rsid w:val="00E01625"/>
    <w:rsid w:val="00E016F9"/>
    <w:rsid w:val="00E01838"/>
    <w:rsid w:val="00E01857"/>
    <w:rsid w:val="00E01862"/>
    <w:rsid w:val="00E0196D"/>
    <w:rsid w:val="00E01A3D"/>
    <w:rsid w:val="00E01A7F"/>
    <w:rsid w:val="00E01D77"/>
    <w:rsid w:val="00E01DB5"/>
    <w:rsid w:val="00E01EA8"/>
    <w:rsid w:val="00E02017"/>
    <w:rsid w:val="00E02054"/>
    <w:rsid w:val="00E0212F"/>
    <w:rsid w:val="00E0213B"/>
    <w:rsid w:val="00E023C1"/>
    <w:rsid w:val="00E025D1"/>
    <w:rsid w:val="00E02811"/>
    <w:rsid w:val="00E02858"/>
    <w:rsid w:val="00E028D7"/>
    <w:rsid w:val="00E029B1"/>
    <w:rsid w:val="00E02B63"/>
    <w:rsid w:val="00E02DA0"/>
    <w:rsid w:val="00E02E26"/>
    <w:rsid w:val="00E02E53"/>
    <w:rsid w:val="00E02F82"/>
    <w:rsid w:val="00E02F9A"/>
    <w:rsid w:val="00E02FDE"/>
    <w:rsid w:val="00E030F8"/>
    <w:rsid w:val="00E03142"/>
    <w:rsid w:val="00E03170"/>
    <w:rsid w:val="00E031BA"/>
    <w:rsid w:val="00E03368"/>
    <w:rsid w:val="00E03392"/>
    <w:rsid w:val="00E03478"/>
    <w:rsid w:val="00E034F6"/>
    <w:rsid w:val="00E0358A"/>
    <w:rsid w:val="00E039CA"/>
    <w:rsid w:val="00E03A96"/>
    <w:rsid w:val="00E03B1A"/>
    <w:rsid w:val="00E03B64"/>
    <w:rsid w:val="00E03BDC"/>
    <w:rsid w:val="00E03D83"/>
    <w:rsid w:val="00E03FCB"/>
    <w:rsid w:val="00E0403E"/>
    <w:rsid w:val="00E04057"/>
    <w:rsid w:val="00E04082"/>
    <w:rsid w:val="00E04291"/>
    <w:rsid w:val="00E042DF"/>
    <w:rsid w:val="00E0438D"/>
    <w:rsid w:val="00E043A2"/>
    <w:rsid w:val="00E043B1"/>
    <w:rsid w:val="00E04702"/>
    <w:rsid w:val="00E0473C"/>
    <w:rsid w:val="00E047EF"/>
    <w:rsid w:val="00E0488F"/>
    <w:rsid w:val="00E048A3"/>
    <w:rsid w:val="00E04A6E"/>
    <w:rsid w:val="00E04A86"/>
    <w:rsid w:val="00E04AC0"/>
    <w:rsid w:val="00E04BD9"/>
    <w:rsid w:val="00E04D4C"/>
    <w:rsid w:val="00E04F6B"/>
    <w:rsid w:val="00E04F75"/>
    <w:rsid w:val="00E04FC3"/>
    <w:rsid w:val="00E05017"/>
    <w:rsid w:val="00E05248"/>
    <w:rsid w:val="00E05290"/>
    <w:rsid w:val="00E052A8"/>
    <w:rsid w:val="00E053AE"/>
    <w:rsid w:val="00E053EC"/>
    <w:rsid w:val="00E054D3"/>
    <w:rsid w:val="00E0551E"/>
    <w:rsid w:val="00E05532"/>
    <w:rsid w:val="00E055C4"/>
    <w:rsid w:val="00E05761"/>
    <w:rsid w:val="00E05814"/>
    <w:rsid w:val="00E0582A"/>
    <w:rsid w:val="00E05D06"/>
    <w:rsid w:val="00E05D65"/>
    <w:rsid w:val="00E05D68"/>
    <w:rsid w:val="00E05DAE"/>
    <w:rsid w:val="00E05E4C"/>
    <w:rsid w:val="00E05FCA"/>
    <w:rsid w:val="00E0602C"/>
    <w:rsid w:val="00E06070"/>
    <w:rsid w:val="00E0607C"/>
    <w:rsid w:val="00E060C3"/>
    <w:rsid w:val="00E0610D"/>
    <w:rsid w:val="00E062F4"/>
    <w:rsid w:val="00E06367"/>
    <w:rsid w:val="00E06879"/>
    <w:rsid w:val="00E06987"/>
    <w:rsid w:val="00E0699A"/>
    <w:rsid w:val="00E069F5"/>
    <w:rsid w:val="00E06BB4"/>
    <w:rsid w:val="00E06C63"/>
    <w:rsid w:val="00E06CC5"/>
    <w:rsid w:val="00E06D08"/>
    <w:rsid w:val="00E06D47"/>
    <w:rsid w:val="00E06E13"/>
    <w:rsid w:val="00E06EF6"/>
    <w:rsid w:val="00E06FC5"/>
    <w:rsid w:val="00E0709E"/>
    <w:rsid w:val="00E07268"/>
    <w:rsid w:val="00E072BD"/>
    <w:rsid w:val="00E073D5"/>
    <w:rsid w:val="00E07492"/>
    <w:rsid w:val="00E0760F"/>
    <w:rsid w:val="00E076BA"/>
    <w:rsid w:val="00E077B8"/>
    <w:rsid w:val="00E078E0"/>
    <w:rsid w:val="00E078F0"/>
    <w:rsid w:val="00E0794E"/>
    <w:rsid w:val="00E07B63"/>
    <w:rsid w:val="00E07C24"/>
    <w:rsid w:val="00E07C6C"/>
    <w:rsid w:val="00E07C91"/>
    <w:rsid w:val="00E07CB0"/>
    <w:rsid w:val="00E07CF5"/>
    <w:rsid w:val="00E07D7F"/>
    <w:rsid w:val="00E07DAF"/>
    <w:rsid w:val="00E07EA3"/>
    <w:rsid w:val="00E07FA5"/>
    <w:rsid w:val="00E1009A"/>
    <w:rsid w:val="00E10125"/>
    <w:rsid w:val="00E101DC"/>
    <w:rsid w:val="00E10267"/>
    <w:rsid w:val="00E103BF"/>
    <w:rsid w:val="00E10427"/>
    <w:rsid w:val="00E10517"/>
    <w:rsid w:val="00E105C0"/>
    <w:rsid w:val="00E105FB"/>
    <w:rsid w:val="00E10621"/>
    <w:rsid w:val="00E1078E"/>
    <w:rsid w:val="00E1079F"/>
    <w:rsid w:val="00E108BA"/>
    <w:rsid w:val="00E10AF6"/>
    <w:rsid w:val="00E10B63"/>
    <w:rsid w:val="00E10BC0"/>
    <w:rsid w:val="00E10C31"/>
    <w:rsid w:val="00E10CEC"/>
    <w:rsid w:val="00E10D2B"/>
    <w:rsid w:val="00E10D3D"/>
    <w:rsid w:val="00E10E11"/>
    <w:rsid w:val="00E10E54"/>
    <w:rsid w:val="00E10EAE"/>
    <w:rsid w:val="00E10F0C"/>
    <w:rsid w:val="00E10FA7"/>
    <w:rsid w:val="00E11273"/>
    <w:rsid w:val="00E113EC"/>
    <w:rsid w:val="00E11432"/>
    <w:rsid w:val="00E11495"/>
    <w:rsid w:val="00E11627"/>
    <w:rsid w:val="00E1164D"/>
    <w:rsid w:val="00E116C0"/>
    <w:rsid w:val="00E11873"/>
    <w:rsid w:val="00E11A44"/>
    <w:rsid w:val="00E11B3B"/>
    <w:rsid w:val="00E11C2F"/>
    <w:rsid w:val="00E11E79"/>
    <w:rsid w:val="00E11F45"/>
    <w:rsid w:val="00E12086"/>
    <w:rsid w:val="00E12089"/>
    <w:rsid w:val="00E120E3"/>
    <w:rsid w:val="00E12206"/>
    <w:rsid w:val="00E123A0"/>
    <w:rsid w:val="00E123A3"/>
    <w:rsid w:val="00E12406"/>
    <w:rsid w:val="00E124D5"/>
    <w:rsid w:val="00E12694"/>
    <w:rsid w:val="00E1286D"/>
    <w:rsid w:val="00E1292D"/>
    <w:rsid w:val="00E12AEB"/>
    <w:rsid w:val="00E12BFD"/>
    <w:rsid w:val="00E12D87"/>
    <w:rsid w:val="00E130AD"/>
    <w:rsid w:val="00E131BB"/>
    <w:rsid w:val="00E13248"/>
    <w:rsid w:val="00E13265"/>
    <w:rsid w:val="00E13319"/>
    <w:rsid w:val="00E13347"/>
    <w:rsid w:val="00E133EA"/>
    <w:rsid w:val="00E134B2"/>
    <w:rsid w:val="00E1353A"/>
    <w:rsid w:val="00E13559"/>
    <w:rsid w:val="00E135B2"/>
    <w:rsid w:val="00E1361C"/>
    <w:rsid w:val="00E1362E"/>
    <w:rsid w:val="00E13897"/>
    <w:rsid w:val="00E13B07"/>
    <w:rsid w:val="00E13B28"/>
    <w:rsid w:val="00E13D85"/>
    <w:rsid w:val="00E13DC1"/>
    <w:rsid w:val="00E13F50"/>
    <w:rsid w:val="00E13F76"/>
    <w:rsid w:val="00E1403E"/>
    <w:rsid w:val="00E140D1"/>
    <w:rsid w:val="00E1412D"/>
    <w:rsid w:val="00E142D5"/>
    <w:rsid w:val="00E145BD"/>
    <w:rsid w:val="00E1481E"/>
    <w:rsid w:val="00E1499F"/>
    <w:rsid w:val="00E149D6"/>
    <w:rsid w:val="00E14B33"/>
    <w:rsid w:val="00E14B79"/>
    <w:rsid w:val="00E14CA7"/>
    <w:rsid w:val="00E14CEC"/>
    <w:rsid w:val="00E14E5C"/>
    <w:rsid w:val="00E14E96"/>
    <w:rsid w:val="00E14E9A"/>
    <w:rsid w:val="00E14EA8"/>
    <w:rsid w:val="00E14F35"/>
    <w:rsid w:val="00E15021"/>
    <w:rsid w:val="00E15156"/>
    <w:rsid w:val="00E151C7"/>
    <w:rsid w:val="00E15251"/>
    <w:rsid w:val="00E153CC"/>
    <w:rsid w:val="00E15418"/>
    <w:rsid w:val="00E1554E"/>
    <w:rsid w:val="00E1557E"/>
    <w:rsid w:val="00E1573D"/>
    <w:rsid w:val="00E15759"/>
    <w:rsid w:val="00E15768"/>
    <w:rsid w:val="00E15780"/>
    <w:rsid w:val="00E157E4"/>
    <w:rsid w:val="00E158EC"/>
    <w:rsid w:val="00E159AE"/>
    <w:rsid w:val="00E15A54"/>
    <w:rsid w:val="00E15C93"/>
    <w:rsid w:val="00E15CBE"/>
    <w:rsid w:val="00E15D03"/>
    <w:rsid w:val="00E15E09"/>
    <w:rsid w:val="00E15FC9"/>
    <w:rsid w:val="00E16038"/>
    <w:rsid w:val="00E16108"/>
    <w:rsid w:val="00E162E6"/>
    <w:rsid w:val="00E1630C"/>
    <w:rsid w:val="00E1653C"/>
    <w:rsid w:val="00E16550"/>
    <w:rsid w:val="00E166C8"/>
    <w:rsid w:val="00E16800"/>
    <w:rsid w:val="00E16819"/>
    <w:rsid w:val="00E16B3D"/>
    <w:rsid w:val="00E16BA6"/>
    <w:rsid w:val="00E16C0C"/>
    <w:rsid w:val="00E16C21"/>
    <w:rsid w:val="00E16C67"/>
    <w:rsid w:val="00E16C8B"/>
    <w:rsid w:val="00E16CD5"/>
    <w:rsid w:val="00E16CF5"/>
    <w:rsid w:val="00E16F76"/>
    <w:rsid w:val="00E171EB"/>
    <w:rsid w:val="00E1735A"/>
    <w:rsid w:val="00E17392"/>
    <w:rsid w:val="00E174DA"/>
    <w:rsid w:val="00E175B0"/>
    <w:rsid w:val="00E17626"/>
    <w:rsid w:val="00E176F4"/>
    <w:rsid w:val="00E17973"/>
    <w:rsid w:val="00E179A4"/>
    <w:rsid w:val="00E17A75"/>
    <w:rsid w:val="00E17BD8"/>
    <w:rsid w:val="00E17D25"/>
    <w:rsid w:val="00E17D76"/>
    <w:rsid w:val="00E17F6B"/>
    <w:rsid w:val="00E20058"/>
    <w:rsid w:val="00E20B42"/>
    <w:rsid w:val="00E20B43"/>
    <w:rsid w:val="00E20BCB"/>
    <w:rsid w:val="00E20BD9"/>
    <w:rsid w:val="00E20BFF"/>
    <w:rsid w:val="00E20C1B"/>
    <w:rsid w:val="00E20D11"/>
    <w:rsid w:val="00E20FD7"/>
    <w:rsid w:val="00E2135F"/>
    <w:rsid w:val="00E21418"/>
    <w:rsid w:val="00E21510"/>
    <w:rsid w:val="00E2157F"/>
    <w:rsid w:val="00E216BC"/>
    <w:rsid w:val="00E216DF"/>
    <w:rsid w:val="00E217A5"/>
    <w:rsid w:val="00E21939"/>
    <w:rsid w:val="00E219F7"/>
    <w:rsid w:val="00E21A11"/>
    <w:rsid w:val="00E21A12"/>
    <w:rsid w:val="00E21B72"/>
    <w:rsid w:val="00E21CEF"/>
    <w:rsid w:val="00E21E35"/>
    <w:rsid w:val="00E21F0D"/>
    <w:rsid w:val="00E22262"/>
    <w:rsid w:val="00E22268"/>
    <w:rsid w:val="00E222CE"/>
    <w:rsid w:val="00E224C2"/>
    <w:rsid w:val="00E2299B"/>
    <w:rsid w:val="00E229EE"/>
    <w:rsid w:val="00E22A42"/>
    <w:rsid w:val="00E22A56"/>
    <w:rsid w:val="00E22A6D"/>
    <w:rsid w:val="00E22B96"/>
    <w:rsid w:val="00E22D68"/>
    <w:rsid w:val="00E22ED2"/>
    <w:rsid w:val="00E22F5B"/>
    <w:rsid w:val="00E230E2"/>
    <w:rsid w:val="00E23183"/>
    <w:rsid w:val="00E231C3"/>
    <w:rsid w:val="00E232B7"/>
    <w:rsid w:val="00E23378"/>
    <w:rsid w:val="00E233D9"/>
    <w:rsid w:val="00E233F6"/>
    <w:rsid w:val="00E2347C"/>
    <w:rsid w:val="00E235A8"/>
    <w:rsid w:val="00E235F6"/>
    <w:rsid w:val="00E23768"/>
    <w:rsid w:val="00E239C7"/>
    <w:rsid w:val="00E23AAD"/>
    <w:rsid w:val="00E23B35"/>
    <w:rsid w:val="00E23BE7"/>
    <w:rsid w:val="00E23C6C"/>
    <w:rsid w:val="00E23CE6"/>
    <w:rsid w:val="00E23E37"/>
    <w:rsid w:val="00E24069"/>
    <w:rsid w:val="00E24119"/>
    <w:rsid w:val="00E243AE"/>
    <w:rsid w:val="00E24483"/>
    <w:rsid w:val="00E244DD"/>
    <w:rsid w:val="00E2458D"/>
    <w:rsid w:val="00E2478A"/>
    <w:rsid w:val="00E248C6"/>
    <w:rsid w:val="00E24929"/>
    <w:rsid w:val="00E249D7"/>
    <w:rsid w:val="00E249E6"/>
    <w:rsid w:val="00E24A2C"/>
    <w:rsid w:val="00E24CDC"/>
    <w:rsid w:val="00E24D60"/>
    <w:rsid w:val="00E24D9F"/>
    <w:rsid w:val="00E24E24"/>
    <w:rsid w:val="00E24F2F"/>
    <w:rsid w:val="00E24FC7"/>
    <w:rsid w:val="00E25236"/>
    <w:rsid w:val="00E25402"/>
    <w:rsid w:val="00E25565"/>
    <w:rsid w:val="00E256B7"/>
    <w:rsid w:val="00E256D8"/>
    <w:rsid w:val="00E2586A"/>
    <w:rsid w:val="00E25964"/>
    <w:rsid w:val="00E25965"/>
    <w:rsid w:val="00E2596B"/>
    <w:rsid w:val="00E25B9F"/>
    <w:rsid w:val="00E25E42"/>
    <w:rsid w:val="00E25EEE"/>
    <w:rsid w:val="00E25F02"/>
    <w:rsid w:val="00E25FB4"/>
    <w:rsid w:val="00E2607B"/>
    <w:rsid w:val="00E2610D"/>
    <w:rsid w:val="00E26358"/>
    <w:rsid w:val="00E263B7"/>
    <w:rsid w:val="00E264A2"/>
    <w:rsid w:val="00E26559"/>
    <w:rsid w:val="00E265A8"/>
    <w:rsid w:val="00E265F7"/>
    <w:rsid w:val="00E266BC"/>
    <w:rsid w:val="00E266BF"/>
    <w:rsid w:val="00E26717"/>
    <w:rsid w:val="00E268A5"/>
    <w:rsid w:val="00E26A1A"/>
    <w:rsid w:val="00E26AD8"/>
    <w:rsid w:val="00E26C43"/>
    <w:rsid w:val="00E26C60"/>
    <w:rsid w:val="00E26D07"/>
    <w:rsid w:val="00E26FB8"/>
    <w:rsid w:val="00E27194"/>
    <w:rsid w:val="00E271E5"/>
    <w:rsid w:val="00E271EE"/>
    <w:rsid w:val="00E27262"/>
    <w:rsid w:val="00E27502"/>
    <w:rsid w:val="00E2752A"/>
    <w:rsid w:val="00E276D5"/>
    <w:rsid w:val="00E278D0"/>
    <w:rsid w:val="00E278D3"/>
    <w:rsid w:val="00E27AE2"/>
    <w:rsid w:val="00E27BD4"/>
    <w:rsid w:val="00E27CAC"/>
    <w:rsid w:val="00E27DD3"/>
    <w:rsid w:val="00E300A8"/>
    <w:rsid w:val="00E30332"/>
    <w:rsid w:val="00E3036F"/>
    <w:rsid w:val="00E30383"/>
    <w:rsid w:val="00E30414"/>
    <w:rsid w:val="00E30538"/>
    <w:rsid w:val="00E3056F"/>
    <w:rsid w:val="00E3060F"/>
    <w:rsid w:val="00E30693"/>
    <w:rsid w:val="00E307A7"/>
    <w:rsid w:val="00E30AA8"/>
    <w:rsid w:val="00E30B27"/>
    <w:rsid w:val="00E30B75"/>
    <w:rsid w:val="00E30BA1"/>
    <w:rsid w:val="00E30C04"/>
    <w:rsid w:val="00E30C4B"/>
    <w:rsid w:val="00E30CDC"/>
    <w:rsid w:val="00E30FC1"/>
    <w:rsid w:val="00E310ED"/>
    <w:rsid w:val="00E313C8"/>
    <w:rsid w:val="00E31400"/>
    <w:rsid w:val="00E31417"/>
    <w:rsid w:val="00E31836"/>
    <w:rsid w:val="00E318FA"/>
    <w:rsid w:val="00E31A7B"/>
    <w:rsid w:val="00E31BF4"/>
    <w:rsid w:val="00E31D97"/>
    <w:rsid w:val="00E31EAA"/>
    <w:rsid w:val="00E32315"/>
    <w:rsid w:val="00E32466"/>
    <w:rsid w:val="00E324FA"/>
    <w:rsid w:val="00E3258D"/>
    <w:rsid w:val="00E3259D"/>
    <w:rsid w:val="00E32694"/>
    <w:rsid w:val="00E3272C"/>
    <w:rsid w:val="00E32752"/>
    <w:rsid w:val="00E327D5"/>
    <w:rsid w:val="00E32A77"/>
    <w:rsid w:val="00E32ACC"/>
    <w:rsid w:val="00E32C77"/>
    <w:rsid w:val="00E32CA1"/>
    <w:rsid w:val="00E32CF6"/>
    <w:rsid w:val="00E32F35"/>
    <w:rsid w:val="00E32FB8"/>
    <w:rsid w:val="00E33009"/>
    <w:rsid w:val="00E330DC"/>
    <w:rsid w:val="00E33177"/>
    <w:rsid w:val="00E3335B"/>
    <w:rsid w:val="00E33570"/>
    <w:rsid w:val="00E335B5"/>
    <w:rsid w:val="00E338A7"/>
    <w:rsid w:val="00E33AFA"/>
    <w:rsid w:val="00E33B2D"/>
    <w:rsid w:val="00E33C92"/>
    <w:rsid w:val="00E3400E"/>
    <w:rsid w:val="00E340A6"/>
    <w:rsid w:val="00E340BF"/>
    <w:rsid w:val="00E34182"/>
    <w:rsid w:val="00E3446C"/>
    <w:rsid w:val="00E34471"/>
    <w:rsid w:val="00E34527"/>
    <w:rsid w:val="00E346C4"/>
    <w:rsid w:val="00E346F5"/>
    <w:rsid w:val="00E3473B"/>
    <w:rsid w:val="00E3476E"/>
    <w:rsid w:val="00E34914"/>
    <w:rsid w:val="00E34978"/>
    <w:rsid w:val="00E349A6"/>
    <w:rsid w:val="00E349C0"/>
    <w:rsid w:val="00E349D5"/>
    <w:rsid w:val="00E34C23"/>
    <w:rsid w:val="00E34D72"/>
    <w:rsid w:val="00E34E6E"/>
    <w:rsid w:val="00E34F00"/>
    <w:rsid w:val="00E34F38"/>
    <w:rsid w:val="00E35121"/>
    <w:rsid w:val="00E3515D"/>
    <w:rsid w:val="00E35351"/>
    <w:rsid w:val="00E353DF"/>
    <w:rsid w:val="00E355D8"/>
    <w:rsid w:val="00E3583F"/>
    <w:rsid w:val="00E35847"/>
    <w:rsid w:val="00E358ED"/>
    <w:rsid w:val="00E35904"/>
    <w:rsid w:val="00E35967"/>
    <w:rsid w:val="00E359D0"/>
    <w:rsid w:val="00E35B64"/>
    <w:rsid w:val="00E35BEF"/>
    <w:rsid w:val="00E35BFE"/>
    <w:rsid w:val="00E35FE1"/>
    <w:rsid w:val="00E36021"/>
    <w:rsid w:val="00E3623C"/>
    <w:rsid w:val="00E3627C"/>
    <w:rsid w:val="00E362BB"/>
    <w:rsid w:val="00E36344"/>
    <w:rsid w:val="00E36431"/>
    <w:rsid w:val="00E367F8"/>
    <w:rsid w:val="00E368F7"/>
    <w:rsid w:val="00E36A01"/>
    <w:rsid w:val="00E36C26"/>
    <w:rsid w:val="00E36D92"/>
    <w:rsid w:val="00E37040"/>
    <w:rsid w:val="00E3716A"/>
    <w:rsid w:val="00E3717E"/>
    <w:rsid w:val="00E371B2"/>
    <w:rsid w:val="00E37236"/>
    <w:rsid w:val="00E37475"/>
    <w:rsid w:val="00E377DE"/>
    <w:rsid w:val="00E3788F"/>
    <w:rsid w:val="00E37947"/>
    <w:rsid w:val="00E37ACC"/>
    <w:rsid w:val="00E37AFA"/>
    <w:rsid w:val="00E37B0B"/>
    <w:rsid w:val="00E37BB9"/>
    <w:rsid w:val="00E37C33"/>
    <w:rsid w:val="00E37D8D"/>
    <w:rsid w:val="00E37E46"/>
    <w:rsid w:val="00E37F23"/>
    <w:rsid w:val="00E37F2C"/>
    <w:rsid w:val="00E37FD0"/>
    <w:rsid w:val="00E400AC"/>
    <w:rsid w:val="00E400DE"/>
    <w:rsid w:val="00E401AB"/>
    <w:rsid w:val="00E40202"/>
    <w:rsid w:val="00E403A9"/>
    <w:rsid w:val="00E40668"/>
    <w:rsid w:val="00E406AC"/>
    <w:rsid w:val="00E4099C"/>
    <w:rsid w:val="00E409F1"/>
    <w:rsid w:val="00E40A94"/>
    <w:rsid w:val="00E40D72"/>
    <w:rsid w:val="00E40E5B"/>
    <w:rsid w:val="00E40F49"/>
    <w:rsid w:val="00E40FB2"/>
    <w:rsid w:val="00E410A6"/>
    <w:rsid w:val="00E411AE"/>
    <w:rsid w:val="00E411E4"/>
    <w:rsid w:val="00E413A6"/>
    <w:rsid w:val="00E413FF"/>
    <w:rsid w:val="00E4142B"/>
    <w:rsid w:val="00E414FD"/>
    <w:rsid w:val="00E41565"/>
    <w:rsid w:val="00E415CD"/>
    <w:rsid w:val="00E416F0"/>
    <w:rsid w:val="00E41727"/>
    <w:rsid w:val="00E41744"/>
    <w:rsid w:val="00E4174E"/>
    <w:rsid w:val="00E41813"/>
    <w:rsid w:val="00E41887"/>
    <w:rsid w:val="00E41962"/>
    <w:rsid w:val="00E419B7"/>
    <w:rsid w:val="00E41A95"/>
    <w:rsid w:val="00E41B1C"/>
    <w:rsid w:val="00E41BB7"/>
    <w:rsid w:val="00E41C20"/>
    <w:rsid w:val="00E41CB5"/>
    <w:rsid w:val="00E41CE6"/>
    <w:rsid w:val="00E41D80"/>
    <w:rsid w:val="00E41E12"/>
    <w:rsid w:val="00E41E14"/>
    <w:rsid w:val="00E41EAC"/>
    <w:rsid w:val="00E4202B"/>
    <w:rsid w:val="00E42190"/>
    <w:rsid w:val="00E421AE"/>
    <w:rsid w:val="00E421DF"/>
    <w:rsid w:val="00E4238E"/>
    <w:rsid w:val="00E42482"/>
    <w:rsid w:val="00E424B2"/>
    <w:rsid w:val="00E42555"/>
    <w:rsid w:val="00E425C2"/>
    <w:rsid w:val="00E4265F"/>
    <w:rsid w:val="00E426E3"/>
    <w:rsid w:val="00E4279B"/>
    <w:rsid w:val="00E42855"/>
    <w:rsid w:val="00E428DF"/>
    <w:rsid w:val="00E42979"/>
    <w:rsid w:val="00E429C0"/>
    <w:rsid w:val="00E429D7"/>
    <w:rsid w:val="00E42AB1"/>
    <w:rsid w:val="00E42ABD"/>
    <w:rsid w:val="00E42B92"/>
    <w:rsid w:val="00E42BF5"/>
    <w:rsid w:val="00E42D62"/>
    <w:rsid w:val="00E4309D"/>
    <w:rsid w:val="00E43147"/>
    <w:rsid w:val="00E431DD"/>
    <w:rsid w:val="00E4325A"/>
    <w:rsid w:val="00E43480"/>
    <w:rsid w:val="00E43542"/>
    <w:rsid w:val="00E435BD"/>
    <w:rsid w:val="00E435DC"/>
    <w:rsid w:val="00E43634"/>
    <w:rsid w:val="00E4363C"/>
    <w:rsid w:val="00E437A6"/>
    <w:rsid w:val="00E437B1"/>
    <w:rsid w:val="00E4389E"/>
    <w:rsid w:val="00E43901"/>
    <w:rsid w:val="00E43ABE"/>
    <w:rsid w:val="00E43B3D"/>
    <w:rsid w:val="00E43B93"/>
    <w:rsid w:val="00E43BD8"/>
    <w:rsid w:val="00E440FA"/>
    <w:rsid w:val="00E4417A"/>
    <w:rsid w:val="00E442AD"/>
    <w:rsid w:val="00E44685"/>
    <w:rsid w:val="00E44835"/>
    <w:rsid w:val="00E449E0"/>
    <w:rsid w:val="00E44B23"/>
    <w:rsid w:val="00E44B61"/>
    <w:rsid w:val="00E44B76"/>
    <w:rsid w:val="00E44C27"/>
    <w:rsid w:val="00E44CCF"/>
    <w:rsid w:val="00E44E2F"/>
    <w:rsid w:val="00E44E4E"/>
    <w:rsid w:val="00E44EB7"/>
    <w:rsid w:val="00E44EC9"/>
    <w:rsid w:val="00E450A0"/>
    <w:rsid w:val="00E450E0"/>
    <w:rsid w:val="00E452E8"/>
    <w:rsid w:val="00E45386"/>
    <w:rsid w:val="00E453DD"/>
    <w:rsid w:val="00E454B7"/>
    <w:rsid w:val="00E4561D"/>
    <w:rsid w:val="00E4570C"/>
    <w:rsid w:val="00E45817"/>
    <w:rsid w:val="00E45843"/>
    <w:rsid w:val="00E4590A"/>
    <w:rsid w:val="00E45A54"/>
    <w:rsid w:val="00E45A6B"/>
    <w:rsid w:val="00E45A72"/>
    <w:rsid w:val="00E45CD8"/>
    <w:rsid w:val="00E45E4D"/>
    <w:rsid w:val="00E46035"/>
    <w:rsid w:val="00E46057"/>
    <w:rsid w:val="00E46087"/>
    <w:rsid w:val="00E4621A"/>
    <w:rsid w:val="00E462B0"/>
    <w:rsid w:val="00E46466"/>
    <w:rsid w:val="00E46623"/>
    <w:rsid w:val="00E46758"/>
    <w:rsid w:val="00E467C4"/>
    <w:rsid w:val="00E4680A"/>
    <w:rsid w:val="00E46978"/>
    <w:rsid w:val="00E46A3F"/>
    <w:rsid w:val="00E46B90"/>
    <w:rsid w:val="00E46BA7"/>
    <w:rsid w:val="00E46BDE"/>
    <w:rsid w:val="00E46C60"/>
    <w:rsid w:val="00E46D5C"/>
    <w:rsid w:val="00E46E80"/>
    <w:rsid w:val="00E46EE0"/>
    <w:rsid w:val="00E46FE3"/>
    <w:rsid w:val="00E470FF"/>
    <w:rsid w:val="00E47270"/>
    <w:rsid w:val="00E472AC"/>
    <w:rsid w:val="00E472DA"/>
    <w:rsid w:val="00E47447"/>
    <w:rsid w:val="00E474FC"/>
    <w:rsid w:val="00E47500"/>
    <w:rsid w:val="00E475B1"/>
    <w:rsid w:val="00E475D3"/>
    <w:rsid w:val="00E4779E"/>
    <w:rsid w:val="00E47815"/>
    <w:rsid w:val="00E47817"/>
    <w:rsid w:val="00E47B50"/>
    <w:rsid w:val="00E47CC4"/>
    <w:rsid w:val="00E47D17"/>
    <w:rsid w:val="00E47E60"/>
    <w:rsid w:val="00E47E9D"/>
    <w:rsid w:val="00E500B2"/>
    <w:rsid w:val="00E50168"/>
    <w:rsid w:val="00E50287"/>
    <w:rsid w:val="00E5037A"/>
    <w:rsid w:val="00E503BF"/>
    <w:rsid w:val="00E5042F"/>
    <w:rsid w:val="00E50534"/>
    <w:rsid w:val="00E50793"/>
    <w:rsid w:val="00E50914"/>
    <w:rsid w:val="00E50923"/>
    <w:rsid w:val="00E50951"/>
    <w:rsid w:val="00E50ABF"/>
    <w:rsid w:val="00E50B0E"/>
    <w:rsid w:val="00E50E07"/>
    <w:rsid w:val="00E50E82"/>
    <w:rsid w:val="00E50E91"/>
    <w:rsid w:val="00E50EF9"/>
    <w:rsid w:val="00E50FD9"/>
    <w:rsid w:val="00E510D1"/>
    <w:rsid w:val="00E51222"/>
    <w:rsid w:val="00E5123D"/>
    <w:rsid w:val="00E5126C"/>
    <w:rsid w:val="00E512AD"/>
    <w:rsid w:val="00E51319"/>
    <w:rsid w:val="00E5139F"/>
    <w:rsid w:val="00E51526"/>
    <w:rsid w:val="00E51558"/>
    <w:rsid w:val="00E516EB"/>
    <w:rsid w:val="00E51851"/>
    <w:rsid w:val="00E5199B"/>
    <w:rsid w:val="00E51A4F"/>
    <w:rsid w:val="00E51AB1"/>
    <w:rsid w:val="00E51BCD"/>
    <w:rsid w:val="00E51BDE"/>
    <w:rsid w:val="00E51D15"/>
    <w:rsid w:val="00E51D33"/>
    <w:rsid w:val="00E51F8E"/>
    <w:rsid w:val="00E51FC1"/>
    <w:rsid w:val="00E52492"/>
    <w:rsid w:val="00E525A6"/>
    <w:rsid w:val="00E52614"/>
    <w:rsid w:val="00E52657"/>
    <w:rsid w:val="00E52744"/>
    <w:rsid w:val="00E52829"/>
    <w:rsid w:val="00E528A6"/>
    <w:rsid w:val="00E52B14"/>
    <w:rsid w:val="00E52C0E"/>
    <w:rsid w:val="00E52C2E"/>
    <w:rsid w:val="00E52DDE"/>
    <w:rsid w:val="00E52E36"/>
    <w:rsid w:val="00E52E88"/>
    <w:rsid w:val="00E52F6E"/>
    <w:rsid w:val="00E53033"/>
    <w:rsid w:val="00E5315E"/>
    <w:rsid w:val="00E532A9"/>
    <w:rsid w:val="00E53331"/>
    <w:rsid w:val="00E5336A"/>
    <w:rsid w:val="00E533D7"/>
    <w:rsid w:val="00E53488"/>
    <w:rsid w:val="00E534A4"/>
    <w:rsid w:val="00E53557"/>
    <w:rsid w:val="00E535C4"/>
    <w:rsid w:val="00E53718"/>
    <w:rsid w:val="00E538AF"/>
    <w:rsid w:val="00E53925"/>
    <w:rsid w:val="00E53A62"/>
    <w:rsid w:val="00E53AF9"/>
    <w:rsid w:val="00E53BAD"/>
    <w:rsid w:val="00E53BE9"/>
    <w:rsid w:val="00E53BF3"/>
    <w:rsid w:val="00E53C58"/>
    <w:rsid w:val="00E53DBA"/>
    <w:rsid w:val="00E53F87"/>
    <w:rsid w:val="00E53FA3"/>
    <w:rsid w:val="00E53FA6"/>
    <w:rsid w:val="00E5411C"/>
    <w:rsid w:val="00E5420E"/>
    <w:rsid w:val="00E543AE"/>
    <w:rsid w:val="00E5458C"/>
    <w:rsid w:val="00E545AD"/>
    <w:rsid w:val="00E546EF"/>
    <w:rsid w:val="00E547CD"/>
    <w:rsid w:val="00E54855"/>
    <w:rsid w:val="00E548B6"/>
    <w:rsid w:val="00E548D8"/>
    <w:rsid w:val="00E54AB3"/>
    <w:rsid w:val="00E54C00"/>
    <w:rsid w:val="00E54C52"/>
    <w:rsid w:val="00E54C9A"/>
    <w:rsid w:val="00E54FBD"/>
    <w:rsid w:val="00E550DF"/>
    <w:rsid w:val="00E55349"/>
    <w:rsid w:val="00E554F1"/>
    <w:rsid w:val="00E5554D"/>
    <w:rsid w:val="00E555CD"/>
    <w:rsid w:val="00E557D0"/>
    <w:rsid w:val="00E559A2"/>
    <w:rsid w:val="00E559E4"/>
    <w:rsid w:val="00E55B86"/>
    <w:rsid w:val="00E55BBC"/>
    <w:rsid w:val="00E55BC3"/>
    <w:rsid w:val="00E55C41"/>
    <w:rsid w:val="00E55C6F"/>
    <w:rsid w:val="00E55D0C"/>
    <w:rsid w:val="00E55E52"/>
    <w:rsid w:val="00E55E92"/>
    <w:rsid w:val="00E55F10"/>
    <w:rsid w:val="00E55F40"/>
    <w:rsid w:val="00E55F7A"/>
    <w:rsid w:val="00E55F8B"/>
    <w:rsid w:val="00E55F90"/>
    <w:rsid w:val="00E55F97"/>
    <w:rsid w:val="00E56256"/>
    <w:rsid w:val="00E56265"/>
    <w:rsid w:val="00E562C3"/>
    <w:rsid w:val="00E563AD"/>
    <w:rsid w:val="00E56406"/>
    <w:rsid w:val="00E56483"/>
    <w:rsid w:val="00E56540"/>
    <w:rsid w:val="00E5659F"/>
    <w:rsid w:val="00E56674"/>
    <w:rsid w:val="00E56774"/>
    <w:rsid w:val="00E5692F"/>
    <w:rsid w:val="00E56981"/>
    <w:rsid w:val="00E569AF"/>
    <w:rsid w:val="00E56B2D"/>
    <w:rsid w:val="00E56B43"/>
    <w:rsid w:val="00E56BA2"/>
    <w:rsid w:val="00E56BCD"/>
    <w:rsid w:val="00E56C11"/>
    <w:rsid w:val="00E56C69"/>
    <w:rsid w:val="00E56CC0"/>
    <w:rsid w:val="00E56D20"/>
    <w:rsid w:val="00E56F9F"/>
    <w:rsid w:val="00E56FFF"/>
    <w:rsid w:val="00E570C6"/>
    <w:rsid w:val="00E571EE"/>
    <w:rsid w:val="00E57212"/>
    <w:rsid w:val="00E57359"/>
    <w:rsid w:val="00E5739B"/>
    <w:rsid w:val="00E573C5"/>
    <w:rsid w:val="00E57478"/>
    <w:rsid w:val="00E574A1"/>
    <w:rsid w:val="00E57534"/>
    <w:rsid w:val="00E5757B"/>
    <w:rsid w:val="00E57601"/>
    <w:rsid w:val="00E57624"/>
    <w:rsid w:val="00E5765C"/>
    <w:rsid w:val="00E576FA"/>
    <w:rsid w:val="00E5778D"/>
    <w:rsid w:val="00E579AB"/>
    <w:rsid w:val="00E579B9"/>
    <w:rsid w:val="00E579EF"/>
    <w:rsid w:val="00E57A25"/>
    <w:rsid w:val="00E57CD7"/>
    <w:rsid w:val="00E57CFA"/>
    <w:rsid w:val="00E57D44"/>
    <w:rsid w:val="00E57F10"/>
    <w:rsid w:val="00E6001C"/>
    <w:rsid w:val="00E6003A"/>
    <w:rsid w:val="00E605D5"/>
    <w:rsid w:val="00E6095D"/>
    <w:rsid w:val="00E60A13"/>
    <w:rsid w:val="00E60D69"/>
    <w:rsid w:val="00E60E07"/>
    <w:rsid w:val="00E60E09"/>
    <w:rsid w:val="00E60EAF"/>
    <w:rsid w:val="00E60EEF"/>
    <w:rsid w:val="00E60F28"/>
    <w:rsid w:val="00E60F63"/>
    <w:rsid w:val="00E6115C"/>
    <w:rsid w:val="00E611A9"/>
    <w:rsid w:val="00E611D3"/>
    <w:rsid w:val="00E61226"/>
    <w:rsid w:val="00E6135D"/>
    <w:rsid w:val="00E61455"/>
    <w:rsid w:val="00E61541"/>
    <w:rsid w:val="00E615C2"/>
    <w:rsid w:val="00E61709"/>
    <w:rsid w:val="00E61B58"/>
    <w:rsid w:val="00E61EE2"/>
    <w:rsid w:val="00E61F53"/>
    <w:rsid w:val="00E61FA7"/>
    <w:rsid w:val="00E62249"/>
    <w:rsid w:val="00E6260D"/>
    <w:rsid w:val="00E62717"/>
    <w:rsid w:val="00E6292F"/>
    <w:rsid w:val="00E629AC"/>
    <w:rsid w:val="00E62A9B"/>
    <w:rsid w:val="00E62B92"/>
    <w:rsid w:val="00E62DAA"/>
    <w:rsid w:val="00E62DC4"/>
    <w:rsid w:val="00E62DD4"/>
    <w:rsid w:val="00E62E96"/>
    <w:rsid w:val="00E62F72"/>
    <w:rsid w:val="00E62F7A"/>
    <w:rsid w:val="00E62FC0"/>
    <w:rsid w:val="00E63004"/>
    <w:rsid w:val="00E63038"/>
    <w:rsid w:val="00E63141"/>
    <w:rsid w:val="00E631C6"/>
    <w:rsid w:val="00E63327"/>
    <w:rsid w:val="00E633E8"/>
    <w:rsid w:val="00E63433"/>
    <w:rsid w:val="00E63478"/>
    <w:rsid w:val="00E637FE"/>
    <w:rsid w:val="00E63ADB"/>
    <w:rsid w:val="00E63B57"/>
    <w:rsid w:val="00E63B98"/>
    <w:rsid w:val="00E63CD8"/>
    <w:rsid w:val="00E63D25"/>
    <w:rsid w:val="00E63F30"/>
    <w:rsid w:val="00E63F7D"/>
    <w:rsid w:val="00E64168"/>
    <w:rsid w:val="00E64226"/>
    <w:rsid w:val="00E64256"/>
    <w:rsid w:val="00E642C7"/>
    <w:rsid w:val="00E642EF"/>
    <w:rsid w:val="00E643D8"/>
    <w:rsid w:val="00E64412"/>
    <w:rsid w:val="00E64414"/>
    <w:rsid w:val="00E6449C"/>
    <w:rsid w:val="00E6453A"/>
    <w:rsid w:val="00E646E3"/>
    <w:rsid w:val="00E6474A"/>
    <w:rsid w:val="00E647BD"/>
    <w:rsid w:val="00E6481D"/>
    <w:rsid w:val="00E64870"/>
    <w:rsid w:val="00E649D5"/>
    <w:rsid w:val="00E64A2C"/>
    <w:rsid w:val="00E64AF8"/>
    <w:rsid w:val="00E64BB0"/>
    <w:rsid w:val="00E64C81"/>
    <w:rsid w:val="00E64CCD"/>
    <w:rsid w:val="00E64D0A"/>
    <w:rsid w:val="00E64D51"/>
    <w:rsid w:val="00E64E3C"/>
    <w:rsid w:val="00E65158"/>
    <w:rsid w:val="00E651F7"/>
    <w:rsid w:val="00E6526A"/>
    <w:rsid w:val="00E652D8"/>
    <w:rsid w:val="00E653E8"/>
    <w:rsid w:val="00E65440"/>
    <w:rsid w:val="00E6564E"/>
    <w:rsid w:val="00E65742"/>
    <w:rsid w:val="00E659AB"/>
    <w:rsid w:val="00E65CDA"/>
    <w:rsid w:val="00E65D25"/>
    <w:rsid w:val="00E65E2D"/>
    <w:rsid w:val="00E6610C"/>
    <w:rsid w:val="00E66279"/>
    <w:rsid w:val="00E664DB"/>
    <w:rsid w:val="00E66535"/>
    <w:rsid w:val="00E6658F"/>
    <w:rsid w:val="00E66597"/>
    <w:rsid w:val="00E66668"/>
    <w:rsid w:val="00E66866"/>
    <w:rsid w:val="00E6696B"/>
    <w:rsid w:val="00E66A10"/>
    <w:rsid w:val="00E66D40"/>
    <w:rsid w:val="00E66D73"/>
    <w:rsid w:val="00E66E5E"/>
    <w:rsid w:val="00E66F99"/>
    <w:rsid w:val="00E670E6"/>
    <w:rsid w:val="00E6726A"/>
    <w:rsid w:val="00E67365"/>
    <w:rsid w:val="00E6756C"/>
    <w:rsid w:val="00E676C5"/>
    <w:rsid w:val="00E676E8"/>
    <w:rsid w:val="00E67769"/>
    <w:rsid w:val="00E678A6"/>
    <w:rsid w:val="00E678D4"/>
    <w:rsid w:val="00E6798F"/>
    <w:rsid w:val="00E6799E"/>
    <w:rsid w:val="00E67A25"/>
    <w:rsid w:val="00E67C09"/>
    <w:rsid w:val="00E67E3B"/>
    <w:rsid w:val="00E67EC5"/>
    <w:rsid w:val="00E67FCB"/>
    <w:rsid w:val="00E700B5"/>
    <w:rsid w:val="00E70131"/>
    <w:rsid w:val="00E7029F"/>
    <w:rsid w:val="00E702C8"/>
    <w:rsid w:val="00E70504"/>
    <w:rsid w:val="00E70601"/>
    <w:rsid w:val="00E70640"/>
    <w:rsid w:val="00E706C6"/>
    <w:rsid w:val="00E70835"/>
    <w:rsid w:val="00E70B23"/>
    <w:rsid w:val="00E70BC7"/>
    <w:rsid w:val="00E70C01"/>
    <w:rsid w:val="00E70D3E"/>
    <w:rsid w:val="00E70ECB"/>
    <w:rsid w:val="00E70EEB"/>
    <w:rsid w:val="00E70F8A"/>
    <w:rsid w:val="00E71170"/>
    <w:rsid w:val="00E711CB"/>
    <w:rsid w:val="00E712A4"/>
    <w:rsid w:val="00E71348"/>
    <w:rsid w:val="00E7141F"/>
    <w:rsid w:val="00E714D7"/>
    <w:rsid w:val="00E715DA"/>
    <w:rsid w:val="00E7166F"/>
    <w:rsid w:val="00E716D5"/>
    <w:rsid w:val="00E717BE"/>
    <w:rsid w:val="00E7185E"/>
    <w:rsid w:val="00E7187B"/>
    <w:rsid w:val="00E719C9"/>
    <w:rsid w:val="00E71A5F"/>
    <w:rsid w:val="00E71ACD"/>
    <w:rsid w:val="00E71B91"/>
    <w:rsid w:val="00E71DBB"/>
    <w:rsid w:val="00E71DD1"/>
    <w:rsid w:val="00E71E4B"/>
    <w:rsid w:val="00E71EC2"/>
    <w:rsid w:val="00E71F32"/>
    <w:rsid w:val="00E71FC2"/>
    <w:rsid w:val="00E720A0"/>
    <w:rsid w:val="00E720BB"/>
    <w:rsid w:val="00E72118"/>
    <w:rsid w:val="00E722A6"/>
    <w:rsid w:val="00E722C3"/>
    <w:rsid w:val="00E7231E"/>
    <w:rsid w:val="00E72407"/>
    <w:rsid w:val="00E72449"/>
    <w:rsid w:val="00E7244D"/>
    <w:rsid w:val="00E7245D"/>
    <w:rsid w:val="00E72602"/>
    <w:rsid w:val="00E7272E"/>
    <w:rsid w:val="00E72794"/>
    <w:rsid w:val="00E72891"/>
    <w:rsid w:val="00E72894"/>
    <w:rsid w:val="00E728B0"/>
    <w:rsid w:val="00E72A0D"/>
    <w:rsid w:val="00E72A82"/>
    <w:rsid w:val="00E72B0B"/>
    <w:rsid w:val="00E72BA6"/>
    <w:rsid w:val="00E72BFE"/>
    <w:rsid w:val="00E72C79"/>
    <w:rsid w:val="00E72DF0"/>
    <w:rsid w:val="00E72E45"/>
    <w:rsid w:val="00E72EA1"/>
    <w:rsid w:val="00E72F23"/>
    <w:rsid w:val="00E72FE7"/>
    <w:rsid w:val="00E73381"/>
    <w:rsid w:val="00E7351F"/>
    <w:rsid w:val="00E7357B"/>
    <w:rsid w:val="00E735DD"/>
    <w:rsid w:val="00E7375B"/>
    <w:rsid w:val="00E7380A"/>
    <w:rsid w:val="00E7387D"/>
    <w:rsid w:val="00E73A29"/>
    <w:rsid w:val="00E73A2A"/>
    <w:rsid w:val="00E73A3F"/>
    <w:rsid w:val="00E73AD4"/>
    <w:rsid w:val="00E73B18"/>
    <w:rsid w:val="00E73BEC"/>
    <w:rsid w:val="00E73CE6"/>
    <w:rsid w:val="00E73DD8"/>
    <w:rsid w:val="00E73E33"/>
    <w:rsid w:val="00E73E56"/>
    <w:rsid w:val="00E74035"/>
    <w:rsid w:val="00E740CC"/>
    <w:rsid w:val="00E7444A"/>
    <w:rsid w:val="00E74563"/>
    <w:rsid w:val="00E74592"/>
    <w:rsid w:val="00E7461F"/>
    <w:rsid w:val="00E74731"/>
    <w:rsid w:val="00E74772"/>
    <w:rsid w:val="00E747B9"/>
    <w:rsid w:val="00E747EE"/>
    <w:rsid w:val="00E747F6"/>
    <w:rsid w:val="00E74811"/>
    <w:rsid w:val="00E74846"/>
    <w:rsid w:val="00E749DF"/>
    <w:rsid w:val="00E74A92"/>
    <w:rsid w:val="00E74AB4"/>
    <w:rsid w:val="00E74B7A"/>
    <w:rsid w:val="00E74BB0"/>
    <w:rsid w:val="00E74C8C"/>
    <w:rsid w:val="00E74CEA"/>
    <w:rsid w:val="00E74DB5"/>
    <w:rsid w:val="00E74DD6"/>
    <w:rsid w:val="00E74DDF"/>
    <w:rsid w:val="00E74EE5"/>
    <w:rsid w:val="00E750D5"/>
    <w:rsid w:val="00E7525B"/>
    <w:rsid w:val="00E7526B"/>
    <w:rsid w:val="00E7538D"/>
    <w:rsid w:val="00E75443"/>
    <w:rsid w:val="00E75638"/>
    <w:rsid w:val="00E75888"/>
    <w:rsid w:val="00E758DE"/>
    <w:rsid w:val="00E75A13"/>
    <w:rsid w:val="00E75BD1"/>
    <w:rsid w:val="00E75C62"/>
    <w:rsid w:val="00E75EED"/>
    <w:rsid w:val="00E75F0C"/>
    <w:rsid w:val="00E75F19"/>
    <w:rsid w:val="00E75FA3"/>
    <w:rsid w:val="00E7616C"/>
    <w:rsid w:val="00E7621D"/>
    <w:rsid w:val="00E76459"/>
    <w:rsid w:val="00E76573"/>
    <w:rsid w:val="00E76620"/>
    <w:rsid w:val="00E7683F"/>
    <w:rsid w:val="00E768FA"/>
    <w:rsid w:val="00E7691D"/>
    <w:rsid w:val="00E76967"/>
    <w:rsid w:val="00E76986"/>
    <w:rsid w:val="00E76A0E"/>
    <w:rsid w:val="00E76ABA"/>
    <w:rsid w:val="00E76B07"/>
    <w:rsid w:val="00E76B8F"/>
    <w:rsid w:val="00E76C78"/>
    <w:rsid w:val="00E76D7E"/>
    <w:rsid w:val="00E76D86"/>
    <w:rsid w:val="00E76DEE"/>
    <w:rsid w:val="00E76DF6"/>
    <w:rsid w:val="00E76E15"/>
    <w:rsid w:val="00E76EAB"/>
    <w:rsid w:val="00E76ED7"/>
    <w:rsid w:val="00E76F9D"/>
    <w:rsid w:val="00E77019"/>
    <w:rsid w:val="00E7708B"/>
    <w:rsid w:val="00E7742B"/>
    <w:rsid w:val="00E77467"/>
    <w:rsid w:val="00E7755F"/>
    <w:rsid w:val="00E77613"/>
    <w:rsid w:val="00E7781B"/>
    <w:rsid w:val="00E7782F"/>
    <w:rsid w:val="00E778D4"/>
    <w:rsid w:val="00E779DF"/>
    <w:rsid w:val="00E77ACE"/>
    <w:rsid w:val="00E77BF3"/>
    <w:rsid w:val="00E77C5C"/>
    <w:rsid w:val="00E77C8E"/>
    <w:rsid w:val="00E77CBC"/>
    <w:rsid w:val="00E77D2B"/>
    <w:rsid w:val="00E77D48"/>
    <w:rsid w:val="00E8005E"/>
    <w:rsid w:val="00E80078"/>
    <w:rsid w:val="00E800FA"/>
    <w:rsid w:val="00E8010A"/>
    <w:rsid w:val="00E8017B"/>
    <w:rsid w:val="00E80191"/>
    <w:rsid w:val="00E8038E"/>
    <w:rsid w:val="00E806E5"/>
    <w:rsid w:val="00E8096E"/>
    <w:rsid w:val="00E809BB"/>
    <w:rsid w:val="00E80A7D"/>
    <w:rsid w:val="00E80AAB"/>
    <w:rsid w:val="00E80BCA"/>
    <w:rsid w:val="00E80D07"/>
    <w:rsid w:val="00E80DAE"/>
    <w:rsid w:val="00E80E72"/>
    <w:rsid w:val="00E80F1E"/>
    <w:rsid w:val="00E80F33"/>
    <w:rsid w:val="00E80F9B"/>
    <w:rsid w:val="00E80FC9"/>
    <w:rsid w:val="00E810EE"/>
    <w:rsid w:val="00E81106"/>
    <w:rsid w:val="00E811A5"/>
    <w:rsid w:val="00E811E4"/>
    <w:rsid w:val="00E815EB"/>
    <w:rsid w:val="00E8178F"/>
    <w:rsid w:val="00E8187E"/>
    <w:rsid w:val="00E818A0"/>
    <w:rsid w:val="00E818E4"/>
    <w:rsid w:val="00E8193E"/>
    <w:rsid w:val="00E81968"/>
    <w:rsid w:val="00E81987"/>
    <w:rsid w:val="00E819CB"/>
    <w:rsid w:val="00E81BF1"/>
    <w:rsid w:val="00E81C0F"/>
    <w:rsid w:val="00E81C49"/>
    <w:rsid w:val="00E81E37"/>
    <w:rsid w:val="00E82063"/>
    <w:rsid w:val="00E8208A"/>
    <w:rsid w:val="00E82251"/>
    <w:rsid w:val="00E82343"/>
    <w:rsid w:val="00E824ED"/>
    <w:rsid w:val="00E8262A"/>
    <w:rsid w:val="00E82725"/>
    <w:rsid w:val="00E8279B"/>
    <w:rsid w:val="00E82AC3"/>
    <w:rsid w:val="00E82CEB"/>
    <w:rsid w:val="00E82E6B"/>
    <w:rsid w:val="00E82EC4"/>
    <w:rsid w:val="00E8303B"/>
    <w:rsid w:val="00E83103"/>
    <w:rsid w:val="00E83158"/>
    <w:rsid w:val="00E8321E"/>
    <w:rsid w:val="00E83255"/>
    <w:rsid w:val="00E8331F"/>
    <w:rsid w:val="00E83341"/>
    <w:rsid w:val="00E834F9"/>
    <w:rsid w:val="00E83544"/>
    <w:rsid w:val="00E83729"/>
    <w:rsid w:val="00E8372B"/>
    <w:rsid w:val="00E83868"/>
    <w:rsid w:val="00E83886"/>
    <w:rsid w:val="00E83A08"/>
    <w:rsid w:val="00E83CBC"/>
    <w:rsid w:val="00E83DC0"/>
    <w:rsid w:val="00E83DEF"/>
    <w:rsid w:val="00E83F86"/>
    <w:rsid w:val="00E83F8D"/>
    <w:rsid w:val="00E83FC1"/>
    <w:rsid w:val="00E83FE4"/>
    <w:rsid w:val="00E83FE9"/>
    <w:rsid w:val="00E8422A"/>
    <w:rsid w:val="00E8424E"/>
    <w:rsid w:val="00E84274"/>
    <w:rsid w:val="00E844D2"/>
    <w:rsid w:val="00E8466B"/>
    <w:rsid w:val="00E84857"/>
    <w:rsid w:val="00E849FA"/>
    <w:rsid w:val="00E84A0A"/>
    <w:rsid w:val="00E84B1F"/>
    <w:rsid w:val="00E84B8B"/>
    <w:rsid w:val="00E84BFD"/>
    <w:rsid w:val="00E84D1A"/>
    <w:rsid w:val="00E84D86"/>
    <w:rsid w:val="00E84D88"/>
    <w:rsid w:val="00E84E08"/>
    <w:rsid w:val="00E84E50"/>
    <w:rsid w:val="00E84E98"/>
    <w:rsid w:val="00E84F6D"/>
    <w:rsid w:val="00E851EB"/>
    <w:rsid w:val="00E853A6"/>
    <w:rsid w:val="00E85510"/>
    <w:rsid w:val="00E85550"/>
    <w:rsid w:val="00E85577"/>
    <w:rsid w:val="00E857F4"/>
    <w:rsid w:val="00E85982"/>
    <w:rsid w:val="00E85D21"/>
    <w:rsid w:val="00E85E36"/>
    <w:rsid w:val="00E85EC1"/>
    <w:rsid w:val="00E85F96"/>
    <w:rsid w:val="00E85FBC"/>
    <w:rsid w:val="00E861F4"/>
    <w:rsid w:val="00E86270"/>
    <w:rsid w:val="00E862AD"/>
    <w:rsid w:val="00E863BD"/>
    <w:rsid w:val="00E86437"/>
    <w:rsid w:val="00E864B6"/>
    <w:rsid w:val="00E865A9"/>
    <w:rsid w:val="00E867AA"/>
    <w:rsid w:val="00E86859"/>
    <w:rsid w:val="00E86CDD"/>
    <w:rsid w:val="00E86E96"/>
    <w:rsid w:val="00E86FEF"/>
    <w:rsid w:val="00E87069"/>
    <w:rsid w:val="00E8712C"/>
    <w:rsid w:val="00E87195"/>
    <w:rsid w:val="00E87257"/>
    <w:rsid w:val="00E87267"/>
    <w:rsid w:val="00E87339"/>
    <w:rsid w:val="00E87471"/>
    <w:rsid w:val="00E8754F"/>
    <w:rsid w:val="00E87632"/>
    <w:rsid w:val="00E877FF"/>
    <w:rsid w:val="00E879AC"/>
    <w:rsid w:val="00E879CB"/>
    <w:rsid w:val="00E87A1F"/>
    <w:rsid w:val="00E87B0B"/>
    <w:rsid w:val="00E87C4B"/>
    <w:rsid w:val="00E87C78"/>
    <w:rsid w:val="00E87C8D"/>
    <w:rsid w:val="00E87D31"/>
    <w:rsid w:val="00E87E03"/>
    <w:rsid w:val="00E87EF1"/>
    <w:rsid w:val="00E87FB0"/>
    <w:rsid w:val="00E9019B"/>
    <w:rsid w:val="00E90203"/>
    <w:rsid w:val="00E902C7"/>
    <w:rsid w:val="00E902F8"/>
    <w:rsid w:val="00E9034D"/>
    <w:rsid w:val="00E9036B"/>
    <w:rsid w:val="00E90527"/>
    <w:rsid w:val="00E90751"/>
    <w:rsid w:val="00E907B9"/>
    <w:rsid w:val="00E9082E"/>
    <w:rsid w:val="00E9083A"/>
    <w:rsid w:val="00E90933"/>
    <w:rsid w:val="00E90AB6"/>
    <w:rsid w:val="00E90BC0"/>
    <w:rsid w:val="00E90BE8"/>
    <w:rsid w:val="00E90C00"/>
    <w:rsid w:val="00E90CDC"/>
    <w:rsid w:val="00E90DF7"/>
    <w:rsid w:val="00E90E1B"/>
    <w:rsid w:val="00E90E7C"/>
    <w:rsid w:val="00E90F68"/>
    <w:rsid w:val="00E91096"/>
    <w:rsid w:val="00E9111A"/>
    <w:rsid w:val="00E91177"/>
    <w:rsid w:val="00E91213"/>
    <w:rsid w:val="00E9129C"/>
    <w:rsid w:val="00E91340"/>
    <w:rsid w:val="00E914B4"/>
    <w:rsid w:val="00E91585"/>
    <w:rsid w:val="00E91596"/>
    <w:rsid w:val="00E91599"/>
    <w:rsid w:val="00E917AB"/>
    <w:rsid w:val="00E91880"/>
    <w:rsid w:val="00E91972"/>
    <w:rsid w:val="00E919CC"/>
    <w:rsid w:val="00E91A3D"/>
    <w:rsid w:val="00E91A4C"/>
    <w:rsid w:val="00E91ACD"/>
    <w:rsid w:val="00E91E4A"/>
    <w:rsid w:val="00E91E8F"/>
    <w:rsid w:val="00E91EE6"/>
    <w:rsid w:val="00E91F80"/>
    <w:rsid w:val="00E91FED"/>
    <w:rsid w:val="00E9208A"/>
    <w:rsid w:val="00E9213F"/>
    <w:rsid w:val="00E921BB"/>
    <w:rsid w:val="00E92217"/>
    <w:rsid w:val="00E92272"/>
    <w:rsid w:val="00E92402"/>
    <w:rsid w:val="00E92483"/>
    <w:rsid w:val="00E924A1"/>
    <w:rsid w:val="00E92585"/>
    <w:rsid w:val="00E92700"/>
    <w:rsid w:val="00E9278B"/>
    <w:rsid w:val="00E927A8"/>
    <w:rsid w:val="00E928A4"/>
    <w:rsid w:val="00E928BD"/>
    <w:rsid w:val="00E92990"/>
    <w:rsid w:val="00E92A7C"/>
    <w:rsid w:val="00E92B36"/>
    <w:rsid w:val="00E92C87"/>
    <w:rsid w:val="00E92CFF"/>
    <w:rsid w:val="00E92D54"/>
    <w:rsid w:val="00E92D5C"/>
    <w:rsid w:val="00E92D89"/>
    <w:rsid w:val="00E92FD6"/>
    <w:rsid w:val="00E93132"/>
    <w:rsid w:val="00E9315B"/>
    <w:rsid w:val="00E9315E"/>
    <w:rsid w:val="00E9321D"/>
    <w:rsid w:val="00E93248"/>
    <w:rsid w:val="00E9327C"/>
    <w:rsid w:val="00E93391"/>
    <w:rsid w:val="00E9345A"/>
    <w:rsid w:val="00E935FE"/>
    <w:rsid w:val="00E9362F"/>
    <w:rsid w:val="00E93702"/>
    <w:rsid w:val="00E938A4"/>
    <w:rsid w:val="00E938FB"/>
    <w:rsid w:val="00E93983"/>
    <w:rsid w:val="00E93A05"/>
    <w:rsid w:val="00E93B54"/>
    <w:rsid w:val="00E93CA0"/>
    <w:rsid w:val="00E93D42"/>
    <w:rsid w:val="00E93F04"/>
    <w:rsid w:val="00E93FA0"/>
    <w:rsid w:val="00E940C7"/>
    <w:rsid w:val="00E94173"/>
    <w:rsid w:val="00E942F8"/>
    <w:rsid w:val="00E94324"/>
    <w:rsid w:val="00E9444A"/>
    <w:rsid w:val="00E94614"/>
    <w:rsid w:val="00E947DA"/>
    <w:rsid w:val="00E94815"/>
    <w:rsid w:val="00E949FB"/>
    <w:rsid w:val="00E94AF1"/>
    <w:rsid w:val="00E94BB6"/>
    <w:rsid w:val="00E94C97"/>
    <w:rsid w:val="00E94DED"/>
    <w:rsid w:val="00E95015"/>
    <w:rsid w:val="00E95040"/>
    <w:rsid w:val="00E950C0"/>
    <w:rsid w:val="00E95131"/>
    <w:rsid w:val="00E951FE"/>
    <w:rsid w:val="00E95425"/>
    <w:rsid w:val="00E954DF"/>
    <w:rsid w:val="00E95731"/>
    <w:rsid w:val="00E95748"/>
    <w:rsid w:val="00E957ED"/>
    <w:rsid w:val="00E95805"/>
    <w:rsid w:val="00E9587E"/>
    <w:rsid w:val="00E95A6D"/>
    <w:rsid w:val="00E95AFB"/>
    <w:rsid w:val="00E95B44"/>
    <w:rsid w:val="00E95D9D"/>
    <w:rsid w:val="00E95DF6"/>
    <w:rsid w:val="00E95E1C"/>
    <w:rsid w:val="00E961CC"/>
    <w:rsid w:val="00E961EA"/>
    <w:rsid w:val="00E96253"/>
    <w:rsid w:val="00E962D3"/>
    <w:rsid w:val="00E9639D"/>
    <w:rsid w:val="00E963A3"/>
    <w:rsid w:val="00E96568"/>
    <w:rsid w:val="00E965A5"/>
    <w:rsid w:val="00E965BD"/>
    <w:rsid w:val="00E965C8"/>
    <w:rsid w:val="00E96602"/>
    <w:rsid w:val="00E966B1"/>
    <w:rsid w:val="00E9681D"/>
    <w:rsid w:val="00E968F2"/>
    <w:rsid w:val="00E96919"/>
    <w:rsid w:val="00E96AD7"/>
    <w:rsid w:val="00E96C8B"/>
    <w:rsid w:val="00E96E42"/>
    <w:rsid w:val="00E96F4A"/>
    <w:rsid w:val="00E97043"/>
    <w:rsid w:val="00E9704C"/>
    <w:rsid w:val="00E97106"/>
    <w:rsid w:val="00E97114"/>
    <w:rsid w:val="00E9716C"/>
    <w:rsid w:val="00E97173"/>
    <w:rsid w:val="00E9724B"/>
    <w:rsid w:val="00E9725C"/>
    <w:rsid w:val="00E97293"/>
    <w:rsid w:val="00E975E2"/>
    <w:rsid w:val="00E97642"/>
    <w:rsid w:val="00E97721"/>
    <w:rsid w:val="00E977BA"/>
    <w:rsid w:val="00E978AB"/>
    <w:rsid w:val="00E97A71"/>
    <w:rsid w:val="00E97AAC"/>
    <w:rsid w:val="00E97BE5"/>
    <w:rsid w:val="00E97C5A"/>
    <w:rsid w:val="00E97E4B"/>
    <w:rsid w:val="00E97EF4"/>
    <w:rsid w:val="00EA002D"/>
    <w:rsid w:val="00EA00C2"/>
    <w:rsid w:val="00EA027F"/>
    <w:rsid w:val="00EA03F5"/>
    <w:rsid w:val="00EA042B"/>
    <w:rsid w:val="00EA05F2"/>
    <w:rsid w:val="00EA0675"/>
    <w:rsid w:val="00EA07D7"/>
    <w:rsid w:val="00EA08BA"/>
    <w:rsid w:val="00EA090D"/>
    <w:rsid w:val="00EA09BD"/>
    <w:rsid w:val="00EA0A9E"/>
    <w:rsid w:val="00EA0B1E"/>
    <w:rsid w:val="00EA0B63"/>
    <w:rsid w:val="00EA0B83"/>
    <w:rsid w:val="00EA0C28"/>
    <w:rsid w:val="00EA0C9B"/>
    <w:rsid w:val="00EA0D14"/>
    <w:rsid w:val="00EA0EA0"/>
    <w:rsid w:val="00EA0ED1"/>
    <w:rsid w:val="00EA0ED8"/>
    <w:rsid w:val="00EA0EE3"/>
    <w:rsid w:val="00EA0FFE"/>
    <w:rsid w:val="00EA0FFF"/>
    <w:rsid w:val="00EA10D9"/>
    <w:rsid w:val="00EA10DE"/>
    <w:rsid w:val="00EA115D"/>
    <w:rsid w:val="00EA1470"/>
    <w:rsid w:val="00EA1697"/>
    <w:rsid w:val="00EA16A7"/>
    <w:rsid w:val="00EA171B"/>
    <w:rsid w:val="00EA1796"/>
    <w:rsid w:val="00EA180D"/>
    <w:rsid w:val="00EA1832"/>
    <w:rsid w:val="00EA184F"/>
    <w:rsid w:val="00EA1A1E"/>
    <w:rsid w:val="00EA1AA7"/>
    <w:rsid w:val="00EA1B17"/>
    <w:rsid w:val="00EA1B8C"/>
    <w:rsid w:val="00EA1CF3"/>
    <w:rsid w:val="00EA1E98"/>
    <w:rsid w:val="00EA205E"/>
    <w:rsid w:val="00EA2257"/>
    <w:rsid w:val="00EA2482"/>
    <w:rsid w:val="00EA26FB"/>
    <w:rsid w:val="00EA2712"/>
    <w:rsid w:val="00EA2713"/>
    <w:rsid w:val="00EA2928"/>
    <w:rsid w:val="00EA296F"/>
    <w:rsid w:val="00EA2A25"/>
    <w:rsid w:val="00EA2B76"/>
    <w:rsid w:val="00EA2B77"/>
    <w:rsid w:val="00EA2BA3"/>
    <w:rsid w:val="00EA2BDA"/>
    <w:rsid w:val="00EA2BDE"/>
    <w:rsid w:val="00EA2C5A"/>
    <w:rsid w:val="00EA2DFF"/>
    <w:rsid w:val="00EA2E65"/>
    <w:rsid w:val="00EA2EB7"/>
    <w:rsid w:val="00EA3015"/>
    <w:rsid w:val="00EA304D"/>
    <w:rsid w:val="00EA3151"/>
    <w:rsid w:val="00EA34E6"/>
    <w:rsid w:val="00EA3525"/>
    <w:rsid w:val="00EA3534"/>
    <w:rsid w:val="00EA35F4"/>
    <w:rsid w:val="00EA3954"/>
    <w:rsid w:val="00EA396C"/>
    <w:rsid w:val="00EA39A7"/>
    <w:rsid w:val="00EA3A2A"/>
    <w:rsid w:val="00EA3C47"/>
    <w:rsid w:val="00EA3E9A"/>
    <w:rsid w:val="00EA3F11"/>
    <w:rsid w:val="00EA3FF2"/>
    <w:rsid w:val="00EA42DF"/>
    <w:rsid w:val="00EA4330"/>
    <w:rsid w:val="00EA476E"/>
    <w:rsid w:val="00EA4A86"/>
    <w:rsid w:val="00EA4AD5"/>
    <w:rsid w:val="00EA4B8F"/>
    <w:rsid w:val="00EA4B92"/>
    <w:rsid w:val="00EA4CA6"/>
    <w:rsid w:val="00EA4CB6"/>
    <w:rsid w:val="00EA4D60"/>
    <w:rsid w:val="00EA4D85"/>
    <w:rsid w:val="00EA4DCD"/>
    <w:rsid w:val="00EA4EDB"/>
    <w:rsid w:val="00EA5061"/>
    <w:rsid w:val="00EA5067"/>
    <w:rsid w:val="00EA50FF"/>
    <w:rsid w:val="00EA5147"/>
    <w:rsid w:val="00EA5239"/>
    <w:rsid w:val="00EA5309"/>
    <w:rsid w:val="00EA5376"/>
    <w:rsid w:val="00EA54EB"/>
    <w:rsid w:val="00EA5527"/>
    <w:rsid w:val="00EA558F"/>
    <w:rsid w:val="00EA55AF"/>
    <w:rsid w:val="00EA567B"/>
    <w:rsid w:val="00EA5848"/>
    <w:rsid w:val="00EA5903"/>
    <w:rsid w:val="00EA592B"/>
    <w:rsid w:val="00EA5A54"/>
    <w:rsid w:val="00EA5BD7"/>
    <w:rsid w:val="00EA5C0D"/>
    <w:rsid w:val="00EA5C1E"/>
    <w:rsid w:val="00EA5F0C"/>
    <w:rsid w:val="00EA5FBE"/>
    <w:rsid w:val="00EA6124"/>
    <w:rsid w:val="00EA6174"/>
    <w:rsid w:val="00EA619B"/>
    <w:rsid w:val="00EA625A"/>
    <w:rsid w:val="00EA62F2"/>
    <w:rsid w:val="00EA63DF"/>
    <w:rsid w:val="00EA6411"/>
    <w:rsid w:val="00EA645A"/>
    <w:rsid w:val="00EA6464"/>
    <w:rsid w:val="00EA6552"/>
    <w:rsid w:val="00EA656B"/>
    <w:rsid w:val="00EA6827"/>
    <w:rsid w:val="00EA6FB0"/>
    <w:rsid w:val="00EA7068"/>
    <w:rsid w:val="00EA72C3"/>
    <w:rsid w:val="00EA7336"/>
    <w:rsid w:val="00EA7363"/>
    <w:rsid w:val="00EA7406"/>
    <w:rsid w:val="00EA758E"/>
    <w:rsid w:val="00EA7679"/>
    <w:rsid w:val="00EA7684"/>
    <w:rsid w:val="00EA7828"/>
    <w:rsid w:val="00EA78B3"/>
    <w:rsid w:val="00EA7AED"/>
    <w:rsid w:val="00EA7B1A"/>
    <w:rsid w:val="00EA7B21"/>
    <w:rsid w:val="00EA7CEF"/>
    <w:rsid w:val="00EA7F80"/>
    <w:rsid w:val="00EB0004"/>
    <w:rsid w:val="00EB0240"/>
    <w:rsid w:val="00EB0283"/>
    <w:rsid w:val="00EB0292"/>
    <w:rsid w:val="00EB029D"/>
    <w:rsid w:val="00EB032A"/>
    <w:rsid w:val="00EB0342"/>
    <w:rsid w:val="00EB0424"/>
    <w:rsid w:val="00EB05D5"/>
    <w:rsid w:val="00EB06E5"/>
    <w:rsid w:val="00EB0766"/>
    <w:rsid w:val="00EB093A"/>
    <w:rsid w:val="00EB0AF4"/>
    <w:rsid w:val="00EB0DB7"/>
    <w:rsid w:val="00EB0E91"/>
    <w:rsid w:val="00EB0EEA"/>
    <w:rsid w:val="00EB12AD"/>
    <w:rsid w:val="00EB169D"/>
    <w:rsid w:val="00EB1749"/>
    <w:rsid w:val="00EB1883"/>
    <w:rsid w:val="00EB18B6"/>
    <w:rsid w:val="00EB1A16"/>
    <w:rsid w:val="00EB1A6D"/>
    <w:rsid w:val="00EB1BD3"/>
    <w:rsid w:val="00EB1BFA"/>
    <w:rsid w:val="00EB1C08"/>
    <w:rsid w:val="00EB1C2A"/>
    <w:rsid w:val="00EB1CE9"/>
    <w:rsid w:val="00EB1E98"/>
    <w:rsid w:val="00EB228A"/>
    <w:rsid w:val="00EB237C"/>
    <w:rsid w:val="00EB245D"/>
    <w:rsid w:val="00EB24D5"/>
    <w:rsid w:val="00EB250F"/>
    <w:rsid w:val="00EB254A"/>
    <w:rsid w:val="00EB2602"/>
    <w:rsid w:val="00EB2647"/>
    <w:rsid w:val="00EB27AB"/>
    <w:rsid w:val="00EB2888"/>
    <w:rsid w:val="00EB28B5"/>
    <w:rsid w:val="00EB291E"/>
    <w:rsid w:val="00EB29B2"/>
    <w:rsid w:val="00EB2B24"/>
    <w:rsid w:val="00EB2B5B"/>
    <w:rsid w:val="00EB2B6B"/>
    <w:rsid w:val="00EB2CD7"/>
    <w:rsid w:val="00EB2DFE"/>
    <w:rsid w:val="00EB2F9C"/>
    <w:rsid w:val="00EB2FFF"/>
    <w:rsid w:val="00EB3072"/>
    <w:rsid w:val="00EB3126"/>
    <w:rsid w:val="00EB31D5"/>
    <w:rsid w:val="00EB32AD"/>
    <w:rsid w:val="00EB3347"/>
    <w:rsid w:val="00EB349C"/>
    <w:rsid w:val="00EB351D"/>
    <w:rsid w:val="00EB35BA"/>
    <w:rsid w:val="00EB37D3"/>
    <w:rsid w:val="00EB3886"/>
    <w:rsid w:val="00EB3A5E"/>
    <w:rsid w:val="00EB3AA3"/>
    <w:rsid w:val="00EB3AF9"/>
    <w:rsid w:val="00EB3B49"/>
    <w:rsid w:val="00EB3CAD"/>
    <w:rsid w:val="00EB3D19"/>
    <w:rsid w:val="00EB3EC2"/>
    <w:rsid w:val="00EB3EF8"/>
    <w:rsid w:val="00EB4122"/>
    <w:rsid w:val="00EB41BD"/>
    <w:rsid w:val="00EB468E"/>
    <w:rsid w:val="00EB475B"/>
    <w:rsid w:val="00EB481D"/>
    <w:rsid w:val="00EB4842"/>
    <w:rsid w:val="00EB485D"/>
    <w:rsid w:val="00EB490C"/>
    <w:rsid w:val="00EB4948"/>
    <w:rsid w:val="00EB49BC"/>
    <w:rsid w:val="00EB4AAF"/>
    <w:rsid w:val="00EB4B08"/>
    <w:rsid w:val="00EB4E73"/>
    <w:rsid w:val="00EB4F36"/>
    <w:rsid w:val="00EB4F60"/>
    <w:rsid w:val="00EB50F8"/>
    <w:rsid w:val="00EB5124"/>
    <w:rsid w:val="00EB51B0"/>
    <w:rsid w:val="00EB51BA"/>
    <w:rsid w:val="00EB5201"/>
    <w:rsid w:val="00EB5238"/>
    <w:rsid w:val="00EB530D"/>
    <w:rsid w:val="00EB533E"/>
    <w:rsid w:val="00EB53AC"/>
    <w:rsid w:val="00EB53CC"/>
    <w:rsid w:val="00EB5596"/>
    <w:rsid w:val="00EB55D7"/>
    <w:rsid w:val="00EB55E5"/>
    <w:rsid w:val="00EB55FD"/>
    <w:rsid w:val="00EB581D"/>
    <w:rsid w:val="00EB5878"/>
    <w:rsid w:val="00EB58D8"/>
    <w:rsid w:val="00EB5920"/>
    <w:rsid w:val="00EB5929"/>
    <w:rsid w:val="00EB59F1"/>
    <w:rsid w:val="00EB5AC3"/>
    <w:rsid w:val="00EB5CC5"/>
    <w:rsid w:val="00EB5E4D"/>
    <w:rsid w:val="00EB5F8D"/>
    <w:rsid w:val="00EB5FE7"/>
    <w:rsid w:val="00EB6453"/>
    <w:rsid w:val="00EB645F"/>
    <w:rsid w:val="00EB64D5"/>
    <w:rsid w:val="00EB66FB"/>
    <w:rsid w:val="00EB6714"/>
    <w:rsid w:val="00EB68AE"/>
    <w:rsid w:val="00EB68FF"/>
    <w:rsid w:val="00EB6996"/>
    <w:rsid w:val="00EB6A14"/>
    <w:rsid w:val="00EB6A77"/>
    <w:rsid w:val="00EB6ADA"/>
    <w:rsid w:val="00EB6B58"/>
    <w:rsid w:val="00EB6BE6"/>
    <w:rsid w:val="00EB6E26"/>
    <w:rsid w:val="00EB6E89"/>
    <w:rsid w:val="00EB7009"/>
    <w:rsid w:val="00EB707B"/>
    <w:rsid w:val="00EB7143"/>
    <w:rsid w:val="00EB7321"/>
    <w:rsid w:val="00EB7372"/>
    <w:rsid w:val="00EB7498"/>
    <w:rsid w:val="00EB7510"/>
    <w:rsid w:val="00EB765A"/>
    <w:rsid w:val="00EB76CA"/>
    <w:rsid w:val="00EB76E9"/>
    <w:rsid w:val="00EB7735"/>
    <w:rsid w:val="00EB788E"/>
    <w:rsid w:val="00EB79F5"/>
    <w:rsid w:val="00EB7C12"/>
    <w:rsid w:val="00EB7D00"/>
    <w:rsid w:val="00EB7F2D"/>
    <w:rsid w:val="00EB7FBB"/>
    <w:rsid w:val="00EBED0F"/>
    <w:rsid w:val="00EC00A2"/>
    <w:rsid w:val="00EC00AE"/>
    <w:rsid w:val="00EC0215"/>
    <w:rsid w:val="00EC0286"/>
    <w:rsid w:val="00EC030A"/>
    <w:rsid w:val="00EC03FB"/>
    <w:rsid w:val="00EC0405"/>
    <w:rsid w:val="00EC0438"/>
    <w:rsid w:val="00EC0454"/>
    <w:rsid w:val="00EC047C"/>
    <w:rsid w:val="00EC0663"/>
    <w:rsid w:val="00EC067B"/>
    <w:rsid w:val="00EC0846"/>
    <w:rsid w:val="00EC094B"/>
    <w:rsid w:val="00EC0952"/>
    <w:rsid w:val="00EC09A7"/>
    <w:rsid w:val="00EC09EA"/>
    <w:rsid w:val="00EC0A67"/>
    <w:rsid w:val="00EC0AA3"/>
    <w:rsid w:val="00EC0B6B"/>
    <w:rsid w:val="00EC0C2D"/>
    <w:rsid w:val="00EC0D12"/>
    <w:rsid w:val="00EC0D3F"/>
    <w:rsid w:val="00EC0DAB"/>
    <w:rsid w:val="00EC0DE0"/>
    <w:rsid w:val="00EC0F88"/>
    <w:rsid w:val="00EC10E8"/>
    <w:rsid w:val="00EC11F8"/>
    <w:rsid w:val="00EC14AF"/>
    <w:rsid w:val="00EC1581"/>
    <w:rsid w:val="00EC1857"/>
    <w:rsid w:val="00EC18EA"/>
    <w:rsid w:val="00EC1951"/>
    <w:rsid w:val="00EC19E9"/>
    <w:rsid w:val="00EC1A6D"/>
    <w:rsid w:val="00EC1AC3"/>
    <w:rsid w:val="00EC1D93"/>
    <w:rsid w:val="00EC1E28"/>
    <w:rsid w:val="00EC1E37"/>
    <w:rsid w:val="00EC1F24"/>
    <w:rsid w:val="00EC2014"/>
    <w:rsid w:val="00EC2194"/>
    <w:rsid w:val="00EC235B"/>
    <w:rsid w:val="00EC23C6"/>
    <w:rsid w:val="00EC2760"/>
    <w:rsid w:val="00EC2931"/>
    <w:rsid w:val="00EC29F0"/>
    <w:rsid w:val="00EC2B4A"/>
    <w:rsid w:val="00EC2CA7"/>
    <w:rsid w:val="00EC2E4A"/>
    <w:rsid w:val="00EC3073"/>
    <w:rsid w:val="00EC318E"/>
    <w:rsid w:val="00EC33BB"/>
    <w:rsid w:val="00EC364C"/>
    <w:rsid w:val="00EC365C"/>
    <w:rsid w:val="00EC36E5"/>
    <w:rsid w:val="00EC370B"/>
    <w:rsid w:val="00EC37C1"/>
    <w:rsid w:val="00EC3952"/>
    <w:rsid w:val="00EC3960"/>
    <w:rsid w:val="00EC39A0"/>
    <w:rsid w:val="00EC3B85"/>
    <w:rsid w:val="00EC3BC7"/>
    <w:rsid w:val="00EC3C11"/>
    <w:rsid w:val="00EC3F79"/>
    <w:rsid w:val="00EC40F4"/>
    <w:rsid w:val="00EC40F5"/>
    <w:rsid w:val="00EC4251"/>
    <w:rsid w:val="00EC4309"/>
    <w:rsid w:val="00EC4464"/>
    <w:rsid w:val="00EC448D"/>
    <w:rsid w:val="00EC44C6"/>
    <w:rsid w:val="00EC44ED"/>
    <w:rsid w:val="00EC463B"/>
    <w:rsid w:val="00EC48CF"/>
    <w:rsid w:val="00EC4908"/>
    <w:rsid w:val="00EC4986"/>
    <w:rsid w:val="00EC49F7"/>
    <w:rsid w:val="00EC4BAE"/>
    <w:rsid w:val="00EC4CCA"/>
    <w:rsid w:val="00EC4D3D"/>
    <w:rsid w:val="00EC4DA9"/>
    <w:rsid w:val="00EC4E9B"/>
    <w:rsid w:val="00EC4EEE"/>
    <w:rsid w:val="00EC500A"/>
    <w:rsid w:val="00EC5021"/>
    <w:rsid w:val="00EC504A"/>
    <w:rsid w:val="00EC5092"/>
    <w:rsid w:val="00EC50A9"/>
    <w:rsid w:val="00EC50B2"/>
    <w:rsid w:val="00EC50BA"/>
    <w:rsid w:val="00EC516F"/>
    <w:rsid w:val="00EC523C"/>
    <w:rsid w:val="00EC5442"/>
    <w:rsid w:val="00EC548B"/>
    <w:rsid w:val="00EC5699"/>
    <w:rsid w:val="00EC569B"/>
    <w:rsid w:val="00EC5867"/>
    <w:rsid w:val="00EC590F"/>
    <w:rsid w:val="00EC59CD"/>
    <w:rsid w:val="00EC5A04"/>
    <w:rsid w:val="00EC5A45"/>
    <w:rsid w:val="00EC5B0F"/>
    <w:rsid w:val="00EC5B39"/>
    <w:rsid w:val="00EC5BF9"/>
    <w:rsid w:val="00EC5D1A"/>
    <w:rsid w:val="00EC60F2"/>
    <w:rsid w:val="00EC6231"/>
    <w:rsid w:val="00EC65AC"/>
    <w:rsid w:val="00EC65BF"/>
    <w:rsid w:val="00EC665D"/>
    <w:rsid w:val="00EC6709"/>
    <w:rsid w:val="00EC6805"/>
    <w:rsid w:val="00EC6922"/>
    <w:rsid w:val="00EC69D6"/>
    <w:rsid w:val="00EC6A96"/>
    <w:rsid w:val="00EC6ADF"/>
    <w:rsid w:val="00EC6AE3"/>
    <w:rsid w:val="00EC6B8A"/>
    <w:rsid w:val="00EC6BC6"/>
    <w:rsid w:val="00EC6C71"/>
    <w:rsid w:val="00EC6CD6"/>
    <w:rsid w:val="00EC6D05"/>
    <w:rsid w:val="00EC6D42"/>
    <w:rsid w:val="00EC6DB4"/>
    <w:rsid w:val="00EC6E37"/>
    <w:rsid w:val="00EC6F40"/>
    <w:rsid w:val="00EC6F4F"/>
    <w:rsid w:val="00EC6FCE"/>
    <w:rsid w:val="00EC6FEF"/>
    <w:rsid w:val="00EC721F"/>
    <w:rsid w:val="00EC72E8"/>
    <w:rsid w:val="00EC731F"/>
    <w:rsid w:val="00EC7337"/>
    <w:rsid w:val="00EC73B4"/>
    <w:rsid w:val="00EC7524"/>
    <w:rsid w:val="00EC76C0"/>
    <w:rsid w:val="00EC7720"/>
    <w:rsid w:val="00EC7749"/>
    <w:rsid w:val="00EC77A1"/>
    <w:rsid w:val="00EC78F9"/>
    <w:rsid w:val="00EC78FE"/>
    <w:rsid w:val="00EC7962"/>
    <w:rsid w:val="00EC7AD6"/>
    <w:rsid w:val="00EC7DCC"/>
    <w:rsid w:val="00EC7E12"/>
    <w:rsid w:val="00EC7E6D"/>
    <w:rsid w:val="00EC7E90"/>
    <w:rsid w:val="00EC7F64"/>
    <w:rsid w:val="00ED0030"/>
    <w:rsid w:val="00ED01D9"/>
    <w:rsid w:val="00ED0288"/>
    <w:rsid w:val="00ED0353"/>
    <w:rsid w:val="00ED051E"/>
    <w:rsid w:val="00ED0550"/>
    <w:rsid w:val="00ED0553"/>
    <w:rsid w:val="00ED0570"/>
    <w:rsid w:val="00ED076E"/>
    <w:rsid w:val="00ED078E"/>
    <w:rsid w:val="00ED07DB"/>
    <w:rsid w:val="00ED0803"/>
    <w:rsid w:val="00ED08B1"/>
    <w:rsid w:val="00ED0A9D"/>
    <w:rsid w:val="00ED0AAE"/>
    <w:rsid w:val="00ED0B6A"/>
    <w:rsid w:val="00ED0BAD"/>
    <w:rsid w:val="00ED0C8F"/>
    <w:rsid w:val="00ED0DA2"/>
    <w:rsid w:val="00ED0EA3"/>
    <w:rsid w:val="00ED0F5B"/>
    <w:rsid w:val="00ED112D"/>
    <w:rsid w:val="00ED11B9"/>
    <w:rsid w:val="00ED1223"/>
    <w:rsid w:val="00ED124D"/>
    <w:rsid w:val="00ED12B6"/>
    <w:rsid w:val="00ED1449"/>
    <w:rsid w:val="00ED1594"/>
    <w:rsid w:val="00ED1629"/>
    <w:rsid w:val="00ED163F"/>
    <w:rsid w:val="00ED1750"/>
    <w:rsid w:val="00ED175B"/>
    <w:rsid w:val="00ED1783"/>
    <w:rsid w:val="00ED17C5"/>
    <w:rsid w:val="00ED1820"/>
    <w:rsid w:val="00ED19D0"/>
    <w:rsid w:val="00ED1C75"/>
    <w:rsid w:val="00ED1C88"/>
    <w:rsid w:val="00ED1CA9"/>
    <w:rsid w:val="00ED1CC3"/>
    <w:rsid w:val="00ED1DBA"/>
    <w:rsid w:val="00ED1EEC"/>
    <w:rsid w:val="00ED1F18"/>
    <w:rsid w:val="00ED1F85"/>
    <w:rsid w:val="00ED200D"/>
    <w:rsid w:val="00ED2210"/>
    <w:rsid w:val="00ED224E"/>
    <w:rsid w:val="00ED231D"/>
    <w:rsid w:val="00ED2385"/>
    <w:rsid w:val="00ED2429"/>
    <w:rsid w:val="00ED2504"/>
    <w:rsid w:val="00ED2776"/>
    <w:rsid w:val="00ED284C"/>
    <w:rsid w:val="00ED28E9"/>
    <w:rsid w:val="00ED2A27"/>
    <w:rsid w:val="00ED2DB7"/>
    <w:rsid w:val="00ED3024"/>
    <w:rsid w:val="00ED3064"/>
    <w:rsid w:val="00ED3129"/>
    <w:rsid w:val="00ED3256"/>
    <w:rsid w:val="00ED33B1"/>
    <w:rsid w:val="00ED35DE"/>
    <w:rsid w:val="00ED35FE"/>
    <w:rsid w:val="00ED363C"/>
    <w:rsid w:val="00ED38C3"/>
    <w:rsid w:val="00ED39C3"/>
    <w:rsid w:val="00ED3A2A"/>
    <w:rsid w:val="00ED3A6F"/>
    <w:rsid w:val="00ED3ABC"/>
    <w:rsid w:val="00ED3AEF"/>
    <w:rsid w:val="00ED3CCA"/>
    <w:rsid w:val="00ED40A1"/>
    <w:rsid w:val="00ED4165"/>
    <w:rsid w:val="00ED4306"/>
    <w:rsid w:val="00ED438B"/>
    <w:rsid w:val="00ED43B5"/>
    <w:rsid w:val="00ED43EC"/>
    <w:rsid w:val="00ED44B3"/>
    <w:rsid w:val="00ED44E3"/>
    <w:rsid w:val="00ED4516"/>
    <w:rsid w:val="00ED45A2"/>
    <w:rsid w:val="00ED45AE"/>
    <w:rsid w:val="00ED479A"/>
    <w:rsid w:val="00ED4880"/>
    <w:rsid w:val="00ED4905"/>
    <w:rsid w:val="00ED4A0C"/>
    <w:rsid w:val="00ED4A3C"/>
    <w:rsid w:val="00ED4A82"/>
    <w:rsid w:val="00ED4A84"/>
    <w:rsid w:val="00ED4B5D"/>
    <w:rsid w:val="00ED4B8E"/>
    <w:rsid w:val="00ED4E8D"/>
    <w:rsid w:val="00ED4EDB"/>
    <w:rsid w:val="00ED4F00"/>
    <w:rsid w:val="00ED5119"/>
    <w:rsid w:val="00ED5199"/>
    <w:rsid w:val="00ED51C1"/>
    <w:rsid w:val="00ED5218"/>
    <w:rsid w:val="00ED5268"/>
    <w:rsid w:val="00ED534C"/>
    <w:rsid w:val="00ED561F"/>
    <w:rsid w:val="00ED563A"/>
    <w:rsid w:val="00ED5672"/>
    <w:rsid w:val="00ED5907"/>
    <w:rsid w:val="00ED5AE8"/>
    <w:rsid w:val="00ED5B62"/>
    <w:rsid w:val="00ED5CE9"/>
    <w:rsid w:val="00ED5CF7"/>
    <w:rsid w:val="00ED5D67"/>
    <w:rsid w:val="00ED5EFF"/>
    <w:rsid w:val="00ED5F13"/>
    <w:rsid w:val="00ED64E4"/>
    <w:rsid w:val="00ED650D"/>
    <w:rsid w:val="00ED6670"/>
    <w:rsid w:val="00ED6895"/>
    <w:rsid w:val="00ED6905"/>
    <w:rsid w:val="00ED6AC0"/>
    <w:rsid w:val="00ED6D40"/>
    <w:rsid w:val="00ED6D6E"/>
    <w:rsid w:val="00ED6EF1"/>
    <w:rsid w:val="00ED6FC7"/>
    <w:rsid w:val="00ED702D"/>
    <w:rsid w:val="00ED70EB"/>
    <w:rsid w:val="00ED7126"/>
    <w:rsid w:val="00ED7163"/>
    <w:rsid w:val="00ED723F"/>
    <w:rsid w:val="00ED73A3"/>
    <w:rsid w:val="00ED7554"/>
    <w:rsid w:val="00ED7590"/>
    <w:rsid w:val="00ED75C6"/>
    <w:rsid w:val="00ED7644"/>
    <w:rsid w:val="00ED77E0"/>
    <w:rsid w:val="00ED77F5"/>
    <w:rsid w:val="00ED77FE"/>
    <w:rsid w:val="00ED7866"/>
    <w:rsid w:val="00ED7890"/>
    <w:rsid w:val="00ED7AF8"/>
    <w:rsid w:val="00ED7D14"/>
    <w:rsid w:val="00ED7F82"/>
    <w:rsid w:val="00EE00D3"/>
    <w:rsid w:val="00EE00D4"/>
    <w:rsid w:val="00EE010D"/>
    <w:rsid w:val="00EE0181"/>
    <w:rsid w:val="00EE01FD"/>
    <w:rsid w:val="00EE020F"/>
    <w:rsid w:val="00EE021C"/>
    <w:rsid w:val="00EE0246"/>
    <w:rsid w:val="00EE0471"/>
    <w:rsid w:val="00EE04DA"/>
    <w:rsid w:val="00EE0535"/>
    <w:rsid w:val="00EE0538"/>
    <w:rsid w:val="00EE0730"/>
    <w:rsid w:val="00EE07A4"/>
    <w:rsid w:val="00EE07B1"/>
    <w:rsid w:val="00EE0810"/>
    <w:rsid w:val="00EE0815"/>
    <w:rsid w:val="00EE094C"/>
    <w:rsid w:val="00EE09A4"/>
    <w:rsid w:val="00EE09C8"/>
    <w:rsid w:val="00EE0A10"/>
    <w:rsid w:val="00EE0BDA"/>
    <w:rsid w:val="00EE0BEF"/>
    <w:rsid w:val="00EE0C1B"/>
    <w:rsid w:val="00EE0C35"/>
    <w:rsid w:val="00EE0DF0"/>
    <w:rsid w:val="00EE0E72"/>
    <w:rsid w:val="00EE10A4"/>
    <w:rsid w:val="00EE1107"/>
    <w:rsid w:val="00EE112D"/>
    <w:rsid w:val="00EE113D"/>
    <w:rsid w:val="00EE1146"/>
    <w:rsid w:val="00EE12A5"/>
    <w:rsid w:val="00EE1308"/>
    <w:rsid w:val="00EE133C"/>
    <w:rsid w:val="00EE13BA"/>
    <w:rsid w:val="00EE13FA"/>
    <w:rsid w:val="00EE147C"/>
    <w:rsid w:val="00EE14E9"/>
    <w:rsid w:val="00EE15C2"/>
    <w:rsid w:val="00EE15E6"/>
    <w:rsid w:val="00EE18BC"/>
    <w:rsid w:val="00EE18FA"/>
    <w:rsid w:val="00EE1958"/>
    <w:rsid w:val="00EE1AFD"/>
    <w:rsid w:val="00EE1BA0"/>
    <w:rsid w:val="00EE1BCB"/>
    <w:rsid w:val="00EE1EDC"/>
    <w:rsid w:val="00EE1FB1"/>
    <w:rsid w:val="00EE1FF3"/>
    <w:rsid w:val="00EE211B"/>
    <w:rsid w:val="00EE21C3"/>
    <w:rsid w:val="00EE224F"/>
    <w:rsid w:val="00EE23FF"/>
    <w:rsid w:val="00EE2410"/>
    <w:rsid w:val="00EE2592"/>
    <w:rsid w:val="00EE25A5"/>
    <w:rsid w:val="00EE25E8"/>
    <w:rsid w:val="00EE266C"/>
    <w:rsid w:val="00EE2763"/>
    <w:rsid w:val="00EE27F3"/>
    <w:rsid w:val="00EE28FC"/>
    <w:rsid w:val="00EE2919"/>
    <w:rsid w:val="00EE2956"/>
    <w:rsid w:val="00EE2A48"/>
    <w:rsid w:val="00EE2BA3"/>
    <w:rsid w:val="00EE2C70"/>
    <w:rsid w:val="00EE2D50"/>
    <w:rsid w:val="00EE2DBF"/>
    <w:rsid w:val="00EE2E10"/>
    <w:rsid w:val="00EE2E2F"/>
    <w:rsid w:val="00EE2F23"/>
    <w:rsid w:val="00EE30A8"/>
    <w:rsid w:val="00EE3158"/>
    <w:rsid w:val="00EE31EC"/>
    <w:rsid w:val="00EE3347"/>
    <w:rsid w:val="00EE33A3"/>
    <w:rsid w:val="00EE3427"/>
    <w:rsid w:val="00EE34B3"/>
    <w:rsid w:val="00EE34C9"/>
    <w:rsid w:val="00EE35BC"/>
    <w:rsid w:val="00EE363B"/>
    <w:rsid w:val="00EE36C5"/>
    <w:rsid w:val="00EE36F7"/>
    <w:rsid w:val="00EE39EC"/>
    <w:rsid w:val="00EE3A13"/>
    <w:rsid w:val="00EE3C17"/>
    <w:rsid w:val="00EE3D06"/>
    <w:rsid w:val="00EE3E51"/>
    <w:rsid w:val="00EE3E63"/>
    <w:rsid w:val="00EE3F06"/>
    <w:rsid w:val="00EE3F32"/>
    <w:rsid w:val="00EE3F3C"/>
    <w:rsid w:val="00EE3F9C"/>
    <w:rsid w:val="00EE40DA"/>
    <w:rsid w:val="00EE40ED"/>
    <w:rsid w:val="00EE413D"/>
    <w:rsid w:val="00EE447B"/>
    <w:rsid w:val="00EE462B"/>
    <w:rsid w:val="00EE48D2"/>
    <w:rsid w:val="00EE48E7"/>
    <w:rsid w:val="00EE4912"/>
    <w:rsid w:val="00EE4AB4"/>
    <w:rsid w:val="00EE4C31"/>
    <w:rsid w:val="00EE4CD9"/>
    <w:rsid w:val="00EE4D4F"/>
    <w:rsid w:val="00EE4DBA"/>
    <w:rsid w:val="00EE4DBC"/>
    <w:rsid w:val="00EE4DC6"/>
    <w:rsid w:val="00EE4F7B"/>
    <w:rsid w:val="00EE5290"/>
    <w:rsid w:val="00EE531F"/>
    <w:rsid w:val="00EE53CA"/>
    <w:rsid w:val="00EE5406"/>
    <w:rsid w:val="00EE5450"/>
    <w:rsid w:val="00EE546D"/>
    <w:rsid w:val="00EE563E"/>
    <w:rsid w:val="00EE56F5"/>
    <w:rsid w:val="00EE5737"/>
    <w:rsid w:val="00EE5787"/>
    <w:rsid w:val="00EE5827"/>
    <w:rsid w:val="00EE58C3"/>
    <w:rsid w:val="00EE5910"/>
    <w:rsid w:val="00EE5999"/>
    <w:rsid w:val="00EE59D2"/>
    <w:rsid w:val="00EE5B88"/>
    <w:rsid w:val="00EE5B96"/>
    <w:rsid w:val="00EE5D59"/>
    <w:rsid w:val="00EE5F5D"/>
    <w:rsid w:val="00EE60A8"/>
    <w:rsid w:val="00EE60DA"/>
    <w:rsid w:val="00EE62A5"/>
    <w:rsid w:val="00EE632B"/>
    <w:rsid w:val="00EE6434"/>
    <w:rsid w:val="00EE6480"/>
    <w:rsid w:val="00EE663B"/>
    <w:rsid w:val="00EE67BD"/>
    <w:rsid w:val="00EE6CC7"/>
    <w:rsid w:val="00EE6D1A"/>
    <w:rsid w:val="00EE6E46"/>
    <w:rsid w:val="00EE6EAB"/>
    <w:rsid w:val="00EE6FC9"/>
    <w:rsid w:val="00EE709B"/>
    <w:rsid w:val="00EE71AE"/>
    <w:rsid w:val="00EE71CA"/>
    <w:rsid w:val="00EE7207"/>
    <w:rsid w:val="00EE729F"/>
    <w:rsid w:val="00EE7593"/>
    <w:rsid w:val="00EE75EF"/>
    <w:rsid w:val="00EE7623"/>
    <w:rsid w:val="00EE79E4"/>
    <w:rsid w:val="00EE7BEE"/>
    <w:rsid w:val="00EE7C1F"/>
    <w:rsid w:val="00EE7FAE"/>
    <w:rsid w:val="00EF001D"/>
    <w:rsid w:val="00EF002B"/>
    <w:rsid w:val="00EF00A7"/>
    <w:rsid w:val="00EF00B6"/>
    <w:rsid w:val="00EF014D"/>
    <w:rsid w:val="00EF0189"/>
    <w:rsid w:val="00EF018E"/>
    <w:rsid w:val="00EF01C1"/>
    <w:rsid w:val="00EF0268"/>
    <w:rsid w:val="00EF0652"/>
    <w:rsid w:val="00EF07E8"/>
    <w:rsid w:val="00EF093C"/>
    <w:rsid w:val="00EF0DFE"/>
    <w:rsid w:val="00EF0ED3"/>
    <w:rsid w:val="00EF0EFF"/>
    <w:rsid w:val="00EF1219"/>
    <w:rsid w:val="00EF1314"/>
    <w:rsid w:val="00EF136E"/>
    <w:rsid w:val="00EF144D"/>
    <w:rsid w:val="00EF1892"/>
    <w:rsid w:val="00EF1A1B"/>
    <w:rsid w:val="00EF1A88"/>
    <w:rsid w:val="00EF1BA4"/>
    <w:rsid w:val="00EF1BF3"/>
    <w:rsid w:val="00EF1E89"/>
    <w:rsid w:val="00EF1FDE"/>
    <w:rsid w:val="00EF202C"/>
    <w:rsid w:val="00EF20F3"/>
    <w:rsid w:val="00EF22FC"/>
    <w:rsid w:val="00EF244C"/>
    <w:rsid w:val="00EF24ED"/>
    <w:rsid w:val="00EF2602"/>
    <w:rsid w:val="00EF26AD"/>
    <w:rsid w:val="00EF27CE"/>
    <w:rsid w:val="00EF2904"/>
    <w:rsid w:val="00EF294E"/>
    <w:rsid w:val="00EF29F5"/>
    <w:rsid w:val="00EF2B35"/>
    <w:rsid w:val="00EF2C59"/>
    <w:rsid w:val="00EF2E8B"/>
    <w:rsid w:val="00EF2F74"/>
    <w:rsid w:val="00EF2FB0"/>
    <w:rsid w:val="00EF3249"/>
    <w:rsid w:val="00EF331E"/>
    <w:rsid w:val="00EF3328"/>
    <w:rsid w:val="00EF33AC"/>
    <w:rsid w:val="00EF353E"/>
    <w:rsid w:val="00EF3579"/>
    <w:rsid w:val="00EF359B"/>
    <w:rsid w:val="00EF3617"/>
    <w:rsid w:val="00EF3696"/>
    <w:rsid w:val="00EF3B3C"/>
    <w:rsid w:val="00EF3B54"/>
    <w:rsid w:val="00EF3BBC"/>
    <w:rsid w:val="00EF3BE1"/>
    <w:rsid w:val="00EF3FCC"/>
    <w:rsid w:val="00EF40B5"/>
    <w:rsid w:val="00EF4275"/>
    <w:rsid w:val="00EF437B"/>
    <w:rsid w:val="00EF439B"/>
    <w:rsid w:val="00EF45AE"/>
    <w:rsid w:val="00EF4665"/>
    <w:rsid w:val="00EF47E2"/>
    <w:rsid w:val="00EF4A5A"/>
    <w:rsid w:val="00EF4BBB"/>
    <w:rsid w:val="00EF4C9D"/>
    <w:rsid w:val="00EF4D0E"/>
    <w:rsid w:val="00EF4D46"/>
    <w:rsid w:val="00EF4D73"/>
    <w:rsid w:val="00EF4DB6"/>
    <w:rsid w:val="00EF4E56"/>
    <w:rsid w:val="00EF4F94"/>
    <w:rsid w:val="00EF4FB6"/>
    <w:rsid w:val="00EF4FE9"/>
    <w:rsid w:val="00EF4FEE"/>
    <w:rsid w:val="00EF50A3"/>
    <w:rsid w:val="00EF5166"/>
    <w:rsid w:val="00EF5238"/>
    <w:rsid w:val="00EF52E3"/>
    <w:rsid w:val="00EF545C"/>
    <w:rsid w:val="00EF5544"/>
    <w:rsid w:val="00EF559E"/>
    <w:rsid w:val="00EF55AD"/>
    <w:rsid w:val="00EF574A"/>
    <w:rsid w:val="00EF578D"/>
    <w:rsid w:val="00EF57AF"/>
    <w:rsid w:val="00EF57C9"/>
    <w:rsid w:val="00EF5A74"/>
    <w:rsid w:val="00EF5BDE"/>
    <w:rsid w:val="00EF5C5F"/>
    <w:rsid w:val="00EF5D01"/>
    <w:rsid w:val="00EF5D43"/>
    <w:rsid w:val="00EF5EA8"/>
    <w:rsid w:val="00EF5F07"/>
    <w:rsid w:val="00EF5FAA"/>
    <w:rsid w:val="00EF5FCD"/>
    <w:rsid w:val="00EF61B9"/>
    <w:rsid w:val="00EF6343"/>
    <w:rsid w:val="00EF6465"/>
    <w:rsid w:val="00EF6615"/>
    <w:rsid w:val="00EF6622"/>
    <w:rsid w:val="00EF66A4"/>
    <w:rsid w:val="00EF6745"/>
    <w:rsid w:val="00EF6A6C"/>
    <w:rsid w:val="00EF6BC4"/>
    <w:rsid w:val="00EF6BF7"/>
    <w:rsid w:val="00EF6C0C"/>
    <w:rsid w:val="00EF6C2B"/>
    <w:rsid w:val="00EF6FDD"/>
    <w:rsid w:val="00EF6FE0"/>
    <w:rsid w:val="00EF7052"/>
    <w:rsid w:val="00EF7193"/>
    <w:rsid w:val="00EF71F4"/>
    <w:rsid w:val="00EF7212"/>
    <w:rsid w:val="00EF747A"/>
    <w:rsid w:val="00EF74D8"/>
    <w:rsid w:val="00EF74FA"/>
    <w:rsid w:val="00EF775B"/>
    <w:rsid w:val="00EF7958"/>
    <w:rsid w:val="00EF795E"/>
    <w:rsid w:val="00EF796D"/>
    <w:rsid w:val="00EF7978"/>
    <w:rsid w:val="00EF7AA1"/>
    <w:rsid w:val="00EF7C68"/>
    <w:rsid w:val="00EF7EC6"/>
    <w:rsid w:val="00EF7EE2"/>
    <w:rsid w:val="00F0007F"/>
    <w:rsid w:val="00F0020C"/>
    <w:rsid w:val="00F002EC"/>
    <w:rsid w:val="00F00407"/>
    <w:rsid w:val="00F005CA"/>
    <w:rsid w:val="00F0073E"/>
    <w:rsid w:val="00F0076B"/>
    <w:rsid w:val="00F00780"/>
    <w:rsid w:val="00F00848"/>
    <w:rsid w:val="00F009FC"/>
    <w:rsid w:val="00F00AB3"/>
    <w:rsid w:val="00F00AE9"/>
    <w:rsid w:val="00F00C34"/>
    <w:rsid w:val="00F00C8C"/>
    <w:rsid w:val="00F00CB6"/>
    <w:rsid w:val="00F00D29"/>
    <w:rsid w:val="00F00E16"/>
    <w:rsid w:val="00F00E1A"/>
    <w:rsid w:val="00F00EE3"/>
    <w:rsid w:val="00F010F1"/>
    <w:rsid w:val="00F0117D"/>
    <w:rsid w:val="00F01216"/>
    <w:rsid w:val="00F01796"/>
    <w:rsid w:val="00F0190B"/>
    <w:rsid w:val="00F019CA"/>
    <w:rsid w:val="00F01A9C"/>
    <w:rsid w:val="00F01B18"/>
    <w:rsid w:val="00F01B83"/>
    <w:rsid w:val="00F01BD8"/>
    <w:rsid w:val="00F01D07"/>
    <w:rsid w:val="00F01E37"/>
    <w:rsid w:val="00F01EB8"/>
    <w:rsid w:val="00F021AC"/>
    <w:rsid w:val="00F0237A"/>
    <w:rsid w:val="00F0245A"/>
    <w:rsid w:val="00F02479"/>
    <w:rsid w:val="00F0258A"/>
    <w:rsid w:val="00F025A7"/>
    <w:rsid w:val="00F02742"/>
    <w:rsid w:val="00F02760"/>
    <w:rsid w:val="00F02772"/>
    <w:rsid w:val="00F02884"/>
    <w:rsid w:val="00F0288B"/>
    <w:rsid w:val="00F028A7"/>
    <w:rsid w:val="00F02F76"/>
    <w:rsid w:val="00F02F87"/>
    <w:rsid w:val="00F02FC5"/>
    <w:rsid w:val="00F03064"/>
    <w:rsid w:val="00F032D6"/>
    <w:rsid w:val="00F03379"/>
    <w:rsid w:val="00F03438"/>
    <w:rsid w:val="00F03533"/>
    <w:rsid w:val="00F035AB"/>
    <w:rsid w:val="00F036A8"/>
    <w:rsid w:val="00F03783"/>
    <w:rsid w:val="00F03888"/>
    <w:rsid w:val="00F03A16"/>
    <w:rsid w:val="00F03AF1"/>
    <w:rsid w:val="00F03AF4"/>
    <w:rsid w:val="00F03C93"/>
    <w:rsid w:val="00F03C98"/>
    <w:rsid w:val="00F03DFB"/>
    <w:rsid w:val="00F03EFA"/>
    <w:rsid w:val="00F04054"/>
    <w:rsid w:val="00F041F7"/>
    <w:rsid w:val="00F04291"/>
    <w:rsid w:val="00F042F0"/>
    <w:rsid w:val="00F044CD"/>
    <w:rsid w:val="00F045FF"/>
    <w:rsid w:val="00F04644"/>
    <w:rsid w:val="00F04883"/>
    <w:rsid w:val="00F04940"/>
    <w:rsid w:val="00F04AED"/>
    <w:rsid w:val="00F04BAC"/>
    <w:rsid w:val="00F04BD3"/>
    <w:rsid w:val="00F04BEF"/>
    <w:rsid w:val="00F04E59"/>
    <w:rsid w:val="00F04E7C"/>
    <w:rsid w:val="00F04F3D"/>
    <w:rsid w:val="00F0504E"/>
    <w:rsid w:val="00F050D9"/>
    <w:rsid w:val="00F051C2"/>
    <w:rsid w:val="00F0520A"/>
    <w:rsid w:val="00F05517"/>
    <w:rsid w:val="00F05570"/>
    <w:rsid w:val="00F05684"/>
    <w:rsid w:val="00F05B66"/>
    <w:rsid w:val="00F05BDB"/>
    <w:rsid w:val="00F05C35"/>
    <w:rsid w:val="00F05C3F"/>
    <w:rsid w:val="00F05CC7"/>
    <w:rsid w:val="00F05CE0"/>
    <w:rsid w:val="00F05D2F"/>
    <w:rsid w:val="00F05DAB"/>
    <w:rsid w:val="00F05DF4"/>
    <w:rsid w:val="00F05E5B"/>
    <w:rsid w:val="00F0604C"/>
    <w:rsid w:val="00F0606B"/>
    <w:rsid w:val="00F06162"/>
    <w:rsid w:val="00F061E6"/>
    <w:rsid w:val="00F06285"/>
    <w:rsid w:val="00F0643E"/>
    <w:rsid w:val="00F064B0"/>
    <w:rsid w:val="00F0653C"/>
    <w:rsid w:val="00F06715"/>
    <w:rsid w:val="00F06891"/>
    <w:rsid w:val="00F068B0"/>
    <w:rsid w:val="00F069E4"/>
    <w:rsid w:val="00F06AB8"/>
    <w:rsid w:val="00F06C53"/>
    <w:rsid w:val="00F06D17"/>
    <w:rsid w:val="00F06E1C"/>
    <w:rsid w:val="00F06F63"/>
    <w:rsid w:val="00F0715F"/>
    <w:rsid w:val="00F071CC"/>
    <w:rsid w:val="00F07320"/>
    <w:rsid w:val="00F07584"/>
    <w:rsid w:val="00F075C2"/>
    <w:rsid w:val="00F076AF"/>
    <w:rsid w:val="00F07719"/>
    <w:rsid w:val="00F0771E"/>
    <w:rsid w:val="00F07735"/>
    <w:rsid w:val="00F077D5"/>
    <w:rsid w:val="00F07AC6"/>
    <w:rsid w:val="00F07B00"/>
    <w:rsid w:val="00F07B49"/>
    <w:rsid w:val="00F07B5A"/>
    <w:rsid w:val="00F07C8B"/>
    <w:rsid w:val="00F07EFF"/>
    <w:rsid w:val="00F1003D"/>
    <w:rsid w:val="00F101C1"/>
    <w:rsid w:val="00F10337"/>
    <w:rsid w:val="00F103BC"/>
    <w:rsid w:val="00F10456"/>
    <w:rsid w:val="00F10491"/>
    <w:rsid w:val="00F10500"/>
    <w:rsid w:val="00F10599"/>
    <w:rsid w:val="00F105E1"/>
    <w:rsid w:val="00F109C1"/>
    <w:rsid w:val="00F10B90"/>
    <w:rsid w:val="00F10BA1"/>
    <w:rsid w:val="00F10CEF"/>
    <w:rsid w:val="00F10DAE"/>
    <w:rsid w:val="00F10DE8"/>
    <w:rsid w:val="00F10DF2"/>
    <w:rsid w:val="00F10EA8"/>
    <w:rsid w:val="00F10F73"/>
    <w:rsid w:val="00F1134D"/>
    <w:rsid w:val="00F11360"/>
    <w:rsid w:val="00F1143E"/>
    <w:rsid w:val="00F114BE"/>
    <w:rsid w:val="00F1150E"/>
    <w:rsid w:val="00F11535"/>
    <w:rsid w:val="00F11589"/>
    <w:rsid w:val="00F11662"/>
    <w:rsid w:val="00F117A3"/>
    <w:rsid w:val="00F11964"/>
    <w:rsid w:val="00F119C9"/>
    <w:rsid w:val="00F11B75"/>
    <w:rsid w:val="00F11F23"/>
    <w:rsid w:val="00F11FC6"/>
    <w:rsid w:val="00F12081"/>
    <w:rsid w:val="00F12084"/>
    <w:rsid w:val="00F12112"/>
    <w:rsid w:val="00F1215A"/>
    <w:rsid w:val="00F122E3"/>
    <w:rsid w:val="00F1233D"/>
    <w:rsid w:val="00F124D9"/>
    <w:rsid w:val="00F12680"/>
    <w:rsid w:val="00F126DE"/>
    <w:rsid w:val="00F127A8"/>
    <w:rsid w:val="00F12824"/>
    <w:rsid w:val="00F1283E"/>
    <w:rsid w:val="00F12CAB"/>
    <w:rsid w:val="00F12D34"/>
    <w:rsid w:val="00F12D79"/>
    <w:rsid w:val="00F12D84"/>
    <w:rsid w:val="00F12D86"/>
    <w:rsid w:val="00F12E94"/>
    <w:rsid w:val="00F12EAA"/>
    <w:rsid w:val="00F12EB2"/>
    <w:rsid w:val="00F12EB4"/>
    <w:rsid w:val="00F12F50"/>
    <w:rsid w:val="00F12F5E"/>
    <w:rsid w:val="00F12FB8"/>
    <w:rsid w:val="00F13084"/>
    <w:rsid w:val="00F130A1"/>
    <w:rsid w:val="00F1320F"/>
    <w:rsid w:val="00F132F2"/>
    <w:rsid w:val="00F135F8"/>
    <w:rsid w:val="00F1361D"/>
    <w:rsid w:val="00F13906"/>
    <w:rsid w:val="00F13981"/>
    <w:rsid w:val="00F139E9"/>
    <w:rsid w:val="00F13D0B"/>
    <w:rsid w:val="00F14016"/>
    <w:rsid w:val="00F14265"/>
    <w:rsid w:val="00F142F1"/>
    <w:rsid w:val="00F14322"/>
    <w:rsid w:val="00F14401"/>
    <w:rsid w:val="00F14443"/>
    <w:rsid w:val="00F14498"/>
    <w:rsid w:val="00F14596"/>
    <w:rsid w:val="00F145E3"/>
    <w:rsid w:val="00F1465A"/>
    <w:rsid w:val="00F14874"/>
    <w:rsid w:val="00F148AA"/>
    <w:rsid w:val="00F14964"/>
    <w:rsid w:val="00F14A11"/>
    <w:rsid w:val="00F14B1A"/>
    <w:rsid w:val="00F14CDC"/>
    <w:rsid w:val="00F14D91"/>
    <w:rsid w:val="00F14F16"/>
    <w:rsid w:val="00F14F86"/>
    <w:rsid w:val="00F15138"/>
    <w:rsid w:val="00F151B4"/>
    <w:rsid w:val="00F15203"/>
    <w:rsid w:val="00F15626"/>
    <w:rsid w:val="00F1562D"/>
    <w:rsid w:val="00F15891"/>
    <w:rsid w:val="00F1590B"/>
    <w:rsid w:val="00F15922"/>
    <w:rsid w:val="00F159B6"/>
    <w:rsid w:val="00F15B74"/>
    <w:rsid w:val="00F15CB2"/>
    <w:rsid w:val="00F1600F"/>
    <w:rsid w:val="00F1603F"/>
    <w:rsid w:val="00F16087"/>
    <w:rsid w:val="00F1632C"/>
    <w:rsid w:val="00F163CA"/>
    <w:rsid w:val="00F16516"/>
    <w:rsid w:val="00F165EE"/>
    <w:rsid w:val="00F1688C"/>
    <w:rsid w:val="00F169B4"/>
    <w:rsid w:val="00F169E2"/>
    <w:rsid w:val="00F16BF6"/>
    <w:rsid w:val="00F16C63"/>
    <w:rsid w:val="00F16CBC"/>
    <w:rsid w:val="00F16CDD"/>
    <w:rsid w:val="00F16DF7"/>
    <w:rsid w:val="00F16E34"/>
    <w:rsid w:val="00F16EB2"/>
    <w:rsid w:val="00F16ED5"/>
    <w:rsid w:val="00F16FC4"/>
    <w:rsid w:val="00F17167"/>
    <w:rsid w:val="00F171F0"/>
    <w:rsid w:val="00F1727C"/>
    <w:rsid w:val="00F17304"/>
    <w:rsid w:val="00F17373"/>
    <w:rsid w:val="00F174C5"/>
    <w:rsid w:val="00F17546"/>
    <w:rsid w:val="00F1763C"/>
    <w:rsid w:val="00F1779E"/>
    <w:rsid w:val="00F177EE"/>
    <w:rsid w:val="00F17830"/>
    <w:rsid w:val="00F17911"/>
    <w:rsid w:val="00F17943"/>
    <w:rsid w:val="00F17A06"/>
    <w:rsid w:val="00F17E92"/>
    <w:rsid w:val="00F17ECC"/>
    <w:rsid w:val="00F17F21"/>
    <w:rsid w:val="00F2014E"/>
    <w:rsid w:val="00F202C5"/>
    <w:rsid w:val="00F20370"/>
    <w:rsid w:val="00F20379"/>
    <w:rsid w:val="00F203EA"/>
    <w:rsid w:val="00F20531"/>
    <w:rsid w:val="00F205C9"/>
    <w:rsid w:val="00F20693"/>
    <w:rsid w:val="00F2070E"/>
    <w:rsid w:val="00F207CD"/>
    <w:rsid w:val="00F2083A"/>
    <w:rsid w:val="00F208B6"/>
    <w:rsid w:val="00F209F0"/>
    <w:rsid w:val="00F209F3"/>
    <w:rsid w:val="00F20A61"/>
    <w:rsid w:val="00F20A63"/>
    <w:rsid w:val="00F20DD4"/>
    <w:rsid w:val="00F20FA5"/>
    <w:rsid w:val="00F20FCB"/>
    <w:rsid w:val="00F21007"/>
    <w:rsid w:val="00F2109E"/>
    <w:rsid w:val="00F21361"/>
    <w:rsid w:val="00F2147C"/>
    <w:rsid w:val="00F2155C"/>
    <w:rsid w:val="00F215AB"/>
    <w:rsid w:val="00F2166A"/>
    <w:rsid w:val="00F2166D"/>
    <w:rsid w:val="00F2171B"/>
    <w:rsid w:val="00F217F3"/>
    <w:rsid w:val="00F218C0"/>
    <w:rsid w:val="00F219C0"/>
    <w:rsid w:val="00F21A09"/>
    <w:rsid w:val="00F21B63"/>
    <w:rsid w:val="00F21CB7"/>
    <w:rsid w:val="00F21D96"/>
    <w:rsid w:val="00F21DDE"/>
    <w:rsid w:val="00F21F3A"/>
    <w:rsid w:val="00F22101"/>
    <w:rsid w:val="00F22186"/>
    <w:rsid w:val="00F2218A"/>
    <w:rsid w:val="00F222FC"/>
    <w:rsid w:val="00F2257D"/>
    <w:rsid w:val="00F22645"/>
    <w:rsid w:val="00F22682"/>
    <w:rsid w:val="00F2281F"/>
    <w:rsid w:val="00F2283E"/>
    <w:rsid w:val="00F22873"/>
    <w:rsid w:val="00F228C3"/>
    <w:rsid w:val="00F22B5F"/>
    <w:rsid w:val="00F22C64"/>
    <w:rsid w:val="00F22E4C"/>
    <w:rsid w:val="00F22E85"/>
    <w:rsid w:val="00F22F2F"/>
    <w:rsid w:val="00F22F66"/>
    <w:rsid w:val="00F22F8C"/>
    <w:rsid w:val="00F23069"/>
    <w:rsid w:val="00F2306B"/>
    <w:rsid w:val="00F230EE"/>
    <w:rsid w:val="00F231E5"/>
    <w:rsid w:val="00F2324E"/>
    <w:rsid w:val="00F2327D"/>
    <w:rsid w:val="00F2336B"/>
    <w:rsid w:val="00F2338A"/>
    <w:rsid w:val="00F2340E"/>
    <w:rsid w:val="00F2342D"/>
    <w:rsid w:val="00F23476"/>
    <w:rsid w:val="00F235DE"/>
    <w:rsid w:val="00F2370E"/>
    <w:rsid w:val="00F23A73"/>
    <w:rsid w:val="00F23ADB"/>
    <w:rsid w:val="00F23B24"/>
    <w:rsid w:val="00F23B63"/>
    <w:rsid w:val="00F23D17"/>
    <w:rsid w:val="00F23DF0"/>
    <w:rsid w:val="00F240AD"/>
    <w:rsid w:val="00F240B2"/>
    <w:rsid w:val="00F241A8"/>
    <w:rsid w:val="00F241C4"/>
    <w:rsid w:val="00F242F6"/>
    <w:rsid w:val="00F24441"/>
    <w:rsid w:val="00F244FA"/>
    <w:rsid w:val="00F24521"/>
    <w:rsid w:val="00F2454C"/>
    <w:rsid w:val="00F245CD"/>
    <w:rsid w:val="00F24971"/>
    <w:rsid w:val="00F2499A"/>
    <w:rsid w:val="00F24A7B"/>
    <w:rsid w:val="00F24A80"/>
    <w:rsid w:val="00F24B0D"/>
    <w:rsid w:val="00F24BEE"/>
    <w:rsid w:val="00F24C36"/>
    <w:rsid w:val="00F24C48"/>
    <w:rsid w:val="00F24C49"/>
    <w:rsid w:val="00F24C81"/>
    <w:rsid w:val="00F24CBD"/>
    <w:rsid w:val="00F24F34"/>
    <w:rsid w:val="00F24FB1"/>
    <w:rsid w:val="00F25026"/>
    <w:rsid w:val="00F25072"/>
    <w:rsid w:val="00F250B9"/>
    <w:rsid w:val="00F251C4"/>
    <w:rsid w:val="00F251EE"/>
    <w:rsid w:val="00F252E0"/>
    <w:rsid w:val="00F253F5"/>
    <w:rsid w:val="00F2546A"/>
    <w:rsid w:val="00F2565D"/>
    <w:rsid w:val="00F256D5"/>
    <w:rsid w:val="00F257A8"/>
    <w:rsid w:val="00F25AAA"/>
    <w:rsid w:val="00F25B31"/>
    <w:rsid w:val="00F25C2C"/>
    <w:rsid w:val="00F25DFE"/>
    <w:rsid w:val="00F25E5F"/>
    <w:rsid w:val="00F25E82"/>
    <w:rsid w:val="00F26109"/>
    <w:rsid w:val="00F2617E"/>
    <w:rsid w:val="00F26190"/>
    <w:rsid w:val="00F262CE"/>
    <w:rsid w:val="00F266A1"/>
    <w:rsid w:val="00F26CB9"/>
    <w:rsid w:val="00F26E01"/>
    <w:rsid w:val="00F26E59"/>
    <w:rsid w:val="00F26F1A"/>
    <w:rsid w:val="00F26F54"/>
    <w:rsid w:val="00F27224"/>
    <w:rsid w:val="00F272C1"/>
    <w:rsid w:val="00F272EB"/>
    <w:rsid w:val="00F272F0"/>
    <w:rsid w:val="00F27305"/>
    <w:rsid w:val="00F27357"/>
    <w:rsid w:val="00F27385"/>
    <w:rsid w:val="00F27392"/>
    <w:rsid w:val="00F273F0"/>
    <w:rsid w:val="00F2741F"/>
    <w:rsid w:val="00F2744D"/>
    <w:rsid w:val="00F275A0"/>
    <w:rsid w:val="00F275C2"/>
    <w:rsid w:val="00F277E6"/>
    <w:rsid w:val="00F279B8"/>
    <w:rsid w:val="00F27F58"/>
    <w:rsid w:val="00F27F5D"/>
    <w:rsid w:val="00F3003A"/>
    <w:rsid w:val="00F301B0"/>
    <w:rsid w:val="00F302B4"/>
    <w:rsid w:val="00F303E0"/>
    <w:rsid w:val="00F303E4"/>
    <w:rsid w:val="00F30565"/>
    <w:rsid w:val="00F30661"/>
    <w:rsid w:val="00F306DB"/>
    <w:rsid w:val="00F30859"/>
    <w:rsid w:val="00F309A2"/>
    <w:rsid w:val="00F309A4"/>
    <w:rsid w:val="00F30BC0"/>
    <w:rsid w:val="00F30BE5"/>
    <w:rsid w:val="00F30EFA"/>
    <w:rsid w:val="00F31032"/>
    <w:rsid w:val="00F310D0"/>
    <w:rsid w:val="00F310E2"/>
    <w:rsid w:val="00F31174"/>
    <w:rsid w:val="00F31230"/>
    <w:rsid w:val="00F31372"/>
    <w:rsid w:val="00F313BB"/>
    <w:rsid w:val="00F31493"/>
    <w:rsid w:val="00F31592"/>
    <w:rsid w:val="00F315DF"/>
    <w:rsid w:val="00F3164E"/>
    <w:rsid w:val="00F31A4A"/>
    <w:rsid w:val="00F31A71"/>
    <w:rsid w:val="00F31B77"/>
    <w:rsid w:val="00F31E74"/>
    <w:rsid w:val="00F31F3A"/>
    <w:rsid w:val="00F31F74"/>
    <w:rsid w:val="00F3203B"/>
    <w:rsid w:val="00F32064"/>
    <w:rsid w:val="00F3243A"/>
    <w:rsid w:val="00F3270C"/>
    <w:rsid w:val="00F3282D"/>
    <w:rsid w:val="00F32BA0"/>
    <w:rsid w:val="00F32D20"/>
    <w:rsid w:val="00F32D41"/>
    <w:rsid w:val="00F32F2D"/>
    <w:rsid w:val="00F32F32"/>
    <w:rsid w:val="00F32F44"/>
    <w:rsid w:val="00F32F8F"/>
    <w:rsid w:val="00F3328C"/>
    <w:rsid w:val="00F3332B"/>
    <w:rsid w:val="00F33333"/>
    <w:rsid w:val="00F33347"/>
    <w:rsid w:val="00F3339F"/>
    <w:rsid w:val="00F334A0"/>
    <w:rsid w:val="00F334FB"/>
    <w:rsid w:val="00F33579"/>
    <w:rsid w:val="00F33797"/>
    <w:rsid w:val="00F3395A"/>
    <w:rsid w:val="00F33A28"/>
    <w:rsid w:val="00F33C00"/>
    <w:rsid w:val="00F33CF3"/>
    <w:rsid w:val="00F33D91"/>
    <w:rsid w:val="00F33DEB"/>
    <w:rsid w:val="00F33E29"/>
    <w:rsid w:val="00F33E5F"/>
    <w:rsid w:val="00F33F4F"/>
    <w:rsid w:val="00F34065"/>
    <w:rsid w:val="00F340DF"/>
    <w:rsid w:val="00F341DA"/>
    <w:rsid w:val="00F34788"/>
    <w:rsid w:val="00F34830"/>
    <w:rsid w:val="00F34884"/>
    <w:rsid w:val="00F348A7"/>
    <w:rsid w:val="00F34947"/>
    <w:rsid w:val="00F34BD7"/>
    <w:rsid w:val="00F34D41"/>
    <w:rsid w:val="00F34D92"/>
    <w:rsid w:val="00F34E0C"/>
    <w:rsid w:val="00F34F73"/>
    <w:rsid w:val="00F350C0"/>
    <w:rsid w:val="00F3519A"/>
    <w:rsid w:val="00F351FB"/>
    <w:rsid w:val="00F35264"/>
    <w:rsid w:val="00F35370"/>
    <w:rsid w:val="00F35461"/>
    <w:rsid w:val="00F35617"/>
    <w:rsid w:val="00F35818"/>
    <w:rsid w:val="00F3583F"/>
    <w:rsid w:val="00F3586A"/>
    <w:rsid w:val="00F3590A"/>
    <w:rsid w:val="00F35A25"/>
    <w:rsid w:val="00F35CC8"/>
    <w:rsid w:val="00F35D01"/>
    <w:rsid w:val="00F35F6F"/>
    <w:rsid w:val="00F3631A"/>
    <w:rsid w:val="00F3639D"/>
    <w:rsid w:val="00F36491"/>
    <w:rsid w:val="00F366EC"/>
    <w:rsid w:val="00F367DE"/>
    <w:rsid w:val="00F368A9"/>
    <w:rsid w:val="00F368F2"/>
    <w:rsid w:val="00F36A06"/>
    <w:rsid w:val="00F36B38"/>
    <w:rsid w:val="00F36C09"/>
    <w:rsid w:val="00F36C9C"/>
    <w:rsid w:val="00F36CE5"/>
    <w:rsid w:val="00F36DDB"/>
    <w:rsid w:val="00F36FD1"/>
    <w:rsid w:val="00F370CB"/>
    <w:rsid w:val="00F37313"/>
    <w:rsid w:val="00F37321"/>
    <w:rsid w:val="00F37350"/>
    <w:rsid w:val="00F3772D"/>
    <w:rsid w:val="00F377EE"/>
    <w:rsid w:val="00F37930"/>
    <w:rsid w:val="00F37AD1"/>
    <w:rsid w:val="00F37B0F"/>
    <w:rsid w:val="00F37BC6"/>
    <w:rsid w:val="00F37DB4"/>
    <w:rsid w:val="00F37E40"/>
    <w:rsid w:val="00F37EF5"/>
    <w:rsid w:val="00F37FC8"/>
    <w:rsid w:val="00F40115"/>
    <w:rsid w:val="00F40165"/>
    <w:rsid w:val="00F402B3"/>
    <w:rsid w:val="00F4040E"/>
    <w:rsid w:val="00F404AE"/>
    <w:rsid w:val="00F40522"/>
    <w:rsid w:val="00F40692"/>
    <w:rsid w:val="00F406BE"/>
    <w:rsid w:val="00F40850"/>
    <w:rsid w:val="00F40919"/>
    <w:rsid w:val="00F4092F"/>
    <w:rsid w:val="00F40975"/>
    <w:rsid w:val="00F40988"/>
    <w:rsid w:val="00F40AAD"/>
    <w:rsid w:val="00F40C2E"/>
    <w:rsid w:val="00F40D3C"/>
    <w:rsid w:val="00F40D50"/>
    <w:rsid w:val="00F40D63"/>
    <w:rsid w:val="00F40F33"/>
    <w:rsid w:val="00F41023"/>
    <w:rsid w:val="00F4126C"/>
    <w:rsid w:val="00F413F8"/>
    <w:rsid w:val="00F414FE"/>
    <w:rsid w:val="00F41534"/>
    <w:rsid w:val="00F4157B"/>
    <w:rsid w:val="00F41599"/>
    <w:rsid w:val="00F415CD"/>
    <w:rsid w:val="00F4173D"/>
    <w:rsid w:val="00F4175B"/>
    <w:rsid w:val="00F41826"/>
    <w:rsid w:val="00F41888"/>
    <w:rsid w:val="00F41A3E"/>
    <w:rsid w:val="00F41ADB"/>
    <w:rsid w:val="00F41B73"/>
    <w:rsid w:val="00F41CCA"/>
    <w:rsid w:val="00F41E17"/>
    <w:rsid w:val="00F41E24"/>
    <w:rsid w:val="00F41ED3"/>
    <w:rsid w:val="00F42019"/>
    <w:rsid w:val="00F420F2"/>
    <w:rsid w:val="00F4228F"/>
    <w:rsid w:val="00F42368"/>
    <w:rsid w:val="00F4239E"/>
    <w:rsid w:val="00F423C1"/>
    <w:rsid w:val="00F423CA"/>
    <w:rsid w:val="00F424D8"/>
    <w:rsid w:val="00F424E1"/>
    <w:rsid w:val="00F4252F"/>
    <w:rsid w:val="00F4261D"/>
    <w:rsid w:val="00F4275F"/>
    <w:rsid w:val="00F42913"/>
    <w:rsid w:val="00F42950"/>
    <w:rsid w:val="00F4298B"/>
    <w:rsid w:val="00F429D1"/>
    <w:rsid w:val="00F42A93"/>
    <w:rsid w:val="00F42AFA"/>
    <w:rsid w:val="00F42DA3"/>
    <w:rsid w:val="00F42DE5"/>
    <w:rsid w:val="00F42E2B"/>
    <w:rsid w:val="00F42E31"/>
    <w:rsid w:val="00F42F43"/>
    <w:rsid w:val="00F42FD8"/>
    <w:rsid w:val="00F43032"/>
    <w:rsid w:val="00F430A6"/>
    <w:rsid w:val="00F43116"/>
    <w:rsid w:val="00F43369"/>
    <w:rsid w:val="00F4341E"/>
    <w:rsid w:val="00F43459"/>
    <w:rsid w:val="00F434C9"/>
    <w:rsid w:val="00F437E7"/>
    <w:rsid w:val="00F43836"/>
    <w:rsid w:val="00F438DA"/>
    <w:rsid w:val="00F43B34"/>
    <w:rsid w:val="00F43C43"/>
    <w:rsid w:val="00F43C84"/>
    <w:rsid w:val="00F43CC4"/>
    <w:rsid w:val="00F43D86"/>
    <w:rsid w:val="00F43DB3"/>
    <w:rsid w:val="00F43E6D"/>
    <w:rsid w:val="00F43F36"/>
    <w:rsid w:val="00F43F83"/>
    <w:rsid w:val="00F4424D"/>
    <w:rsid w:val="00F44294"/>
    <w:rsid w:val="00F4434D"/>
    <w:rsid w:val="00F443E0"/>
    <w:rsid w:val="00F44505"/>
    <w:rsid w:val="00F445BE"/>
    <w:rsid w:val="00F445D7"/>
    <w:rsid w:val="00F4468A"/>
    <w:rsid w:val="00F44892"/>
    <w:rsid w:val="00F44A78"/>
    <w:rsid w:val="00F44BE3"/>
    <w:rsid w:val="00F44C98"/>
    <w:rsid w:val="00F44D24"/>
    <w:rsid w:val="00F44D8E"/>
    <w:rsid w:val="00F44F0C"/>
    <w:rsid w:val="00F44F80"/>
    <w:rsid w:val="00F44FAA"/>
    <w:rsid w:val="00F44FB3"/>
    <w:rsid w:val="00F451EC"/>
    <w:rsid w:val="00F45388"/>
    <w:rsid w:val="00F453B2"/>
    <w:rsid w:val="00F455F3"/>
    <w:rsid w:val="00F4565E"/>
    <w:rsid w:val="00F456FC"/>
    <w:rsid w:val="00F45759"/>
    <w:rsid w:val="00F4579B"/>
    <w:rsid w:val="00F457CC"/>
    <w:rsid w:val="00F458BF"/>
    <w:rsid w:val="00F459E2"/>
    <w:rsid w:val="00F45A09"/>
    <w:rsid w:val="00F45AD6"/>
    <w:rsid w:val="00F45AF6"/>
    <w:rsid w:val="00F45CB8"/>
    <w:rsid w:val="00F45CC7"/>
    <w:rsid w:val="00F45D3F"/>
    <w:rsid w:val="00F45DAA"/>
    <w:rsid w:val="00F45E26"/>
    <w:rsid w:val="00F45E57"/>
    <w:rsid w:val="00F45F08"/>
    <w:rsid w:val="00F46037"/>
    <w:rsid w:val="00F46129"/>
    <w:rsid w:val="00F4615C"/>
    <w:rsid w:val="00F46218"/>
    <w:rsid w:val="00F46290"/>
    <w:rsid w:val="00F4630C"/>
    <w:rsid w:val="00F46500"/>
    <w:rsid w:val="00F46513"/>
    <w:rsid w:val="00F4653A"/>
    <w:rsid w:val="00F4660F"/>
    <w:rsid w:val="00F46862"/>
    <w:rsid w:val="00F46873"/>
    <w:rsid w:val="00F46BB1"/>
    <w:rsid w:val="00F46BCD"/>
    <w:rsid w:val="00F46C55"/>
    <w:rsid w:val="00F46CC3"/>
    <w:rsid w:val="00F46CF3"/>
    <w:rsid w:val="00F46E1C"/>
    <w:rsid w:val="00F46F3E"/>
    <w:rsid w:val="00F47081"/>
    <w:rsid w:val="00F470FA"/>
    <w:rsid w:val="00F472DD"/>
    <w:rsid w:val="00F472F5"/>
    <w:rsid w:val="00F4745B"/>
    <w:rsid w:val="00F4766C"/>
    <w:rsid w:val="00F476C6"/>
    <w:rsid w:val="00F478A1"/>
    <w:rsid w:val="00F478E5"/>
    <w:rsid w:val="00F47AEC"/>
    <w:rsid w:val="00F47BDE"/>
    <w:rsid w:val="00F47C37"/>
    <w:rsid w:val="00F47C7E"/>
    <w:rsid w:val="00F47DC5"/>
    <w:rsid w:val="00F47E23"/>
    <w:rsid w:val="00F47E2D"/>
    <w:rsid w:val="00F47E3B"/>
    <w:rsid w:val="00F47EC3"/>
    <w:rsid w:val="00F47F46"/>
    <w:rsid w:val="00F47F4B"/>
    <w:rsid w:val="00F50157"/>
    <w:rsid w:val="00F501C4"/>
    <w:rsid w:val="00F501DA"/>
    <w:rsid w:val="00F5028C"/>
    <w:rsid w:val="00F50345"/>
    <w:rsid w:val="00F50374"/>
    <w:rsid w:val="00F503B6"/>
    <w:rsid w:val="00F50401"/>
    <w:rsid w:val="00F5043B"/>
    <w:rsid w:val="00F50469"/>
    <w:rsid w:val="00F5047F"/>
    <w:rsid w:val="00F506D2"/>
    <w:rsid w:val="00F5081F"/>
    <w:rsid w:val="00F508D7"/>
    <w:rsid w:val="00F50A2F"/>
    <w:rsid w:val="00F50A3B"/>
    <w:rsid w:val="00F50AED"/>
    <w:rsid w:val="00F50C94"/>
    <w:rsid w:val="00F50DA0"/>
    <w:rsid w:val="00F50F2F"/>
    <w:rsid w:val="00F50F3A"/>
    <w:rsid w:val="00F50F48"/>
    <w:rsid w:val="00F5103E"/>
    <w:rsid w:val="00F51058"/>
    <w:rsid w:val="00F510D1"/>
    <w:rsid w:val="00F5132F"/>
    <w:rsid w:val="00F5150E"/>
    <w:rsid w:val="00F51574"/>
    <w:rsid w:val="00F51601"/>
    <w:rsid w:val="00F51645"/>
    <w:rsid w:val="00F516FF"/>
    <w:rsid w:val="00F517CB"/>
    <w:rsid w:val="00F51B00"/>
    <w:rsid w:val="00F51D13"/>
    <w:rsid w:val="00F51DB1"/>
    <w:rsid w:val="00F51EE3"/>
    <w:rsid w:val="00F51F3D"/>
    <w:rsid w:val="00F521B6"/>
    <w:rsid w:val="00F521C7"/>
    <w:rsid w:val="00F52586"/>
    <w:rsid w:val="00F528A5"/>
    <w:rsid w:val="00F528C4"/>
    <w:rsid w:val="00F52989"/>
    <w:rsid w:val="00F52BBA"/>
    <w:rsid w:val="00F52BC2"/>
    <w:rsid w:val="00F52EE9"/>
    <w:rsid w:val="00F53068"/>
    <w:rsid w:val="00F530A9"/>
    <w:rsid w:val="00F53141"/>
    <w:rsid w:val="00F531C6"/>
    <w:rsid w:val="00F53206"/>
    <w:rsid w:val="00F532E6"/>
    <w:rsid w:val="00F5339C"/>
    <w:rsid w:val="00F533B0"/>
    <w:rsid w:val="00F53547"/>
    <w:rsid w:val="00F53594"/>
    <w:rsid w:val="00F535F3"/>
    <w:rsid w:val="00F537D7"/>
    <w:rsid w:val="00F53951"/>
    <w:rsid w:val="00F539BA"/>
    <w:rsid w:val="00F539F4"/>
    <w:rsid w:val="00F53A31"/>
    <w:rsid w:val="00F53BA9"/>
    <w:rsid w:val="00F53C57"/>
    <w:rsid w:val="00F53C8B"/>
    <w:rsid w:val="00F53CBF"/>
    <w:rsid w:val="00F53DA3"/>
    <w:rsid w:val="00F53FD6"/>
    <w:rsid w:val="00F541FD"/>
    <w:rsid w:val="00F54297"/>
    <w:rsid w:val="00F54304"/>
    <w:rsid w:val="00F54535"/>
    <w:rsid w:val="00F54597"/>
    <w:rsid w:val="00F54771"/>
    <w:rsid w:val="00F547C3"/>
    <w:rsid w:val="00F54814"/>
    <w:rsid w:val="00F54858"/>
    <w:rsid w:val="00F54A1D"/>
    <w:rsid w:val="00F54A4E"/>
    <w:rsid w:val="00F54C5E"/>
    <w:rsid w:val="00F54CA7"/>
    <w:rsid w:val="00F54CB8"/>
    <w:rsid w:val="00F54DCD"/>
    <w:rsid w:val="00F54DDE"/>
    <w:rsid w:val="00F54F8E"/>
    <w:rsid w:val="00F54FAC"/>
    <w:rsid w:val="00F5507D"/>
    <w:rsid w:val="00F550FA"/>
    <w:rsid w:val="00F5511E"/>
    <w:rsid w:val="00F555EB"/>
    <w:rsid w:val="00F55623"/>
    <w:rsid w:val="00F5568F"/>
    <w:rsid w:val="00F5581A"/>
    <w:rsid w:val="00F5588F"/>
    <w:rsid w:val="00F558AC"/>
    <w:rsid w:val="00F55913"/>
    <w:rsid w:val="00F55955"/>
    <w:rsid w:val="00F559B6"/>
    <w:rsid w:val="00F55BA9"/>
    <w:rsid w:val="00F55DE9"/>
    <w:rsid w:val="00F55EBB"/>
    <w:rsid w:val="00F55FA4"/>
    <w:rsid w:val="00F55FAB"/>
    <w:rsid w:val="00F56144"/>
    <w:rsid w:val="00F56184"/>
    <w:rsid w:val="00F561C2"/>
    <w:rsid w:val="00F561DA"/>
    <w:rsid w:val="00F56233"/>
    <w:rsid w:val="00F562B4"/>
    <w:rsid w:val="00F563C4"/>
    <w:rsid w:val="00F563F7"/>
    <w:rsid w:val="00F56469"/>
    <w:rsid w:val="00F564F5"/>
    <w:rsid w:val="00F565A7"/>
    <w:rsid w:val="00F5669A"/>
    <w:rsid w:val="00F566F1"/>
    <w:rsid w:val="00F56763"/>
    <w:rsid w:val="00F567D0"/>
    <w:rsid w:val="00F567ED"/>
    <w:rsid w:val="00F567F4"/>
    <w:rsid w:val="00F56813"/>
    <w:rsid w:val="00F56B4D"/>
    <w:rsid w:val="00F56B6B"/>
    <w:rsid w:val="00F56BFF"/>
    <w:rsid w:val="00F56D48"/>
    <w:rsid w:val="00F56E27"/>
    <w:rsid w:val="00F56E53"/>
    <w:rsid w:val="00F56ECD"/>
    <w:rsid w:val="00F570B9"/>
    <w:rsid w:val="00F570C9"/>
    <w:rsid w:val="00F57176"/>
    <w:rsid w:val="00F571CC"/>
    <w:rsid w:val="00F571DB"/>
    <w:rsid w:val="00F571E2"/>
    <w:rsid w:val="00F5722E"/>
    <w:rsid w:val="00F5738B"/>
    <w:rsid w:val="00F573FE"/>
    <w:rsid w:val="00F5742D"/>
    <w:rsid w:val="00F574A3"/>
    <w:rsid w:val="00F57633"/>
    <w:rsid w:val="00F576A8"/>
    <w:rsid w:val="00F57728"/>
    <w:rsid w:val="00F57753"/>
    <w:rsid w:val="00F5786B"/>
    <w:rsid w:val="00F5799B"/>
    <w:rsid w:val="00F57A32"/>
    <w:rsid w:val="00F57ACD"/>
    <w:rsid w:val="00F57B65"/>
    <w:rsid w:val="00F57C78"/>
    <w:rsid w:val="00F57C85"/>
    <w:rsid w:val="00F601C1"/>
    <w:rsid w:val="00F6020A"/>
    <w:rsid w:val="00F60251"/>
    <w:rsid w:val="00F60430"/>
    <w:rsid w:val="00F60442"/>
    <w:rsid w:val="00F60663"/>
    <w:rsid w:val="00F60669"/>
    <w:rsid w:val="00F6080F"/>
    <w:rsid w:val="00F6083A"/>
    <w:rsid w:val="00F60870"/>
    <w:rsid w:val="00F60956"/>
    <w:rsid w:val="00F609BC"/>
    <w:rsid w:val="00F60A2A"/>
    <w:rsid w:val="00F60A51"/>
    <w:rsid w:val="00F60BC2"/>
    <w:rsid w:val="00F60D34"/>
    <w:rsid w:val="00F60D41"/>
    <w:rsid w:val="00F60EF6"/>
    <w:rsid w:val="00F61141"/>
    <w:rsid w:val="00F6121B"/>
    <w:rsid w:val="00F61225"/>
    <w:rsid w:val="00F612F5"/>
    <w:rsid w:val="00F6140D"/>
    <w:rsid w:val="00F61415"/>
    <w:rsid w:val="00F61474"/>
    <w:rsid w:val="00F61603"/>
    <w:rsid w:val="00F61728"/>
    <w:rsid w:val="00F61751"/>
    <w:rsid w:val="00F6176E"/>
    <w:rsid w:val="00F619AE"/>
    <w:rsid w:val="00F61BD4"/>
    <w:rsid w:val="00F61BFE"/>
    <w:rsid w:val="00F61D10"/>
    <w:rsid w:val="00F61D4D"/>
    <w:rsid w:val="00F61E3D"/>
    <w:rsid w:val="00F61F35"/>
    <w:rsid w:val="00F61F8F"/>
    <w:rsid w:val="00F6203D"/>
    <w:rsid w:val="00F620D8"/>
    <w:rsid w:val="00F62317"/>
    <w:rsid w:val="00F62371"/>
    <w:rsid w:val="00F62378"/>
    <w:rsid w:val="00F6237F"/>
    <w:rsid w:val="00F623C5"/>
    <w:rsid w:val="00F62465"/>
    <w:rsid w:val="00F624AC"/>
    <w:rsid w:val="00F625A8"/>
    <w:rsid w:val="00F62684"/>
    <w:rsid w:val="00F628B7"/>
    <w:rsid w:val="00F628D1"/>
    <w:rsid w:val="00F62914"/>
    <w:rsid w:val="00F62915"/>
    <w:rsid w:val="00F62A2B"/>
    <w:rsid w:val="00F62A76"/>
    <w:rsid w:val="00F62C14"/>
    <w:rsid w:val="00F62C59"/>
    <w:rsid w:val="00F62D65"/>
    <w:rsid w:val="00F62EA9"/>
    <w:rsid w:val="00F62EBF"/>
    <w:rsid w:val="00F62ED8"/>
    <w:rsid w:val="00F62F0E"/>
    <w:rsid w:val="00F63058"/>
    <w:rsid w:val="00F6315C"/>
    <w:rsid w:val="00F63324"/>
    <w:rsid w:val="00F6337A"/>
    <w:rsid w:val="00F633A3"/>
    <w:rsid w:val="00F635A1"/>
    <w:rsid w:val="00F635BA"/>
    <w:rsid w:val="00F6365D"/>
    <w:rsid w:val="00F63872"/>
    <w:rsid w:val="00F638EB"/>
    <w:rsid w:val="00F6394A"/>
    <w:rsid w:val="00F63BFE"/>
    <w:rsid w:val="00F63DF3"/>
    <w:rsid w:val="00F63E81"/>
    <w:rsid w:val="00F63EC8"/>
    <w:rsid w:val="00F63F26"/>
    <w:rsid w:val="00F63F4B"/>
    <w:rsid w:val="00F640D9"/>
    <w:rsid w:val="00F6412E"/>
    <w:rsid w:val="00F6424F"/>
    <w:rsid w:val="00F64270"/>
    <w:rsid w:val="00F64311"/>
    <w:rsid w:val="00F6431B"/>
    <w:rsid w:val="00F64433"/>
    <w:rsid w:val="00F644A0"/>
    <w:rsid w:val="00F6457C"/>
    <w:rsid w:val="00F64602"/>
    <w:rsid w:val="00F64628"/>
    <w:rsid w:val="00F6471E"/>
    <w:rsid w:val="00F649DF"/>
    <w:rsid w:val="00F64B0A"/>
    <w:rsid w:val="00F64E35"/>
    <w:rsid w:val="00F64F34"/>
    <w:rsid w:val="00F64F6D"/>
    <w:rsid w:val="00F65127"/>
    <w:rsid w:val="00F6512C"/>
    <w:rsid w:val="00F6513E"/>
    <w:rsid w:val="00F652E6"/>
    <w:rsid w:val="00F65319"/>
    <w:rsid w:val="00F65460"/>
    <w:rsid w:val="00F65491"/>
    <w:rsid w:val="00F656FC"/>
    <w:rsid w:val="00F65717"/>
    <w:rsid w:val="00F65774"/>
    <w:rsid w:val="00F65786"/>
    <w:rsid w:val="00F6584D"/>
    <w:rsid w:val="00F659A8"/>
    <w:rsid w:val="00F659E7"/>
    <w:rsid w:val="00F65A60"/>
    <w:rsid w:val="00F65ACE"/>
    <w:rsid w:val="00F65CA5"/>
    <w:rsid w:val="00F65E71"/>
    <w:rsid w:val="00F660D4"/>
    <w:rsid w:val="00F66130"/>
    <w:rsid w:val="00F6619C"/>
    <w:rsid w:val="00F661A4"/>
    <w:rsid w:val="00F66291"/>
    <w:rsid w:val="00F662EF"/>
    <w:rsid w:val="00F6630C"/>
    <w:rsid w:val="00F663D9"/>
    <w:rsid w:val="00F6646D"/>
    <w:rsid w:val="00F6659C"/>
    <w:rsid w:val="00F66647"/>
    <w:rsid w:val="00F6667F"/>
    <w:rsid w:val="00F666B0"/>
    <w:rsid w:val="00F666CE"/>
    <w:rsid w:val="00F66702"/>
    <w:rsid w:val="00F6689B"/>
    <w:rsid w:val="00F6689E"/>
    <w:rsid w:val="00F66964"/>
    <w:rsid w:val="00F66A6E"/>
    <w:rsid w:val="00F66D4E"/>
    <w:rsid w:val="00F67470"/>
    <w:rsid w:val="00F674A5"/>
    <w:rsid w:val="00F67584"/>
    <w:rsid w:val="00F67669"/>
    <w:rsid w:val="00F676F9"/>
    <w:rsid w:val="00F6772E"/>
    <w:rsid w:val="00F677F0"/>
    <w:rsid w:val="00F67A4C"/>
    <w:rsid w:val="00F67B38"/>
    <w:rsid w:val="00F67C26"/>
    <w:rsid w:val="00F67CDE"/>
    <w:rsid w:val="00F67D17"/>
    <w:rsid w:val="00F67DA2"/>
    <w:rsid w:val="00F67DEA"/>
    <w:rsid w:val="00F70074"/>
    <w:rsid w:val="00F700D9"/>
    <w:rsid w:val="00F70186"/>
    <w:rsid w:val="00F702F5"/>
    <w:rsid w:val="00F7038A"/>
    <w:rsid w:val="00F703B2"/>
    <w:rsid w:val="00F703CF"/>
    <w:rsid w:val="00F70615"/>
    <w:rsid w:val="00F70846"/>
    <w:rsid w:val="00F70879"/>
    <w:rsid w:val="00F70A09"/>
    <w:rsid w:val="00F70BDB"/>
    <w:rsid w:val="00F70C42"/>
    <w:rsid w:val="00F70C7F"/>
    <w:rsid w:val="00F70D22"/>
    <w:rsid w:val="00F70D4F"/>
    <w:rsid w:val="00F70D99"/>
    <w:rsid w:val="00F70DD2"/>
    <w:rsid w:val="00F70E11"/>
    <w:rsid w:val="00F70F15"/>
    <w:rsid w:val="00F71087"/>
    <w:rsid w:val="00F71126"/>
    <w:rsid w:val="00F712F8"/>
    <w:rsid w:val="00F7134D"/>
    <w:rsid w:val="00F7155D"/>
    <w:rsid w:val="00F715D3"/>
    <w:rsid w:val="00F716A3"/>
    <w:rsid w:val="00F716A9"/>
    <w:rsid w:val="00F71840"/>
    <w:rsid w:val="00F718C4"/>
    <w:rsid w:val="00F718DB"/>
    <w:rsid w:val="00F71908"/>
    <w:rsid w:val="00F71A9F"/>
    <w:rsid w:val="00F71B45"/>
    <w:rsid w:val="00F71B78"/>
    <w:rsid w:val="00F71C11"/>
    <w:rsid w:val="00F71C93"/>
    <w:rsid w:val="00F71DBA"/>
    <w:rsid w:val="00F71EB4"/>
    <w:rsid w:val="00F71EE2"/>
    <w:rsid w:val="00F71F6F"/>
    <w:rsid w:val="00F7222B"/>
    <w:rsid w:val="00F723C2"/>
    <w:rsid w:val="00F72402"/>
    <w:rsid w:val="00F7248F"/>
    <w:rsid w:val="00F724DD"/>
    <w:rsid w:val="00F72554"/>
    <w:rsid w:val="00F72600"/>
    <w:rsid w:val="00F7268D"/>
    <w:rsid w:val="00F726FC"/>
    <w:rsid w:val="00F72774"/>
    <w:rsid w:val="00F728B6"/>
    <w:rsid w:val="00F72A7E"/>
    <w:rsid w:val="00F72B08"/>
    <w:rsid w:val="00F72CE9"/>
    <w:rsid w:val="00F73113"/>
    <w:rsid w:val="00F732BF"/>
    <w:rsid w:val="00F735CC"/>
    <w:rsid w:val="00F736C2"/>
    <w:rsid w:val="00F73709"/>
    <w:rsid w:val="00F73763"/>
    <w:rsid w:val="00F737C6"/>
    <w:rsid w:val="00F73925"/>
    <w:rsid w:val="00F73AAB"/>
    <w:rsid w:val="00F73C19"/>
    <w:rsid w:val="00F73D31"/>
    <w:rsid w:val="00F73D79"/>
    <w:rsid w:val="00F73DA3"/>
    <w:rsid w:val="00F73E25"/>
    <w:rsid w:val="00F73F40"/>
    <w:rsid w:val="00F73FA8"/>
    <w:rsid w:val="00F740BF"/>
    <w:rsid w:val="00F7419D"/>
    <w:rsid w:val="00F741B5"/>
    <w:rsid w:val="00F742D3"/>
    <w:rsid w:val="00F74392"/>
    <w:rsid w:val="00F74532"/>
    <w:rsid w:val="00F74562"/>
    <w:rsid w:val="00F74570"/>
    <w:rsid w:val="00F7464C"/>
    <w:rsid w:val="00F74668"/>
    <w:rsid w:val="00F74751"/>
    <w:rsid w:val="00F74765"/>
    <w:rsid w:val="00F7479A"/>
    <w:rsid w:val="00F747B0"/>
    <w:rsid w:val="00F74811"/>
    <w:rsid w:val="00F74ABF"/>
    <w:rsid w:val="00F74B08"/>
    <w:rsid w:val="00F74BC9"/>
    <w:rsid w:val="00F74BE9"/>
    <w:rsid w:val="00F74C74"/>
    <w:rsid w:val="00F74C7D"/>
    <w:rsid w:val="00F74D49"/>
    <w:rsid w:val="00F74DC3"/>
    <w:rsid w:val="00F74DF5"/>
    <w:rsid w:val="00F74EBB"/>
    <w:rsid w:val="00F750C6"/>
    <w:rsid w:val="00F7514A"/>
    <w:rsid w:val="00F7525F"/>
    <w:rsid w:val="00F752B6"/>
    <w:rsid w:val="00F75308"/>
    <w:rsid w:val="00F754A5"/>
    <w:rsid w:val="00F75675"/>
    <w:rsid w:val="00F756A8"/>
    <w:rsid w:val="00F75770"/>
    <w:rsid w:val="00F757C8"/>
    <w:rsid w:val="00F759D7"/>
    <w:rsid w:val="00F75B66"/>
    <w:rsid w:val="00F75BBA"/>
    <w:rsid w:val="00F75CEF"/>
    <w:rsid w:val="00F75D10"/>
    <w:rsid w:val="00F75D89"/>
    <w:rsid w:val="00F75EC7"/>
    <w:rsid w:val="00F7603E"/>
    <w:rsid w:val="00F7616E"/>
    <w:rsid w:val="00F763D5"/>
    <w:rsid w:val="00F7641E"/>
    <w:rsid w:val="00F764DE"/>
    <w:rsid w:val="00F76786"/>
    <w:rsid w:val="00F76A4D"/>
    <w:rsid w:val="00F76ADB"/>
    <w:rsid w:val="00F76B09"/>
    <w:rsid w:val="00F76B8C"/>
    <w:rsid w:val="00F76C23"/>
    <w:rsid w:val="00F76DDE"/>
    <w:rsid w:val="00F76E6A"/>
    <w:rsid w:val="00F76E9B"/>
    <w:rsid w:val="00F76F04"/>
    <w:rsid w:val="00F76F8D"/>
    <w:rsid w:val="00F76F9E"/>
    <w:rsid w:val="00F77036"/>
    <w:rsid w:val="00F77117"/>
    <w:rsid w:val="00F77356"/>
    <w:rsid w:val="00F773DA"/>
    <w:rsid w:val="00F77447"/>
    <w:rsid w:val="00F7747A"/>
    <w:rsid w:val="00F77706"/>
    <w:rsid w:val="00F7776F"/>
    <w:rsid w:val="00F777AC"/>
    <w:rsid w:val="00F778D6"/>
    <w:rsid w:val="00F778ED"/>
    <w:rsid w:val="00F779E0"/>
    <w:rsid w:val="00F77AFC"/>
    <w:rsid w:val="00F77CC0"/>
    <w:rsid w:val="00F77D8E"/>
    <w:rsid w:val="00F77F69"/>
    <w:rsid w:val="00F77FE4"/>
    <w:rsid w:val="00F8023E"/>
    <w:rsid w:val="00F802C6"/>
    <w:rsid w:val="00F8035A"/>
    <w:rsid w:val="00F80405"/>
    <w:rsid w:val="00F804F2"/>
    <w:rsid w:val="00F805D9"/>
    <w:rsid w:val="00F807B1"/>
    <w:rsid w:val="00F808C4"/>
    <w:rsid w:val="00F8095A"/>
    <w:rsid w:val="00F809D3"/>
    <w:rsid w:val="00F80D4F"/>
    <w:rsid w:val="00F80E0C"/>
    <w:rsid w:val="00F80E5B"/>
    <w:rsid w:val="00F80ECE"/>
    <w:rsid w:val="00F80F49"/>
    <w:rsid w:val="00F8124D"/>
    <w:rsid w:val="00F81320"/>
    <w:rsid w:val="00F81338"/>
    <w:rsid w:val="00F81391"/>
    <w:rsid w:val="00F815ED"/>
    <w:rsid w:val="00F8163A"/>
    <w:rsid w:val="00F81667"/>
    <w:rsid w:val="00F81688"/>
    <w:rsid w:val="00F81715"/>
    <w:rsid w:val="00F8171A"/>
    <w:rsid w:val="00F81765"/>
    <w:rsid w:val="00F817F9"/>
    <w:rsid w:val="00F818A4"/>
    <w:rsid w:val="00F8193B"/>
    <w:rsid w:val="00F81BCA"/>
    <w:rsid w:val="00F81E96"/>
    <w:rsid w:val="00F81F32"/>
    <w:rsid w:val="00F81FF6"/>
    <w:rsid w:val="00F8201B"/>
    <w:rsid w:val="00F8203B"/>
    <w:rsid w:val="00F8203D"/>
    <w:rsid w:val="00F8212D"/>
    <w:rsid w:val="00F8212F"/>
    <w:rsid w:val="00F8216E"/>
    <w:rsid w:val="00F82189"/>
    <w:rsid w:val="00F821A7"/>
    <w:rsid w:val="00F82322"/>
    <w:rsid w:val="00F82363"/>
    <w:rsid w:val="00F82460"/>
    <w:rsid w:val="00F825DF"/>
    <w:rsid w:val="00F82696"/>
    <w:rsid w:val="00F82700"/>
    <w:rsid w:val="00F827EB"/>
    <w:rsid w:val="00F82905"/>
    <w:rsid w:val="00F8297A"/>
    <w:rsid w:val="00F82A21"/>
    <w:rsid w:val="00F82B01"/>
    <w:rsid w:val="00F82CCE"/>
    <w:rsid w:val="00F82D85"/>
    <w:rsid w:val="00F82F14"/>
    <w:rsid w:val="00F83030"/>
    <w:rsid w:val="00F83194"/>
    <w:rsid w:val="00F832A6"/>
    <w:rsid w:val="00F83312"/>
    <w:rsid w:val="00F8366D"/>
    <w:rsid w:val="00F83694"/>
    <w:rsid w:val="00F83750"/>
    <w:rsid w:val="00F83A0E"/>
    <w:rsid w:val="00F83B3D"/>
    <w:rsid w:val="00F83B3F"/>
    <w:rsid w:val="00F83C91"/>
    <w:rsid w:val="00F840BD"/>
    <w:rsid w:val="00F840E9"/>
    <w:rsid w:val="00F84187"/>
    <w:rsid w:val="00F841FD"/>
    <w:rsid w:val="00F842A8"/>
    <w:rsid w:val="00F84349"/>
    <w:rsid w:val="00F844DE"/>
    <w:rsid w:val="00F845C5"/>
    <w:rsid w:val="00F845D6"/>
    <w:rsid w:val="00F846AD"/>
    <w:rsid w:val="00F846EA"/>
    <w:rsid w:val="00F846F9"/>
    <w:rsid w:val="00F848CB"/>
    <w:rsid w:val="00F848F1"/>
    <w:rsid w:val="00F84993"/>
    <w:rsid w:val="00F849B4"/>
    <w:rsid w:val="00F84A0C"/>
    <w:rsid w:val="00F84A0F"/>
    <w:rsid w:val="00F84A3D"/>
    <w:rsid w:val="00F84A50"/>
    <w:rsid w:val="00F84E91"/>
    <w:rsid w:val="00F84FB1"/>
    <w:rsid w:val="00F85069"/>
    <w:rsid w:val="00F85126"/>
    <w:rsid w:val="00F85139"/>
    <w:rsid w:val="00F851A3"/>
    <w:rsid w:val="00F8522B"/>
    <w:rsid w:val="00F8527D"/>
    <w:rsid w:val="00F8529E"/>
    <w:rsid w:val="00F8545D"/>
    <w:rsid w:val="00F85507"/>
    <w:rsid w:val="00F85AEB"/>
    <w:rsid w:val="00F85B1C"/>
    <w:rsid w:val="00F85B68"/>
    <w:rsid w:val="00F85BA4"/>
    <w:rsid w:val="00F85D59"/>
    <w:rsid w:val="00F85E4C"/>
    <w:rsid w:val="00F85EAA"/>
    <w:rsid w:val="00F86186"/>
    <w:rsid w:val="00F86221"/>
    <w:rsid w:val="00F8624F"/>
    <w:rsid w:val="00F8630D"/>
    <w:rsid w:val="00F86352"/>
    <w:rsid w:val="00F86372"/>
    <w:rsid w:val="00F86555"/>
    <w:rsid w:val="00F86634"/>
    <w:rsid w:val="00F867E9"/>
    <w:rsid w:val="00F86B42"/>
    <w:rsid w:val="00F86E99"/>
    <w:rsid w:val="00F86F55"/>
    <w:rsid w:val="00F872E6"/>
    <w:rsid w:val="00F8737F"/>
    <w:rsid w:val="00F873C9"/>
    <w:rsid w:val="00F87461"/>
    <w:rsid w:val="00F874AC"/>
    <w:rsid w:val="00F87633"/>
    <w:rsid w:val="00F877E0"/>
    <w:rsid w:val="00F877F5"/>
    <w:rsid w:val="00F87841"/>
    <w:rsid w:val="00F8786E"/>
    <w:rsid w:val="00F87957"/>
    <w:rsid w:val="00F87968"/>
    <w:rsid w:val="00F87A9C"/>
    <w:rsid w:val="00F87B48"/>
    <w:rsid w:val="00F87B9D"/>
    <w:rsid w:val="00F87DF3"/>
    <w:rsid w:val="00F87ED2"/>
    <w:rsid w:val="00F87F27"/>
    <w:rsid w:val="00F87F51"/>
    <w:rsid w:val="00F9000D"/>
    <w:rsid w:val="00F90086"/>
    <w:rsid w:val="00F9008E"/>
    <w:rsid w:val="00F900B5"/>
    <w:rsid w:val="00F90315"/>
    <w:rsid w:val="00F9043E"/>
    <w:rsid w:val="00F9051C"/>
    <w:rsid w:val="00F9062F"/>
    <w:rsid w:val="00F90748"/>
    <w:rsid w:val="00F90989"/>
    <w:rsid w:val="00F90A1B"/>
    <w:rsid w:val="00F90BA6"/>
    <w:rsid w:val="00F90C56"/>
    <w:rsid w:val="00F90DFD"/>
    <w:rsid w:val="00F90E38"/>
    <w:rsid w:val="00F91049"/>
    <w:rsid w:val="00F91050"/>
    <w:rsid w:val="00F913A5"/>
    <w:rsid w:val="00F913B6"/>
    <w:rsid w:val="00F9150A"/>
    <w:rsid w:val="00F9180A"/>
    <w:rsid w:val="00F91C8E"/>
    <w:rsid w:val="00F91CEC"/>
    <w:rsid w:val="00F91F1E"/>
    <w:rsid w:val="00F92015"/>
    <w:rsid w:val="00F921C5"/>
    <w:rsid w:val="00F921E0"/>
    <w:rsid w:val="00F92282"/>
    <w:rsid w:val="00F922EE"/>
    <w:rsid w:val="00F92348"/>
    <w:rsid w:val="00F92416"/>
    <w:rsid w:val="00F9243A"/>
    <w:rsid w:val="00F92483"/>
    <w:rsid w:val="00F92674"/>
    <w:rsid w:val="00F926A8"/>
    <w:rsid w:val="00F926C6"/>
    <w:rsid w:val="00F92753"/>
    <w:rsid w:val="00F92773"/>
    <w:rsid w:val="00F927ED"/>
    <w:rsid w:val="00F92869"/>
    <w:rsid w:val="00F929C5"/>
    <w:rsid w:val="00F92B39"/>
    <w:rsid w:val="00F92C54"/>
    <w:rsid w:val="00F92DF6"/>
    <w:rsid w:val="00F92E64"/>
    <w:rsid w:val="00F92EA5"/>
    <w:rsid w:val="00F92F91"/>
    <w:rsid w:val="00F93006"/>
    <w:rsid w:val="00F93015"/>
    <w:rsid w:val="00F930CA"/>
    <w:rsid w:val="00F930E0"/>
    <w:rsid w:val="00F93103"/>
    <w:rsid w:val="00F93175"/>
    <w:rsid w:val="00F931DC"/>
    <w:rsid w:val="00F931E6"/>
    <w:rsid w:val="00F934AF"/>
    <w:rsid w:val="00F93554"/>
    <w:rsid w:val="00F93603"/>
    <w:rsid w:val="00F93681"/>
    <w:rsid w:val="00F936DB"/>
    <w:rsid w:val="00F93762"/>
    <w:rsid w:val="00F93803"/>
    <w:rsid w:val="00F93AF1"/>
    <w:rsid w:val="00F93E77"/>
    <w:rsid w:val="00F93EF0"/>
    <w:rsid w:val="00F93F18"/>
    <w:rsid w:val="00F93F9D"/>
    <w:rsid w:val="00F93FEC"/>
    <w:rsid w:val="00F94030"/>
    <w:rsid w:val="00F94188"/>
    <w:rsid w:val="00F9419E"/>
    <w:rsid w:val="00F942D6"/>
    <w:rsid w:val="00F94352"/>
    <w:rsid w:val="00F943AB"/>
    <w:rsid w:val="00F94543"/>
    <w:rsid w:val="00F948D9"/>
    <w:rsid w:val="00F948E8"/>
    <w:rsid w:val="00F948FD"/>
    <w:rsid w:val="00F9496B"/>
    <w:rsid w:val="00F94974"/>
    <w:rsid w:val="00F9498C"/>
    <w:rsid w:val="00F949E2"/>
    <w:rsid w:val="00F94A52"/>
    <w:rsid w:val="00F94AF3"/>
    <w:rsid w:val="00F94B21"/>
    <w:rsid w:val="00F94C11"/>
    <w:rsid w:val="00F94C25"/>
    <w:rsid w:val="00F94C89"/>
    <w:rsid w:val="00F94DE5"/>
    <w:rsid w:val="00F94E38"/>
    <w:rsid w:val="00F94ECA"/>
    <w:rsid w:val="00F94FCD"/>
    <w:rsid w:val="00F950D7"/>
    <w:rsid w:val="00F951CC"/>
    <w:rsid w:val="00F955B2"/>
    <w:rsid w:val="00F95630"/>
    <w:rsid w:val="00F9579F"/>
    <w:rsid w:val="00F957AD"/>
    <w:rsid w:val="00F9589A"/>
    <w:rsid w:val="00F958FF"/>
    <w:rsid w:val="00F959BC"/>
    <w:rsid w:val="00F959DF"/>
    <w:rsid w:val="00F95B75"/>
    <w:rsid w:val="00F95BE9"/>
    <w:rsid w:val="00F95BFA"/>
    <w:rsid w:val="00F95D73"/>
    <w:rsid w:val="00F95D90"/>
    <w:rsid w:val="00F95FBC"/>
    <w:rsid w:val="00F95FC8"/>
    <w:rsid w:val="00F96041"/>
    <w:rsid w:val="00F96247"/>
    <w:rsid w:val="00F96537"/>
    <w:rsid w:val="00F96763"/>
    <w:rsid w:val="00F96771"/>
    <w:rsid w:val="00F969E6"/>
    <w:rsid w:val="00F96A0D"/>
    <w:rsid w:val="00F96B5D"/>
    <w:rsid w:val="00F96C37"/>
    <w:rsid w:val="00F96E22"/>
    <w:rsid w:val="00F96E83"/>
    <w:rsid w:val="00F96EB6"/>
    <w:rsid w:val="00F96FFA"/>
    <w:rsid w:val="00F97017"/>
    <w:rsid w:val="00F97153"/>
    <w:rsid w:val="00F971B6"/>
    <w:rsid w:val="00F97369"/>
    <w:rsid w:val="00F974EC"/>
    <w:rsid w:val="00F97602"/>
    <w:rsid w:val="00F9763E"/>
    <w:rsid w:val="00F9794F"/>
    <w:rsid w:val="00F97BC7"/>
    <w:rsid w:val="00F97BF1"/>
    <w:rsid w:val="00F97C3C"/>
    <w:rsid w:val="00F97C9E"/>
    <w:rsid w:val="00F97F04"/>
    <w:rsid w:val="00F9C336"/>
    <w:rsid w:val="00F9F770"/>
    <w:rsid w:val="00FA002E"/>
    <w:rsid w:val="00FA0094"/>
    <w:rsid w:val="00FA01F2"/>
    <w:rsid w:val="00FA041F"/>
    <w:rsid w:val="00FA0490"/>
    <w:rsid w:val="00FA04A4"/>
    <w:rsid w:val="00FA04D1"/>
    <w:rsid w:val="00FA0527"/>
    <w:rsid w:val="00FA0539"/>
    <w:rsid w:val="00FA05B1"/>
    <w:rsid w:val="00FA05F2"/>
    <w:rsid w:val="00FA060A"/>
    <w:rsid w:val="00FA06EB"/>
    <w:rsid w:val="00FA0802"/>
    <w:rsid w:val="00FA088A"/>
    <w:rsid w:val="00FA0952"/>
    <w:rsid w:val="00FA0C7C"/>
    <w:rsid w:val="00FA0CD7"/>
    <w:rsid w:val="00FA0CE8"/>
    <w:rsid w:val="00FA0D83"/>
    <w:rsid w:val="00FA0DE3"/>
    <w:rsid w:val="00FA0E06"/>
    <w:rsid w:val="00FA0E5D"/>
    <w:rsid w:val="00FA0EAB"/>
    <w:rsid w:val="00FA0F55"/>
    <w:rsid w:val="00FA0F79"/>
    <w:rsid w:val="00FA1092"/>
    <w:rsid w:val="00FA12D2"/>
    <w:rsid w:val="00FA1331"/>
    <w:rsid w:val="00FA1343"/>
    <w:rsid w:val="00FA146A"/>
    <w:rsid w:val="00FA146F"/>
    <w:rsid w:val="00FA149E"/>
    <w:rsid w:val="00FA1628"/>
    <w:rsid w:val="00FA166D"/>
    <w:rsid w:val="00FA16D7"/>
    <w:rsid w:val="00FA1709"/>
    <w:rsid w:val="00FA170D"/>
    <w:rsid w:val="00FA182A"/>
    <w:rsid w:val="00FA183E"/>
    <w:rsid w:val="00FA185A"/>
    <w:rsid w:val="00FA1893"/>
    <w:rsid w:val="00FA1B01"/>
    <w:rsid w:val="00FA1B50"/>
    <w:rsid w:val="00FA1B9A"/>
    <w:rsid w:val="00FA1D33"/>
    <w:rsid w:val="00FA1D75"/>
    <w:rsid w:val="00FA2093"/>
    <w:rsid w:val="00FA24C2"/>
    <w:rsid w:val="00FA24F0"/>
    <w:rsid w:val="00FA2523"/>
    <w:rsid w:val="00FA256E"/>
    <w:rsid w:val="00FA2638"/>
    <w:rsid w:val="00FA2781"/>
    <w:rsid w:val="00FA284B"/>
    <w:rsid w:val="00FA2879"/>
    <w:rsid w:val="00FA2899"/>
    <w:rsid w:val="00FA295D"/>
    <w:rsid w:val="00FA2965"/>
    <w:rsid w:val="00FA2A14"/>
    <w:rsid w:val="00FA2A4A"/>
    <w:rsid w:val="00FA2B35"/>
    <w:rsid w:val="00FA2BCD"/>
    <w:rsid w:val="00FA2BFE"/>
    <w:rsid w:val="00FA2D2D"/>
    <w:rsid w:val="00FA2D32"/>
    <w:rsid w:val="00FA2DC1"/>
    <w:rsid w:val="00FA2F04"/>
    <w:rsid w:val="00FA2FFC"/>
    <w:rsid w:val="00FA311F"/>
    <w:rsid w:val="00FA32CE"/>
    <w:rsid w:val="00FA32F6"/>
    <w:rsid w:val="00FA3362"/>
    <w:rsid w:val="00FA34F1"/>
    <w:rsid w:val="00FA3608"/>
    <w:rsid w:val="00FA3683"/>
    <w:rsid w:val="00FA36B4"/>
    <w:rsid w:val="00FA37BE"/>
    <w:rsid w:val="00FA381C"/>
    <w:rsid w:val="00FA390B"/>
    <w:rsid w:val="00FA3BBB"/>
    <w:rsid w:val="00FA3C63"/>
    <w:rsid w:val="00FA3C89"/>
    <w:rsid w:val="00FA3CBB"/>
    <w:rsid w:val="00FA3D8D"/>
    <w:rsid w:val="00FA3DC2"/>
    <w:rsid w:val="00FA3EBF"/>
    <w:rsid w:val="00FA3FE3"/>
    <w:rsid w:val="00FA40AC"/>
    <w:rsid w:val="00FA4197"/>
    <w:rsid w:val="00FA41E8"/>
    <w:rsid w:val="00FA42BC"/>
    <w:rsid w:val="00FA42EA"/>
    <w:rsid w:val="00FA435E"/>
    <w:rsid w:val="00FA43F2"/>
    <w:rsid w:val="00FA45C8"/>
    <w:rsid w:val="00FA46E0"/>
    <w:rsid w:val="00FA4780"/>
    <w:rsid w:val="00FA4817"/>
    <w:rsid w:val="00FA4837"/>
    <w:rsid w:val="00FA491D"/>
    <w:rsid w:val="00FA4920"/>
    <w:rsid w:val="00FA49A5"/>
    <w:rsid w:val="00FA4A93"/>
    <w:rsid w:val="00FA4C2A"/>
    <w:rsid w:val="00FA4C30"/>
    <w:rsid w:val="00FA4D22"/>
    <w:rsid w:val="00FA4E90"/>
    <w:rsid w:val="00FA4F5B"/>
    <w:rsid w:val="00FA4FEF"/>
    <w:rsid w:val="00FA4FFD"/>
    <w:rsid w:val="00FA5186"/>
    <w:rsid w:val="00FA51A9"/>
    <w:rsid w:val="00FA5507"/>
    <w:rsid w:val="00FA55E6"/>
    <w:rsid w:val="00FA55F9"/>
    <w:rsid w:val="00FA5640"/>
    <w:rsid w:val="00FA56AB"/>
    <w:rsid w:val="00FA5910"/>
    <w:rsid w:val="00FA5AB5"/>
    <w:rsid w:val="00FA5B22"/>
    <w:rsid w:val="00FA5BF3"/>
    <w:rsid w:val="00FA61C5"/>
    <w:rsid w:val="00FA61D0"/>
    <w:rsid w:val="00FA6287"/>
    <w:rsid w:val="00FA63FE"/>
    <w:rsid w:val="00FA640F"/>
    <w:rsid w:val="00FA6536"/>
    <w:rsid w:val="00FA672B"/>
    <w:rsid w:val="00FA6751"/>
    <w:rsid w:val="00FA6809"/>
    <w:rsid w:val="00FA68A4"/>
    <w:rsid w:val="00FA697B"/>
    <w:rsid w:val="00FA69FF"/>
    <w:rsid w:val="00FA6A05"/>
    <w:rsid w:val="00FA6A19"/>
    <w:rsid w:val="00FA6B2F"/>
    <w:rsid w:val="00FA6B7E"/>
    <w:rsid w:val="00FA6BFF"/>
    <w:rsid w:val="00FA6E35"/>
    <w:rsid w:val="00FA6EB6"/>
    <w:rsid w:val="00FA6F63"/>
    <w:rsid w:val="00FA7264"/>
    <w:rsid w:val="00FA7385"/>
    <w:rsid w:val="00FA73D9"/>
    <w:rsid w:val="00FA73F0"/>
    <w:rsid w:val="00FA75F9"/>
    <w:rsid w:val="00FA76C9"/>
    <w:rsid w:val="00FA7A95"/>
    <w:rsid w:val="00FA7B12"/>
    <w:rsid w:val="00FA7B28"/>
    <w:rsid w:val="00FA7B70"/>
    <w:rsid w:val="00FA7DEC"/>
    <w:rsid w:val="00FA7E27"/>
    <w:rsid w:val="00FA7EF0"/>
    <w:rsid w:val="00FA7FFA"/>
    <w:rsid w:val="00FB037A"/>
    <w:rsid w:val="00FB0593"/>
    <w:rsid w:val="00FB0635"/>
    <w:rsid w:val="00FB066D"/>
    <w:rsid w:val="00FB06A8"/>
    <w:rsid w:val="00FB06D4"/>
    <w:rsid w:val="00FB087D"/>
    <w:rsid w:val="00FB0AD3"/>
    <w:rsid w:val="00FB0CA9"/>
    <w:rsid w:val="00FB0DC1"/>
    <w:rsid w:val="00FB0E3E"/>
    <w:rsid w:val="00FB0F23"/>
    <w:rsid w:val="00FB10EA"/>
    <w:rsid w:val="00FB1131"/>
    <w:rsid w:val="00FB12B3"/>
    <w:rsid w:val="00FB154B"/>
    <w:rsid w:val="00FB15BE"/>
    <w:rsid w:val="00FB15D8"/>
    <w:rsid w:val="00FB15E3"/>
    <w:rsid w:val="00FB165B"/>
    <w:rsid w:val="00FB16C9"/>
    <w:rsid w:val="00FB17DC"/>
    <w:rsid w:val="00FB1841"/>
    <w:rsid w:val="00FB1A37"/>
    <w:rsid w:val="00FB1A81"/>
    <w:rsid w:val="00FB1B48"/>
    <w:rsid w:val="00FB1B71"/>
    <w:rsid w:val="00FB1C68"/>
    <w:rsid w:val="00FB1E56"/>
    <w:rsid w:val="00FB1EEF"/>
    <w:rsid w:val="00FB1F5A"/>
    <w:rsid w:val="00FB1FF5"/>
    <w:rsid w:val="00FB20CC"/>
    <w:rsid w:val="00FB2266"/>
    <w:rsid w:val="00FB2340"/>
    <w:rsid w:val="00FB23BA"/>
    <w:rsid w:val="00FB2567"/>
    <w:rsid w:val="00FB25E7"/>
    <w:rsid w:val="00FB2601"/>
    <w:rsid w:val="00FB274B"/>
    <w:rsid w:val="00FB288E"/>
    <w:rsid w:val="00FB2BA2"/>
    <w:rsid w:val="00FB2CBC"/>
    <w:rsid w:val="00FB2EF4"/>
    <w:rsid w:val="00FB3004"/>
    <w:rsid w:val="00FB3051"/>
    <w:rsid w:val="00FB3057"/>
    <w:rsid w:val="00FB30C9"/>
    <w:rsid w:val="00FB3131"/>
    <w:rsid w:val="00FB320C"/>
    <w:rsid w:val="00FB32CD"/>
    <w:rsid w:val="00FB3318"/>
    <w:rsid w:val="00FB351D"/>
    <w:rsid w:val="00FB358B"/>
    <w:rsid w:val="00FB35B2"/>
    <w:rsid w:val="00FB376B"/>
    <w:rsid w:val="00FB37D7"/>
    <w:rsid w:val="00FB394E"/>
    <w:rsid w:val="00FB3A2C"/>
    <w:rsid w:val="00FB3E9C"/>
    <w:rsid w:val="00FB3FBC"/>
    <w:rsid w:val="00FB40A8"/>
    <w:rsid w:val="00FB40CB"/>
    <w:rsid w:val="00FB40EB"/>
    <w:rsid w:val="00FB40ED"/>
    <w:rsid w:val="00FB44F7"/>
    <w:rsid w:val="00FB4560"/>
    <w:rsid w:val="00FB4652"/>
    <w:rsid w:val="00FB47CA"/>
    <w:rsid w:val="00FB4852"/>
    <w:rsid w:val="00FB48C4"/>
    <w:rsid w:val="00FB48EE"/>
    <w:rsid w:val="00FB49DD"/>
    <w:rsid w:val="00FB4B0B"/>
    <w:rsid w:val="00FB4C5D"/>
    <w:rsid w:val="00FB4CA5"/>
    <w:rsid w:val="00FB4CDC"/>
    <w:rsid w:val="00FB4D80"/>
    <w:rsid w:val="00FB4DCB"/>
    <w:rsid w:val="00FB4E08"/>
    <w:rsid w:val="00FB500A"/>
    <w:rsid w:val="00FB5297"/>
    <w:rsid w:val="00FB5364"/>
    <w:rsid w:val="00FB54AD"/>
    <w:rsid w:val="00FB5534"/>
    <w:rsid w:val="00FB556E"/>
    <w:rsid w:val="00FB5621"/>
    <w:rsid w:val="00FB5794"/>
    <w:rsid w:val="00FB5848"/>
    <w:rsid w:val="00FB5866"/>
    <w:rsid w:val="00FB590E"/>
    <w:rsid w:val="00FB5AD4"/>
    <w:rsid w:val="00FB5BA2"/>
    <w:rsid w:val="00FB5BB2"/>
    <w:rsid w:val="00FB5C69"/>
    <w:rsid w:val="00FB5CC3"/>
    <w:rsid w:val="00FB5F7A"/>
    <w:rsid w:val="00FB5FE5"/>
    <w:rsid w:val="00FB603F"/>
    <w:rsid w:val="00FB6184"/>
    <w:rsid w:val="00FB6257"/>
    <w:rsid w:val="00FB641F"/>
    <w:rsid w:val="00FB647D"/>
    <w:rsid w:val="00FB6630"/>
    <w:rsid w:val="00FB6712"/>
    <w:rsid w:val="00FB6788"/>
    <w:rsid w:val="00FB67FF"/>
    <w:rsid w:val="00FB686D"/>
    <w:rsid w:val="00FB6AB0"/>
    <w:rsid w:val="00FB6AC1"/>
    <w:rsid w:val="00FB6C3D"/>
    <w:rsid w:val="00FB6C60"/>
    <w:rsid w:val="00FB6D57"/>
    <w:rsid w:val="00FB6DB4"/>
    <w:rsid w:val="00FB6DE6"/>
    <w:rsid w:val="00FB6EBD"/>
    <w:rsid w:val="00FB6FDF"/>
    <w:rsid w:val="00FB7266"/>
    <w:rsid w:val="00FB735B"/>
    <w:rsid w:val="00FB754D"/>
    <w:rsid w:val="00FB76EC"/>
    <w:rsid w:val="00FB7979"/>
    <w:rsid w:val="00FB7988"/>
    <w:rsid w:val="00FB79AA"/>
    <w:rsid w:val="00FB79F8"/>
    <w:rsid w:val="00FB79FF"/>
    <w:rsid w:val="00FB7B73"/>
    <w:rsid w:val="00FB7C2B"/>
    <w:rsid w:val="00FB7C44"/>
    <w:rsid w:val="00FB7C72"/>
    <w:rsid w:val="00FB7EA7"/>
    <w:rsid w:val="00FB7EAF"/>
    <w:rsid w:val="00FC0262"/>
    <w:rsid w:val="00FC027F"/>
    <w:rsid w:val="00FC033B"/>
    <w:rsid w:val="00FC03A1"/>
    <w:rsid w:val="00FC03B1"/>
    <w:rsid w:val="00FC05CE"/>
    <w:rsid w:val="00FC068B"/>
    <w:rsid w:val="00FC0720"/>
    <w:rsid w:val="00FC0773"/>
    <w:rsid w:val="00FC0834"/>
    <w:rsid w:val="00FC0992"/>
    <w:rsid w:val="00FC09EC"/>
    <w:rsid w:val="00FC0B51"/>
    <w:rsid w:val="00FC0C76"/>
    <w:rsid w:val="00FC0CD2"/>
    <w:rsid w:val="00FC0D97"/>
    <w:rsid w:val="00FC0E4F"/>
    <w:rsid w:val="00FC0EB7"/>
    <w:rsid w:val="00FC0EC4"/>
    <w:rsid w:val="00FC0F7B"/>
    <w:rsid w:val="00FC0FF5"/>
    <w:rsid w:val="00FC11F9"/>
    <w:rsid w:val="00FC1309"/>
    <w:rsid w:val="00FC1418"/>
    <w:rsid w:val="00FC147D"/>
    <w:rsid w:val="00FC14B8"/>
    <w:rsid w:val="00FC16AE"/>
    <w:rsid w:val="00FC16C5"/>
    <w:rsid w:val="00FC1791"/>
    <w:rsid w:val="00FC183B"/>
    <w:rsid w:val="00FC1B62"/>
    <w:rsid w:val="00FC1C04"/>
    <w:rsid w:val="00FC1D8D"/>
    <w:rsid w:val="00FC1DCF"/>
    <w:rsid w:val="00FC1E40"/>
    <w:rsid w:val="00FC1FDA"/>
    <w:rsid w:val="00FC201E"/>
    <w:rsid w:val="00FC22BD"/>
    <w:rsid w:val="00FC2620"/>
    <w:rsid w:val="00FC26D7"/>
    <w:rsid w:val="00FC26E7"/>
    <w:rsid w:val="00FC2708"/>
    <w:rsid w:val="00FC2834"/>
    <w:rsid w:val="00FC28BD"/>
    <w:rsid w:val="00FC2ABE"/>
    <w:rsid w:val="00FC2C0A"/>
    <w:rsid w:val="00FC2E96"/>
    <w:rsid w:val="00FC2F82"/>
    <w:rsid w:val="00FC2FB4"/>
    <w:rsid w:val="00FC303E"/>
    <w:rsid w:val="00FC3136"/>
    <w:rsid w:val="00FC3281"/>
    <w:rsid w:val="00FC367F"/>
    <w:rsid w:val="00FC3775"/>
    <w:rsid w:val="00FC381B"/>
    <w:rsid w:val="00FC3945"/>
    <w:rsid w:val="00FC3955"/>
    <w:rsid w:val="00FC3966"/>
    <w:rsid w:val="00FC3985"/>
    <w:rsid w:val="00FC39FB"/>
    <w:rsid w:val="00FC3EF9"/>
    <w:rsid w:val="00FC4034"/>
    <w:rsid w:val="00FC414D"/>
    <w:rsid w:val="00FC41FE"/>
    <w:rsid w:val="00FC4786"/>
    <w:rsid w:val="00FC47EC"/>
    <w:rsid w:val="00FC4A7B"/>
    <w:rsid w:val="00FC4AC0"/>
    <w:rsid w:val="00FC4B6C"/>
    <w:rsid w:val="00FC4DA3"/>
    <w:rsid w:val="00FC4E2F"/>
    <w:rsid w:val="00FC4E7B"/>
    <w:rsid w:val="00FC4FE7"/>
    <w:rsid w:val="00FC5017"/>
    <w:rsid w:val="00FC525A"/>
    <w:rsid w:val="00FC56EE"/>
    <w:rsid w:val="00FC5813"/>
    <w:rsid w:val="00FC588C"/>
    <w:rsid w:val="00FC58FD"/>
    <w:rsid w:val="00FC598C"/>
    <w:rsid w:val="00FC5BF0"/>
    <w:rsid w:val="00FC5BF2"/>
    <w:rsid w:val="00FC5C39"/>
    <w:rsid w:val="00FC5CEA"/>
    <w:rsid w:val="00FC5DE1"/>
    <w:rsid w:val="00FC5E28"/>
    <w:rsid w:val="00FC5FEE"/>
    <w:rsid w:val="00FC6099"/>
    <w:rsid w:val="00FC61C1"/>
    <w:rsid w:val="00FC6205"/>
    <w:rsid w:val="00FC6245"/>
    <w:rsid w:val="00FC631F"/>
    <w:rsid w:val="00FC637A"/>
    <w:rsid w:val="00FC654E"/>
    <w:rsid w:val="00FC66FA"/>
    <w:rsid w:val="00FC674A"/>
    <w:rsid w:val="00FC6834"/>
    <w:rsid w:val="00FC6897"/>
    <w:rsid w:val="00FC68F6"/>
    <w:rsid w:val="00FC691F"/>
    <w:rsid w:val="00FC69E8"/>
    <w:rsid w:val="00FC6D5D"/>
    <w:rsid w:val="00FC6DD6"/>
    <w:rsid w:val="00FC6EDD"/>
    <w:rsid w:val="00FC6F74"/>
    <w:rsid w:val="00FC6FDC"/>
    <w:rsid w:val="00FC7103"/>
    <w:rsid w:val="00FC71D5"/>
    <w:rsid w:val="00FC71FE"/>
    <w:rsid w:val="00FC7284"/>
    <w:rsid w:val="00FC734C"/>
    <w:rsid w:val="00FC73E3"/>
    <w:rsid w:val="00FC741D"/>
    <w:rsid w:val="00FC747B"/>
    <w:rsid w:val="00FC75D8"/>
    <w:rsid w:val="00FC761C"/>
    <w:rsid w:val="00FC76CF"/>
    <w:rsid w:val="00FC7716"/>
    <w:rsid w:val="00FC7747"/>
    <w:rsid w:val="00FC784F"/>
    <w:rsid w:val="00FC797D"/>
    <w:rsid w:val="00FC79E3"/>
    <w:rsid w:val="00FC7B1F"/>
    <w:rsid w:val="00FC7DDA"/>
    <w:rsid w:val="00FC7F9E"/>
    <w:rsid w:val="00FD026B"/>
    <w:rsid w:val="00FD0446"/>
    <w:rsid w:val="00FD044B"/>
    <w:rsid w:val="00FD0593"/>
    <w:rsid w:val="00FD05C9"/>
    <w:rsid w:val="00FD0657"/>
    <w:rsid w:val="00FD077A"/>
    <w:rsid w:val="00FD07DF"/>
    <w:rsid w:val="00FD098F"/>
    <w:rsid w:val="00FD0A0A"/>
    <w:rsid w:val="00FD0AB1"/>
    <w:rsid w:val="00FD0AB9"/>
    <w:rsid w:val="00FD0B2A"/>
    <w:rsid w:val="00FD0C24"/>
    <w:rsid w:val="00FD0C29"/>
    <w:rsid w:val="00FD0DF4"/>
    <w:rsid w:val="00FD0E1E"/>
    <w:rsid w:val="00FD0E64"/>
    <w:rsid w:val="00FD0F8B"/>
    <w:rsid w:val="00FD0FE3"/>
    <w:rsid w:val="00FD10E1"/>
    <w:rsid w:val="00FD1101"/>
    <w:rsid w:val="00FD12AC"/>
    <w:rsid w:val="00FD12E5"/>
    <w:rsid w:val="00FD138A"/>
    <w:rsid w:val="00FD177E"/>
    <w:rsid w:val="00FD17BC"/>
    <w:rsid w:val="00FD1834"/>
    <w:rsid w:val="00FD198A"/>
    <w:rsid w:val="00FD198F"/>
    <w:rsid w:val="00FD1B76"/>
    <w:rsid w:val="00FD1BE5"/>
    <w:rsid w:val="00FD1C6E"/>
    <w:rsid w:val="00FD1F26"/>
    <w:rsid w:val="00FD213F"/>
    <w:rsid w:val="00FD21C2"/>
    <w:rsid w:val="00FD2229"/>
    <w:rsid w:val="00FD22BC"/>
    <w:rsid w:val="00FD22C6"/>
    <w:rsid w:val="00FD231D"/>
    <w:rsid w:val="00FD24DE"/>
    <w:rsid w:val="00FD2699"/>
    <w:rsid w:val="00FD2736"/>
    <w:rsid w:val="00FD28E4"/>
    <w:rsid w:val="00FD28E6"/>
    <w:rsid w:val="00FD2950"/>
    <w:rsid w:val="00FD2AB7"/>
    <w:rsid w:val="00FD2C21"/>
    <w:rsid w:val="00FD2D65"/>
    <w:rsid w:val="00FD2D68"/>
    <w:rsid w:val="00FD2D9E"/>
    <w:rsid w:val="00FD301E"/>
    <w:rsid w:val="00FD325D"/>
    <w:rsid w:val="00FD33FA"/>
    <w:rsid w:val="00FD3430"/>
    <w:rsid w:val="00FD34AD"/>
    <w:rsid w:val="00FD34FA"/>
    <w:rsid w:val="00FD35D9"/>
    <w:rsid w:val="00FD36E9"/>
    <w:rsid w:val="00FD39FD"/>
    <w:rsid w:val="00FD3A63"/>
    <w:rsid w:val="00FD3A8A"/>
    <w:rsid w:val="00FD3AE4"/>
    <w:rsid w:val="00FD3CD6"/>
    <w:rsid w:val="00FD3D30"/>
    <w:rsid w:val="00FD3D4C"/>
    <w:rsid w:val="00FD3D98"/>
    <w:rsid w:val="00FD3DD6"/>
    <w:rsid w:val="00FD3E79"/>
    <w:rsid w:val="00FD3F49"/>
    <w:rsid w:val="00FD4079"/>
    <w:rsid w:val="00FD423D"/>
    <w:rsid w:val="00FD427A"/>
    <w:rsid w:val="00FD4284"/>
    <w:rsid w:val="00FD4412"/>
    <w:rsid w:val="00FD4419"/>
    <w:rsid w:val="00FD4B11"/>
    <w:rsid w:val="00FD4EEF"/>
    <w:rsid w:val="00FD4EF1"/>
    <w:rsid w:val="00FD4F10"/>
    <w:rsid w:val="00FD4F89"/>
    <w:rsid w:val="00FD4FC5"/>
    <w:rsid w:val="00FD5146"/>
    <w:rsid w:val="00FD5278"/>
    <w:rsid w:val="00FD5405"/>
    <w:rsid w:val="00FD5526"/>
    <w:rsid w:val="00FD5534"/>
    <w:rsid w:val="00FD55FB"/>
    <w:rsid w:val="00FD5656"/>
    <w:rsid w:val="00FD5706"/>
    <w:rsid w:val="00FD5709"/>
    <w:rsid w:val="00FD5855"/>
    <w:rsid w:val="00FD58F0"/>
    <w:rsid w:val="00FD5911"/>
    <w:rsid w:val="00FD592D"/>
    <w:rsid w:val="00FD595C"/>
    <w:rsid w:val="00FD5ACB"/>
    <w:rsid w:val="00FD5AF7"/>
    <w:rsid w:val="00FD5B63"/>
    <w:rsid w:val="00FD5E08"/>
    <w:rsid w:val="00FD5E8E"/>
    <w:rsid w:val="00FD5F60"/>
    <w:rsid w:val="00FD60C0"/>
    <w:rsid w:val="00FD60D3"/>
    <w:rsid w:val="00FD6101"/>
    <w:rsid w:val="00FD624B"/>
    <w:rsid w:val="00FD62A6"/>
    <w:rsid w:val="00FD63C4"/>
    <w:rsid w:val="00FD647D"/>
    <w:rsid w:val="00FD6518"/>
    <w:rsid w:val="00FD66F0"/>
    <w:rsid w:val="00FD674F"/>
    <w:rsid w:val="00FD676E"/>
    <w:rsid w:val="00FD6786"/>
    <w:rsid w:val="00FD6850"/>
    <w:rsid w:val="00FD6865"/>
    <w:rsid w:val="00FD6A0F"/>
    <w:rsid w:val="00FD6A3C"/>
    <w:rsid w:val="00FD6A5E"/>
    <w:rsid w:val="00FD6A8C"/>
    <w:rsid w:val="00FD6A8F"/>
    <w:rsid w:val="00FD6AB8"/>
    <w:rsid w:val="00FD6B9C"/>
    <w:rsid w:val="00FD6C57"/>
    <w:rsid w:val="00FD6C61"/>
    <w:rsid w:val="00FD6EF8"/>
    <w:rsid w:val="00FD6F79"/>
    <w:rsid w:val="00FD70BC"/>
    <w:rsid w:val="00FD71D2"/>
    <w:rsid w:val="00FD725A"/>
    <w:rsid w:val="00FD72B0"/>
    <w:rsid w:val="00FD72B3"/>
    <w:rsid w:val="00FD734A"/>
    <w:rsid w:val="00FD7358"/>
    <w:rsid w:val="00FD7412"/>
    <w:rsid w:val="00FD7462"/>
    <w:rsid w:val="00FD748B"/>
    <w:rsid w:val="00FD7495"/>
    <w:rsid w:val="00FD756A"/>
    <w:rsid w:val="00FD75DA"/>
    <w:rsid w:val="00FD75E9"/>
    <w:rsid w:val="00FD75FC"/>
    <w:rsid w:val="00FD7610"/>
    <w:rsid w:val="00FD77AB"/>
    <w:rsid w:val="00FD7A04"/>
    <w:rsid w:val="00FD7A12"/>
    <w:rsid w:val="00FD7A26"/>
    <w:rsid w:val="00FD7ABB"/>
    <w:rsid w:val="00FD7AC9"/>
    <w:rsid w:val="00FD7B2F"/>
    <w:rsid w:val="00FD7BA6"/>
    <w:rsid w:val="00FD7DBE"/>
    <w:rsid w:val="00FD7E4C"/>
    <w:rsid w:val="00FE008B"/>
    <w:rsid w:val="00FE008D"/>
    <w:rsid w:val="00FE013B"/>
    <w:rsid w:val="00FE0153"/>
    <w:rsid w:val="00FE01BA"/>
    <w:rsid w:val="00FE0359"/>
    <w:rsid w:val="00FE04A9"/>
    <w:rsid w:val="00FE051F"/>
    <w:rsid w:val="00FE05E4"/>
    <w:rsid w:val="00FE06DB"/>
    <w:rsid w:val="00FE06F8"/>
    <w:rsid w:val="00FE07D7"/>
    <w:rsid w:val="00FE0AE3"/>
    <w:rsid w:val="00FE0B33"/>
    <w:rsid w:val="00FE0B84"/>
    <w:rsid w:val="00FE0B9B"/>
    <w:rsid w:val="00FE0BA9"/>
    <w:rsid w:val="00FE0C26"/>
    <w:rsid w:val="00FE0CBB"/>
    <w:rsid w:val="00FE0CC1"/>
    <w:rsid w:val="00FE0E00"/>
    <w:rsid w:val="00FE0E4D"/>
    <w:rsid w:val="00FE0F18"/>
    <w:rsid w:val="00FE0F2C"/>
    <w:rsid w:val="00FE0F60"/>
    <w:rsid w:val="00FE0FE7"/>
    <w:rsid w:val="00FE10FA"/>
    <w:rsid w:val="00FE11FD"/>
    <w:rsid w:val="00FE12C5"/>
    <w:rsid w:val="00FE131E"/>
    <w:rsid w:val="00FE13EE"/>
    <w:rsid w:val="00FE14DA"/>
    <w:rsid w:val="00FE1604"/>
    <w:rsid w:val="00FE16EA"/>
    <w:rsid w:val="00FE171A"/>
    <w:rsid w:val="00FE1757"/>
    <w:rsid w:val="00FE179F"/>
    <w:rsid w:val="00FE17B9"/>
    <w:rsid w:val="00FE1905"/>
    <w:rsid w:val="00FE1928"/>
    <w:rsid w:val="00FE1996"/>
    <w:rsid w:val="00FE19E0"/>
    <w:rsid w:val="00FE1A88"/>
    <w:rsid w:val="00FE1AC7"/>
    <w:rsid w:val="00FE1C42"/>
    <w:rsid w:val="00FE1C57"/>
    <w:rsid w:val="00FE1D0A"/>
    <w:rsid w:val="00FE1D81"/>
    <w:rsid w:val="00FE1E21"/>
    <w:rsid w:val="00FE1E27"/>
    <w:rsid w:val="00FE2010"/>
    <w:rsid w:val="00FE2052"/>
    <w:rsid w:val="00FE21DB"/>
    <w:rsid w:val="00FE222F"/>
    <w:rsid w:val="00FE2266"/>
    <w:rsid w:val="00FE232E"/>
    <w:rsid w:val="00FE2576"/>
    <w:rsid w:val="00FE2587"/>
    <w:rsid w:val="00FE267E"/>
    <w:rsid w:val="00FE26DC"/>
    <w:rsid w:val="00FE2983"/>
    <w:rsid w:val="00FE29A6"/>
    <w:rsid w:val="00FE29C3"/>
    <w:rsid w:val="00FE2C29"/>
    <w:rsid w:val="00FE2F08"/>
    <w:rsid w:val="00FE2F51"/>
    <w:rsid w:val="00FE3038"/>
    <w:rsid w:val="00FE307E"/>
    <w:rsid w:val="00FE3096"/>
    <w:rsid w:val="00FE3147"/>
    <w:rsid w:val="00FE31C1"/>
    <w:rsid w:val="00FE3340"/>
    <w:rsid w:val="00FE348D"/>
    <w:rsid w:val="00FE36D5"/>
    <w:rsid w:val="00FE3835"/>
    <w:rsid w:val="00FE3872"/>
    <w:rsid w:val="00FE38C0"/>
    <w:rsid w:val="00FE392E"/>
    <w:rsid w:val="00FE3A7E"/>
    <w:rsid w:val="00FE3A92"/>
    <w:rsid w:val="00FE3B13"/>
    <w:rsid w:val="00FE3C00"/>
    <w:rsid w:val="00FE3C15"/>
    <w:rsid w:val="00FE3CB4"/>
    <w:rsid w:val="00FE3D08"/>
    <w:rsid w:val="00FE3D3C"/>
    <w:rsid w:val="00FE3D80"/>
    <w:rsid w:val="00FE3E50"/>
    <w:rsid w:val="00FE3EE4"/>
    <w:rsid w:val="00FE3F6C"/>
    <w:rsid w:val="00FE4041"/>
    <w:rsid w:val="00FE4162"/>
    <w:rsid w:val="00FE4245"/>
    <w:rsid w:val="00FE4446"/>
    <w:rsid w:val="00FE44A0"/>
    <w:rsid w:val="00FE44F5"/>
    <w:rsid w:val="00FE475F"/>
    <w:rsid w:val="00FE4767"/>
    <w:rsid w:val="00FE47CC"/>
    <w:rsid w:val="00FE490A"/>
    <w:rsid w:val="00FE4D05"/>
    <w:rsid w:val="00FE4D4D"/>
    <w:rsid w:val="00FE4FB4"/>
    <w:rsid w:val="00FE4FFD"/>
    <w:rsid w:val="00FE5212"/>
    <w:rsid w:val="00FE5364"/>
    <w:rsid w:val="00FE5474"/>
    <w:rsid w:val="00FE547D"/>
    <w:rsid w:val="00FE5551"/>
    <w:rsid w:val="00FE559B"/>
    <w:rsid w:val="00FE55A8"/>
    <w:rsid w:val="00FE5606"/>
    <w:rsid w:val="00FE5640"/>
    <w:rsid w:val="00FE5684"/>
    <w:rsid w:val="00FE594F"/>
    <w:rsid w:val="00FE5A03"/>
    <w:rsid w:val="00FE5B27"/>
    <w:rsid w:val="00FE5BA4"/>
    <w:rsid w:val="00FE5BBA"/>
    <w:rsid w:val="00FE5BDF"/>
    <w:rsid w:val="00FE5C72"/>
    <w:rsid w:val="00FE5C8F"/>
    <w:rsid w:val="00FE5EBB"/>
    <w:rsid w:val="00FE5FAF"/>
    <w:rsid w:val="00FE6040"/>
    <w:rsid w:val="00FE60D3"/>
    <w:rsid w:val="00FE60F3"/>
    <w:rsid w:val="00FE6130"/>
    <w:rsid w:val="00FE62B9"/>
    <w:rsid w:val="00FE6314"/>
    <w:rsid w:val="00FE6460"/>
    <w:rsid w:val="00FE6522"/>
    <w:rsid w:val="00FE65B1"/>
    <w:rsid w:val="00FE665C"/>
    <w:rsid w:val="00FE6734"/>
    <w:rsid w:val="00FE67F6"/>
    <w:rsid w:val="00FE694F"/>
    <w:rsid w:val="00FE6992"/>
    <w:rsid w:val="00FE6B67"/>
    <w:rsid w:val="00FE6B78"/>
    <w:rsid w:val="00FE6CA2"/>
    <w:rsid w:val="00FE6D31"/>
    <w:rsid w:val="00FE70BE"/>
    <w:rsid w:val="00FE70CC"/>
    <w:rsid w:val="00FE7143"/>
    <w:rsid w:val="00FE71C0"/>
    <w:rsid w:val="00FE7329"/>
    <w:rsid w:val="00FE734C"/>
    <w:rsid w:val="00FE73E3"/>
    <w:rsid w:val="00FE73F9"/>
    <w:rsid w:val="00FE7458"/>
    <w:rsid w:val="00FE745F"/>
    <w:rsid w:val="00FE74B0"/>
    <w:rsid w:val="00FE78D8"/>
    <w:rsid w:val="00FE7943"/>
    <w:rsid w:val="00FE795C"/>
    <w:rsid w:val="00FE7A9B"/>
    <w:rsid w:val="00FE7B8A"/>
    <w:rsid w:val="00FE7C09"/>
    <w:rsid w:val="00FE7C91"/>
    <w:rsid w:val="00FE7CE4"/>
    <w:rsid w:val="00FE7EAA"/>
    <w:rsid w:val="00FE7EC4"/>
    <w:rsid w:val="00FE7ECB"/>
    <w:rsid w:val="00FE7F02"/>
    <w:rsid w:val="00FE7F4E"/>
    <w:rsid w:val="00FF0075"/>
    <w:rsid w:val="00FF00FC"/>
    <w:rsid w:val="00FF0125"/>
    <w:rsid w:val="00FF02D4"/>
    <w:rsid w:val="00FF030C"/>
    <w:rsid w:val="00FF0343"/>
    <w:rsid w:val="00FF05E7"/>
    <w:rsid w:val="00FF0629"/>
    <w:rsid w:val="00FF0641"/>
    <w:rsid w:val="00FF0696"/>
    <w:rsid w:val="00FF07F6"/>
    <w:rsid w:val="00FF09F0"/>
    <w:rsid w:val="00FF0A6C"/>
    <w:rsid w:val="00FF0ACF"/>
    <w:rsid w:val="00FF0B4F"/>
    <w:rsid w:val="00FF0C25"/>
    <w:rsid w:val="00FF0CB2"/>
    <w:rsid w:val="00FF0CF5"/>
    <w:rsid w:val="00FF0D09"/>
    <w:rsid w:val="00FF0E6F"/>
    <w:rsid w:val="00FF0EB9"/>
    <w:rsid w:val="00FF1082"/>
    <w:rsid w:val="00FF135E"/>
    <w:rsid w:val="00FF1385"/>
    <w:rsid w:val="00FF13D7"/>
    <w:rsid w:val="00FF140A"/>
    <w:rsid w:val="00FF14C3"/>
    <w:rsid w:val="00FF1581"/>
    <w:rsid w:val="00FF1583"/>
    <w:rsid w:val="00FF173B"/>
    <w:rsid w:val="00FF17A2"/>
    <w:rsid w:val="00FF1ADE"/>
    <w:rsid w:val="00FF1C46"/>
    <w:rsid w:val="00FF1D56"/>
    <w:rsid w:val="00FF1D79"/>
    <w:rsid w:val="00FF1E66"/>
    <w:rsid w:val="00FF1E7A"/>
    <w:rsid w:val="00FF1F44"/>
    <w:rsid w:val="00FF2087"/>
    <w:rsid w:val="00FF2148"/>
    <w:rsid w:val="00FF2338"/>
    <w:rsid w:val="00FF2431"/>
    <w:rsid w:val="00FF253B"/>
    <w:rsid w:val="00FF258B"/>
    <w:rsid w:val="00FF25A8"/>
    <w:rsid w:val="00FF29CD"/>
    <w:rsid w:val="00FF2B32"/>
    <w:rsid w:val="00FF2C3A"/>
    <w:rsid w:val="00FF2E41"/>
    <w:rsid w:val="00FF2E4E"/>
    <w:rsid w:val="00FF2E81"/>
    <w:rsid w:val="00FF3042"/>
    <w:rsid w:val="00FF30FF"/>
    <w:rsid w:val="00FF326B"/>
    <w:rsid w:val="00FF3295"/>
    <w:rsid w:val="00FF347C"/>
    <w:rsid w:val="00FF34F8"/>
    <w:rsid w:val="00FF34FF"/>
    <w:rsid w:val="00FF3668"/>
    <w:rsid w:val="00FF37A9"/>
    <w:rsid w:val="00FF382B"/>
    <w:rsid w:val="00FF38A0"/>
    <w:rsid w:val="00FF3915"/>
    <w:rsid w:val="00FF3935"/>
    <w:rsid w:val="00FF3947"/>
    <w:rsid w:val="00FF3B35"/>
    <w:rsid w:val="00FF3B9D"/>
    <w:rsid w:val="00FF3BAD"/>
    <w:rsid w:val="00FF3D04"/>
    <w:rsid w:val="00FF3D4A"/>
    <w:rsid w:val="00FF3F22"/>
    <w:rsid w:val="00FF4198"/>
    <w:rsid w:val="00FF4215"/>
    <w:rsid w:val="00FF4229"/>
    <w:rsid w:val="00FF427E"/>
    <w:rsid w:val="00FF42E6"/>
    <w:rsid w:val="00FF4502"/>
    <w:rsid w:val="00FF45FC"/>
    <w:rsid w:val="00FF465D"/>
    <w:rsid w:val="00FF46BD"/>
    <w:rsid w:val="00FF490B"/>
    <w:rsid w:val="00FF49F5"/>
    <w:rsid w:val="00FF4A8A"/>
    <w:rsid w:val="00FF4B13"/>
    <w:rsid w:val="00FF4B25"/>
    <w:rsid w:val="00FF4B2E"/>
    <w:rsid w:val="00FF4BD2"/>
    <w:rsid w:val="00FF4BFD"/>
    <w:rsid w:val="00FF4C1B"/>
    <w:rsid w:val="00FF4CD0"/>
    <w:rsid w:val="00FF4FD4"/>
    <w:rsid w:val="00FF4FDB"/>
    <w:rsid w:val="00FF51FD"/>
    <w:rsid w:val="00FF5318"/>
    <w:rsid w:val="00FF5364"/>
    <w:rsid w:val="00FF5527"/>
    <w:rsid w:val="00FF5721"/>
    <w:rsid w:val="00FF591D"/>
    <w:rsid w:val="00FF5930"/>
    <w:rsid w:val="00FF59F4"/>
    <w:rsid w:val="00FF5C70"/>
    <w:rsid w:val="00FF5CDC"/>
    <w:rsid w:val="00FF5E41"/>
    <w:rsid w:val="00FF607A"/>
    <w:rsid w:val="00FF60CA"/>
    <w:rsid w:val="00FF60F4"/>
    <w:rsid w:val="00FF6409"/>
    <w:rsid w:val="00FF64AB"/>
    <w:rsid w:val="00FF657A"/>
    <w:rsid w:val="00FF6600"/>
    <w:rsid w:val="00FF6854"/>
    <w:rsid w:val="00FF68C6"/>
    <w:rsid w:val="00FF6991"/>
    <w:rsid w:val="00FF6B8E"/>
    <w:rsid w:val="00FF6CCF"/>
    <w:rsid w:val="00FF6CDB"/>
    <w:rsid w:val="00FF6D7A"/>
    <w:rsid w:val="00FF6E67"/>
    <w:rsid w:val="00FF6F46"/>
    <w:rsid w:val="00FF6F4E"/>
    <w:rsid w:val="00FF712E"/>
    <w:rsid w:val="00FF7135"/>
    <w:rsid w:val="00FF720B"/>
    <w:rsid w:val="00FF722C"/>
    <w:rsid w:val="00FF723F"/>
    <w:rsid w:val="00FF7358"/>
    <w:rsid w:val="00FF7409"/>
    <w:rsid w:val="00FF7623"/>
    <w:rsid w:val="00FF7841"/>
    <w:rsid w:val="00FF7870"/>
    <w:rsid w:val="00FF7877"/>
    <w:rsid w:val="00FF7B07"/>
    <w:rsid w:val="00FF7BDA"/>
    <w:rsid w:val="00FF7D56"/>
    <w:rsid w:val="00FF7DE2"/>
    <w:rsid w:val="00FF7F1D"/>
    <w:rsid w:val="00FF7F82"/>
    <w:rsid w:val="0102A6E2"/>
    <w:rsid w:val="010630F1"/>
    <w:rsid w:val="010CCF42"/>
    <w:rsid w:val="010EB10F"/>
    <w:rsid w:val="010F7076"/>
    <w:rsid w:val="01104C9E"/>
    <w:rsid w:val="01117E8C"/>
    <w:rsid w:val="01140F01"/>
    <w:rsid w:val="011976A8"/>
    <w:rsid w:val="01260149"/>
    <w:rsid w:val="012A625E"/>
    <w:rsid w:val="01352177"/>
    <w:rsid w:val="0139F8DF"/>
    <w:rsid w:val="013C6E29"/>
    <w:rsid w:val="0150E423"/>
    <w:rsid w:val="015358B9"/>
    <w:rsid w:val="0154C605"/>
    <w:rsid w:val="0158FA3B"/>
    <w:rsid w:val="01627385"/>
    <w:rsid w:val="016E1E26"/>
    <w:rsid w:val="0171414A"/>
    <w:rsid w:val="01716250"/>
    <w:rsid w:val="01734124"/>
    <w:rsid w:val="017698B9"/>
    <w:rsid w:val="017A6A68"/>
    <w:rsid w:val="0180F1EB"/>
    <w:rsid w:val="018A7725"/>
    <w:rsid w:val="018DB039"/>
    <w:rsid w:val="0194D3F2"/>
    <w:rsid w:val="01A8FF8D"/>
    <w:rsid w:val="01A96A85"/>
    <w:rsid w:val="01ACC37F"/>
    <w:rsid w:val="01AD7ED9"/>
    <w:rsid w:val="01C71F6D"/>
    <w:rsid w:val="01D3418B"/>
    <w:rsid w:val="01D39E2A"/>
    <w:rsid w:val="01DCE578"/>
    <w:rsid w:val="01E8AC6A"/>
    <w:rsid w:val="0201234F"/>
    <w:rsid w:val="020609A2"/>
    <w:rsid w:val="02126FDA"/>
    <w:rsid w:val="0214D921"/>
    <w:rsid w:val="021ED062"/>
    <w:rsid w:val="02212CC9"/>
    <w:rsid w:val="0226363B"/>
    <w:rsid w:val="02274B2B"/>
    <w:rsid w:val="022C7889"/>
    <w:rsid w:val="022EDB04"/>
    <w:rsid w:val="02345189"/>
    <w:rsid w:val="0234FB23"/>
    <w:rsid w:val="023FB226"/>
    <w:rsid w:val="024565D1"/>
    <w:rsid w:val="024BB58E"/>
    <w:rsid w:val="024EA92C"/>
    <w:rsid w:val="0253A0CF"/>
    <w:rsid w:val="025CE333"/>
    <w:rsid w:val="025DA8EA"/>
    <w:rsid w:val="025DFEC0"/>
    <w:rsid w:val="02667BA1"/>
    <w:rsid w:val="026EA73B"/>
    <w:rsid w:val="0276B868"/>
    <w:rsid w:val="0290BD36"/>
    <w:rsid w:val="02957313"/>
    <w:rsid w:val="02BA4B7B"/>
    <w:rsid w:val="02BAED35"/>
    <w:rsid w:val="02BFAAF7"/>
    <w:rsid w:val="02CCFE15"/>
    <w:rsid w:val="02D71E0B"/>
    <w:rsid w:val="02E0BA3B"/>
    <w:rsid w:val="02EA66A2"/>
    <w:rsid w:val="02EFB734"/>
    <w:rsid w:val="02F95A85"/>
    <w:rsid w:val="0301C30E"/>
    <w:rsid w:val="03075056"/>
    <w:rsid w:val="030A7C80"/>
    <w:rsid w:val="0319E995"/>
    <w:rsid w:val="03210471"/>
    <w:rsid w:val="032A4189"/>
    <w:rsid w:val="032BC9E4"/>
    <w:rsid w:val="032C57D2"/>
    <w:rsid w:val="033D60EB"/>
    <w:rsid w:val="033FB1A2"/>
    <w:rsid w:val="03473596"/>
    <w:rsid w:val="0349D60C"/>
    <w:rsid w:val="034C0168"/>
    <w:rsid w:val="03555165"/>
    <w:rsid w:val="03587B29"/>
    <w:rsid w:val="0365B2E5"/>
    <w:rsid w:val="036B628D"/>
    <w:rsid w:val="0374FE3B"/>
    <w:rsid w:val="037E7B11"/>
    <w:rsid w:val="0388D37E"/>
    <w:rsid w:val="038D7A44"/>
    <w:rsid w:val="0397ACFA"/>
    <w:rsid w:val="039E6929"/>
    <w:rsid w:val="03A22546"/>
    <w:rsid w:val="03AA4704"/>
    <w:rsid w:val="03BB038A"/>
    <w:rsid w:val="03BEE2D4"/>
    <w:rsid w:val="03BEFB29"/>
    <w:rsid w:val="03C4A071"/>
    <w:rsid w:val="03C4E263"/>
    <w:rsid w:val="03CFFCAA"/>
    <w:rsid w:val="03D20F06"/>
    <w:rsid w:val="03D63A91"/>
    <w:rsid w:val="03D6ABCB"/>
    <w:rsid w:val="03D9558E"/>
    <w:rsid w:val="03EDA7A5"/>
    <w:rsid w:val="03F313CF"/>
    <w:rsid w:val="03F74F84"/>
    <w:rsid w:val="03F7FB40"/>
    <w:rsid w:val="03FC1B7C"/>
    <w:rsid w:val="03FF242B"/>
    <w:rsid w:val="04003B35"/>
    <w:rsid w:val="04026B2C"/>
    <w:rsid w:val="0406ADE3"/>
    <w:rsid w:val="040C3CC5"/>
    <w:rsid w:val="040E48BC"/>
    <w:rsid w:val="0411503F"/>
    <w:rsid w:val="04164255"/>
    <w:rsid w:val="0417AB88"/>
    <w:rsid w:val="0417F2EB"/>
    <w:rsid w:val="0420407D"/>
    <w:rsid w:val="04269373"/>
    <w:rsid w:val="0436DB57"/>
    <w:rsid w:val="04395465"/>
    <w:rsid w:val="045051B3"/>
    <w:rsid w:val="0458DB67"/>
    <w:rsid w:val="04655869"/>
    <w:rsid w:val="0469D938"/>
    <w:rsid w:val="046C1477"/>
    <w:rsid w:val="046FAA83"/>
    <w:rsid w:val="04758FA3"/>
    <w:rsid w:val="04776F65"/>
    <w:rsid w:val="047B634C"/>
    <w:rsid w:val="048D8765"/>
    <w:rsid w:val="049808FD"/>
    <w:rsid w:val="04B3B40F"/>
    <w:rsid w:val="04B52304"/>
    <w:rsid w:val="04B97F53"/>
    <w:rsid w:val="04BB0FA4"/>
    <w:rsid w:val="04BD86BC"/>
    <w:rsid w:val="04BDC3F6"/>
    <w:rsid w:val="04C31A03"/>
    <w:rsid w:val="04CDF0F1"/>
    <w:rsid w:val="04E83543"/>
    <w:rsid w:val="04ED72A6"/>
    <w:rsid w:val="04F5D374"/>
    <w:rsid w:val="04F6B04C"/>
    <w:rsid w:val="04FDAF8F"/>
    <w:rsid w:val="050281CA"/>
    <w:rsid w:val="050AF2C7"/>
    <w:rsid w:val="050B6315"/>
    <w:rsid w:val="051B1C3C"/>
    <w:rsid w:val="05209D51"/>
    <w:rsid w:val="0523CBCA"/>
    <w:rsid w:val="05321EB1"/>
    <w:rsid w:val="053EE970"/>
    <w:rsid w:val="054C318B"/>
    <w:rsid w:val="054CEE62"/>
    <w:rsid w:val="055D0393"/>
    <w:rsid w:val="055FF86F"/>
    <w:rsid w:val="05603646"/>
    <w:rsid w:val="0567B3D9"/>
    <w:rsid w:val="056E9825"/>
    <w:rsid w:val="057BFF30"/>
    <w:rsid w:val="057DB40E"/>
    <w:rsid w:val="057DE3FF"/>
    <w:rsid w:val="058624B5"/>
    <w:rsid w:val="059A2947"/>
    <w:rsid w:val="05A15F29"/>
    <w:rsid w:val="05A8BDFC"/>
    <w:rsid w:val="05AA3F0A"/>
    <w:rsid w:val="05AF56F5"/>
    <w:rsid w:val="05B73549"/>
    <w:rsid w:val="05BA07AE"/>
    <w:rsid w:val="05BB3BCE"/>
    <w:rsid w:val="05BD37B6"/>
    <w:rsid w:val="05C1FA17"/>
    <w:rsid w:val="05C29E8A"/>
    <w:rsid w:val="05CDDF2E"/>
    <w:rsid w:val="05D0F467"/>
    <w:rsid w:val="05DA9BA4"/>
    <w:rsid w:val="05DC2A7C"/>
    <w:rsid w:val="05DDE913"/>
    <w:rsid w:val="05E08918"/>
    <w:rsid w:val="05E698E6"/>
    <w:rsid w:val="05F725B0"/>
    <w:rsid w:val="05FA0EEF"/>
    <w:rsid w:val="05FA5BC7"/>
    <w:rsid w:val="05FDB81A"/>
    <w:rsid w:val="0601EF34"/>
    <w:rsid w:val="06028020"/>
    <w:rsid w:val="060AB817"/>
    <w:rsid w:val="060BCAAA"/>
    <w:rsid w:val="061C32E9"/>
    <w:rsid w:val="06223992"/>
    <w:rsid w:val="062D5788"/>
    <w:rsid w:val="0631F7E0"/>
    <w:rsid w:val="063520F5"/>
    <w:rsid w:val="064467C3"/>
    <w:rsid w:val="06471A44"/>
    <w:rsid w:val="06544CDE"/>
    <w:rsid w:val="0669E284"/>
    <w:rsid w:val="066E8D02"/>
    <w:rsid w:val="06866F34"/>
    <w:rsid w:val="068A2A94"/>
    <w:rsid w:val="06910CDC"/>
    <w:rsid w:val="0697A97F"/>
    <w:rsid w:val="069CDD64"/>
    <w:rsid w:val="06ACB2DE"/>
    <w:rsid w:val="06AFB029"/>
    <w:rsid w:val="06B4354E"/>
    <w:rsid w:val="06BA23BA"/>
    <w:rsid w:val="06C44CEB"/>
    <w:rsid w:val="06CB2044"/>
    <w:rsid w:val="06CED171"/>
    <w:rsid w:val="06D465F7"/>
    <w:rsid w:val="06D8788D"/>
    <w:rsid w:val="06DBF85C"/>
    <w:rsid w:val="06E1A182"/>
    <w:rsid w:val="06ED1550"/>
    <w:rsid w:val="06F78506"/>
    <w:rsid w:val="06FE46AA"/>
    <w:rsid w:val="07128934"/>
    <w:rsid w:val="07181993"/>
    <w:rsid w:val="07182481"/>
    <w:rsid w:val="071DAB54"/>
    <w:rsid w:val="07204740"/>
    <w:rsid w:val="072A43F9"/>
    <w:rsid w:val="072D3C96"/>
    <w:rsid w:val="072FFC81"/>
    <w:rsid w:val="07358618"/>
    <w:rsid w:val="07390074"/>
    <w:rsid w:val="0739A7B1"/>
    <w:rsid w:val="07432797"/>
    <w:rsid w:val="0749349C"/>
    <w:rsid w:val="074F5024"/>
    <w:rsid w:val="07566F51"/>
    <w:rsid w:val="0762FA31"/>
    <w:rsid w:val="0764B562"/>
    <w:rsid w:val="0768F791"/>
    <w:rsid w:val="07727F74"/>
    <w:rsid w:val="077501AC"/>
    <w:rsid w:val="077C36AA"/>
    <w:rsid w:val="078AF44B"/>
    <w:rsid w:val="0798081A"/>
    <w:rsid w:val="07A03B2D"/>
    <w:rsid w:val="07A38D9A"/>
    <w:rsid w:val="07A7E9EF"/>
    <w:rsid w:val="07AA332F"/>
    <w:rsid w:val="07B302C1"/>
    <w:rsid w:val="07B7E695"/>
    <w:rsid w:val="07BCDC66"/>
    <w:rsid w:val="07C22E36"/>
    <w:rsid w:val="07C520AA"/>
    <w:rsid w:val="07C9B282"/>
    <w:rsid w:val="07D7CBE9"/>
    <w:rsid w:val="07DF60A7"/>
    <w:rsid w:val="07EA4CC6"/>
    <w:rsid w:val="07EEBEDF"/>
    <w:rsid w:val="07F00C20"/>
    <w:rsid w:val="07F2863E"/>
    <w:rsid w:val="0801C33B"/>
    <w:rsid w:val="08027904"/>
    <w:rsid w:val="0805BE82"/>
    <w:rsid w:val="08122620"/>
    <w:rsid w:val="0812E14D"/>
    <w:rsid w:val="08200CAF"/>
    <w:rsid w:val="0823E2EE"/>
    <w:rsid w:val="082BAA53"/>
    <w:rsid w:val="0840F946"/>
    <w:rsid w:val="084607E1"/>
    <w:rsid w:val="0846BBF8"/>
    <w:rsid w:val="085357EE"/>
    <w:rsid w:val="085A46DB"/>
    <w:rsid w:val="08641942"/>
    <w:rsid w:val="0870C4ED"/>
    <w:rsid w:val="0875ABF6"/>
    <w:rsid w:val="087D9F68"/>
    <w:rsid w:val="08809D26"/>
    <w:rsid w:val="08842149"/>
    <w:rsid w:val="08868DC4"/>
    <w:rsid w:val="088E3A27"/>
    <w:rsid w:val="089408D2"/>
    <w:rsid w:val="08956F39"/>
    <w:rsid w:val="08989D3E"/>
    <w:rsid w:val="089AD8E1"/>
    <w:rsid w:val="08A929FE"/>
    <w:rsid w:val="08B7201F"/>
    <w:rsid w:val="08BD1F80"/>
    <w:rsid w:val="08C2314B"/>
    <w:rsid w:val="08C3E377"/>
    <w:rsid w:val="08C4AA62"/>
    <w:rsid w:val="08CE108E"/>
    <w:rsid w:val="08D060B7"/>
    <w:rsid w:val="08D749FF"/>
    <w:rsid w:val="08DFFB48"/>
    <w:rsid w:val="08E48CF4"/>
    <w:rsid w:val="08E89ADA"/>
    <w:rsid w:val="08E912B7"/>
    <w:rsid w:val="08EA0CDB"/>
    <w:rsid w:val="08EC8097"/>
    <w:rsid w:val="08F5872D"/>
    <w:rsid w:val="09072F7D"/>
    <w:rsid w:val="0912D5F4"/>
    <w:rsid w:val="09176754"/>
    <w:rsid w:val="091BD427"/>
    <w:rsid w:val="091C791B"/>
    <w:rsid w:val="09259142"/>
    <w:rsid w:val="092C09E0"/>
    <w:rsid w:val="0933435F"/>
    <w:rsid w:val="093A689D"/>
    <w:rsid w:val="09450B58"/>
    <w:rsid w:val="0947E2B6"/>
    <w:rsid w:val="09636D53"/>
    <w:rsid w:val="09641608"/>
    <w:rsid w:val="0966AE4F"/>
    <w:rsid w:val="0969BDDA"/>
    <w:rsid w:val="096C8FC7"/>
    <w:rsid w:val="096FC7F1"/>
    <w:rsid w:val="0970D75E"/>
    <w:rsid w:val="097D5655"/>
    <w:rsid w:val="097D851E"/>
    <w:rsid w:val="097DE87A"/>
    <w:rsid w:val="09816F2E"/>
    <w:rsid w:val="098553D9"/>
    <w:rsid w:val="099085C6"/>
    <w:rsid w:val="0992AF91"/>
    <w:rsid w:val="09967BD9"/>
    <w:rsid w:val="09982CAA"/>
    <w:rsid w:val="099B7CE0"/>
    <w:rsid w:val="09A3CF99"/>
    <w:rsid w:val="09A44C4B"/>
    <w:rsid w:val="09A4E189"/>
    <w:rsid w:val="09A62DD3"/>
    <w:rsid w:val="09AF207E"/>
    <w:rsid w:val="09B636E4"/>
    <w:rsid w:val="09B671DD"/>
    <w:rsid w:val="09BF707B"/>
    <w:rsid w:val="09C4CB25"/>
    <w:rsid w:val="09D3EBDA"/>
    <w:rsid w:val="09D4F9DA"/>
    <w:rsid w:val="09DB44D4"/>
    <w:rsid w:val="09DCD27F"/>
    <w:rsid w:val="09E5E53A"/>
    <w:rsid w:val="09EDE14B"/>
    <w:rsid w:val="09EE25A5"/>
    <w:rsid w:val="09EFB04F"/>
    <w:rsid w:val="09F0B88D"/>
    <w:rsid w:val="09F3DDF4"/>
    <w:rsid w:val="09F861BF"/>
    <w:rsid w:val="09F9E65F"/>
    <w:rsid w:val="09FCC275"/>
    <w:rsid w:val="0A02B110"/>
    <w:rsid w:val="0A0349B4"/>
    <w:rsid w:val="0A078702"/>
    <w:rsid w:val="0A08CE7D"/>
    <w:rsid w:val="0A0DE9CE"/>
    <w:rsid w:val="0A11282F"/>
    <w:rsid w:val="0A16C6C1"/>
    <w:rsid w:val="0A27DC39"/>
    <w:rsid w:val="0A2F1951"/>
    <w:rsid w:val="0A31F4A4"/>
    <w:rsid w:val="0A3D378C"/>
    <w:rsid w:val="0A406F1F"/>
    <w:rsid w:val="0A426AEB"/>
    <w:rsid w:val="0A444962"/>
    <w:rsid w:val="0A47A7FF"/>
    <w:rsid w:val="0A48E7F6"/>
    <w:rsid w:val="0A49774A"/>
    <w:rsid w:val="0A520C89"/>
    <w:rsid w:val="0A647E74"/>
    <w:rsid w:val="0A6587FD"/>
    <w:rsid w:val="0A66E9B5"/>
    <w:rsid w:val="0A6711AC"/>
    <w:rsid w:val="0A6B911C"/>
    <w:rsid w:val="0A6EE792"/>
    <w:rsid w:val="0A701C8F"/>
    <w:rsid w:val="0A8DDE69"/>
    <w:rsid w:val="0AA197AE"/>
    <w:rsid w:val="0AA1CDD6"/>
    <w:rsid w:val="0AA92756"/>
    <w:rsid w:val="0AAA7D4E"/>
    <w:rsid w:val="0AAEF43F"/>
    <w:rsid w:val="0AB1FEF6"/>
    <w:rsid w:val="0AB5EC04"/>
    <w:rsid w:val="0AB7880F"/>
    <w:rsid w:val="0ABCDA27"/>
    <w:rsid w:val="0AC0ED44"/>
    <w:rsid w:val="0ACE88E1"/>
    <w:rsid w:val="0AD58389"/>
    <w:rsid w:val="0AD9755C"/>
    <w:rsid w:val="0ADA848A"/>
    <w:rsid w:val="0ADC1543"/>
    <w:rsid w:val="0AE18A7C"/>
    <w:rsid w:val="0AE3D69F"/>
    <w:rsid w:val="0AE3FC93"/>
    <w:rsid w:val="0AE6CD87"/>
    <w:rsid w:val="0AE9FB0B"/>
    <w:rsid w:val="0AF596E5"/>
    <w:rsid w:val="0AFCD099"/>
    <w:rsid w:val="0B011489"/>
    <w:rsid w:val="0B0C9DE1"/>
    <w:rsid w:val="0B12C99A"/>
    <w:rsid w:val="0B1A8832"/>
    <w:rsid w:val="0B2038E8"/>
    <w:rsid w:val="0B2237E5"/>
    <w:rsid w:val="0B227C80"/>
    <w:rsid w:val="0B2F9376"/>
    <w:rsid w:val="0B3424DA"/>
    <w:rsid w:val="0B5004F7"/>
    <w:rsid w:val="0B56E918"/>
    <w:rsid w:val="0B598EA5"/>
    <w:rsid w:val="0B5E8EE2"/>
    <w:rsid w:val="0B5F1F11"/>
    <w:rsid w:val="0B77E4FE"/>
    <w:rsid w:val="0B7DD3AA"/>
    <w:rsid w:val="0B7EA256"/>
    <w:rsid w:val="0B910EF1"/>
    <w:rsid w:val="0B972A66"/>
    <w:rsid w:val="0BA802F2"/>
    <w:rsid w:val="0BAB1487"/>
    <w:rsid w:val="0BB45C9E"/>
    <w:rsid w:val="0BBA1B8F"/>
    <w:rsid w:val="0BBA5689"/>
    <w:rsid w:val="0BBF4363"/>
    <w:rsid w:val="0BC22FBA"/>
    <w:rsid w:val="0BC9498C"/>
    <w:rsid w:val="0BCA3289"/>
    <w:rsid w:val="0BCD11A0"/>
    <w:rsid w:val="0BD279BB"/>
    <w:rsid w:val="0BD2E061"/>
    <w:rsid w:val="0BD4830D"/>
    <w:rsid w:val="0BDC8428"/>
    <w:rsid w:val="0BDCCDF8"/>
    <w:rsid w:val="0BE3B915"/>
    <w:rsid w:val="0BE7F239"/>
    <w:rsid w:val="0BEBAC49"/>
    <w:rsid w:val="0BECFAFC"/>
    <w:rsid w:val="0BED1C59"/>
    <w:rsid w:val="0BEDEA49"/>
    <w:rsid w:val="0BFFCB77"/>
    <w:rsid w:val="0C05C59D"/>
    <w:rsid w:val="0C085300"/>
    <w:rsid w:val="0C0BB1EA"/>
    <w:rsid w:val="0C1BC34C"/>
    <w:rsid w:val="0C1BC4FC"/>
    <w:rsid w:val="0C210C52"/>
    <w:rsid w:val="0C2317AC"/>
    <w:rsid w:val="0C257375"/>
    <w:rsid w:val="0C28F829"/>
    <w:rsid w:val="0C2C1F6C"/>
    <w:rsid w:val="0C2E7B89"/>
    <w:rsid w:val="0C358586"/>
    <w:rsid w:val="0C4A3E83"/>
    <w:rsid w:val="0C4B7CD3"/>
    <w:rsid w:val="0C5AF7B9"/>
    <w:rsid w:val="0C5C2EA7"/>
    <w:rsid w:val="0C5C7CCD"/>
    <w:rsid w:val="0C5D6E7A"/>
    <w:rsid w:val="0C5F6F0A"/>
    <w:rsid w:val="0C5FB3AB"/>
    <w:rsid w:val="0C752601"/>
    <w:rsid w:val="0C799A12"/>
    <w:rsid w:val="0C7AB67B"/>
    <w:rsid w:val="0C7D61E8"/>
    <w:rsid w:val="0C7E3D02"/>
    <w:rsid w:val="0C7EE7C7"/>
    <w:rsid w:val="0C871873"/>
    <w:rsid w:val="0C87378B"/>
    <w:rsid w:val="0C8B0879"/>
    <w:rsid w:val="0C952256"/>
    <w:rsid w:val="0C9E0F8F"/>
    <w:rsid w:val="0CA019CC"/>
    <w:rsid w:val="0CA03FAB"/>
    <w:rsid w:val="0CB90971"/>
    <w:rsid w:val="0CBACC49"/>
    <w:rsid w:val="0CC070A7"/>
    <w:rsid w:val="0CC1ECC9"/>
    <w:rsid w:val="0CD7BA88"/>
    <w:rsid w:val="0CDEF3A1"/>
    <w:rsid w:val="0CE72370"/>
    <w:rsid w:val="0CEA7D1C"/>
    <w:rsid w:val="0CEBC528"/>
    <w:rsid w:val="0CFF7F8F"/>
    <w:rsid w:val="0D083212"/>
    <w:rsid w:val="0D0DC0E8"/>
    <w:rsid w:val="0D17E730"/>
    <w:rsid w:val="0D1849EE"/>
    <w:rsid w:val="0D1DB604"/>
    <w:rsid w:val="0D28EE85"/>
    <w:rsid w:val="0D2C9E4A"/>
    <w:rsid w:val="0D33F8E1"/>
    <w:rsid w:val="0D348A3E"/>
    <w:rsid w:val="0D36E225"/>
    <w:rsid w:val="0D3BC2A2"/>
    <w:rsid w:val="0D3C7950"/>
    <w:rsid w:val="0D495B22"/>
    <w:rsid w:val="0D569451"/>
    <w:rsid w:val="0D58EDFB"/>
    <w:rsid w:val="0D6323AA"/>
    <w:rsid w:val="0D632990"/>
    <w:rsid w:val="0D6415DF"/>
    <w:rsid w:val="0D6595BB"/>
    <w:rsid w:val="0D694FCF"/>
    <w:rsid w:val="0D6C38C5"/>
    <w:rsid w:val="0D6CFC85"/>
    <w:rsid w:val="0D6E82C7"/>
    <w:rsid w:val="0D6FAD5D"/>
    <w:rsid w:val="0D79292F"/>
    <w:rsid w:val="0D810CF0"/>
    <w:rsid w:val="0D82DCD6"/>
    <w:rsid w:val="0D845089"/>
    <w:rsid w:val="0D8E4DE5"/>
    <w:rsid w:val="0D9CEE15"/>
    <w:rsid w:val="0D9EEDB6"/>
    <w:rsid w:val="0DA6BAA6"/>
    <w:rsid w:val="0DABB90F"/>
    <w:rsid w:val="0DB1034D"/>
    <w:rsid w:val="0DCD4FAA"/>
    <w:rsid w:val="0DD23BB5"/>
    <w:rsid w:val="0DD9701E"/>
    <w:rsid w:val="0DDF9BD4"/>
    <w:rsid w:val="0DEEEB01"/>
    <w:rsid w:val="0DF85DC9"/>
    <w:rsid w:val="0DF899BD"/>
    <w:rsid w:val="0E077E58"/>
    <w:rsid w:val="0E11027D"/>
    <w:rsid w:val="0E141C0E"/>
    <w:rsid w:val="0E1DB0A2"/>
    <w:rsid w:val="0E224F03"/>
    <w:rsid w:val="0E2AB67D"/>
    <w:rsid w:val="0E326BD3"/>
    <w:rsid w:val="0E41279F"/>
    <w:rsid w:val="0E4405E8"/>
    <w:rsid w:val="0E465464"/>
    <w:rsid w:val="0E473014"/>
    <w:rsid w:val="0E4BC0EE"/>
    <w:rsid w:val="0E4EB574"/>
    <w:rsid w:val="0E522C03"/>
    <w:rsid w:val="0E585F5A"/>
    <w:rsid w:val="0E6901DE"/>
    <w:rsid w:val="0E750342"/>
    <w:rsid w:val="0E79C6C0"/>
    <w:rsid w:val="0E7D89E6"/>
    <w:rsid w:val="0E95FB36"/>
    <w:rsid w:val="0E97168E"/>
    <w:rsid w:val="0EAD6A12"/>
    <w:rsid w:val="0EB196B2"/>
    <w:rsid w:val="0EB7B4D2"/>
    <w:rsid w:val="0EB98CAD"/>
    <w:rsid w:val="0EC04733"/>
    <w:rsid w:val="0EC138AC"/>
    <w:rsid w:val="0EC68E0B"/>
    <w:rsid w:val="0EC7BF89"/>
    <w:rsid w:val="0EC87780"/>
    <w:rsid w:val="0ECF7BF7"/>
    <w:rsid w:val="0ED51BB3"/>
    <w:rsid w:val="0EDA8592"/>
    <w:rsid w:val="0EE0CD94"/>
    <w:rsid w:val="0EF43DCF"/>
    <w:rsid w:val="0EF5F8A5"/>
    <w:rsid w:val="0EF69C25"/>
    <w:rsid w:val="0EFC3A42"/>
    <w:rsid w:val="0F02DEE0"/>
    <w:rsid w:val="0F042E65"/>
    <w:rsid w:val="0F082521"/>
    <w:rsid w:val="0F0C9730"/>
    <w:rsid w:val="0F120069"/>
    <w:rsid w:val="0F1756FE"/>
    <w:rsid w:val="0F19402B"/>
    <w:rsid w:val="0F1E3C2A"/>
    <w:rsid w:val="0F207BBE"/>
    <w:rsid w:val="0F228962"/>
    <w:rsid w:val="0F23F7C4"/>
    <w:rsid w:val="0F27FAA0"/>
    <w:rsid w:val="0F3BFDB3"/>
    <w:rsid w:val="0F3C20FE"/>
    <w:rsid w:val="0F4A9DB8"/>
    <w:rsid w:val="0F56B839"/>
    <w:rsid w:val="0F73264F"/>
    <w:rsid w:val="0F745541"/>
    <w:rsid w:val="0F7BFBDD"/>
    <w:rsid w:val="0F7FEF91"/>
    <w:rsid w:val="0F87E5AE"/>
    <w:rsid w:val="0F8B7ECB"/>
    <w:rsid w:val="0F8C5BC3"/>
    <w:rsid w:val="0F992298"/>
    <w:rsid w:val="0F998B06"/>
    <w:rsid w:val="0FAA0CC7"/>
    <w:rsid w:val="0FAC1C55"/>
    <w:rsid w:val="0FB5E695"/>
    <w:rsid w:val="0FB8CB18"/>
    <w:rsid w:val="0FBC6A59"/>
    <w:rsid w:val="0FBD085C"/>
    <w:rsid w:val="0FC4F3D2"/>
    <w:rsid w:val="0FCEA388"/>
    <w:rsid w:val="0FD26DA1"/>
    <w:rsid w:val="0FD9748F"/>
    <w:rsid w:val="0FDA2F9F"/>
    <w:rsid w:val="0FDB2B2A"/>
    <w:rsid w:val="0FDCE928"/>
    <w:rsid w:val="0FDFD649"/>
    <w:rsid w:val="0FE40F54"/>
    <w:rsid w:val="0FE47135"/>
    <w:rsid w:val="0FE77B66"/>
    <w:rsid w:val="0FF0EAA3"/>
    <w:rsid w:val="0FF5D1CF"/>
    <w:rsid w:val="0FFEA7E6"/>
    <w:rsid w:val="1006B5C3"/>
    <w:rsid w:val="101208F5"/>
    <w:rsid w:val="1012B840"/>
    <w:rsid w:val="101397D0"/>
    <w:rsid w:val="101A9249"/>
    <w:rsid w:val="101C92F6"/>
    <w:rsid w:val="10249F45"/>
    <w:rsid w:val="10252782"/>
    <w:rsid w:val="1025FCDB"/>
    <w:rsid w:val="10284A1C"/>
    <w:rsid w:val="102C6310"/>
    <w:rsid w:val="102F8C86"/>
    <w:rsid w:val="10321634"/>
    <w:rsid w:val="1035BBF2"/>
    <w:rsid w:val="103772F9"/>
    <w:rsid w:val="103904A4"/>
    <w:rsid w:val="104646E1"/>
    <w:rsid w:val="104F27D9"/>
    <w:rsid w:val="104F4012"/>
    <w:rsid w:val="10558581"/>
    <w:rsid w:val="1065485B"/>
    <w:rsid w:val="106876D2"/>
    <w:rsid w:val="106889DB"/>
    <w:rsid w:val="106BFC2F"/>
    <w:rsid w:val="10702765"/>
    <w:rsid w:val="107A09BA"/>
    <w:rsid w:val="107F3A03"/>
    <w:rsid w:val="1093A7D8"/>
    <w:rsid w:val="10AAE3AF"/>
    <w:rsid w:val="10ACBC8A"/>
    <w:rsid w:val="10B1F4A9"/>
    <w:rsid w:val="10CC9640"/>
    <w:rsid w:val="10CDCF2D"/>
    <w:rsid w:val="10CDE384"/>
    <w:rsid w:val="10D456BC"/>
    <w:rsid w:val="10D5CC09"/>
    <w:rsid w:val="10DA21C8"/>
    <w:rsid w:val="10E0FA63"/>
    <w:rsid w:val="10E522BA"/>
    <w:rsid w:val="10F32551"/>
    <w:rsid w:val="1101154F"/>
    <w:rsid w:val="1101C703"/>
    <w:rsid w:val="110BCA1D"/>
    <w:rsid w:val="110C4FB0"/>
    <w:rsid w:val="111A6F76"/>
    <w:rsid w:val="111DA443"/>
    <w:rsid w:val="111FFE93"/>
    <w:rsid w:val="11281FFF"/>
    <w:rsid w:val="113CA529"/>
    <w:rsid w:val="113CB593"/>
    <w:rsid w:val="113F67E1"/>
    <w:rsid w:val="115483F9"/>
    <w:rsid w:val="115FDE0E"/>
    <w:rsid w:val="11651996"/>
    <w:rsid w:val="11672D43"/>
    <w:rsid w:val="11699DFA"/>
    <w:rsid w:val="116E3931"/>
    <w:rsid w:val="11737333"/>
    <w:rsid w:val="1177577F"/>
    <w:rsid w:val="117994F0"/>
    <w:rsid w:val="117A910F"/>
    <w:rsid w:val="11864A67"/>
    <w:rsid w:val="1187FC61"/>
    <w:rsid w:val="1192E451"/>
    <w:rsid w:val="119C19A6"/>
    <w:rsid w:val="11A14686"/>
    <w:rsid w:val="11A24A0B"/>
    <w:rsid w:val="11A7D8C5"/>
    <w:rsid w:val="11A979CD"/>
    <w:rsid w:val="11B020DB"/>
    <w:rsid w:val="11BBAA8E"/>
    <w:rsid w:val="11C4C5EF"/>
    <w:rsid w:val="11C617A7"/>
    <w:rsid w:val="11D4DD81"/>
    <w:rsid w:val="11D62E39"/>
    <w:rsid w:val="11D64556"/>
    <w:rsid w:val="11E1AF6C"/>
    <w:rsid w:val="11E59042"/>
    <w:rsid w:val="11EFCC1B"/>
    <w:rsid w:val="11F2B00A"/>
    <w:rsid w:val="11F8D6F9"/>
    <w:rsid w:val="120009E3"/>
    <w:rsid w:val="12051907"/>
    <w:rsid w:val="120E2CB1"/>
    <w:rsid w:val="120EFE99"/>
    <w:rsid w:val="121C7836"/>
    <w:rsid w:val="122EDEBF"/>
    <w:rsid w:val="1232438E"/>
    <w:rsid w:val="1234EBB3"/>
    <w:rsid w:val="12399AEC"/>
    <w:rsid w:val="123DA8C3"/>
    <w:rsid w:val="124184FB"/>
    <w:rsid w:val="1241BF1D"/>
    <w:rsid w:val="12434E29"/>
    <w:rsid w:val="124B3445"/>
    <w:rsid w:val="125AADD3"/>
    <w:rsid w:val="126214A2"/>
    <w:rsid w:val="1268B469"/>
    <w:rsid w:val="126C6176"/>
    <w:rsid w:val="1270872F"/>
    <w:rsid w:val="127CFF23"/>
    <w:rsid w:val="12814529"/>
    <w:rsid w:val="128549F4"/>
    <w:rsid w:val="1286EA3D"/>
    <w:rsid w:val="12925E96"/>
    <w:rsid w:val="12A12C7A"/>
    <w:rsid w:val="12A7AA54"/>
    <w:rsid w:val="12BD2038"/>
    <w:rsid w:val="12C2E036"/>
    <w:rsid w:val="12C96648"/>
    <w:rsid w:val="12CB7820"/>
    <w:rsid w:val="12CF12F2"/>
    <w:rsid w:val="12D4B95A"/>
    <w:rsid w:val="12DE5EAC"/>
    <w:rsid w:val="12E31B48"/>
    <w:rsid w:val="12E58E11"/>
    <w:rsid w:val="12E634F6"/>
    <w:rsid w:val="12E64ECF"/>
    <w:rsid w:val="12EAA754"/>
    <w:rsid w:val="12EC378F"/>
    <w:rsid w:val="12F1F90A"/>
    <w:rsid w:val="12F47BC3"/>
    <w:rsid w:val="12F572E9"/>
    <w:rsid w:val="12F76F8A"/>
    <w:rsid w:val="13066C0B"/>
    <w:rsid w:val="131ADA5C"/>
    <w:rsid w:val="1321873E"/>
    <w:rsid w:val="13272751"/>
    <w:rsid w:val="1329F77B"/>
    <w:rsid w:val="132E0516"/>
    <w:rsid w:val="133876AA"/>
    <w:rsid w:val="133A7BFA"/>
    <w:rsid w:val="13403ED9"/>
    <w:rsid w:val="1341D4EA"/>
    <w:rsid w:val="1344DFA3"/>
    <w:rsid w:val="1349C311"/>
    <w:rsid w:val="134F99C3"/>
    <w:rsid w:val="1350F916"/>
    <w:rsid w:val="1354F196"/>
    <w:rsid w:val="135D6A19"/>
    <w:rsid w:val="13649FB5"/>
    <w:rsid w:val="13661DA7"/>
    <w:rsid w:val="136939C4"/>
    <w:rsid w:val="13709A63"/>
    <w:rsid w:val="138C526B"/>
    <w:rsid w:val="13959112"/>
    <w:rsid w:val="139648BC"/>
    <w:rsid w:val="13993CED"/>
    <w:rsid w:val="139B54F4"/>
    <w:rsid w:val="13AD0CB5"/>
    <w:rsid w:val="13BD7910"/>
    <w:rsid w:val="13C85548"/>
    <w:rsid w:val="13CB1576"/>
    <w:rsid w:val="13CB3A26"/>
    <w:rsid w:val="13D3C186"/>
    <w:rsid w:val="13D9B811"/>
    <w:rsid w:val="13DD9D17"/>
    <w:rsid w:val="13DE28B2"/>
    <w:rsid w:val="13E0EE7E"/>
    <w:rsid w:val="13F1187B"/>
    <w:rsid w:val="1415B05F"/>
    <w:rsid w:val="1419570C"/>
    <w:rsid w:val="141EFBF8"/>
    <w:rsid w:val="141FD4EA"/>
    <w:rsid w:val="142ED8CE"/>
    <w:rsid w:val="144127F0"/>
    <w:rsid w:val="1445FDE2"/>
    <w:rsid w:val="146212C1"/>
    <w:rsid w:val="146A7C20"/>
    <w:rsid w:val="1472EBAE"/>
    <w:rsid w:val="1478E0FE"/>
    <w:rsid w:val="1479B1AB"/>
    <w:rsid w:val="148623E8"/>
    <w:rsid w:val="14888FA0"/>
    <w:rsid w:val="148F493C"/>
    <w:rsid w:val="1496DA1E"/>
    <w:rsid w:val="149B82EE"/>
    <w:rsid w:val="14A21994"/>
    <w:rsid w:val="14A75A56"/>
    <w:rsid w:val="14AAD4B1"/>
    <w:rsid w:val="14B713F9"/>
    <w:rsid w:val="14C2207B"/>
    <w:rsid w:val="14C386E0"/>
    <w:rsid w:val="14C41C37"/>
    <w:rsid w:val="14C709C2"/>
    <w:rsid w:val="14CB3440"/>
    <w:rsid w:val="14D07B24"/>
    <w:rsid w:val="14DBD10D"/>
    <w:rsid w:val="14E5ACE9"/>
    <w:rsid w:val="14F39F77"/>
    <w:rsid w:val="14F453F8"/>
    <w:rsid w:val="14F506C5"/>
    <w:rsid w:val="14FEC5C3"/>
    <w:rsid w:val="150C4FD5"/>
    <w:rsid w:val="150C9B9A"/>
    <w:rsid w:val="150DBD5E"/>
    <w:rsid w:val="1510EF77"/>
    <w:rsid w:val="1511BB81"/>
    <w:rsid w:val="15184E91"/>
    <w:rsid w:val="15217AA9"/>
    <w:rsid w:val="1529E8FF"/>
    <w:rsid w:val="153427E7"/>
    <w:rsid w:val="153959B2"/>
    <w:rsid w:val="1539CDDC"/>
    <w:rsid w:val="153DF115"/>
    <w:rsid w:val="15414677"/>
    <w:rsid w:val="1544D3D1"/>
    <w:rsid w:val="154846F7"/>
    <w:rsid w:val="1554053E"/>
    <w:rsid w:val="156A2335"/>
    <w:rsid w:val="156AA742"/>
    <w:rsid w:val="156F3D15"/>
    <w:rsid w:val="1570FBFA"/>
    <w:rsid w:val="15767D3C"/>
    <w:rsid w:val="157FA71B"/>
    <w:rsid w:val="158AC1FA"/>
    <w:rsid w:val="158FAD60"/>
    <w:rsid w:val="15925FC4"/>
    <w:rsid w:val="15A4B3A2"/>
    <w:rsid w:val="15B36F5D"/>
    <w:rsid w:val="15B43504"/>
    <w:rsid w:val="15BD0C01"/>
    <w:rsid w:val="15C60252"/>
    <w:rsid w:val="15CAF2E9"/>
    <w:rsid w:val="15CE760F"/>
    <w:rsid w:val="15CE9002"/>
    <w:rsid w:val="15DC63D5"/>
    <w:rsid w:val="15EC6CCA"/>
    <w:rsid w:val="15F0D8D7"/>
    <w:rsid w:val="15FB81D2"/>
    <w:rsid w:val="16015189"/>
    <w:rsid w:val="16122883"/>
    <w:rsid w:val="161A70F7"/>
    <w:rsid w:val="161AD804"/>
    <w:rsid w:val="161BE8B3"/>
    <w:rsid w:val="1624796A"/>
    <w:rsid w:val="16385E98"/>
    <w:rsid w:val="16404B66"/>
    <w:rsid w:val="1642CA1C"/>
    <w:rsid w:val="1658160F"/>
    <w:rsid w:val="165FA66D"/>
    <w:rsid w:val="1669E090"/>
    <w:rsid w:val="166F9BA7"/>
    <w:rsid w:val="1675A509"/>
    <w:rsid w:val="167665E1"/>
    <w:rsid w:val="168FC6D1"/>
    <w:rsid w:val="16980867"/>
    <w:rsid w:val="169A30BA"/>
    <w:rsid w:val="169AD5EB"/>
    <w:rsid w:val="169B5D82"/>
    <w:rsid w:val="16A2BE1D"/>
    <w:rsid w:val="16AD85C6"/>
    <w:rsid w:val="16B5D68C"/>
    <w:rsid w:val="16B6D35E"/>
    <w:rsid w:val="16B877C5"/>
    <w:rsid w:val="16C48DB8"/>
    <w:rsid w:val="16C6AD6F"/>
    <w:rsid w:val="16C92FF6"/>
    <w:rsid w:val="16CDDD83"/>
    <w:rsid w:val="16CE4D41"/>
    <w:rsid w:val="16D8306E"/>
    <w:rsid w:val="16DA79AD"/>
    <w:rsid w:val="16DE0F64"/>
    <w:rsid w:val="16E39F0C"/>
    <w:rsid w:val="16E8414D"/>
    <w:rsid w:val="16E90157"/>
    <w:rsid w:val="16E9E98A"/>
    <w:rsid w:val="1705B86D"/>
    <w:rsid w:val="170A33A1"/>
    <w:rsid w:val="17147D5F"/>
    <w:rsid w:val="1723BD2F"/>
    <w:rsid w:val="1726C3FE"/>
    <w:rsid w:val="172766B5"/>
    <w:rsid w:val="17276FB4"/>
    <w:rsid w:val="17321E0D"/>
    <w:rsid w:val="173F28E9"/>
    <w:rsid w:val="1747CDC5"/>
    <w:rsid w:val="1749A52A"/>
    <w:rsid w:val="1751AB36"/>
    <w:rsid w:val="17601DD7"/>
    <w:rsid w:val="17680D8E"/>
    <w:rsid w:val="17755289"/>
    <w:rsid w:val="178E35F5"/>
    <w:rsid w:val="178ED915"/>
    <w:rsid w:val="17918553"/>
    <w:rsid w:val="1793839E"/>
    <w:rsid w:val="1795EA33"/>
    <w:rsid w:val="1797C008"/>
    <w:rsid w:val="17984E20"/>
    <w:rsid w:val="179E8255"/>
    <w:rsid w:val="179FCDE1"/>
    <w:rsid w:val="17A9757C"/>
    <w:rsid w:val="17B4E079"/>
    <w:rsid w:val="17B8D1A1"/>
    <w:rsid w:val="17BE93AF"/>
    <w:rsid w:val="17C2AEDE"/>
    <w:rsid w:val="17D66F1B"/>
    <w:rsid w:val="17D8C185"/>
    <w:rsid w:val="17DA9961"/>
    <w:rsid w:val="17E6BC4E"/>
    <w:rsid w:val="17E81B54"/>
    <w:rsid w:val="17E94381"/>
    <w:rsid w:val="17E9A919"/>
    <w:rsid w:val="17EEE016"/>
    <w:rsid w:val="17F8B417"/>
    <w:rsid w:val="17FE0089"/>
    <w:rsid w:val="17FFE30C"/>
    <w:rsid w:val="180B5055"/>
    <w:rsid w:val="180C8770"/>
    <w:rsid w:val="180D1558"/>
    <w:rsid w:val="180D7079"/>
    <w:rsid w:val="18182318"/>
    <w:rsid w:val="18192712"/>
    <w:rsid w:val="181D32C4"/>
    <w:rsid w:val="1825FFE7"/>
    <w:rsid w:val="1828F587"/>
    <w:rsid w:val="182A0BC5"/>
    <w:rsid w:val="182A2A84"/>
    <w:rsid w:val="183AE1A0"/>
    <w:rsid w:val="18426384"/>
    <w:rsid w:val="1847C943"/>
    <w:rsid w:val="1855D1DF"/>
    <w:rsid w:val="1858682D"/>
    <w:rsid w:val="185B553C"/>
    <w:rsid w:val="186F682D"/>
    <w:rsid w:val="18720D3F"/>
    <w:rsid w:val="187EB10F"/>
    <w:rsid w:val="188DC2CB"/>
    <w:rsid w:val="188E18E2"/>
    <w:rsid w:val="18A017D6"/>
    <w:rsid w:val="18A1350B"/>
    <w:rsid w:val="18A290FA"/>
    <w:rsid w:val="18A34F19"/>
    <w:rsid w:val="18A54C94"/>
    <w:rsid w:val="18C846F0"/>
    <w:rsid w:val="18CCF5F0"/>
    <w:rsid w:val="18D8E2AE"/>
    <w:rsid w:val="18E1056F"/>
    <w:rsid w:val="18E98C43"/>
    <w:rsid w:val="18F4C288"/>
    <w:rsid w:val="18F7B50B"/>
    <w:rsid w:val="18FA52F2"/>
    <w:rsid w:val="1906C364"/>
    <w:rsid w:val="1908CCA0"/>
    <w:rsid w:val="190AE9DA"/>
    <w:rsid w:val="1916F8C1"/>
    <w:rsid w:val="191AD982"/>
    <w:rsid w:val="192C17BA"/>
    <w:rsid w:val="192F6BBC"/>
    <w:rsid w:val="1932776F"/>
    <w:rsid w:val="19355A80"/>
    <w:rsid w:val="19407E17"/>
    <w:rsid w:val="194833AA"/>
    <w:rsid w:val="194E0CB9"/>
    <w:rsid w:val="1951F1D7"/>
    <w:rsid w:val="1954BD7C"/>
    <w:rsid w:val="195595E7"/>
    <w:rsid w:val="19570F3D"/>
    <w:rsid w:val="19599768"/>
    <w:rsid w:val="195E91B2"/>
    <w:rsid w:val="196352B2"/>
    <w:rsid w:val="19654F4F"/>
    <w:rsid w:val="19777B98"/>
    <w:rsid w:val="1983ECC5"/>
    <w:rsid w:val="1984C004"/>
    <w:rsid w:val="19869594"/>
    <w:rsid w:val="19885744"/>
    <w:rsid w:val="198BB619"/>
    <w:rsid w:val="198E6BCD"/>
    <w:rsid w:val="19A22CBE"/>
    <w:rsid w:val="19A8E113"/>
    <w:rsid w:val="19AAFAF1"/>
    <w:rsid w:val="19C23CDA"/>
    <w:rsid w:val="19CD16D9"/>
    <w:rsid w:val="19CEA7A6"/>
    <w:rsid w:val="19D3B00D"/>
    <w:rsid w:val="19DB9FFD"/>
    <w:rsid w:val="19DFED75"/>
    <w:rsid w:val="19F38FBE"/>
    <w:rsid w:val="19F5B480"/>
    <w:rsid w:val="19F7AAC5"/>
    <w:rsid w:val="19FF491B"/>
    <w:rsid w:val="19FF8DAB"/>
    <w:rsid w:val="1A0290C3"/>
    <w:rsid w:val="1A09548C"/>
    <w:rsid w:val="1A09CCE7"/>
    <w:rsid w:val="1A0CF544"/>
    <w:rsid w:val="1A163AEA"/>
    <w:rsid w:val="1A168A46"/>
    <w:rsid w:val="1A17DB49"/>
    <w:rsid w:val="1A1B5274"/>
    <w:rsid w:val="1A1E52EC"/>
    <w:rsid w:val="1A209118"/>
    <w:rsid w:val="1A214C90"/>
    <w:rsid w:val="1A2AE96E"/>
    <w:rsid w:val="1A3C5AC3"/>
    <w:rsid w:val="1A48050C"/>
    <w:rsid w:val="1A5258A0"/>
    <w:rsid w:val="1A5A2F5B"/>
    <w:rsid w:val="1A5B281F"/>
    <w:rsid w:val="1A6107D3"/>
    <w:rsid w:val="1A639D06"/>
    <w:rsid w:val="1A640D19"/>
    <w:rsid w:val="1A7534C3"/>
    <w:rsid w:val="1A768240"/>
    <w:rsid w:val="1A7A4B3B"/>
    <w:rsid w:val="1A8689EB"/>
    <w:rsid w:val="1A9B7034"/>
    <w:rsid w:val="1A9BFB93"/>
    <w:rsid w:val="1AA79FE2"/>
    <w:rsid w:val="1AA8BFE0"/>
    <w:rsid w:val="1AAD4450"/>
    <w:rsid w:val="1AB1481A"/>
    <w:rsid w:val="1AB55DC1"/>
    <w:rsid w:val="1ABEF461"/>
    <w:rsid w:val="1AC02744"/>
    <w:rsid w:val="1AC32F58"/>
    <w:rsid w:val="1AC82D15"/>
    <w:rsid w:val="1ACEAFEB"/>
    <w:rsid w:val="1AD262E4"/>
    <w:rsid w:val="1AE5EAFC"/>
    <w:rsid w:val="1AE8D362"/>
    <w:rsid w:val="1AEA86C6"/>
    <w:rsid w:val="1AF4322B"/>
    <w:rsid w:val="1AF4A7A1"/>
    <w:rsid w:val="1B0875BC"/>
    <w:rsid w:val="1B0CEF76"/>
    <w:rsid w:val="1B19AD68"/>
    <w:rsid w:val="1B1F02DF"/>
    <w:rsid w:val="1B205557"/>
    <w:rsid w:val="1B272626"/>
    <w:rsid w:val="1B3489C4"/>
    <w:rsid w:val="1B44E660"/>
    <w:rsid w:val="1B484292"/>
    <w:rsid w:val="1B53EDDC"/>
    <w:rsid w:val="1B59A1C8"/>
    <w:rsid w:val="1B6227E7"/>
    <w:rsid w:val="1B65CF3D"/>
    <w:rsid w:val="1B70A680"/>
    <w:rsid w:val="1B72998F"/>
    <w:rsid w:val="1B72DC94"/>
    <w:rsid w:val="1B77F984"/>
    <w:rsid w:val="1B793C42"/>
    <w:rsid w:val="1B7BDAF8"/>
    <w:rsid w:val="1B8A257A"/>
    <w:rsid w:val="1B91B564"/>
    <w:rsid w:val="1B97BD5E"/>
    <w:rsid w:val="1B9D571B"/>
    <w:rsid w:val="1BA33BFC"/>
    <w:rsid w:val="1BA49306"/>
    <w:rsid w:val="1BABAEB9"/>
    <w:rsid w:val="1BB32020"/>
    <w:rsid w:val="1BBFC5C3"/>
    <w:rsid w:val="1BC8E28E"/>
    <w:rsid w:val="1BCF216A"/>
    <w:rsid w:val="1BD766C7"/>
    <w:rsid w:val="1BD9A710"/>
    <w:rsid w:val="1BEE3364"/>
    <w:rsid w:val="1BEEAA1A"/>
    <w:rsid w:val="1BF3CBA2"/>
    <w:rsid w:val="1BF78CE0"/>
    <w:rsid w:val="1C0125BB"/>
    <w:rsid w:val="1C0B2DCD"/>
    <w:rsid w:val="1C10F081"/>
    <w:rsid w:val="1C14891B"/>
    <w:rsid w:val="1C16FC4F"/>
    <w:rsid w:val="1C1937AB"/>
    <w:rsid w:val="1C1E349A"/>
    <w:rsid w:val="1C20B31D"/>
    <w:rsid w:val="1C25A26D"/>
    <w:rsid w:val="1C3B8FAB"/>
    <w:rsid w:val="1C46B05D"/>
    <w:rsid w:val="1C4BF71F"/>
    <w:rsid w:val="1C54D5B8"/>
    <w:rsid w:val="1C5D4470"/>
    <w:rsid w:val="1C5F5D24"/>
    <w:rsid w:val="1C640DE6"/>
    <w:rsid w:val="1C651098"/>
    <w:rsid w:val="1C6CDDBD"/>
    <w:rsid w:val="1C711A1D"/>
    <w:rsid w:val="1C7ED131"/>
    <w:rsid w:val="1C81E4A8"/>
    <w:rsid w:val="1C8FC2D8"/>
    <w:rsid w:val="1C92C68E"/>
    <w:rsid w:val="1C9468E6"/>
    <w:rsid w:val="1C964B35"/>
    <w:rsid w:val="1C97B125"/>
    <w:rsid w:val="1C9F2A4E"/>
    <w:rsid w:val="1CB3DB23"/>
    <w:rsid w:val="1CB4236B"/>
    <w:rsid w:val="1CB833E9"/>
    <w:rsid w:val="1CC0551F"/>
    <w:rsid w:val="1CC1373F"/>
    <w:rsid w:val="1CC68677"/>
    <w:rsid w:val="1CC87EC1"/>
    <w:rsid w:val="1CC9210F"/>
    <w:rsid w:val="1CCB9F0B"/>
    <w:rsid w:val="1CCDFA7B"/>
    <w:rsid w:val="1CDC7BC4"/>
    <w:rsid w:val="1CDEBB16"/>
    <w:rsid w:val="1CE7211F"/>
    <w:rsid w:val="1CEE36DE"/>
    <w:rsid w:val="1CF24662"/>
    <w:rsid w:val="1CF6B7EC"/>
    <w:rsid w:val="1D03E3DE"/>
    <w:rsid w:val="1D05530F"/>
    <w:rsid w:val="1D193E93"/>
    <w:rsid w:val="1D1A62DC"/>
    <w:rsid w:val="1D1F3D29"/>
    <w:rsid w:val="1D237CD8"/>
    <w:rsid w:val="1D2F0C03"/>
    <w:rsid w:val="1D306BDA"/>
    <w:rsid w:val="1D47B642"/>
    <w:rsid w:val="1D4F3CDE"/>
    <w:rsid w:val="1D515C7D"/>
    <w:rsid w:val="1D576059"/>
    <w:rsid w:val="1D57650A"/>
    <w:rsid w:val="1D5964F3"/>
    <w:rsid w:val="1D6413F2"/>
    <w:rsid w:val="1D65AA74"/>
    <w:rsid w:val="1D7A54A2"/>
    <w:rsid w:val="1D80F530"/>
    <w:rsid w:val="1D89C874"/>
    <w:rsid w:val="1D944EC8"/>
    <w:rsid w:val="1D950493"/>
    <w:rsid w:val="1DA7F64C"/>
    <w:rsid w:val="1DA8D08D"/>
    <w:rsid w:val="1DACDD80"/>
    <w:rsid w:val="1DB394A8"/>
    <w:rsid w:val="1DB5202C"/>
    <w:rsid w:val="1DB936EE"/>
    <w:rsid w:val="1DBC4A09"/>
    <w:rsid w:val="1DBCE779"/>
    <w:rsid w:val="1DC49B87"/>
    <w:rsid w:val="1DC67060"/>
    <w:rsid w:val="1DCC59F1"/>
    <w:rsid w:val="1DD82EC2"/>
    <w:rsid w:val="1DDD6CB3"/>
    <w:rsid w:val="1DE2E97C"/>
    <w:rsid w:val="1DE3CC2E"/>
    <w:rsid w:val="1DE4FAE8"/>
    <w:rsid w:val="1DE59E53"/>
    <w:rsid w:val="1DF8124F"/>
    <w:rsid w:val="1DF9323C"/>
    <w:rsid w:val="1DFBCFFD"/>
    <w:rsid w:val="1E0025D9"/>
    <w:rsid w:val="1E0CE567"/>
    <w:rsid w:val="1E186B12"/>
    <w:rsid w:val="1E1E2765"/>
    <w:rsid w:val="1E1FFFFD"/>
    <w:rsid w:val="1E2507F1"/>
    <w:rsid w:val="1E2B673C"/>
    <w:rsid w:val="1E34697E"/>
    <w:rsid w:val="1E3E791F"/>
    <w:rsid w:val="1E3F2A26"/>
    <w:rsid w:val="1E4162F8"/>
    <w:rsid w:val="1E418B6A"/>
    <w:rsid w:val="1E4D6C96"/>
    <w:rsid w:val="1E4D7ACC"/>
    <w:rsid w:val="1E503267"/>
    <w:rsid w:val="1E636434"/>
    <w:rsid w:val="1E748AE1"/>
    <w:rsid w:val="1E9E5753"/>
    <w:rsid w:val="1EA9BE19"/>
    <w:rsid w:val="1EC1A851"/>
    <w:rsid w:val="1EC3E4FF"/>
    <w:rsid w:val="1EC4B536"/>
    <w:rsid w:val="1ECE3AB6"/>
    <w:rsid w:val="1ED065F7"/>
    <w:rsid w:val="1EDD22A5"/>
    <w:rsid w:val="1EE62896"/>
    <w:rsid w:val="1EEC0C01"/>
    <w:rsid w:val="1EECF290"/>
    <w:rsid w:val="1EECF38C"/>
    <w:rsid w:val="1EF2180E"/>
    <w:rsid w:val="1F008B08"/>
    <w:rsid w:val="1F05BABE"/>
    <w:rsid w:val="1F0A6C9F"/>
    <w:rsid w:val="1F0D3B5E"/>
    <w:rsid w:val="1F0FB68F"/>
    <w:rsid w:val="1F1088F3"/>
    <w:rsid w:val="1F111680"/>
    <w:rsid w:val="1F186C75"/>
    <w:rsid w:val="1F1CC407"/>
    <w:rsid w:val="1F1ED433"/>
    <w:rsid w:val="1F2E755B"/>
    <w:rsid w:val="1F2F5C1E"/>
    <w:rsid w:val="1F332666"/>
    <w:rsid w:val="1F3F42B8"/>
    <w:rsid w:val="1F45C777"/>
    <w:rsid w:val="1F4F4BB1"/>
    <w:rsid w:val="1F4F5489"/>
    <w:rsid w:val="1F50DDF5"/>
    <w:rsid w:val="1F5544B5"/>
    <w:rsid w:val="1F5D6F08"/>
    <w:rsid w:val="1F5E228D"/>
    <w:rsid w:val="1F608B95"/>
    <w:rsid w:val="1F64C5F9"/>
    <w:rsid w:val="1F6ADE40"/>
    <w:rsid w:val="1F73398A"/>
    <w:rsid w:val="1F7349F9"/>
    <w:rsid w:val="1F734EE3"/>
    <w:rsid w:val="1F73DA23"/>
    <w:rsid w:val="1F8761A6"/>
    <w:rsid w:val="1F87D6D8"/>
    <w:rsid w:val="1F8B4940"/>
    <w:rsid w:val="1F94BEBF"/>
    <w:rsid w:val="1FA2A758"/>
    <w:rsid w:val="1FA99F7E"/>
    <w:rsid w:val="1FAB0602"/>
    <w:rsid w:val="1FAC65A1"/>
    <w:rsid w:val="1FB99656"/>
    <w:rsid w:val="1FBCD0C4"/>
    <w:rsid w:val="1FC2EF0D"/>
    <w:rsid w:val="1FC3C369"/>
    <w:rsid w:val="1FC405A0"/>
    <w:rsid w:val="1FC99CA2"/>
    <w:rsid w:val="1FD1101A"/>
    <w:rsid w:val="1FD49531"/>
    <w:rsid w:val="1FDCDF82"/>
    <w:rsid w:val="1FE35E44"/>
    <w:rsid w:val="1FF048E4"/>
    <w:rsid w:val="1FF815A1"/>
    <w:rsid w:val="2001A32E"/>
    <w:rsid w:val="200826FD"/>
    <w:rsid w:val="200ED1FF"/>
    <w:rsid w:val="201AF7DF"/>
    <w:rsid w:val="2024AA1E"/>
    <w:rsid w:val="2026EAB4"/>
    <w:rsid w:val="20325F16"/>
    <w:rsid w:val="20340CCF"/>
    <w:rsid w:val="203556B1"/>
    <w:rsid w:val="203DECFA"/>
    <w:rsid w:val="203EB389"/>
    <w:rsid w:val="204157B2"/>
    <w:rsid w:val="2044FC4F"/>
    <w:rsid w:val="204AFC11"/>
    <w:rsid w:val="2059D171"/>
    <w:rsid w:val="206323BB"/>
    <w:rsid w:val="2063FC2C"/>
    <w:rsid w:val="2078EE30"/>
    <w:rsid w:val="207F39FA"/>
    <w:rsid w:val="20889DCA"/>
    <w:rsid w:val="2088CCE2"/>
    <w:rsid w:val="208B07B0"/>
    <w:rsid w:val="208B5035"/>
    <w:rsid w:val="208CD2D8"/>
    <w:rsid w:val="209A5AFB"/>
    <w:rsid w:val="209FD746"/>
    <w:rsid w:val="20A33606"/>
    <w:rsid w:val="20A3C540"/>
    <w:rsid w:val="20B197A5"/>
    <w:rsid w:val="20B66895"/>
    <w:rsid w:val="20B73472"/>
    <w:rsid w:val="20BA3100"/>
    <w:rsid w:val="20C0A71C"/>
    <w:rsid w:val="20CA95E5"/>
    <w:rsid w:val="20D16E36"/>
    <w:rsid w:val="20D29ADB"/>
    <w:rsid w:val="20D33509"/>
    <w:rsid w:val="20E21731"/>
    <w:rsid w:val="20E3CC3F"/>
    <w:rsid w:val="20F1779A"/>
    <w:rsid w:val="20FB0370"/>
    <w:rsid w:val="20FD533E"/>
    <w:rsid w:val="21027E4D"/>
    <w:rsid w:val="210DB875"/>
    <w:rsid w:val="211197E0"/>
    <w:rsid w:val="2114CF73"/>
    <w:rsid w:val="211B894D"/>
    <w:rsid w:val="2125AF5C"/>
    <w:rsid w:val="212E0C77"/>
    <w:rsid w:val="212EDD5E"/>
    <w:rsid w:val="212F0A50"/>
    <w:rsid w:val="213D1B05"/>
    <w:rsid w:val="2149A314"/>
    <w:rsid w:val="215C7DE9"/>
    <w:rsid w:val="215C96EC"/>
    <w:rsid w:val="215D9BF3"/>
    <w:rsid w:val="21679023"/>
    <w:rsid w:val="2178C202"/>
    <w:rsid w:val="2181E611"/>
    <w:rsid w:val="21870B93"/>
    <w:rsid w:val="2192B368"/>
    <w:rsid w:val="2199B7FA"/>
    <w:rsid w:val="21A408A5"/>
    <w:rsid w:val="21AC25F3"/>
    <w:rsid w:val="21B6A0D7"/>
    <w:rsid w:val="21DAD296"/>
    <w:rsid w:val="21E441CE"/>
    <w:rsid w:val="21EA8EE1"/>
    <w:rsid w:val="21EDA984"/>
    <w:rsid w:val="21F44BDB"/>
    <w:rsid w:val="22059387"/>
    <w:rsid w:val="220A8A74"/>
    <w:rsid w:val="220BBC52"/>
    <w:rsid w:val="22122DB5"/>
    <w:rsid w:val="221B263C"/>
    <w:rsid w:val="221CA4B2"/>
    <w:rsid w:val="221D3419"/>
    <w:rsid w:val="22252CA6"/>
    <w:rsid w:val="222850F3"/>
    <w:rsid w:val="2229240D"/>
    <w:rsid w:val="223054D6"/>
    <w:rsid w:val="2231A490"/>
    <w:rsid w:val="224732CF"/>
    <w:rsid w:val="224CF544"/>
    <w:rsid w:val="22508842"/>
    <w:rsid w:val="2255F491"/>
    <w:rsid w:val="225CC201"/>
    <w:rsid w:val="225D250F"/>
    <w:rsid w:val="226580E3"/>
    <w:rsid w:val="226B6144"/>
    <w:rsid w:val="227194C0"/>
    <w:rsid w:val="22755684"/>
    <w:rsid w:val="2276D9DD"/>
    <w:rsid w:val="22847271"/>
    <w:rsid w:val="2286AB72"/>
    <w:rsid w:val="2289FA05"/>
    <w:rsid w:val="228FC7A6"/>
    <w:rsid w:val="22918018"/>
    <w:rsid w:val="229E421E"/>
    <w:rsid w:val="22A0CD09"/>
    <w:rsid w:val="22A6030B"/>
    <w:rsid w:val="22ADD5D9"/>
    <w:rsid w:val="22AE3D2D"/>
    <w:rsid w:val="22B22141"/>
    <w:rsid w:val="22B288FE"/>
    <w:rsid w:val="22B3D5BA"/>
    <w:rsid w:val="22CA35DA"/>
    <w:rsid w:val="22DAF5DF"/>
    <w:rsid w:val="22E3C239"/>
    <w:rsid w:val="22E3DA5B"/>
    <w:rsid w:val="22E7AE40"/>
    <w:rsid w:val="22EABCB9"/>
    <w:rsid w:val="22FB6BF1"/>
    <w:rsid w:val="2301527C"/>
    <w:rsid w:val="2301D0CE"/>
    <w:rsid w:val="2302370D"/>
    <w:rsid w:val="230ED0FD"/>
    <w:rsid w:val="230F07B1"/>
    <w:rsid w:val="2314B218"/>
    <w:rsid w:val="2318948D"/>
    <w:rsid w:val="231BE3A4"/>
    <w:rsid w:val="231F7B40"/>
    <w:rsid w:val="2326D28D"/>
    <w:rsid w:val="2327BAB3"/>
    <w:rsid w:val="232BF050"/>
    <w:rsid w:val="232BF73B"/>
    <w:rsid w:val="233B22C6"/>
    <w:rsid w:val="233B8541"/>
    <w:rsid w:val="233ED441"/>
    <w:rsid w:val="233FB620"/>
    <w:rsid w:val="23499B08"/>
    <w:rsid w:val="234A8538"/>
    <w:rsid w:val="234B9CCF"/>
    <w:rsid w:val="235B9D79"/>
    <w:rsid w:val="235D14B1"/>
    <w:rsid w:val="236BD953"/>
    <w:rsid w:val="236C7CB3"/>
    <w:rsid w:val="237BC2BD"/>
    <w:rsid w:val="23894F17"/>
    <w:rsid w:val="238B6310"/>
    <w:rsid w:val="238EA266"/>
    <w:rsid w:val="239AA885"/>
    <w:rsid w:val="23A53360"/>
    <w:rsid w:val="23B5FBDC"/>
    <w:rsid w:val="23C72850"/>
    <w:rsid w:val="23D38DF6"/>
    <w:rsid w:val="23D66738"/>
    <w:rsid w:val="23F32FD7"/>
    <w:rsid w:val="23FCDAE5"/>
    <w:rsid w:val="24065D03"/>
    <w:rsid w:val="2406CAD3"/>
    <w:rsid w:val="2406DE13"/>
    <w:rsid w:val="24090208"/>
    <w:rsid w:val="240C2DAC"/>
    <w:rsid w:val="242221D0"/>
    <w:rsid w:val="242566D5"/>
    <w:rsid w:val="24308AE4"/>
    <w:rsid w:val="24383E7A"/>
    <w:rsid w:val="24403356"/>
    <w:rsid w:val="244519A6"/>
    <w:rsid w:val="2445323A"/>
    <w:rsid w:val="244843C6"/>
    <w:rsid w:val="2453BBD0"/>
    <w:rsid w:val="2455D230"/>
    <w:rsid w:val="245A0776"/>
    <w:rsid w:val="245B38EB"/>
    <w:rsid w:val="245DDD75"/>
    <w:rsid w:val="245DEFBC"/>
    <w:rsid w:val="2461CFED"/>
    <w:rsid w:val="24695055"/>
    <w:rsid w:val="246FAED7"/>
    <w:rsid w:val="247240BD"/>
    <w:rsid w:val="2472CD18"/>
    <w:rsid w:val="247469B5"/>
    <w:rsid w:val="247A9348"/>
    <w:rsid w:val="248605E2"/>
    <w:rsid w:val="248E7022"/>
    <w:rsid w:val="24981C6B"/>
    <w:rsid w:val="24A014DB"/>
    <w:rsid w:val="24A6CCE2"/>
    <w:rsid w:val="24AEFB68"/>
    <w:rsid w:val="24BDC6F0"/>
    <w:rsid w:val="24BFE118"/>
    <w:rsid w:val="24C6B34A"/>
    <w:rsid w:val="24C85378"/>
    <w:rsid w:val="24CF7486"/>
    <w:rsid w:val="24D0C6B3"/>
    <w:rsid w:val="24D66F95"/>
    <w:rsid w:val="24DAAC77"/>
    <w:rsid w:val="24E97356"/>
    <w:rsid w:val="24F8B9DD"/>
    <w:rsid w:val="24F90401"/>
    <w:rsid w:val="24FE1C5E"/>
    <w:rsid w:val="24FE7966"/>
    <w:rsid w:val="2507DA81"/>
    <w:rsid w:val="25151730"/>
    <w:rsid w:val="2515EB1E"/>
    <w:rsid w:val="251B7A26"/>
    <w:rsid w:val="251C72C6"/>
    <w:rsid w:val="251F4A1B"/>
    <w:rsid w:val="251F62AE"/>
    <w:rsid w:val="251F8114"/>
    <w:rsid w:val="25226DE4"/>
    <w:rsid w:val="25268F0F"/>
    <w:rsid w:val="252AD78F"/>
    <w:rsid w:val="2534B471"/>
    <w:rsid w:val="25356323"/>
    <w:rsid w:val="253D9C40"/>
    <w:rsid w:val="25487CD8"/>
    <w:rsid w:val="254D00F4"/>
    <w:rsid w:val="2553889E"/>
    <w:rsid w:val="2561144B"/>
    <w:rsid w:val="25622E73"/>
    <w:rsid w:val="25698173"/>
    <w:rsid w:val="256C7DAB"/>
    <w:rsid w:val="256D0AA4"/>
    <w:rsid w:val="2570C0C9"/>
    <w:rsid w:val="2577CF36"/>
    <w:rsid w:val="258E6B91"/>
    <w:rsid w:val="2592A0FB"/>
    <w:rsid w:val="2593FAA3"/>
    <w:rsid w:val="25951F1B"/>
    <w:rsid w:val="2595E0E8"/>
    <w:rsid w:val="25AC077B"/>
    <w:rsid w:val="25B819A3"/>
    <w:rsid w:val="25B99C1C"/>
    <w:rsid w:val="25BA1D26"/>
    <w:rsid w:val="25BB929B"/>
    <w:rsid w:val="25C14B60"/>
    <w:rsid w:val="25C1D349"/>
    <w:rsid w:val="25C4D947"/>
    <w:rsid w:val="25C80487"/>
    <w:rsid w:val="25C898A0"/>
    <w:rsid w:val="25CCFADC"/>
    <w:rsid w:val="25CE2153"/>
    <w:rsid w:val="25D1D022"/>
    <w:rsid w:val="25D22CF3"/>
    <w:rsid w:val="25D26769"/>
    <w:rsid w:val="25D62828"/>
    <w:rsid w:val="25DA54C5"/>
    <w:rsid w:val="25DB90C8"/>
    <w:rsid w:val="25DC6714"/>
    <w:rsid w:val="25E1C43B"/>
    <w:rsid w:val="25E29E41"/>
    <w:rsid w:val="25E4AD90"/>
    <w:rsid w:val="25F39A1D"/>
    <w:rsid w:val="25F929F5"/>
    <w:rsid w:val="260DC665"/>
    <w:rsid w:val="2618B4AB"/>
    <w:rsid w:val="2628CC03"/>
    <w:rsid w:val="26298153"/>
    <w:rsid w:val="262BD2C6"/>
    <w:rsid w:val="262C4F9D"/>
    <w:rsid w:val="262E96E2"/>
    <w:rsid w:val="262F7EAE"/>
    <w:rsid w:val="26320F79"/>
    <w:rsid w:val="2632F5CF"/>
    <w:rsid w:val="2634918D"/>
    <w:rsid w:val="26356C13"/>
    <w:rsid w:val="2638B50D"/>
    <w:rsid w:val="263A1E09"/>
    <w:rsid w:val="263BFAEF"/>
    <w:rsid w:val="263D891E"/>
    <w:rsid w:val="263F1521"/>
    <w:rsid w:val="263FB816"/>
    <w:rsid w:val="264D4AF2"/>
    <w:rsid w:val="265BB316"/>
    <w:rsid w:val="265F9CD2"/>
    <w:rsid w:val="266C9714"/>
    <w:rsid w:val="2672CC3C"/>
    <w:rsid w:val="267487DD"/>
    <w:rsid w:val="268928B8"/>
    <w:rsid w:val="268CF897"/>
    <w:rsid w:val="268E6E80"/>
    <w:rsid w:val="26A637CC"/>
    <w:rsid w:val="26A7194A"/>
    <w:rsid w:val="26A7C6CB"/>
    <w:rsid w:val="26AF01B6"/>
    <w:rsid w:val="26B24C8A"/>
    <w:rsid w:val="26B765E8"/>
    <w:rsid w:val="26BA4CC3"/>
    <w:rsid w:val="26BAE770"/>
    <w:rsid w:val="26C07BB6"/>
    <w:rsid w:val="26C64C75"/>
    <w:rsid w:val="26D3A092"/>
    <w:rsid w:val="26D9F54C"/>
    <w:rsid w:val="26DDBECA"/>
    <w:rsid w:val="26E9FEFE"/>
    <w:rsid w:val="26EB5AB8"/>
    <w:rsid w:val="2704ED22"/>
    <w:rsid w:val="270EA701"/>
    <w:rsid w:val="271D4137"/>
    <w:rsid w:val="2729BA5F"/>
    <w:rsid w:val="272C23F3"/>
    <w:rsid w:val="272E05D9"/>
    <w:rsid w:val="272FF092"/>
    <w:rsid w:val="27412720"/>
    <w:rsid w:val="2741DF3B"/>
    <w:rsid w:val="27452D64"/>
    <w:rsid w:val="2747733C"/>
    <w:rsid w:val="2754F95E"/>
    <w:rsid w:val="2754FCC6"/>
    <w:rsid w:val="275EDD6B"/>
    <w:rsid w:val="275F8548"/>
    <w:rsid w:val="27698C7D"/>
    <w:rsid w:val="276FBFBB"/>
    <w:rsid w:val="276FEEC3"/>
    <w:rsid w:val="2774621C"/>
    <w:rsid w:val="27753007"/>
    <w:rsid w:val="277629E4"/>
    <w:rsid w:val="27762ECA"/>
    <w:rsid w:val="277698A9"/>
    <w:rsid w:val="2785755B"/>
    <w:rsid w:val="27874A03"/>
    <w:rsid w:val="2791EE79"/>
    <w:rsid w:val="27924AAB"/>
    <w:rsid w:val="279C3A91"/>
    <w:rsid w:val="279DFF7D"/>
    <w:rsid w:val="279F4A71"/>
    <w:rsid w:val="27A19AFB"/>
    <w:rsid w:val="27B0E81F"/>
    <w:rsid w:val="27B345B4"/>
    <w:rsid w:val="27BED462"/>
    <w:rsid w:val="27C0086D"/>
    <w:rsid w:val="27C45EA3"/>
    <w:rsid w:val="27C645B9"/>
    <w:rsid w:val="27C79069"/>
    <w:rsid w:val="27C94C39"/>
    <w:rsid w:val="27CCD6DD"/>
    <w:rsid w:val="27D4288F"/>
    <w:rsid w:val="27E23082"/>
    <w:rsid w:val="27E2CACA"/>
    <w:rsid w:val="27E817B9"/>
    <w:rsid w:val="27EB4948"/>
    <w:rsid w:val="27F30F40"/>
    <w:rsid w:val="27F78E09"/>
    <w:rsid w:val="27FC89DA"/>
    <w:rsid w:val="28027829"/>
    <w:rsid w:val="2807F68E"/>
    <w:rsid w:val="281B65FD"/>
    <w:rsid w:val="281CBA61"/>
    <w:rsid w:val="2828FC43"/>
    <w:rsid w:val="2837CBF2"/>
    <w:rsid w:val="283C6597"/>
    <w:rsid w:val="283D80DA"/>
    <w:rsid w:val="283DA922"/>
    <w:rsid w:val="283F98F3"/>
    <w:rsid w:val="2840134F"/>
    <w:rsid w:val="2846FD46"/>
    <w:rsid w:val="2848B004"/>
    <w:rsid w:val="284E0E79"/>
    <w:rsid w:val="28579D6D"/>
    <w:rsid w:val="2857A3BA"/>
    <w:rsid w:val="28588B2A"/>
    <w:rsid w:val="286136AC"/>
    <w:rsid w:val="28737EB7"/>
    <w:rsid w:val="2877D5D2"/>
    <w:rsid w:val="2878CC65"/>
    <w:rsid w:val="287B5C64"/>
    <w:rsid w:val="287CBEEF"/>
    <w:rsid w:val="28810EC8"/>
    <w:rsid w:val="2887C666"/>
    <w:rsid w:val="28889060"/>
    <w:rsid w:val="28919C09"/>
    <w:rsid w:val="2891B9ED"/>
    <w:rsid w:val="2893E7FC"/>
    <w:rsid w:val="2897A387"/>
    <w:rsid w:val="28998544"/>
    <w:rsid w:val="28A95972"/>
    <w:rsid w:val="28AE5EF8"/>
    <w:rsid w:val="28B0CB56"/>
    <w:rsid w:val="28BD43E6"/>
    <w:rsid w:val="28CACC30"/>
    <w:rsid w:val="28CB04D6"/>
    <w:rsid w:val="28CFE98F"/>
    <w:rsid w:val="28D33BE0"/>
    <w:rsid w:val="28D63E7D"/>
    <w:rsid w:val="28E2E5AB"/>
    <w:rsid w:val="28E398D8"/>
    <w:rsid w:val="28F3A99E"/>
    <w:rsid w:val="28F7821F"/>
    <w:rsid w:val="28F81712"/>
    <w:rsid w:val="28F97EFB"/>
    <w:rsid w:val="28FAE95E"/>
    <w:rsid w:val="28FBCDCE"/>
    <w:rsid w:val="29079C7F"/>
    <w:rsid w:val="290F5ACC"/>
    <w:rsid w:val="29174E84"/>
    <w:rsid w:val="29202C0D"/>
    <w:rsid w:val="2920F66C"/>
    <w:rsid w:val="292539A1"/>
    <w:rsid w:val="2928EE57"/>
    <w:rsid w:val="292B9B4C"/>
    <w:rsid w:val="29358044"/>
    <w:rsid w:val="29364916"/>
    <w:rsid w:val="29397180"/>
    <w:rsid w:val="293FE8C8"/>
    <w:rsid w:val="294CB835"/>
    <w:rsid w:val="294E2D94"/>
    <w:rsid w:val="296052A6"/>
    <w:rsid w:val="29643357"/>
    <w:rsid w:val="2966DFDD"/>
    <w:rsid w:val="2969E7A3"/>
    <w:rsid w:val="296DA407"/>
    <w:rsid w:val="296F5AA3"/>
    <w:rsid w:val="2972E95F"/>
    <w:rsid w:val="2976E179"/>
    <w:rsid w:val="2979D981"/>
    <w:rsid w:val="2981965C"/>
    <w:rsid w:val="29868A9B"/>
    <w:rsid w:val="298C87AB"/>
    <w:rsid w:val="2998DAA9"/>
    <w:rsid w:val="299A65F8"/>
    <w:rsid w:val="29A4B0C1"/>
    <w:rsid w:val="29A84E5E"/>
    <w:rsid w:val="29ACB979"/>
    <w:rsid w:val="29AD19DB"/>
    <w:rsid w:val="29AE743F"/>
    <w:rsid w:val="29AE78E3"/>
    <w:rsid w:val="29AF01F9"/>
    <w:rsid w:val="29B4D7CB"/>
    <w:rsid w:val="29B54CCC"/>
    <w:rsid w:val="29BE1D2F"/>
    <w:rsid w:val="29C7668F"/>
    <w:rsid w:val="29C99C3D"/>
    <w:rsid w:val="29D50B57"/>
    <w:rsid w:val="29D8ECF9"/>
    <w:rsid w:val="29D96385"/>
    <w:rsid w:val="29DFCC15"/>
    <w:rsid w:val="29E2C50C"/>
    <w:rsid w:val="29F2B3F9"/>
    <w:rsid w:val="29F503E1"/>
    <w:rsid w:val="29F78F31"/>
    <w:rsid w:val="29FB3E59"/>
    <w:rsid w:val="2A0856E3"/>
    <w:rsid w:val="2A08CB80"/>
    <w:rsid w:val="2A09B260"/>
    <w:rsid w:val="2A1085F2"/>
    <w:rsid w:val="2A174C42"/>
    <w:rsid w:val="2A182D9A"/>
    <w:rsid w:val="2A23F773"/>
    <w:rsid w:val="2A240865"/>
    <w:rsid w:val="2A24FC00"/>
    <w:rsid w:val="2A286A6C"/>
    <w:rsid w:val="2A2D0750"/>
    <w:rsid w:val="2A2DD1CD"/>
    <w:rsid w:val="2A3C7B78"/>
    <w:rsid w:val="2A42AF50"/>
    <w:rsid w:val="2A42B720"/>
    <w:rsid w:val="2A4B3ADF"/>
    <w:rsid w:val="2A4B97AB"/>
    <w:rsid w:val="2A4C9CD9"/>
    <w:rsid w:val="2A4FB486"/>
    <w:rsid w:val="2A56E886"/>
    <w:rsid w:val="2A654A97"/>
    <w:rsid w:val="2A676A35"/>
    <w:rsid w:val="2A680C28"/>
    <w:rsid w:val="2A786573"/>
    <w:rsid w:val="2A7A2A25"/>
    <w:rsid w:val="2A7B4B01"/>
    <w:rsid w:val="2A7D277E"/>
    <w:rsid w:val="2A7F030C"/>
    <w:rsid w:val="2A8903F1"/>
    <w:rsid w:val="2A8A5CA8"/>
    <w:rsid w:val="2A8CFEA4"/>
    <w:rsid w:val="2A9C6219"/>
    <w:rsid w:val="2A9C8AB6"/>
    <w:rsid w:val="2A9D680F"/>
    <w:rsid w:val="2AA1D58F"/>
    <w:rsid w:val="2AB1A9D8"/>
    <w:rsid w:val="2AB31631"/>
    <w:rsid w:val="2AB3E5EA"/>
    <w:rsid w:val="2ABE861B"/>
    <w:rsid w:val="2AC40267"/>
    <w:rsid w:val="2AC4773B"/>
    <w:rsid w:val="2AC92322"/>
    <w:rsid w:val="2ACAA3D4"/>
    <w:rsid w:val="2ACAD702"/>
    <w:rsid w:val="2ACF0424"/>
    <w:rsid w:val="2ADDE718"/>
    <w:rsid w:val="2AE70839"/>
    <w:rsid w:val="2AEB5180"/>
    <w:rsid w:val="2B03F2C4"/>
    <w:rsid w:val="2B049C07"/>
    <w:rsid w:val="2B070212"/>
    <w:rsid w:val="2B07FC25"/>
    <w:rsid w:val="2B16AB8F"/>
    <w:rsid w:val="2B17B4B8"/>
    <w:rsid w:val="2B20D392"/>
    <w:rsid w:val="2B214713"/>
    <w:rsid w:val="2B29475C"/>
    <w:rsid w:val="2B2C032D"/>
    <w:rsid w:val="2B2DA17A"/>
    <w:rsid w:val="2B2FF97C"/>
    <w:rsid w:val="2B323129"/>
    <w:rsid w:val="2B3D1513"/>
    <w:rsid w:val="2B3FD675"/>
    <w:rsid w:val="2B42EC2F"/>
    <w:rsid w:val="2B4998F8"/>
    <w:rsid w:val="2B4AAA0C"/>
    <w:rsid w:val="2B5243FC"/>
    <w:rsid w:val="2B562203"/>
    <w:rsid w:val="2B5BDDAD"/>
    <w:rsid w:val="2B618100"/>
    <w:rsid w:val="2B767237"/>
    <w:rsid w:val="2B794719"/>
    <w:rsid w:val="2B7BF00F"/>
    <w:rsid w:val="2B7D3956"/>
    <w:rsid w:val="2B86030A"/>
    <w:rsid w:val="2B887B99"/>
    <w:rsid w:val="2B8C0E7F"/>
    <w:rsid w:val="2B9016B7"/>
    <w:rsid w:val="2B9774CA"/>
    <w:rsid w:val="2B9B3CF5"/>
    <w:rsid w:val="2BA59006"/>
    <w:rsid w:val="2BB041A9"/>
    <w:rsid w:val="2BB2E68F"/>
    <w:rsid w:val="2BB4ED0D"/>
    <w:rsid w:val="2BB6E6D4"/>
    <w:rsid w:val="2BB72FF3"/>
    <w:rsid w:val="2BB77585"/>
    <w:rsid w:val="2BBA9BDF"/>
    <w:rsid w:val="2BBBFBA8"/>
    <w:rsid w:val="2BCD5DC7"/>
    <w:rsid w:val="2BD16632"/>
    <w:rsid w:val="2BD6F40A"/>
    <w:rsid w:val="2BF78F4E"/>
    <w:rsid w:val="2BFBF5B3"/>
    <w:rsid w:val="2C02A893"/>
    <w:rsid w:val="2C07CE94"/>
    <w:rsid w:val="2C0AA7B8"/>
    <w:rsid w:val="2C0ED709"/>
    <w:rsid w:val="2C16855D"/>
    <w:rsid w:val="2C17681A"/>
    <w:rsid w:val="2C2F302C"/>
    <w:rsid w:val="2C30944F"/>
    <w:rsid w:val="2C32F3F8"/>
    <w:rsid w:val="2C38BCA1"/>
    <w:rsid w:val="2C3BE978"/>
    <w:rsid w:val="2C3FAE55"/>
    <w:rsid w:val="2C564EFC"/>
    <w:rsid w:val="2C5891D1"/>
    <w:rsid w:val="2C58F318"/>
    <w:rsid w:val="2C5A646B"/>
    <w:rsid w:val="2C5DE46C"/>
    <w:rsid w:val="2C61F6EA"/>
    <w:rsid w:val="2C65FD10"/>
    <w:rsid w:val="2C667C25"/>
    <w:rsid w:val="2C6C94B6"/>
    <w:rsid w:val="2C73E153"/>
    <w:rsid w:val="2C74361C"/>
    <w:rsid w:val="2C7FA365"/>
    <w:rsid w:val="2C84D8C7"/>
    <w:rsid w:val="2C8BEE2E"/>
    <w:rsid w:val="2C8F4006"/>
    <w:rsid w:val="2C946E83"/>
    <w:rsid w:val="2C97DDCA"/>
    <w:rsid w:val="2C9FE471"/>
    <w:rsid w:val="2CA57EAF"/>
    <w:rsid w:val="2CB02547"/>
    <w:rsid w:val="2CB627E4"/>
    <w:rsid w:val="2CBA4547"/>
    <w:rsid w:val="2CC63A1C"/>
    <w:rsid w:val="2CC8BAEC"/>
    <w:rsid w:val="2CC98529"/>
    <w:rsid w:val="2CD2C755"/>
    <w:rsid w:val="2CD6A60D"/>
    <w:rsid w:val="2CD6C246"/>
    <w:rsid w:val="2CD7F806"/>
    <w:rsid w:val="2CD86D40"/>
    <w:rsid w:val="2CE1717E"/>
    <w:rsid w:val="2CE4F5C7"/>
    <w:rsid w:val="2CE528C1"/>
    <w:rsid w:val="2CE6CEB5"/>
    <w:rsid w:val="2CE9627D"/>
    <w:rsid w:val="2CEAC4BD"/>
    <w:rsid w:val="2CF56087"/>
    <w:rsid w:val="2CF91434"/>
    <w:rsid w:val="2D04DF33"/>
    <w:rsid w:val="2D2801A8"/>
    <w:rsid w:val="2D301F4A"/>
    <w:rsid w:val="2D3670ED"/>
    <w:rsid w:val="2D37FAF8"/>
    <w:rsid w:val="2D38D331"/>
    <w:rsid w:val="2D3B6E9E"/>
    <w:rsid w:val="2D3F2948"/>
    <w:rsid w:val="2D3F540F"/>
    <w:rsid w:val="2D41C526"/>
    <w:rsid w:val="2D555183"/>
    <w:rsid w:val="2D588E26"/>
    <w:rsid w:val="2D5AE9F8"/>
    <w:rsid w:val="2D5E1E11"/>
    <w:rsid w:val="2D66FDFF"/>
    <w:rsid w:val="2D6BF40F"/>
    <w:rsid w:val="2D6D351E"/>
    <w:rsid w:val="2D6DC2AD"/>
    <w:rsid w:val="2D79514E"/>
    <w:rsid w:val="2D79F28C"/>
    <w:rsid w:val="2D7C0B29"/>
    <w:rsid w:val="2D8B227F"/>
    <w:rsid w:val="2D945835"/>
    <w:rsid w:val="2D999B35"/>
    <w:rsid w:val="2D9F9EFE"/>
    <w:rsid w:val="2DA5684D"/>
    <w:rsid w:val="2DBD9B27"/>
    <w:rsid w:val="2DCE2E39"/>
    <w:rsid w:val="2DCE77EE"/>
    <w:rsid w:val="2DD7DF7F"/>
    <w:rsid w:val="2DD9DE37"/>
    <w:rsid w:val="2DE55054"/>
    <w:rsid w:val="2DE6D20F"/>
    <w:rsid w:val="2DE7B207"/>
    <w:rsid w:val="2DE8B002"/>
    <w:rsid w:val="2DE9BAF2"/>
    <w:rsid w:val="2DEC50DF"/>
    <w:rsid w:val="2DEDC494"/>
    <w:rsid w:val="2DF214E6"/>
    <w:rsid w:val="2DF6F92E"/>
    <w:rsid w:val="2DF88099"/>
    <w:rsid w:val="2E0069D9"/>
    <w:rsid w:val="2E0C0E3E"/>
    <w:rsid w:val="2E13CD36"/>
    <w:rsid w:val="2E16BA1F"/>
    <w:rsid w:val="2E18CC52"/>
    <w:rsid w:val="2E19157D"/>
    <w:rsid w:val="2E1D1681"/>
    <w:rsid w:val="2E21C10A"/>
    <w:rsid w:val="2E21ED93"/>
    <w:rsid w:val="2E336727"/>
    <w:rsid w:val="2E34E958"/>
    <w:rsid w:val="2E409272"/>
    <w:rsid w:val="2E468D40"/>
    <w:rsid w:val="2E4742E1"/>
    <w:rsid w:val="2E587F4A"/>
    <w:rsid w:val="2E658D9C"/>
    <w:rsid w:val="2E6762C6"/>
    <w:rsid w:val="2E686660"/>
    <w:rsid w:val="2E69C365"/>
    <w:rsid w:val="2E6CA237"/>
    <w:rsid w:val="2E7C7312"/>
    <w:rsid w:val="2E857731"/>
    <w:rsid w:val="2E92D42C"/>
    <w:rsid w:val="2E9FDFF0"/>
    <w:rsid w:val="2EA39824"/>
    <w:rsid w:val="2EB18285"/>
    <w:rsid w:val="2EB59A46"/>
    <w:rsid w:val="2EBE9E36"/>
    <w:rsid w:val="2EC914D4"/>
    <w:rsid w:val="2ED5A65C"/>
    <w:rsid w:val="2EDE243A"/>
    <w:rsid w:val="2EDE654D"/>
    <w:rsid w:val="2EE2FB7B"/>
    <w:rsid w:val="2EEA8751"/>
    <w:rsid w:val="2EECBCB8"/>
    <w:rsid w:val="2EED2BFB"/>
    <w:rsid w:val="2EEECF2E"/>
    <w:rsid w:val="2EEED5A6"/>
    <w:rsid w:val="2EF10611"/>
    <w:rsid w:val="2EFF0892"/>
    <w:rsid w:val="2F03FF26"/>
    <w:rsid w:val="2F0D0191"/>
    <w:rsid w:val="2F12AE31"/>
    <w:rsid w:val="2F15498E"/>
    <w:rsid w:val="2F17D9CC"/>
    <w:rsid w:val="2F1A6DCC"/>
    <w:rsid w:val="2F22B7A3"/>
    <w:rsid w:val="2F2ECA19"/>
    <w:rsid w:val="2F354BC7"/>
    <w:rsid w:val="2F360409"/>
    <w:rsid w:val="2F3D8C00"/>
    <w:rsid w:val="2F49DD74"/>
    <w:rsid w:val="2F4CAF02"/>
    <w:rsid w:val="2F53F25D"/>
    <w:rsid w:val="2F544C1A"/>
    <w:rsid w:val="2F5E59B0"/>
    <w:rsid w:val="2F5F4F6D"/>
    <w:rsid w:val="2F646AFD"/>
    <w:rsid w:val="2F6710D2"/>
    <w:rsid w:val="2F6E9644"/>
    <w:rsid w:val="2F71A286"/>
    <w:rsid w:val="2F797997"/>
    <w:rsid w:val="2F7AFD81"/>
    <w:rsid w:val="2F86EAC8"/>
    <w:rsid w:val="2F872472"/>
    <w:rsid w:val="2F87581D"/>
    <w:rsid w:val="2F88B42C"/>
    <w:rsid w:val="2F89973C"/>
    <w:rsid w:val="2F911AC0"/>
    <w:rsid w:val="2F9ECADD"/>
    <w:rsid w:val="2FA0F8B3"/>
    <w:rsid w:val="2FA7C64A"/>
    <w:rsid w:val="2FB2AA42"/>
    <w:rsid w:val="2FBD85CC"/>
    <w:rsid w:val="2FC7B805"/>
    <w:rsid w:val="2FCE1414"/>
    <w:rsid w:val="2FD72B09"/>
    <w:rsid w:val="2FDDCC8E"/>
    <w:rsid w:val="2FE1C148"/>
    <w:rsid w:val="2FE8448B"/>
    <w:rsid w:val="2FE91817"/>
    <w:rsid w:val="2FE9D2A0"/>
    <w:rsid w:val="300A4DA8"/>
    <w:rsid w:val="3011DFB0"/>
    <w:rsid w:val="30266E99"/>
    <w:rsid w:val="3026B7B1"/>
    <w:rsid w:val="3026C3FC"/>
    <w:rsid w:val="302CF7BD"/>
    <w:rsid w:val="3030D004"/>
    <w:rsid w:val="3038B121"/>
    <w:rsid w:val="303DB40B"/>
    <w:rsid w:val="30473165"/>
    <w:rsid w:val="304DADED"/>
    <w:rsid w:val="3059393D"/>
    <w:rsid w:val="306AD9B9"/>
    <w:rsid w:val="306CC43A"/>
    <w:rsid w:val="306CE27C"/>
    <w:rsid w:val="307BFD17"/>
    <w:rsid w:val="30805AE5"/>
    <w:rsid w:val="30889821"/>
    <w:rsid w:val="308C58FE"/>
    <w:rsid w:val="3094A262"/>
    <w:rsid w:val="309BE446"/>
    <w:rsid w:val="30A48566"/>
    <w:rsid w:val="30A4ADC8"/>
    <w:rsid w:val="30B185EA"/>
    <w:rsid w:val="30B3A3E8"/>
    <w:rsid w:val="30B71BEF"/>
    <w:rsid w:val="30BBA0EF"/>
    <w:rsid w:val="30C098B3"/>
    <w:rsid w:val="30C1915F"/>
    <w:rsid w:val="30CC815A"/>
    <w:rsid w:val="30CF3116"/>
    <w:rsid w:val="30CFCAAD"/>
    <w:rsid w:val="30D87EB9"/>
    <w:rsid w:val="30E12C1C"/>
    <w:rsid w:val="30E6BE7F"/>
    <w:rsid w:val="30EB9EC9"/>
    <w:rsid w:val="30F7A991"/>
    <w:rsid w:val="30F91E6F"/>
    <w:rsid w:val="30FB6EC8"/>
    <w:rsid w:val="30FDFA88"/>
    <w:rsid w:val="3105A6EE"/>
    <w:rsid w:val="310FEE9B"/>
    <w:rsid w:val="3113DCE9"/>
    <w:rsid w:val="311A2EEB"/>
    <w:rsid w:val="3125F115"/>
    <w:rsid w:val="3128ADBC"/>
    <w:rsid w:val="313068A3"/>
    <w:rsid w:val="3137202A"/>
    <w:rsid w:val="313DB88A"/>
    <w:rsid w:val="3141DAA2"/>
    <w:rsid w:val="3154A1D9"/>
    <w:rsid w:val="31586C26"/>
    <w:rsid w:val="3158A4BE"/>
    <w:rsid w:val="315BB3D7"/>
    <w:rsid w:val="3160CA5A"/>
    <w:rsid w:val="3172788B"/>
    <w:rsid w:val="31757D39"/>
    <w:rsid w:val="317B0016"/>
    <w:rsid w:val="3190A6AB"/>
    <w:rsid w:val="3190ED7D"/>
    <w:rsid w:val="31928C6F"/>
    <w:rsid w:val="319D5DD7"/>
    <w:rsid w:val="31A3782D"/>
    <w:rsid w:val="31A83A86"/>
    <w:rsid w:val="31B18185"/>
    <w:rsid w:val="31B8E77B"/>
    <w:rsid w:val="31BAA0EE"/>
    <w:rsid w:val="31C577C4"/>
    <w:rsid w:val="31C6071B"/>
    <w:rsid w:val="31CD880F"/>
    <w:rsid w:val="31D52DDB"/>
    <w:rsid w:val="31D58E67"/>
    <w:rsid w:val="31D5D510"/>
    <w:rsid w:val="31D881A3"/>
    <w:rsid w:val="31DBFE94"/>
    <w:rsid w:val="31E26BDA"/>
    <w:rsid w:val="31E6974F"/>
    <w:rsid w:val="31E8A057"/>
    <w:rsid w:val="31E8AB49"/>
    <w:rsid w:val="31F1C0F8"/>
    <w:rsid w:val="31FB64F5"/>
    <w:rsid w:val="3200BFEF"/>
    <w:rsid w:val="3204A380"/>
    <w:rsid w:val="320D5AEC"/>
    <w:rsid w:val="32171A6F"/>
    <w:rsid w:val="3217E4FB"/>
    <w:rsid w:val="32279A2A"/>
    <w:rsid w:val="322A1E75"/>
    <w:rsid w:val="3235F561"/>
    <w:rsid w:val="323A775A"/>
    <w:rsid w:val="3245B7D5"/>
    <w:rsid w:val="324A77FB"/>
    <w:rsid w:val="325225C6"/>
    <w:rsid w:val="3252706A"/>
    <w:rsid w:val="325E1274"/>
    <w:rsid w:val="327CE16D"/>
    <w:rsid w:val="3283D6CB"/>
    <w:rsid w:val="3287A7B8"/>
    <w:rsid w:val="328B96FF"/>
    <w:rsid w:val="328D90B3"/>
    <w:rsid w:val="3296D901"/>
    <w:rsid w:val="329A7B88"/>
    <w:rsid w:val="32AAD1D5"/>
    <w:rsid w:val="32AD0FF5"/>
    <w:rsid w:val="32B118B7"/>
    <w:rsid w:val="32B1D212"/>
    <w:rsid w:val="32B2517E"/>
    <w:rsid w:val="32B8735B"/>
    <w:rsid w:val="32BFB6F4"/>
    <w:rsid w:val="32C9A682"/>
    <w:rsid w:val="32DDEE87"/>
    <w:rsid w:val="32EBDE5E"/>
    <w:rsid w:val="32F9BB81"/>
    <w:rsid w:val="32FA96E7"/>
    <w:rsid w:val="33060A93"/>
    <w:rsid w:val="33063023"/>
    <w:rsid w:val="330A0BEC"/>
    <w:rsid w:val="3314557A"/>
    <w:rsid w:val="331A91E5"/>
    <w:rsid w:val="331B9CDB"/>
    <w:rsid w:val="331F4F1F"/>
    <w:rsid w:val="33268779"/>
    <w:rsid w:val="3327EAB8"/>
    <w:rsid w:val="334A08E1"/>
    <w:rsid w:val="334CBBA7"/>
    <w:rsid w:val="3350661D"/>
    <w:rsid w:val="3352DF69"/>
    <w:rsid w:val="33543755"/>
    <w:rsid w:val="3354524A"/>
    <w:rsid w:val="3354643C"/>
    <w:rsid w:val="335A19B4"/>
    <w:rsid w:val="335B7AFD"/>
    <w:rsid w:val="3361FDD5"/>
    <w:rsid w:val="3363207F"/>
    <w:rsid w:val="3366F603"/>
    <w:rsid w:val="33733D30"/>
    <w:rsid w:val="33813554"/>
    <w:rsid w:val="338ADD56"/>
    <w:rsid w:val="3393CC1F"/>
    <w:rsid w:val="339C2E2A"/>
    <w:rsid w:val="33AB144F"/>
    <w:rsid w:val="33AC2A5B"/>
    <w:rsid w:val="33AF8CAB"/>
    <w:rsid w:val="33B45F19"/>
    <w:rsid w:val="33BE489E"/>
    <w:rsid w:val="33C1B326"/>
    <w:rsid w:val="33CF3813"/>
    <w:rsid w:val="33D169ED"/>
    <w:rsid w:val="33D3D5A0"/>
    <w:rsid w:val="33DB81CD"/>
    <w:rsid w:val="33DF9F50"/>
    <w:rsid w:val="33EC3D55"/>
    <w:rsid w:val="33F2A110"/>
    <w:rsid w:val="33F2B0AB"/>
    <w:rsid w:val="33F4DF51"/>
    <w:rsid w:val="33F553E3"/>
    <w:rsid w:val="340C455B"/>
    <w:rsid w:val="34176A8F"/>
    <w:rsid w:val="341A23D0"/>
    <w:rsid w:val="341A54EF"/>
    <w:rsid w:val="341AD519"/>
    <w:rsid w:val="341FA405"/>
    <w:rsid w:val="3425B69F"/>
    <w:rsid w:val="3426888F"/>
    <w:rsid w:val="34340F32"/>
    <w:rsid w:val="343ED41F"/>
    <w:rsid w:val="34412B2D"/>
    <w:rsid w:val="34474C29"/>
    <w:rsid w:val="345EC6C3"/>
    <w:rsid w:val="34625091"/>
    <w:rsid w:val="3463783E"/>
    <w:rsid w:val="34673908"/>
    <w:rsid w:val="34711B06"/>
    <w:rsid w:val="34766769"/>
    <w:rsid w:val="348025BE"/>
    <w:rsid w:val="34933A6B"/>
    <w:rsid w:val="3493CB25"/>
    <w:rsid w:val="349CF0FB"/>
    <w:rsid w:val="349DA98C"/>
    <w:rsid w:val="34A4C339"/>
    <w:rsid w:val="34AF160E"/>
    <w:rsid w:val="34B42496"/>
    <w:rsid w:val="34B71521"/>
    <w:rsid w:val="34B9E9A1"/>
    <w:rsid w:val="34BC42C4"/>
    <w:rsid w:val="34BEB3B1"/>
    <w:rsid w:val="34C515E9"/>
    <w:rsid w:val="34C8ED62"/>
    <w:rsid w:val="34CEEC71"/>
    <w:rsid w:val="34CF59AD"/>
    <w:rsid w:val="34D95FC3"/>
    <w:rsid w:val="34DD06C0"/>
    <w:rsid w:val="34E0F959"/>
    <w:rsid w:val="34E56833"/>
    <w:rsid w:val="34E76ABB"/>
    <w:rsid w:val="34EC465A"/>
    <w:rsid w:val="34F8D2FC"/>
    <w:rsid w:val="34FD4106"/>
    <w:rsid w:val="34FE6913"/>
    <w:rsid w:val="3504B40C"/>
    <w:rsid w:val="350786AB"/>
    <w:rsid w:val="3509B17A"/>
    <w:rsid w:val="350EC95E"/>
    <w:rsid w:val="3519824C"/>
    <w:rsid w:val="352A0125"/>
    <w:rsid w:val="352DB1B7"/>
    <w:rsid w:val="3533DD48"/>
    <w:rsid w:val="3536529C"/>
    <w:rsid w:val="353DF65B"/>
    <w:rsid w:val="353E5A87"/>
    <w:rsid w:val="353F252A"/>
    <w:rsid w:val="354176DB"/>
    <w:rsid w:val="355004F2"/>
    <w:rsid w:val="35501A18"/>
    <w:rsid w:val="355E9C77"/>
    <w:rsid w:val="35674379"/>
    <w:rsid w:val="356CA611"/>
    <w:rsid w:val="357971DF"/>
    <w:rsid w:val="35819552"/>
    <w:rsid w:val="3589414D"/>
    <w:rsid w:val="3589B321"/>
    <w:rsid w:val="358C5BB6"/>
    <w:rsid w:val="359359D4"/>
    <w:rsid w:val="359A0D68"/>
    <w:rsid w:val="35A5F8ED"/>
    <w:rsid w:val="35AC9E57"/>
    <w:rsid w:val="35BACDF3"/>
    <w:rsid w:val="35BBC981"/>
    <w:rsid w:val="35BBE7AE"/>
    <w:rsid w:val="35BF1F67"/>
    <w:rsid w:val="35CCE31B"/>
    <w:rsid w:val="35D3432B"/>
    <w:rsid w:val="35F14A8E"/>
    <w:rsid w:val="360E1571"/>
    <w:rsid w:val="36123E69"/>
    <w:rsid w:val="361C966D"/>
    <w:rsid w:val="3622F1E8"/>
    <w:rsid w:val="36257F29"/>
    <w:rsid w:val="36288221"/>
    <w:rsid w:val="3631DF12"/>
    <w:rsid w:val="363A6BD9"/>
    <w:rsid w:val="363ADCE3"/>
    <w:rsid w:val="363BAA35"/>
    <w:rsid w:val="363D1828"/>
    <w:rsid w:val="3643891B"/>
    <w:rsid w:val="3643B507"/>
    <w:rsid w:val="36470ECB"/>
    <w:rsid w:val="364DA394"/>
    <w:rsid w:val="364E1C92"/>
    <w:rsid w:val="36544301"/>
    <w:rsid w:val="3659C824"/>
    <w:rsid w:val="3660DD81"/>
    <w:rsid w:val="36632A58"/>
    <w:rsid w:val="366876B0"/>
    <w:rsid w:val="36728768"/>
    <w:rsid w:val="36765D3C"/>
    <w:rsid w:val="367F8B56"/>
    <w:rsid w:val="36833934"/>
    <w:rsid w:val="368AB684"/>
    <w:rsid w:val="3694BAE9"/>
    <w:rsid w:val="369662E9"/>
    <w:rsid w:val="36A1F0C4"/>
    <w:rsid w:val="36A4C714"/>
    <w:rsid w:val="36A809C7"/>
    <w:rsid w:val="36AC5DB7"/>
    <w:rsid w:val="36B01D07"/>
    <w:rsid w:val="36B2FA2A"/>
    <w:rsid w:val="36BBB4EE"/>
    <w:rsid w:val="36C02DDD"/>
    <w:rsid w:val="36C4886E"/>
    <w:rsid w:val="36CB26B4"/>
    <w:rsid w:val="36CDDB1A"/>
    <w:rsid w:val="36E21B51"/>
    <w:rsid w:val="36EBEAD8"/>
    <w:rsid w:val="36EC00F7"/>
    <w:rsid w:val="36F695E0"/>
    <w:rsid w:val="370032C6"/>
    <w:rsid w:val="3702A53D"/>
    <w:rsid w:val="37036450"/>
    <w:rsid w:val="3714579E"/>
    <w:rsid w:val="3723E936"/>
    <w:rsid w:val="37307BFD"/>
    <w:rsid w:val="373278C7"/>
    <w:rsid w:val="37373BF7"/>
    <w:rsid w:val="3742C7D3"/>
    <w:rsid w:val="374ABC35"/>
    <w:rsid w:val="37513650"/>
    <w:rsid w:val="37562354"/>
    <w:rsid w:val="37578C16"/>
    <w:rsid w:val="3758A451"/>
    <w:rsid w:val="375BA76A"/>
    <w:rsid w:val="377EF70B"/>
    <w:rsid w:val="37816468"/>
    <w:rsid w:val="3782328C"/>
    <w:rsid w:val="37845E13"/>
    <w:rsid w:val="3784ABF8"/>
    <w:rsid w:val="37A32E41"/>
    <w:rsid w:val="37A73F19"/>
    <w:rsid w:val="37A958E6"/>
    <w:rsid w:val="37B102FF"/>
    <w:rsid w:val="37B5E9AB"/>
    <w:rsid w:val="37BBBFFE"/>
    <w:rsid w:val="37BCB1D5"/>
    <w:rsid w:val="37BD2DE2"/>
    <w:rsid w:val="37C02E14"/>
    <w:rsid w:val="37C8EC1D"/>
    <w:rsid w:val="37D095DE"/>
    <w:rsid w:val="37D1EE7F"/>
    <w:rsid w:val="37D533E0"/>
    <w:rsid w:val="37DA6B8F"/>
    <w:rsid w:val="37F31280"/>
    <w:rsid w:val="37F5E40B"/>
    <w:rsid w:val="37F7DDBA"/>
    <w:rsid w:val="37FA77B6"/>
    <w:rsid w:val="37FE57D3"/>
    <w:rsid w:val="37FE8585"/>
    <w:rsid w:val="3803A222"/>
    <w:rsid w:val="380431B4"/>
    <w:rsid w:val="38132BDC"/>
    <w:rsid w:val="38144A1B"/>
    <w:rsid w:val="3814AA59"/>
    <w:rsid w:val="3821FF2E"/>
    <w:rsid w:val="3827FB11"/>
    <w:rsid w:val="382ACF34"/>
    <w:rsid w:val="382B0E00"/>
    <w:rsid w:val="382E5FE1"/>
    <w:rsid w:val="383B74AA"/>
    <w:rsid w:val="383EAE8E"/>
    <w:rsid w:val="3846F094"/>
    <w:rsid w:val="384C0D51"/>
    <w:rsid w:val="384C8458"/>
    <w:rsid w:val="384D4110"/>
    <w:rsid w:val="384F1FE4"/>
    <w:rsid w:val="38511FEC"/>
    <w:rsid w:val="3855274F"/>
    <w:rsid w:val="385BCFE8"/>
    <w:rsid w:val="385EAE30"/>
    <w:rsid w:val="385FAC0D"/>
    <w:rsid w:val="3865E4E2"/>
    <w:rsid w:val="3868F82A"/>
    <w:rsid w:val="386AC721"/>
    <w:rsid w:val="387EB882"/>
    <w:rsid w:val="3880F1AC"/>
    <w:rsid w:val="38836D4F"/>
    <w:rsid w:val="38854195"/>
    <w:rsid w:val="3885AB88"/>
    <w:rsid w:val="388A6683"/>
    <w:rsid w:val="389572F0"/>
    <w:rsid w:val="38A4C7BA"/>
    <w:rsid w:val="38A8DD25"/>
    <w:rsid w:val="38AC07AD"/>
    <w:rsid w:val="38B0343B"/>
    <w:rsid w:val="38C318FB"/>
    <w:rsid w:val="38C8DE72"/>
    <w:rsid w:val="38CA203B"/>
    <w:rsid w:val="38D20E9E"/>
    <w:rsid w:val="38D85EF0"/>
    <w:rsid w:val="38D8DB1A"/>
    <w:rsid w:val="38DC9E19"/>
    <w:rsid w:val="38E3951E"/>
    <w:rsid w:val="38E3F6B8"/>
    <w:rsid w:val="38F1D952"/>
    <w:rsid w:val="38F71626"/>
    <w:rsid w:val="38FFC2D8"/>
    <w:rsid w:val="390402B0"/>
    <w:rsid w:val="39081AC8"/>
    <w:rsid w:val="390E6177"/>
    <w:rsid w:val="390E686B"/>
    <w:rsid w:val="39140A12"/>
    <w:rsid w:val="3917AA18"/>
    <w:rsid w:val="391FCD69"/>
    <w:rsid w:val="392681A0"/>
    <w:rsid w:val="392A29BB"/>
    <w:rsid w:val="392A8378"/>
    <w:rsid w:val="392A9605"/>
    <w:rsid w:val="392CF129"/>
    <w:rsid w:val="392F30D0"/>
    <w:rsid w:val="393E3D5D"/>
    <w:rsid w:val="393E6832"/>
    <w:rsid w:val="3949CED1"/>
    <w:rsid w:val="3950ADC9"/>
    <w:rsid w:val="395A6FBA"/>
    <w:rsid w:val="396416B3"/>
    <w:rsid w:val="396AA8AF"/>
    <w:rsid w:val="397536F6"/>
    <w:rsid w:val="397D1642"/>
    <w:rsid w:val="397DB1C9"/>
    <w:rsid w:val="397DDFE5"/>
    <w:rsid w:val="398070A6"/>
    <w:rsid w:val="3992911C"/>
    <w:rsid w:val="3994C60A"/>
    <w:rsid w:val="39964817"/>
    <w:rsid w:val="399B9DA2"/>
    <w:rsid w:val="39A39740"/>
    <w:rsid w:val="39A5733C"/>
    <w:rsid w:val="39A88E7A"/>
    <w:rsid w:val="39A94E82"/>
    <w:rsid w:val="39ADA65A"/>
    <w:rsid w:val="39BDEDF3"/>
    <w:rsid w:val="39BE869B"/>
    <w:rsid w:val="39C122A0"/>
    <w:rsid w:val="39C50F3A"/>
    <w:rsid w:val="39C5AF20"/>
    <w:rsid w:val="39CB6F7F"/>
    <w:rsid w:val="39CD9D2F"/>
    <w:rsid w:val="39D73FE8"/>
    <w:rsid w:val="39DBD899"/>
    <w:rsid w:val="39DCF326"/>
    <w:rsid w:val="39E0BB25"/>
    <w:rsid w:val="39E2CE09"/>
    <w:rsid w:val="39F4BCAC"/>
    <w:rsid w:val="39F543E7"/>
    <w:rsid w:val="3A07AEB9"/>
    <w:rsid w:val="3A0B4E1B"/>
    <w:rsid w:val="3A0C4D3D"/>
    <w:rsid w:val="3A133489"/>
    <w:rsid w:val="3A147B73"/>
    <w:rsid w:val="3A1EA42B"/>
    <w:rsid w:val="3A1EB332"/>
    <w:rsid w:val="3A20F683"/>
    <w:rsid w:val="3A22F313"/>
    <w:rsid w:val="3A2A05C5"/>
    <w:rsid w:val="3A32AE98"/>
    <w:rsid w:val="3A33D725"/>
    <w:rsid w:val="3A3422FB"/>
    <w:rsid w:val="3A391B91"/>
    <w:rsid w:val="3A435872"/>
    <w:rsid w:val="3A450BD4"/>
    <w:rsid w:val="3A4AE765"/>
    <w:rsid w:val="3A4B3B5D"/>
    <w:rsid w:val="3A4BE549"/>
    <w:rsid w:val="3A58B0A7"/>
    <w:rsid w:val="3A5E592C"/>
    <w:rsid w:val="3A6952D5"/>
    <w:rsid w:val="3A766DD8"/>
    <w:rsid w:val="3A775F21"/>
    <w:rsid w:val="3A79A3E7"/>
    <w:rsid w:val="3A840A6E"/>
    <w:rsid w:val="3A9088A0"/>
    <w:rsid w:val="3A945ACA"/>
    <w:rsid w:val="3AABE38E"/>
    <w:rsid w:val="3AB1182A"/>
    <w:rsid w:val="3AB35E69"/>
    <w:rsid w:val="3AB51AE6"/>
    <w:rsid w:val="3AC4CA54"/>
    <w:rsid w:val="3ACB4A62"/>
    <w:rsid w:val="3AD117B6"/>
    <w:rsid w:val="3AD3BDA0"/>
    <w:rsid w:val="3AE57013"/>
    <w:rsid w:val="3AF11E22"/>
    <w:rsid w:val="3AF2F931"/>
    <w:rsid w:val="3AF54228"/>
    <w:rsid w:val="3AF61933"/>
    <w:rsid w:val="3B0BF4A9"/>
    <w:rsid w:val="3B1A23E0"/>
    <w:rsid w:val="3B1ED5F9"/>
    <w:rsid w:val="3B1F8F5C"/>
    <w:rsid w:val="3B255E3A"/>
    <w:rsid w:val="3B2B09D1"/>
    <w:rsid w:val="3B304285"/>
    <w:rsid w:val="3B37F2DC"/>
    <w:rsid w:val="3B396C1A"/>
    <w:rsid w:val="3B3EBD00"/>
    <w:rsid w:val="3B44E3F4"/>
    <w:rsid w:val="3B4A3C67"/>
    <w:rsid w:val="3B519E3B"/>
    <w:rsid w:val="3B520A1F"/>
    <w:rsid w:val="3B6314D9"/>
    <w:rsid w:val="3B6D2C89"/>
    <w:rsid w:val="3B743816"/>
    <w:rsid w:val="3B7EF030"/>
    <w:rsid w:val="3B90219D"/>
    <w:rsid w:val="3B9C5A10"/>
    <w:rsid w:val="3BA16C20"/>
    <w:rsid w:val="3BA16DE2"/>
    <w:rsid w:val="3BA2055A"/>
    <w:rsid w:val="3BA891F5"/>
    <w:rsid w:val="3BAA557D"/>
    <w:rsid w:val="3BB311BE"/>
    <w:rsid w:val="3BB38179"/>
    <w:rsid w:val="3BB44638"/>
    <w:rsid w:val="3BC777EA"/>
    <w:rsid w:val="3BCCDCE7"/>
    <w:rsid w:val="3BE3D4EE"/>
    <w:rsid w:val="3BFC28D4"/>
    <w:rsid w:val="3C03314E"/>
    <w:rsid w:val="3C048EDE"/>
    <w:rsid w:val="3C10B86B"/>
    <w:rsid w:val="3C1BBE65"/>
    <w:rsid w:val="3C1CEDE4"/>
    <w:rsid w:val="3C2363A2"/>
    <w:rsid w:val="3C25AFD0"/>
    <w:rsid w:val="3C2732A8"/>
    <w:rsid w:val="3C2A334D"/>
    <w:rsid w:val="3C348222"/>
    <w:rsid w:val="3C423F60"/>
    <w:rsid w:val="3C44632C"/>
    <w:rsid w:val="3C50FE0E"/>
    <w:rsid w:val="3C52117A"/>
    <w:rsid w:val="3C5231DD"/>
    <w:rsid w:val="3C57B2B3"/>
    <w:rsid w:val="3C590981"/>
    <w:rsid w:val="3C62AD3C"/>
    <w:rsid w:val="3C6B2874"/>
    <w:rsid w:val="3C6DE8BD"/>
    <w:rsid w:val="3C734BF5"/>
    <w:rsid w:val="3C78B5A9"/>
    <w:rsid w:val="3C7FCDE9"/>
    <w:rsid w:val="3C80EFBD"/>
    <w:rsid w:val="3C8901D6"/>
    <w:rsid w:val="3C8FC85C"/>
    <w:rsid w:val="3C9EC4E1"/>
    <w:rsid w:val="3CA816FE"/>
    <w:rsid w:val="3CACFF1E"/>
    <w:rsid w:val="3CAEC9F2"/>
    <w:rsid w:val="3CB33BB4"/>
    <w:rsid w:val="3CC20086"/>
    <w:rsid w:val="3CC2C5CF"/>
    <w:rsid w:val="3CC447DD"/>
    <w:rsid w:val="3CC47C01"/>
    <w:rsid w:val="3CC4AFE3"/>
    <w:rsid w:val="3CC78F8F"/>
    <w:rsid w:val="3CCA1902"/>
    <w:rsid w:val="3CD394F7"/>
    <w:rsid w:val="3CD53F95"/>
    <w:rsid w:val="3CDA9F30"/>
    <w:rsid w:val="3CE615DF"/>
    <w:rsid w:val="3CF2486F"/>
    <w:rsid w:val="3CF3851B"/>
    <w:rsid w:val="3CFFBE0F"/>
    <w:rsid w:val="3D029EE1"/>
    <w:rsid w:val="3D0434BD"/>
    <w:rsid w:val="3D073A75"/>
    <w:rsid w:val="3D089ACD"/>
    <w:rsid w:val="3D0B5B18"/>
    <w:rsid w:val="3D110F97"/>
    <w:rsid w:val="3D13389A"/>
    <w:rsid w:val="3D156850"/>
    <w:rsid w:val="3D15C117"/>
    <w:rsid w:val="3D18D86D"/>
    <w:rsid w:val="3D1CCA42"/>
    <w:rsid w:val="3D247FEB"/>
    <w:rsid w:val="3D252B2B"/>
    <w:rsid w:val="3D265B8E"/>
    <w:rsid w:val="3D29B9B2"/>
    <w:rsid w:val="3D29D12F"/>
    <w:rsid w:val="3D2E6115"/>
    <w:rsid w:val="3D329492"/>
    <w:rsid w:val="3D3A8CBD"/>
    <w:rsid w:val="3D539886"/>
    <w:rsid w:val="3D57359D"/>
    <w:rsid w:val="3D5BD6F2"/>
    <w:rsid w:val="3D62D2E2"/>
    <w:rsid w:val="3D62FF92"/>
    <w:rsid w:val="3D642F00"/>
    <w:rsid w:val="3D67FB5C"/>
    <w:rsid w:val="3D68C987"/>
    <w:rsid w:val="3D6B7C63"/>
    <w:rsid w:val="3D6CB866"/>
    <w:rsid w:val="3D723251"/>
    <w:rsid w:val="3D765628"/>
    <w:rsid w:val="3D783A9C"/>
    <w:rsid w:val="3D7AB467"/>
    <w:rsid w:val="3D84620E"/>
    <w:rsid w:val="3D85929E"/>
    <w:rsid w:val="3D8AE08B"/>
    <w:rsid w:val="3D8F6697"/>
    <w:rsid w:val="3D91A872"/>
    <w:rsid w:val="3DA371B4"/>
    <w:rsid w:val="3DA98635"/>
    <w:rsid w:val="3DB38090"/>
    <w:rsid w:val="3DB3A6BC"/>
    <w:rsid w:val="3DB8C947"/>
    <w:rsid w:val="3DBABC78"/>
    <w:rsid w:val="3DBC0D31"/>
    <w:rsid w:val="3DC0FB30"/>
    <w:rsid w:val="3DC5AE92"/>
    <w:rsid w:val="3DD46964"/>
    <w:rsid w:val="3DE01D3E"/>
    <w:rsid w:val="3DE5E63D"/>
    <w:rsid w:val="3DEB5688"/>
    <w:rsid w:val="3DF1402F"/>
    <w:rsid w:val="3DFCEBA1"/>
    <w:rsid w:val="3E0596AC"/>
    <w:rsid w:val="3E0BBDBE"/>
    <w:rsid w:val="3E0E5989"/>
    <w:rsid w:val="3E0F5426"/>
    <w:rsid w:val="3E10879F"/>
    <w:rsid w:val="3E109209"/>
    <w:rsid w:val="3E1B6E96"/>
    <w:rsid w:val="3E267D1C"/>
    <w:rsid w:val="3E371722"/>
    <w:rsid w:val="3E371CC1"/>
    <w:rsid w:val="3E3AB719"/>
    <w:rsid w:val="3E3EAB5E"/>
    <w:rsid w:val="3E409BB6"/>
    <w:rsid w:val="3E455268"/>
    <w:rsid w:val="3E5323F0"/>
    <w:rsid w:val="3E53C70B"/>
    <w:rsid w:val="3E557530"/>
    <w:rsid w:val="3E60DE95"/>
    <w:rsid w:val="3E6189BF"/>
    <w:rsid w:val="3E63C034"/>
    <w:rsid w:val="3E68AC51"/>
    <w:rsid w:val="3E69707F"/>
    <w:rsid w:val="3E75E253"/>
    <w:rsid w:val="3E7D6BF6"/>
    <w:rsid w:val="3E7EFFD0"/>
    <w:rsid w:val="3E84B8BC"/>
    <w:rsid w:val="3E87E352"/>
    <w:rsid w:val="3E8CA6AA"/>
    <w:rsid w:val="3E8F7A15"/>
    <w:rsid w:val="3E9904AC"/>
    <w:rsid w:val="3EA086DE"/>
    <w:rsid w:val="3EA56CAA"/>
    <w:rsid w:val="3EAA6359"/>
    <w:rsid w:val="3EAF7BE2"/>
    <w:rsid w:val="3EB83080"/>
    <w:rsid w:val="3EBC4DBF"/>
    <w:rsid w:val="3EBEDDCB"/>
    <w:rsid w:val="3EC71815"/>
    <w:rsid w:val="3EC7C2E4"/>
    <w:rsid w:val="3ECAAE5D"/>
    <w:rsid w:val="3ECCB646"/>
    <w:rsid w:val="3EDE049E"/>
    <w:rsid w:val="3EE846A5"/>
    <w:rsid w:val="3EF57E53"/>
    <w:rsid w:val="3F012A0F"/>
    <w:rsid w:val="3F017AF1"/>
    <w:rsid w:val="3F095083"/>
    <w:rsid w:val="3F0AFCA9"/>
    <w:rsid w:val="3F0BB08A"/>
    <w:rsid w:val="3F0F97DB"/>
    <w:rsid w:val="3F1CB350"/>
    <w:rsid w:val="3F1F764C"/>
    <w:rsid w:val="3F256142"/>
    <w:rsid w:val="3F302E24"/>
    <w:rsid w:val="3F333142"/>
    <w:rsid w:val="3F369A8A"/>
    <w:rsid w:val="3F38ED0C"/>
    <w:rsid w:val="3F42597B"/>
    <w:rsid w:val="3F626BBB"/>
    <w:rsid w:val="3F6F715D"/>
    <w:rsid w:val="3F70AB4D"/>
    <w:rsid w:val="3F71495E"/>
    <w:rsid w:val="3F796960"/>
    <w:rsid w:val="3F7A8E35"/>
    <w:rsid w:val="3F85F0AF"/>
    <w:rsid w:val="3F864711"/>
    <w:rsid w:val="3F875354"/>
    <w:rsid w:val="3F9FECEB"/>
    <w:rsid w:val="3FA4C145"/>
    <w:rsid w:val="3FAAFE61"/>
    <w:rsid w:val="3FAD7BC7"/>
    <w:rsid w:val="3FBB1206"/>
    <w:rsid w:val="3FBE4131"/>
    <w:rsid w:val="3FC5491D"/>
    <w:rsid w:val="3FCC5C07"/>
    <w:rsid w:val="3FCD4BCA"/>
    <w:rsid w:val="3FE6BFE7"/>
    <w:rsid w:val="3FE8643B"/>
    <w:rsid w:val="3FEA0825"/>
    <w:rsid w:val="3FECD8E1"/>
    <w:rsid w:val="3FEFD855"/>
    <w:rsid w:val="3FF3FDA5"/>
    <w:rsid w:val="3FFD161E"/>
    <w:rsid w:val="40081593"/>
    <w:rsid w:val="400A862F"/>
    <w:rsid w:val="400D510E"/>
    <w:rsid w:val="400E150F"/>
    <w:rsid w:val="40144F6E"/>
    <w:rsid w:val="4014BDD8"/>
    <w:rsid w:val="401A7F41"/>
    <w:rsid w:val="401B7C03"/>
    <w:rsid w:val="401C4176"/>
    <w:rsid w:val="401E7090"/>
    <w:rsid w:val="40254D57"/>
    <w:rsid w:val="402640F8"/>
    <w:rsid w:val="4027E868"/>
    <w:rsid w:val="40306A3C"/>
    <w:rsid w:val="4038CA9F"/>
    <w:rsid w:val="40439F8A"/>
    <w:rsid w:val="4044EDFE"/>
    <w:rsid w:val="404522E2"/>
    <w:rsid w:val="40491232"/>
    <w:rsid w:val="404F3008"/>
    <w:rsid w:val="404F4B04"/>
    <w:rsid w:val="404F4C50"/>
    <w:rsid w:val="40577A0A"/>
    <w:rsid w:val="4058F1D6"/>
    <w:rsid w:val="405F7F36"/>
    <w:rsid w:val="40656097"/>
    <w:rsid w:val="4065C7B6"/>
    <w:rsid w:val="4067D9B6"/>
    <w:rsid w:val="406B1296"/>
    <w:rsid w:val="4076BE5F"/>
    <w:rsid w:val="4077A5D2"/>
    <w:rsid w:val="407A5426"/>
    <w:rsid w:val="40821C07"/>
    <w:rsid w:val="408A3E37"/>
    <w:rsid w:val="408EB06F"/>
    <w:rsid w:val="409A20F7"/>
    <w:rsid w:val="40A0D863"/>
    <w:rsid w:val="40A9D313"/>
    <w:rsid w:val="40AFBBB6"/>
    <w:rsid w:val="40B5D5EC"/>
    <w:rsid w:val="40B7A5CA"/>
    <w:rsid w:val="40B9E2C4"/>
    <w:rsid w:val="40C9922A"/>
    <w:rsid w:val="40CF5CD4"/>
    <w:rsid w:val="40D5449E"/>
    <w:rsid w:val="40DD1DFD"/>
    <w:rsid w:val="40E8BA18"/>
    <w:rsid w:val="40F36792"/>
    <w:rsid w:val="410099CE"/>
    <w:rsid w:val="41081198"/>
    <w:rsid w:val="410FB683"/>
    <w:rsid w:val="410FD545"/>
    <w:rsid w:val="4111899F"/>
    <w:rsid w:val="4128DBE7"/>
    <w:rsid w:val="412CA72B"/>
    <w:rsid w:val="412E6DAF"/>
    <w:rsid w:val="41334EDA"/>
    <w:rsid w:val="4137373E"/>
    <w:rsid w:val="41393F2A"/>
    <w:rsid w:val="413EC504"/>
    <w:rsid w:val="413EF05A"/>
    <w:rsid w:val="41402B4A"/>
    <w:rsid w:val="41409EFF"/>
    <w:rsid w:val="416069EA"/>
    <w:rsid w:val="4162105F"/>
    <w:rsid w:val="416F43F0"/>
    <w:rsid w:val="4178D149"/>
    <w:rsid w:val="417D307D"/>
    <w:rsid w:val="41923E56"/>
    <w:rsid w:val="41A0E6C3"/>
    <w:rsid w:val="41A5EA81"/>
    <w:rsid w:val="41A6CF17"/>
    <w:rsid w:val="41A74612"/>
    <w:rsid w:val="41A8165C"/>
    <w:rsid w:val="41AA3594"/>
    <w:rsid w:val="41C1836E"/>
    <w:rsid w:val="41CAEAF3"/>
    <w:rsid w:val="41DB8502"/>
    <w:rsid w:val="41DB8751"/>
    <w:rsid w:val="41E279CF"/>
    <w:rsid w:val="41E3A81C"/>
    <w:rsid w:val="41E48E82"/>
    <w:rsid w:val="41E6AE89"/>
    <w:rsid w:val="41E9CA6F"/>
    <w:rsid w:val="4206D66E"/>
    <w:rsid w:val="420A8402"/>
    <w:rsid w:val="4214B55C"/>
    <w:rsid w:val="421623A9"/>
    <w:rsid w:val="421BA5C2"/>
    <w:rsid w:val="4223CF2C"/>
    <w:rsid w:val="4237849B"/>
    <w:rsid w:val="42406154"/>
    <w:rsid w:val="42537B46"/>
    <w:rsid w:val="42563A3D"/>
    <w:rsid w:val="42748F8F"/>
    <w:rsid w:val="42751FD2"/>
    <w:rsid w:val="427CBC2C"/>
    <w:rsid w:val="4282116A"/>
    <w:rsid w:val="429876E0"/>
    <w:rsid w:val="42A48682"/>
    <w:rsid w:val="42A67092"/>
    <w:rsid w:val="42A90E99"/>
    <w:rsid w:val="42A96FA3"/>
    <w:rsid w:val="42B7707C"/>
    <w:rsid w:val="42BB8943"/>
    <w:rsid w:val="42C05EB0"/>
    <w:rsid w:val="42C0F5C5"/>
    <w:rsid w:val="42C34F16"/>
    <w:rsid w:val="42CFE44E"/>
    <w:rsid w:val="42E2CE8C"/>
    <w:rsid w:val="42E53692"/>
    <w:rsid w:val="42E673BE"/>
    <w:rsid w:val="42EF50EC"/>
    <w:rsid w:val="42F3A1DB"/>
    <w:rsid w:val="42F3D097"/>
    <w:rsid w:val="42F7137E"/>
    <w:rsid w:val="42F98846"/>
    <w:rsid w:val="43243A32"/>
    <w:rsid w:val="43262F39"/>
    <w:rsid w:val="432D4AE3"/>
    <w:rsid w:val="4330CC6A"/>
    <w:rsid w:val="433B1835"/>
    <w:rsid w:val="433C2985"/>
    <w:rsid w:val="433CD161"/>
    <w:rsid w:val="434AFCDF"/>
    <w:rsid w:val="435755B5"/>
    <w:rsid w:val="43584703"/>
    <w:rsid w:val="435C1D83"/>
    <w:rsid w:val="436763D8"/>
    <w:rsid w:val="43714233"/>
    <w:rsid w:val="4374B5C4"/>
    <w:rsid w:val="43801B5D"/>
    <w:rsid w:val="438F0247"/>
    <w:rsid w:val="43905C45"/>
    <w:rsid w:val="439492A6"/>
    <w:rsid w:val="439A4A3E"/>
    <w:rsid w:val="439DEA41"/>
    <w:rsid w:val="43AAC51F"/>
    <w:rsid w:val="43AB0E18"/>
    <w:rsid w:val="43B0B69F"/>
    <w:rsid w:val="43BE61CF"/>
    <w:rsid w:val="43C76A6A"/>
    <w:rsid w:val="43D12BBC"/>
    <w:rsid w:val="43DE9CB5"/>
    <w:rsid w:val="43DF937E"/>
    <w:rsid w:val="43EBB475"/>
    <w:rsid w:val="43EEA5B8"/>
    <w:rsid w:val="4408DE56"/>
    <w:rsid w:val="440DB291"/>
    <w:rsid w:val="4417CE6F"/>
    <w:rsid w:val="441D28FE"/>
    <w:rsid w:val="44259D60"/>
    <w:rsid w:val="442C2555"/>
    <w:rsid w:val="442DEA6A"/>
    <w:rsid w:val="444AD134"/>
    <w:rsid w:val="445AD311"/>
    <w:rsid w:val="4462BE09"/>
    <w:rsid w:val="4471D510"/>
    <w:rsid w:val="4473A4E9"/>
    <w:rsid w:val="448BF9BF"/>
    <w:rsid w:val="448E9498"/>
    <w:rsid w:val="448FCDB7"/>
    <w:rsid w:val="44993AB3"/>
    <w:rsid w:val="44A16C1D"/>
    <w:rsid w:val="44A232EB"/>
    <w:rsid w:val="44A6BA2D"/>
    <w:rsid w:val="44AFF5EB"/>
    <w:rsid w:val="44B155E0"/>
    <w:rsid w:val="44BC7103"/>
    <w:rsid w:val="44C098EC"/>
    <w:rsid w:val="44D278DE"/>
    <w:rsid w:val="44E0E9A2"/>
    <w:rsid w:val="44E98A1D"/>
    <w:rsid w:val="44EE5595"/>
    <w:rsid w:val="44EEBC63"/>
    <w:rsid w:val="4504FDCF"/>
    <w:rsid w:val="450EBE82"/>
    <w:rsid w:val="4519DBE7"/>
    <w:rsid w:val="452081AB"/>
    <w:rsid w:val="4523E913"/>
    <w:rsid w:val="452AB4E9"/>
    <w:rsid w:val="45367DD9"/>
    <w:rsid w:val="453ECAF6"/>
    <w:rsid w:val="454537B8"/>
    <w:rsid w:val="454B63BD"/>
    <w:rsid w:val="454B910E"/>
    <w:rsid w:val="4559E709"/>
    <w:rsid w:val="455B1BBC"/>
    <w:rsid w:val="45665876"/>
    <w:rsid w:val="45678AFB"/>
    <w:rsid w:val="456AA83E"/>
    <w:rsid w:val="456BE681"/>
    <w:rsid w:val="4572DB31"/>
    <w:rsid w:val="45743A9F"/>
    <w:rsid w:val="45792E3C"/>
    <w:rsid w:val="4579958A"/>
    <w:rsid w:val="457B051A"/>
    <w:rsid w:val="457BBAC8"/>
    <w:rsid w:val="45806CCC"/>
    <w:rsid w:val="45872363"/>
    <w:rsid w:val="458A8431"/>
    <w:rsid w:val="458D1BC4"/>
    <w:rsid w:val="458D8B08"/>
    <w:rsid w:val="458DB751"/>
    <w:rsid w:val="4595C902"/>
    <w:rsid w:val="45994B1E"/>
    <w:rsid w:val="45A02ABE"/>
    <w:rsid w:val="45A47C34"/>
    <w:rsid w:val="45A6D37C"/>
    <w:rsid w:val="45AFB526"/>
    <w:rsid w:val="45B4A78F"/>
    <w:rsid w:val="45BE2FBF"/>
    <w:rsid w:val="45C13ED5"/>
    <w:rsid w:val="45C3FE07"/>
    <w:rsid w:val="45C676DA"/>
    <w:rsid w:val="45E475C3"/>
    <w:rsid w:val="45EA17B3"/>
    <w:rsid w:val="4615D1FC"/>
    <w:rsid w:val="46167F1C"/>
    <w:rsid w:val="461C02E5"/>
    <w:rsid w:val="4622CAE1"/>
    <w:rsid w:val="4649B68A"/>
    <w:rsid w:val="464C8488"/>
    <w:rsid w:val="464E40E8"/>
    <w:rsid w:val="46639E4D"/>
    <w:rsid w:val="46675744"/>
    <w:rsid w:val="466A98FD"/>
    <w:rsid w:val="4672E820"/>
    <w:rsid w:val="4673AF3A"/>
    <w:rsid w:val="467446F3"/>
    <w:rsid w:val="467CD43D"/>
    <w:rsid w:val="4688EEA2"/>
    <w:rsid w:val="468A735C"/>
    <w:rsid w:val="468D6B9E"/>
    <w:rsid w:val="468DD154"/>
    <w:rsid w:val="469606F4"/>
    <w:rsid w:val="469A6466"/>
    <w:rsid w:val="469CDA95"/>
    <w:rsid w:val="46A1EC75"/>
    <w:rsid w:val="46A67415"/>
    <w:rsid w:val="46B9B10E"/>
    <w:rsid w:val="46BE8A69"/>
    <w:rsid w:val="46C6BC2C"/>
    <w:rsid w:val="46C935F5"/>
    <w:rsid w:val="46CB4CE5"/>
    <w:rsid w:val="46D59944"/>
    <w:rsid w:val="46DF219A"/>
    <w:rsid w:val="46DF7882"/>
    <w:rsid w:val="46E8808F"/>
    <w:rsid w:val="46EA5CAB"/>
    <w:rsid w:val="46EB918F"/>
    <w:rsid w:val="46EBE717"/>
    <w:rsid w:val="46FE029A"/>
    <w:rsid w:val="47036F00"/>
    <w:rsid w:val="4716C06F"/>
    <w:rsid w:val="471DD0C2"/>
    <w:rsid w:val="4729AE72"/>
    <w:rsid w:val="4729F84F"/>
    <w:rsid w:val="472DB4FB"/>
    <w:rsid w:val="4730D3DD"/>
    <w:rsid w:val="47321486"/>
    <w:rsid w:val="47342385"/>
    <w:rsid w:val="4740A0FD"/>
    <w:rsid w:val="474217AE"/>
    <w:rsid w:val="474F513C"/>
    <w:rsid w:val="475BB75E"/>
    <w:rsid w:val="475EB19C"/>
    <w:rsid w:val="4763D224"/>
    <w:rsid w:val="476734B7"/>
    <w:rsid w:val="476B5FF3"/>
    <w:rsid w:val="477D84A5"/>
    <w:rsid w:val="478119D8"/>
    <w:rsid w:val="4784F7A2"/>
    <w:rsid w:val="47921B2F"/>
    <w:rsid w:val="479FF7B8"/>
    <w:rsid w:val="47A09668"/>
    <w:rsid w:val="47A24950"/>
    <w:rsid w:val="47AA1119"/>
    <w:rsid w:val="47AD0B60"/>
    <w:rsid w:val="47BB1697"/>
    <w:rsid w:val="47BC3E27"/>
    <w:rsid w:val="47BDF192"/>
    <w:rsid w:val="47C1CAEB"/>
    <w:rsid w:val="47C2F02D"/>
    <w:rsid w:val="47CFEBBA"/>
    <w:rsid w:val="47D3AABF"/>
    <w:rsid w:val="47D72788"/>
    <w:rsid w:val="47E4F134"/>
    <w:rsid w:val="47E7F601"/>
    <w:rsid w:val="4809E12B"/>
    <w:rsid w:val="480F0F09"/>
    <w:rsid w:val="4816801C"/>
    <w:rsid w:val="4819FFBF"/>
    <w:rsid w:val="481CF000"/>
    <w:rsid w:val="4822394A"/>
    <w:rsid w:val="482C2B0A"/>
    <w:rsid w:val="482C5637"/>
    <w:rsid w:val="48323087"/>
    <w:rsid w:val="4836E96C"/>
    <w:rsid w:val="483B5EA2"/>
    <w:rsid w:val="48562FDF"/>
    <w:rsid w:val="48589A4A"/>
    <w:rsid w:val="485EA3A4"/>
    <w:rsid w:val="4863C785"/>
    <w:rsid w:val="4866A38C"/>
    <w:rsid w:val="486A72B3"/>
    <w:rsid w:val="48706817"/>
    <w:rsid w:val="48777370"/>
    <w:rsid w:val="4884CA13"/>
    <w:rsid w:val="488737F2"/>
    <w:rsid w:val="48879FE9"/>
    <w:rsid w:val="488930D3"/>
    <w:rsid w:val="488E4CC6"/>
    <w:rsid w:val="48912ADF"/>
    <w:rsid w:val="4894F6DD"/>
    <w:rsid w:val="48957FD4"/>
    <w:rsid w:val="489BB90F"/>
    <w:rsid w:val="489C7BD2"/>
    <w:rsid w:val="489C8F0A"/>
    <w:rsid w:val="489DEC95"/>
    <w:rsid w:val="489EA8F4"/>
    <w:rsid w:val="48A68B31"/>
    <w:rsid w:val="48B1D6CC"/>
    <w:rsid w:val="48B367C8"/>
    <w:rsid w:val="48BA0FDE"/>
    <w:rsid w:val="48BB2C6C"/>
    <w:rsid w:val="48BFA85A"/>
    <w:rsid w:val="48CF1A32"/>
    <w:rsid w:val="48DAE0F9"/>
    <w:rsid w:val="48E135AD"/>
    <w:rsid w:val="48E9ECBB"/>
    <w:rsid w:val="48EA62DA"/>
    <w:rsid w:val="48F6F2E3"/>
    <w:rsid w:val="48F7AA87"/>
    <w:rsid w:val="49067D9B"/>
    <w:rsid w:val="49089D79"/>
    <w:rsid w:val="49104457"/>
    <w:rsid w:val="4914E0AF"/>
    <w:rsid w:val="49188477"/>
    <w:rsid w:val="491AAC7F"/>
    <w:rsid w:val="491BF339"/>
    <w:rsid w:val="49260C35"/>
    <w:rsid w:val="4931AE22"/>
    <w:rsid w:val="493C7185"/>
    <w:rsid w:val="493CB982"/>
    <w:rsid w:val="493F2112"/>
    <w:rsid w:val="494D545C"/>
    <w:rsid w:val="494D60FB"/>
    <w:rsid w:val="4950BFA4"/>
    <w:rsid w:val="4957FECE"/>
    <w:rsid w:val="4960D486"/>
    <w:rsid w:val="49619475"/>
    <w:rsid w:val="49633F64"/>
    <w:rsid w:val="496CC04E"/>
    <w:rsid w:val="496DC0BA"/>
    <w:rsid w:val="49716E20"/>
    <w:rsid w:val="4975B1F8"/>
    <w:rsid w:val="497C10A2"/>
    <w:rsid w:val="4984131F"/>
    <w:rsid w:val="49866DBA"/>
    <w:rsid w:val="498D7E10"/>
    <w:rsid w:val="498DB38A"/>
    <w:rsid w:val="498EC945"/>
    <w:rsid w:val="4994A366"/>
    <w:rsid w:val="499A241F"/>
    <w:rsid w:val="49A494BB"/>
    <w:rsid w:val="49A6E312"/>
    <w:rsid w:val="49AA3B69"/>
    <w:rsid w:val="49AFA3B8"/>
    <w:rsid w:val="49B42837"/>
    <w:rsid w:val="49C7C52F"/>
    <w:rsid w:val="49D26B75"/>
    <w:rsid w:val="49D7EF4A"/>
    <w:rsid w:val="49E7510D"/>
    <w:rsid w:val="49EA99F9"/>
    <w:rsid w:val="49EB8DBD"/>
    <w:rsid w:val="49F31085"/>
    <w:rsid w:val="49F536DE"/>
    <w:rsid w:val="4A06B2FA"/>
    <w:rsid w:val="4A12BC8C"/>
    <w:rsid w:val="4A1366E6"/>
    <w:rsid w:val="4A16CD35"/>
    <w:rsid w:val="4A2044CB"/>
    <w:rsid w:val="4A235314"/>
    <w:rsid w:val="4A249791"/>
    <w:rsid w:val="4A282245"/>
    <w:rsid w:val="4A2B3616"/>
    <w:rsid w:val="4A320EBF"/>
    <w:rsid w:val="4A3E8F62"/>
    <w:rsid w:val="4A3EE210"/>
    <w:rsid w:val="4A435BA7"/>
    <w:rsid w:val="4A47DCE7"/>
    <w:rsid w:val="4A5B3127"/>
    <w:rsid w:val="4A7DDC2E"/>
    <w:rsid w:val="4A832D5A"/>
    <w:rsid w:val="4A8B1950"/>
    <w:rsid w:val="4A8E83BB"/>
    <w:rsid w:val="4A909A62"/>
    <w:rsid w:val="4A94E526"/>
    <w:rsid w:val="4A9B86A6"/>
    <w:rsid w:val="4AA55775"/>
    <w:rsid w:val="4AA9557C"/>
    <w:rsid w:val="4AA9EFDD"/>
    <w:rsid w:val="4AB1C02B"/>
    <w:rsid w:val="4AC1583D"/>
    <w:rsid w:val="4AC6E8AA"/>
    <w:rsid w:val="4AC86C28"/>
    <w:rsid w:val="4AC9F5D7"/>
    <w:rsid w:val="4ACC22DD"/>
    <w:rsid w:val="4ACF3268"/>
    <w:rsid w:val="4ADAAF86"/>
    <w:rsid w:val="4AE0A1E3"/>
    <w:rsid w:val="4AFCDD1C"/>
    <w:rsid w:val="4B03F4F5"/>
    <w:rsid w:val="4B08BFB1"/>
    <w:rsid w:val="4B08DDAA"/>
    <w:rsid w:val="4B0B5CBB"/>
    <w:rsid w:val="4B0DE150"/>
    <w:rsid w:val="4B0FB480"/>
    <w:rsid w:val="4B157359"/>
    <w:rsid w:val="4B15D29A"/>
    <w:rsid w:val="4B16F40D"/>
    <w:rsid w:val="4B193AE0"/>
    <w:rsid w:val="4B1D79E3"/>
    <w:rsid w:val="4B202585"/>
    <w:rsid w:val="4B296123"/>
    <w:rsid w:val="4B2BD67E"/>
    <w:rsid w:val="4B2C571B"/>
    <w:rsid w:val="4B2F5358"/>
    <w:rsid w:val="4B31391B"/>
    <w:rsid w:val="4B420A9A"/>
    <w:rsid w:val="4B44B2F6"/>
    <w:rsid w:val="4B487D18"/>
    <w:rsid w:val="4B53C555"/>
    <w:rsid w:val="4B6591FA"/>
    <w:rsid w:val="4B6AA1DC"/>
    <w:rsid w:val="4B6E17E7"/>
    <w:rsid w:val="4B7D76E9"/>
    <w:rsid w:val="4B83C06D"/>
    <w:rsid w:val="4B921F30"/>
    <w:rsid w:val="4B9CBB15"/>
    <w:rsid w:val="4B9EE083"/>
    <w:rsid w:val="4BAECF7F"/>
    <w:rsid w:val="4BB47D3C"/>
    <w:rsid w:val="4BBAACFA"/>
    <w:rsid w:val="4BBDE43C"/>
    <w:rsid w:val="4BC459F1"/>
    <w:rsid w:val="4BCBD6E5"/>
    <w:rsid w:val="4BCE7742"/>
    <w:rsid w:val="4BD0EA2C"/>
    <w:rsid w:val="4BD5E618"/>
    <w:rsid w:val="4BDB62D9"/>
    <w:rsid w:val="4BDBD91E"/>
    <w:rsid w:val="4BE60D14"/>
    <w:rsid w:val="4BEA6F01"/>
    <w:rsid w:val="4BED08E0"/>
    <w:rsid w:val="4BEDFAD0"/>
    <w:rsid w:val="4BF3B8D1"/>
    <w:rsid w:val="4BFAA3DD"/>
    <w:rsid w:val="4BFB6052"/>
    <w:rsid w:val="4C32E1AF"/>
    <w:rsid w:val="4C359DA6"/>
    <w:rsid w:val="4C375C09"/>
    <w:rsid w:val="4C3CE769"/>
    <w:rsid w:val="4C432AA8"/>
    <w:rsid w:val="4C4B45A8"/>
    <w:rsid w:val="4C50CDC5"/>
    <w:rsid w:val="4C53A200"/>
    <w:rsid w:val="4C56DE0A"/>
    <w:rsid w:val="4C5DF99F"/>
    <w:rsid w:val="4C62B62F"/>
    <w:rsid w:val="4C636EE2"/>
    <w:rsid w:val="4C64D9AD"/>
    <w:rsid w:val="4C682908"/>
    <w:rsid w:val="4C74B9B7"/>
    <w:rsid w:val="4C82E879"/>
    <w:rsid w:val="4C8398EA"/>
    <w:rsid w:val="4C83A8F6"/>
    <w:rsid w:val="4C84FB11"/>
    <w:rsid w:val="4C93FCF9"/>
    <w:rsid w:val="4C9585CF"/>
    <w:rsid w:val="4C964E17"/>
    <w:rsid w:val="4C9D9675"/>
    <w:rsid w:val="4CAA8855"/>
    <w:rsid w:val="4CAD259F"/>
    <w:rsid w:val="4CC3AC62"/>
    <w:rsid w:val="4CC7F13D"/>
    <w:rsid w:val="4CD89D4B"/>
    <w:rsid w:val="4CDD3966"/>
    <w:rsid w:val="4CE2FAE2"/>
    <w:rsid w:val="4CE4437A"/>
    <w:rsid w:val="4CEBF166"/>
    <w:rsid w:val="4CED918C"/>
    <w:rsid w:val="4CEEDC6A"/>
    <w:rsid w:val="4CEF8D6C"/>
    <w:rsid w:val="4CF0E1C4"/>
    <w:rsid w:val="4CF68DA4"/>
    <w:rsid w:val="4D03468A"/>
    <w:rsid w:val="4D049386"/>
    <w:rsid w:val="4D051393"/>
    <w:rsid w:val="4D06A3CC"/>
    <w:rsid w:val="4D08EAD2"/>
    <w:rsid w:val="4D0D6467"/>
    <w:rsid w:val="4D135263"/>
    <w:rsid w:val="4D14BCD7"/>
    <w:rsid w:val="4D157EF1"/>
    <w:rsid w:val="4D16D5A9"/>
    <w:rsid w:val="4D2EEC35"/>
    <w:rsid w:val="4D307B66"/>
    <w:rsid w:val="4D31C9C0"/>
    <w:rsid w:val="4D34478A"/>
    <w:rsid w:val="4D454264"/>
    <w:rsid w:val="4D536A89"/>
    <w:rsid w:val="4D55D5F9"/>
    <w:rsid w:val="4D5E2A48"/>
    <w:rsid w:val="4D602415"/>
    <w:rsid w:val="4D608EF9"/>
    <w:rsid w:val="4D65AF0B"/>
    <w:rsid w:val="4D7C9711"/>
    <w:rsid w:val="4D878870"/>
    <w:rsid w:val="4D8A587E"/>
    <w:rsid w:val="4D8B7C73"/>
    <w:rsid w:val="4D969B27"/>
    <w:rsid w:val="4D9B3B95"/>
    <w:rsid w:val="4DA21958"/>
    <w:rsid w:val="4DADB655"/>
    <w:rsid w:val="4DAE8C5D"/>
    <w:rsid w:val="4DB180BA"/>
    <w:rsid w:val="4DBB7F6A"/>
    <w:rsid w:val="4DBB9983"/>
    <w:rsid w:val="4DD6644C"/>
    <w:rsid w:val="4DDD35E9"/>
    <w:rsid w:val="4DE652CA"/>
    <w:rsid w:val="4DE6AA88"/>
    <w:rsid w:val="4DE9E837"/>
    <w:rsid w:val="4DF54BC7"/>
    <w:rsid w:val="4DF6A97F"/>
    <w:rsid w:val="4DF73C08"/>
    <w:rsid w:val="4DFF65CA"/>
    <w:rsid w:val="4E079EF9"/>
    <w:rsid w:val="4E0C8571"/>
    <w:rsid w:val="4E0ED4A3"/>
    <w:rsid w:val="4E13EE4F"/>
    <w:rsid w:val="4E217C91"/>
    <w:rsid w:val="4E248B7C"/>
    <w:rsid w:val="4E2E7F2C"/>
    <w:rsid w:val="4E36F749"/>
    <w:rsid w:val="4E3DDFE1"/>
    <w:rsid w:val="4E465245"/>
    <w:rsid w:val="4E47F25B"/>
    <w:rsid w:val="4E47F89F"/>
    <w:rsid w:val="4E4C0C45"/>
    <w:rsid w:val="4E4E9606"/>
    <w:rsid w:val="4E505607"/>
    <w:rsid w:val="4E528023"/>
    <w:rsid w:val="4E56B695"/>
    <w:rsid w:val="4E5B5852"/>
    <w:rsid w:val="4E5F6E90"/>
    <w:rsid w:val="4E68E83C"/>
    <w:rsid w:val="4E691318"/>
    <w:rsid w:val="4E71413D"/>
    <w:rsid w:val="4E7BFA91"/>
    <w:rsid w:val="4E7C1440"/>
    <w:rsid w:val="4E80C152"/>
    <w:rsid w:val="4E80C9D2"/>
    <w:rsid w:val="4E819C95"/>
    <w:rsid w:val="4E9FA5C2"/>
    <w:rsid w:val="4EA4FC23"/>
    <w:rsid w:val="4EA8C2AD"/>
    <w:rsid w:val="4EB3C169"/>
    <w:rsid w:val="4EBB30C0"/>
    <w:rsid w:val="4EC1378E"/>
    <w:rsid w:val="4EC49D16"/>
    <w:rsid w:val="4EC50CA3"/>
    <w:rsid w:val="4EC53A2E"/>
    <w:rsid w:val="4ECA8D02"/>
    <w:rsid w:val="4ED6AB58"/>
    <w:rsid w:val="4EE2E167"/>
    <w:rsid w:val="4EE5DD29"/>
    <w:rsid w:val="4EE7CC98"/>
    <w:rsid w:val="4EEB80D5"/>
    <w:rsid w:val="4EF0577C"/>
    <w:rsid w:val="4EF1647B"/>
    <w:rsid w:val="4EF40226"/>
    <w:rsid w:val="4EF5784A"/>
    <w:rsid w:val="4EFABB75"/>
    <w:rsid w:val="4F004521"/>
    <w:rsid w:val="4F019947"/>
    <w:rsid w:val="4F02D050"/>
    <w:rsid w:val="4F0E62A4"/>
    <w:rsid w:val="4F14F437"/>
    <w:rsid w:val="4F159E2B"/>
    <w:rsid w:val="4F193B93"/>
    <w:rsid w:val="4F1D400A"/>
    <w:rsid w:val="4F2C1F1B"/>
    <w:rsid w:val="4F412E55"/>
    <w:rsid w:val="4F43A95F"/>
    <w:rsid w:val="4F46E9B0"/>
    <w:rsid w:val="4F50001B"/>
    <w:rsid w:val="4F551962"/>
    <w:rsid w:val="4F56F087"/>
    <w:rsid w:val="4F5A83E4"/>
    <w:rsid w:val="4F5AB5FE"/>
    <w:rsid w:val="4F5F8479"/>
    <w:rsid w:val="4F6732D0"/>
    <w:rsid w:val="4F6D0442"/>
    <w:rsid w:val="4F7BE9F8"/>
    <w:rsid w:val="4F7EF390"/>
    <w:rsid w:val="4F824BB6"/>
    <w:rsid w:val="4F891E18"/>
    <w:rsid w:val="4F897565"/>
    <w:rsid w:val="4F9C9AB7"/>
    <w:rsid w:val="4FA05BB3"/>
    <w:rsid w:val="4FB52B4A"/>
    <w:rsid w:val="4FB79674"/>
    <w:rsid w:val="4FB9E435"/>
    <w:rsid w:val="4FBDB426"/>
    <w:rsid w:val="4FBEAE7D"/>
    <w:rsid w:val="4FE18162"/>
    <w:rsid w:val="4FE3988E"/>
    <w:rsid w:val="500317C4"/>
    <w:rsid w:val="5006FBCD"/>
    <w:rsid w:val="500AA430"/>
    <w:rsid w:val="501A294F"/>
    <w:rsid w:val="501C210C"/>
    <w:rsid w:val="501D1C19"/>
    <w:rsid w:val="50288E91"/>
    <w:rsid w:val="50320D9A"/>
    <w:rsid w:val="5042800B"/>
    <w:rsid w:val="50464F0F"/>
    <w:rsid w:val="50473A31"/>
    <w:rsid w:val="504FAF0E"/>
    <w:rsid w:val="506020C2"/>
    <w:rsid w:val="50634250"/>
    <w:rsid w:val="506A5E84"/>
    <w:rsid w:val="506AEC55"/>
    <w:rsid w:val="507795C5"/>
    <w:rsid w:val="50874F94"/>
    <w:rsid w:val="508B7A04"/>
    <w:rsid w:val="508EBF17"/>
    <w:rsid w:val="508FB39B"/>
    <w:rsid w:val="509148AB"/>
    <w:rsid w:val="50A47182"/>
    <w:rsid w:val="50A64957"/>
    <w:rsid w:val="50A8C902"/>
    <w:rsid w:val="50C13EA6"/>
    <w:rsid w:val="50CB19CA"/>
    <w:rsid w:val="50D36B13"/>
    <w:rsid w:val="50DC1CA7"/>
    <w:rsid w:val="50EE2180"/>
    <w:rsid w:val="50F339FF"/>
    <w:rsid w:val="50F86723"/>
    <w:rsid w:val="50F9182D"/>
    <w:rsid w:val="510854B1"/>
    <w:rsid w:val="510B3DBA"/>
    <w:rsid w:val="510CCD8F"/>
    <w:rsid w:val="51122B0A"/>
    <w:rsid w:val="5119FB9A"/>
    <w:rsid w:val="512220D1"/>
    <w:rsid w:val="5127D3D4"/>
    <w:rsid w:val="51320E8C"/>
    <w:rsid w:val="51335A9D"/>
    <w:rsid w:val="514ADAD1"/>
    <w:rsid w:val="514BA199"/>
    <w:rsid w:val="514DC758"/>
    <w:rsid w:val="514DE7F5"/>
    <w:rsid w:val="5153E5BF"/>
    <w:rsid w:val="516964B0"/>
    <w:rsid w:val="516C65E3"/>
    <w:rsid w:val="51751230"/>
    <w:rsid w:val="517AAB0D"/>
    <w:rsid w:val="5181A86D"/>
    <w:rsid w:val="518878B5"/>
    <w:rsid w:val="518C4143"/>
    <w:rsid w:val="518E7365"/>
    <w:rsid w:val="5190C762"/>
    <w:rsid w:val="51986AC2"/>
    <w:rsid w:val="519F0D18"/>
    <w:rsid w:val="519FBA48"/>
    <w:rsid w:val="51A24C12"/>
    <w:rsid w:val="51A935E9"/>
    <w:rsid w:val="51ACF1F8"/>
    <w:rsid w:val="51B31FE8"/>
    <w:rsid w:val="51BE0753"/>
    <w:rsid w:val="51C27B03"/>
    <w:rsid w:val="51C76F46"/>
    <w:rsid w:val="51CACB79"/>
    <w:rsid w:val="51CC8C8B"/>
    <w:rsid w:val="51CEF189"/>
    <w:rsid w:val="51D25E03"/>
    <w:rsid w:val="51DF83CE"/>
    <w:rsid w:val="51DFEDE8"/>
    <w:rsid w:val="51E27A2B"/>
    <w:rsid w:val="51E836B2"/>
    <w:rsid w:val="51E8FDD3"/>
    <w:rsid w:val="51EE990C"/>
    <w:rsid w:val="51FE9BA6"/>
    <w:rsid w:val="520104B0"/>
    <w:rsid w:val="520F666E"/>
    <w:rsid w:val="5213BDBB"/>
    <w:rsid w:val="521C56EF"/>
    <w:rsid w:val="521C638D"/>
    <w:rsid w:val="521D1506"/>
    <w:rsid w:val="521F3015"/>
    <w:rsid w:val="522122B0"/>
    <w:rsid w:val="522CC0C5"/>
    <w:rsid w:val="522D983B"/>
    <w:rsid w:val="52350B0C"/>
    <w:rsid w:val="5237BFBC"/>
    <w:rsid w:val="5241D85E"/>
    <w:rsid w:val="5247980E"/>
    <w:rsid w:val="5248132C"/>
    <w:rsid w:val="524F61E1"/>
    <w:rsid w:val="5256B234"/>
    <w:rsid w:val="526E5C27"/>
    <w:rsid w:val="5276F619"/>
    <w:rsid w:val="527E5999"/>
    <w:rsid w:val="528195E0"/>
    <w:rsid w:val="52887881"/>
    <w:rsid w:val="5289B4F7"/>
    <w:rsid w:val="528CB701"/>
    <w:rsid w:val="528E4B60"/>
    <w:rsid w:val="528F6C92"/>
    <w:rsid w:val="5297EFDD"/>
    <w:rsid w:val="52A20691"/>
    <w:rsid w:val="52A2E876"/>
    <w:rsid w:val="52AC9D22"/>
    <w:rsid w:val="52ADD89B"/>
    <w:rsid w:val="52AF357B"/>
    <w:rsid w:val="52B4C4E0"/>
    <w:rsid w:val="52BA4064"/>
    <w:rsid w:val="52BF0AC8"/>
    <w:rsid w:val="52C9E650"/>
    <w:rsid w:val="52CD1A92"/>
    <w:rsid w:val="52CEEDD2"/>
    <w:rsid w:val="52E7D6CA"/>
    <w:rsid w:val="52ED245F"/>
    <w:rsid w:val="52EDB5F7"/>
    <w:rsid w:val="530362C9"/>
    <w:rsid w:val="5309E513"/>
    <w:rsid w:val="530F015C"/>
    <w:rsid w:val="53130342"/>
    <w:rsid w:val="5322F0B0"/>
    <w:rsid w:val="532604C1"/>
    <w:rsid w:val="532BD203"/>
    <w:rsid w:val="53393985"/>
    <w:rsid w:val="533BD2E2"/>
    <w:rsid w:val="5340107C"/>
    <w:rsid w:val="5345F7EA"/>
    <w:rsid w:val="5352AD4D"/>
    <w:rsid w:val="53572B4E"/>
    <w:rsid w:val="535C1F09"/>
    <w:rsid w:val="535C7BDD"/>
    <w:rsid w:val="53617165"/>
    <w:rsid w:val="5365C2E8"/>
    <w:rsid w:val="537233E5"/>
    <w:rsid w:val="537376D4"/>
    <w:rsid w:val="53751788"/>
    <w:rsid w:val="53841009"/>
    <w:rsid w:val="538BCB3F"/>
    <w:rsid w:val="539C0C1E"/>
    <w:rsid w:val="539CE6DA"/>
    <w:rsid w:val="539FBF0A"/>
    <w:rsid w:val="53A604D7"/>
    <w:rsid w:val="53ACA1F0"/>
    <w:rsid w:val="53ACE796"/>
    <w:rsid w:val="53AD07B7"/>
    <w:rsid w:val="53B1B46B"/>
    <w:rsid w:val="53B74E8D"/>
    <w:rsid w:val="53BBFAF5"/>
    <w:rsid w:val="53C4FB20"/>
    <w:rsid w:val="53C51A0B"/>
    <w:rsid w:val="53C6BBE5"/>
    <w:rsid w:val="53CCD9D2"/>
    <w:rsid w:val="53D1BEFA"/>
    <w:rsid w:val="53D45CE5"/>
    <w:rsid w:val="53D49D57"/>
    <w:rsid w:val="53D593DF"/>
    <w:rsid w:val="53E2DC1A"/>
    <w:rsid w:val="53E6EB75"/>
    <w:rsid w:val="53FC44C1"/>
    <w:rsid w:val="53FF31F4"/>
    <w:rsid w:val="5403E5C2"/>
    <w:rsid w:val="5409E47A"/>
    <w:rsid w:val="541BCD63"/>
    <w:rsid w:val="541BDF5F"/>
    <w:rsid w:val="5421319A"/>
    <w:rsid w:val="54239F52"/>
    <w:rsid w:val="5433AA2B"/>
    <w:rsid w:val="5434B475"/>
    <w:rsid w:val="5438A51F"/>
    <w:rsid w:val="543D67DA"/>
    <w:rsid w:val="5440040D"/>
    <w:rsid w:val="54455E1F"/>
    <w:rsid w:val="5446108C"/>
    <w:rsid w:val="544A524D"/>
    <w:rsid w:val="544ACEEC"/>
    <w:rsid w:val="544B90F8"/>
    <w:rsid w:val="545783D1"/>
    <w:rsid w:val="545E4F3E"/>
    <w:rsid w:val="5464845B"/>
    <w:rsid w:val="5468DA10"/>
    <w:rsid w:val="54742BC1"/>
    <w:rsid w:val="54753CD8"/>
    <w:rsid w:val="54766802"/>
    <w:rsid w:val="5478B16C"/>
    <w:rsid w:val="5483C9B0"/>
    <w:rsid w:val="548D5FB3"/>
    <w:rsid w:val="549286A3"/>
    <w:rsid w:val="549CAC4A"/>
    <w:rsid w:val="54A003E4"/>
    <w:rsid w:val="54A2F797"/>
    <w:rsid w:val="54A6D7D3"/>
    <w:rsid w:val="54A7148A"/>
    <w:rsid w:val="54ADEE95"/>
    <w:rsid w:val="54B44CA6"/>
    <w:rsid w:val="54B5B616"/>
    <w:rsid w:val="54B65B56"/>
    <w:rsid w:val="54BDF84D"/>
    <w:rsid w:val="54D2FBA1"/>
    <w:rsid w:val="54D5C4AD"/>
    <w:rsid w:val="54D860A7"/>
    <w:rsid w:val="54DB8FFC"/>
    <w:rsid w:val="54E73096"/>
    <w:rsid w:val="54ED05E9"/>
    <w:rsid w:val="54F6CBA2"/>
    <w:rsid w:val="54FE6A00"/>
    <w:rsid w:val="5503BECD"/>
    <w:rsid w:val="5508CF0C"/>
    <w:rsid w:val="551C1ECD"/>
    <w:rsid w:val="551D7B57"/>
    <w:rsid w:val="552635EC"/>
    <w:rsid w:val="55264909"/>
    <w:rsid w:val="55293ACA"/>
    <w:rsid w:val="552A8565"/>
    <w:rsid w:val="552C4388"/>
    <w:rsid w:val="552C6B8A"/>
    <w:rsid w:val="552E1A0B"/>
    <w:rsid w:val="552FBB75"/>
    <w:rsid w:val="55307C50"/>
    <w:rsid w:val="55392A11"/>
    <w:rsid w:val="5539E00B"/>
    <w:rsid w:val="553B291D"/>
    <w:rsid w:val="553BAC5B"/>
    <w:rsid w:val="553C2C07"/>
    <w:rsid w:val="553CDE1B"/>
    <w:rsid w:val="553FEC60"/>
    <w:rsid w:val="5548A155"/>
    <w:rsid w:val="554DDFCD"/>
    <w:rsid w:val="554FB012"/>
    <w:rsid w:val="5558FA49"/>
    <w:rsid w:val="555C93EF"/>
    <w:rsid w:val="55651F7C"/>
    <w:rsid w:val="556564D8"/>
    <w:rsid w:val="5575DCBB"/>
    <w:rsid w:val="55989FEE"/>
    <w:rsid w:val="55A43EED"/>
    <w:rsid w:val="55AF689C"/>
    <w:rsid w:val="55B0A9A9"/>
    <w:rsid w:val="55B949AC"/>
    <w:rsid w:val="55BE18EC"/>
    <w:rsid w:val="55BECF95"/>
    <w:rsid w:val="55C1C0AC"/>
    <w:rsid w:val="55C6B4D0"/>
    <w:rsid w:val="55CB3FBF"/>
    <w:rsid w:val="55CB6D26"/>
    <w:rsid w:val="55D4EF04"/>
    <w:rsid w:val="55D733D8"/>
    <w:rsid w:val="55E147E6"/>
    <w:rsid w:val="55E3F7CF"/>
    <w:rsid w:val="55F43A12"/>
    <w:rsid w:val="55FDACC9"/>
    <w:rsid w:val="5605CC25"/>
    <w:rsid w:val="560FC0DE"/>
    <w:rsid w:val="56130FE8"/>
    <w:rsid w:val="5617DC38"/>
    <w:rsid w:val="5619BE51"/>
    <w:rsid w:val="561A133E"/>
    <w:rsid w:val="561DF77B"/>
    <w:rsid w:val="56255957"/>
    <w:rsid w:val="562AD51D"/>
    <w:rsid w:val="562EF63E"/>
    <w:rsid w:val="56336319"/>
    <w:rsid w:val="56355167"/>
    <w:rsid w:val="5636E78E"/>
    <w:rsid w:val="56405903"/>
    <w:rsid w:val="5642F3D5"/>
    <w:rsid w:val="564A1B18"/>
    <w:rsid w:val="56552C2D"/>
    <w:rsid w:val="5659A7EB"/>
    <w:rsid w:val="5659C8AE"/>
    <w:rsid w:val="565AD45A"/>
    <w:rsid w:val="56647308"/>
    <w:rsid w:val="5665CEB0"/>
    <w:rsid w:val="567198D9"/>
    <w:rsid w:val="5674465E"/>
    <w:rsid w:val="5675C090"/>
    <w:rsid w:val="567778E5"/>
    <w:rsid w:val="567D6744"/>
    <w:rsid w:val="5687DBCD"/>
    <w:rsid w:val="5688F731"/>
    <w:rsid w:val="568ABD13"/>
    <w:rsid w:val="568C977C"/>
    <w:rsid w:val="5693BADF"/>
    <w:rsid w:val="5695FA7B"/>
    <w:rsid w:val="56A4203A"/>
    <w:rsid w:val="56AB8E40"/>
    <w:rsid w:val="56ABF8D8"/>
    <w:rsid w:val="56BC759B"/>
    <w:rsid w:val="56BFB525"/>
    <w:rsid w:val="56CBA704"/>
    <w:rsid w:val="56D2F34A"/>
    <w:rsid w:val="56D5EE3D"/>
    <w:rsid w:val="56DEE987"/>
    <w:rsid w:val="56E1E094"/>
    <w:rsid w:val="56E7899B"/>
    <w:rsid w:val="56E954E7"/>
    <w:rsid w:val="56E9E84B"/>
    <w:rsid w:val="56F1182D"/>
    <w:rsid w:val="56F1786A"/>
    <w:rsid w:val="56FA2654"/>
    <w:rsid w:val="5705BD0F"/>
    <w:rsid w:val="5718F709"/>
    <w:rsid w:val="572131CA"/>
    <w:rsid w:val="572ED289"/>
    <w:rsid w:val="5734C054"/>
    <w:rsid w:val="574067D7"/>
    <w:rsid w:val="57482743"/>
    <w:rsid w:val="57583C65"/>
    <w:rsid w:val="57599CA8"/>
    <w:rsid w:val="5768629B"/>
    <w:rsid w:val="576C6EB1"/>
    <w:rsid w:val="577F12C5"/>
    <w:rsid w:val="578316A6"/>
    <w:rsid w:val="57ACA7BF"/>
    <w:rsid w:val="57AEEE73"/>
    <w:rsid w:val="57B02779"/>
    <w:rsid w:val="57B33BDD"/>
    <w:rsid w:val="57B9B412"/>
    <w:rsid w:val="57BA04F2"/>
    <w:rsid w:val="57BBA277"/>
    <w:rsid w:val="57BCBD8E"/>
    <w:rsid w:val="57C93D73"/>
    <w:rsid w:val="57CDB48F"/>
    <w:rsid w:val="57D23068"/>
    <w:rsid w:val="57D378C2"/>
    <w:rsid w:val="57DC4FEF"/>
    <w:rsid w:val="57DDD927"/>
    <w:rsid w:val="57DF9DFA"/>
    <w:rsid w:val="57EC35A7"/>
    <w:rsid w:val="580927E1"/>
    <w:rsid w:val="580EB136"/>
    <w:rsid w:val="5818FD16"/>
    <w:rsid w:val="581E31EB"/>
    <w:rsid w:val="58282EA5"/>
    <w:rsid w:val="5828DB64"/>
    <w:rsid w:val="582F56C1"/>
    <w:rsid w:val="583903AE"/>
    <w:rsid w:val="5846F478"/>
    <w:rsid w:val="5849EB0E"/>
    <w:rsid w:val="584C92CF"/>
    <w:rsid w:val="585A8D47"/>
    <w:rsid w:val="585E70DB"/>
    <w:rsid w:val="585F6647"/>
    <w:rsid w:val="58687969"/>
    <w:rsid w:val="587DB6A0"/>
    <w:rsid w:val="587EB2B7"/>
    <w:rsid w:val="587F375E"/>
    <w:rsid w:val="58804C05"/>
    <w:rsid w:val="58822ECA"/>
    <w:rsid w:val="588A7AAF"/>
    <w:rsid w:val="588EB9BB"/>
    <w:rsid w:val="58945584"/>
    <w:rsid w:val="5897A84B"/>
    <w:rsid w:val="58997623"/>
    <w:rsid w:val="589E4164"/>
    <w:rsid w:val="58A26A9E"/>
    <w:rsid w:val="58ACC927"/>
    <w:rsid w:val="58C639C0"/>
    <w:rsid w:val="58CA9081"/>
    <w:rsid w:val="58D2D401"/>
    <w:rsid w:val="58DC87C5"/>
    <w:rsid w:val="58E71E07"/>
    <w:rsid w:val="58E8547C"/>
    <w:rsid w:val="58EC2A20"/>
    <w:rsid w:val="58EE5614"/>
    <w:rsid w:val="58F27943"/>
    <w:rsid w:val="58F923CC"/>
    <w:rsid w:val="590A3ECC"/>
    <w:rsid w:val="5924C575"/>
    <w:rsid w:val="59251FE0"/>
    <w:rsid w:val="5927C151"/>
    <w:rsid w:val="59284212"/>
    <w:rsid w:val="59294280"/>
    <w:rsid w:val="5935E5C7"/>
    <w:rsid w:val="593E0C21"/>
    <w:rsid w:val="594A3C75"/>
    <w:rsid w:val="594C2651"/>
    <w:rsid w:val="595323C2"/>
    <w:rsid w:val="59584091"/>
    <w:rsid w:val="596D21DE"/>
    <w:rsid w:val="596E571E"/>
    <w:rsid w:val="597C425A"/>
    <w:rsid w:val="597C49A5"/>
    <w:rsid w:val="597CC4E5"/>
    <w:rsid w:val="5991192D"/>
    <w:rsid w:val="5991B617"/>
    <w:rsid w:val="599B6AAF"/>
    <w:rsid w:val="599D8F04"/>
    <w:rsid w:val="59A85568"/>
    <w:rsid w:val="59B51CD0"/>
    <w:rsid w:val="59C4E471"/>
    <w:rsid w:val="59C84121"/>
    <w:rsid w:val="59D48ACC"/>
    <w:rsid w:val="59DB113F"/>
    <w:rsid w:val="59DC627B"/>
    <w:rsid w:val="59F48117"/>
    <w:rsid w:val="59F56944"/>
    <w:rsid w:val="5A01AD98"/>
    <w:rsid w:val="5A11D8BE"/>
    <w:rsid w:val="5A19225A"/>
    <w:rsid w:val="5A263E75"/>
    <w:rsid w:val="5A2A6A8C"/>
    <w:rsid w:val="5A2B96B9"/>
    <w:rsid w:val="5A320192"/>
    <w:rsid w:val="5A4BED0E"/>
    <w:rsid w:val="5A4ED5E6"/>
    <w:rsid w:val="5A571B38"/>
    <w:rsid w:val="5A6310A6"/>
    <w:rsid w:val="5A63784D"/>
    <w:rsid w:val="5A65A12D"/>
    <w:rsid w:val="5A686153"/>
    <w:rsid w:val="5A7216A7"/>
    <w:rsid w:val="5A728E09"/>
    <w:rsid w:val="5A83A086"/>
    <w:rsid w:val="5A86981B"/>
    <w:rsid w:val="5A87A419"/>
    <w:rsid w:val="5A89DCFD"/>
    <w:rsid w:val="5A963164"/>
    <w:rsid w:val="5A971E23"/>
    <w:rsid w:val="5A9A2111"/>
    <w:rsid w:val="5AA674CF"/>
    <w:rsid w:val="5AA67907"/>
    <w:rsid w:val="5AB0A89D"/>
    <w:rsid w:val="5AB63CFC"/>
    <w:rsid w:val="5ABB16E5"/>
    <w:rsid w:val="5AC3C827"/>
    <w:rsid w:val="5AC56075"/>
    <w:rsid w:val="5AC6F3A4"/>
    <w:rsid w:val="5ADB3D2C"/>
    <w:rsid w:val="5AE8B137"/>
    <w:rsid w:val="5AF1C4B2"/>
    <w:rsid w:val="5AF21F08"/>
    <w:rsid w:val="5AF8098B"/>
    <w:rsid w:val="5AFCBF4E"/>
    <w:rsid w:val="5AFDBCE3"/>
    <w:rsid w:val="5B00993E"/>
    <w:rsid w:val="5B015092"/>
    <w:rsid w:val="5B01DD38"/>
    <w:rsid w:val="5B0A2FF9"/>
    <w:rsid w:val="5B0ED73A"/>
    <w:rsid w:val="5B13F0B1"/>
    <w:rsid w:val="5B14F64B"/>
    <w:rsid w:val="5B1B0559"/>
    <w:rsid w:val="5B2A9E18"/>
    <w:rsid w:val="5B300A69"/>
    <w:rsid w:val="5B389946"/>
    <w:rsid w:val="5B38E4B2"/>
    <w:rsid w:val="5B39C3CA"/>
    <w:rsid w:val="5B3CFBE2"/>
    <w:rsid w:val="5B455F04"/>
    <w:rsid w:val="5B53C7ED"/>
    <w:rsid w:val="5B56A58C"/>
    <w:rsid w:val="5B5E8B0A"/>
    <w:rsid w:val="5B63730A"/>
    <w:rsid w:val="5B6831C8"/>
    <w:rsid w:val="5B6D3AE6"/>
    <w:rsid w:val="5B7722B9"/>
    <w:rsid w:val="5B782F65"/>
    <w:rsid w:val="5B802FEC"/>
    <w:rsid w:val="5B840BE3"/>
    <w:rsid w:val="5B8AE8E9"/>
    <w:rsid w:val="5B8DBEF3"/>
    <w:rsid w:val="5B984C64"/>
    <w:rsid w:val="5BA9BEEF"/>
    <w:rsid w:val="5BAFC7BC"/>
    <w:rsid w:val="5BB5416D"/>
    <w:rsid w:val="5BB96B6C"/>
    <w:rsid w:val="5BBA1C0F"/>
    <w:rsid w:val="5BBC13DA"/>
    <w:rsid w:val="5BCFD693"/>
    <w:rsid w:val="5BD84509"/>
    <w:rsid w:val="5BDD93F7"/>
    <w:rsid w:val="5BE06B0D"/>
    <w:rsid w:val="5BE29481"/>
    <w:rsid w:val="5BE33ED0"/>
    <w:rsid w:val="5BE3EB62"/>
    <w:rsid w:val="5BE6227C"/>
    <w:rsid w:val="5BE84C76"/>
    <w:rsid w:val="5BEE4766"/>
    <w:rsid w:val="5BFCA833"/>
    <w:rsid w:val="5BFF52FE"/>
    <w:rsid w:val="5C0074D0"/>
    <w:rsid w:val="5C039F0C"/>
    <w:rsid w:val="5C075C24"/>
    <w:rsid w:val="5C08E262"/>
    <w:rsid w:val="5C20D9DE"/>
    <w:rsid w:val="5C217E06"/>
    <w:rsid w:val="5C2481C9"/>
    <w:rsid w:val="5C28D4B0"/>
    <w:rsid w:val="5C2A4075"/>
    <w:rsid w:val="5C2ABD3F"/>
    <w:rsid w:val="5C32526C"/>
    <w:rsid w:val="5C35226C"/>
    <w:rsid w:val="5C37788C"/>
    <w:rsid w:val="5C3A45DA"/>
    <w:rsid w:val="5C43FE41"/>
    <w:rsid w:val="5C50707D"/>
    <w:rsid w:val="5C560642"/>
    <w:rsid w:val="5C609535"/>
    <w:rsid w:val="5C68C27F"/>
    <w:rsid w:val="5C6A746B"/>
    <w:rsid w:val="5C6AA5CE"/>
    <w:rsid w:val="5C7E9393"/>
    <w:rsid w:val="5C85905F"/>
    <w:rsid w:val="5C88CBD2"/>
    <w:rsid w:val="5C94CD2A"/>
    <w:rsid w:val="5C9677C8"/>
    <w:rsid w:val="5C9B4415"/>
    <w:rsid w:val="5CA043EF"/>
    <w:rsid w:val="5CA82D0D"/>
    <w:rsid w:val="5CA9572D"/>
    <w:rsid w:val="5CABAB2F"/>
    <w:rsid w:val="5CAD5EC9"/>
    <w:rsid w:val="5CB56C3E"/>
    <w:rsid w:val="5CB92F71"/>
    <w:rsid w:val="5CBB841C"/>
    <w:rsid w:val="5CBBB64E"/>
    <w:rsid w:val="5CBC9C23"/>
    <w:rsid w:val="5CC61252"/>
    <w:rsid w:val="5CC9E3D8"/>
    <w:rsid w:val="5CDBA24C"/>
    <w:rsid w:val="5CE1609C"/>
    <w:rsid w:val="5CEC65BA"/>
    <w:rsid w:val="5CF03602"/>
    <w:rsid w:val="5CFD05DF"/>
    <w:rsid w:val="5CFFC116"/>
    <w:rsid w:val="5D0525A4"/>
    <w:rsid w:val="5D0CFB84"/>
    <w:rsid w:val="5D0DCCDC"/>
    <w:rsid w:val="5D15DB5A"/>
    <w:rsid w:val="5D181E0C"/>
    <w:rsid w:val="5D22BE55"/>
    <w:rsid w:val="5D2563C9"/>
    <w:rsid w:val="5D28282D"/>
    <w:rsid w:val="5D352998"/>
    <w:rsid w:val="5D3FFC74"/>
    <w:rsid w:val="5D457ED0"/>
    <w:rsid w:val="5D4B6A91"/>
    <w:rsid w:val="5D52D17D"/>
    <w:rsid w:val="5D57B388"/>
    <w:rsid w:val="5D603683"/>
    <w:rsid w:val="5D6825DB"/>
    <w:rsid w:val="5D6BF01C"/>
    <w:rsid w:val="5D953718"/>
    <w:rsid w:val="5D9F6C5F"/>
    <w:rsid w:val="5D9F8C2A"/>
    <w:rsid w:val="5DA16954"/>
    <w:rsid w:val="5DA97018"/>
    <w:rsid w:val="5DA9ABED"/>
    <w:rsid w:val="5DA9C201"/>
    <w:rsid w:val="5DB5FF60"/>
    <w:rsid w:val="5DBC3D09"/>
    <w:rsid w:val="5DBC85B4"/>
    <w:rsid w:val="5DC7A15D"/>
    <w:rsid w:val="5DD4B327"/>
    <w:rsid w:val="5DDBA54B"/>
    <w:rsid w:val="5DE15237"/>
    <w:rsid w:val="5DE2C493"/>
    <w:rsid w:val="5DE427E9"/>
    <w:rsid w:val="5DE6BCC0"/>
    <w:rsid w:val="5DE7503D"/>
    <w:rsid w:val="5DEBD42A"/>
    <w:rsid w:val="5DEC7FCA"/>
    <w:rsid w:val="5E084EE1"/>
    <w:rsid w:val="5E0D02C8"/>
    <w:rsid w:val="5E14DFA2"/>
    <w:rsid w:val="5E19E463"/>
    <w:rsid w:val="5E1C5D88"/>
    <w:rsid w:val="5E1C977D"/>
    <w:rsid w:val="5E1D22F8"/>
    <w:rsid w:val="5E27567D"/>
    <w:rsid w:val="5E28CC95"/>
    <w:rsid w:val="5E3E7BDC"/>
    <w:rsid w:val="5E413708"/>
    <w:rsid w:val="5E45EA3F"/>
    <w:rsid w:val="5E4EC980"/>
    <w:rsid w:val="5E4F8112"/>
    <w:rsid w:val="5E50E863"/>
    <w:rsid w:val="5E537664"/>
    <w:rsid w:val="5E5414E6"/>
    <w:rsid w:val="5E6AB7B6"/>
    <w:rsid w:val="5E705465"/>
    <w:rsid w:val="5E771A2F"/>
    <w:rsid w:val="5E809347"/>
    <w:rsid w:val="5E85A4B8"/>
    <w:rsid w:val="5E8958A2"/>
    <w:rsid w:val="5E8B7E71"/>
    <w:rsid w:val="5E934933"/>
    <w:rsid w:val="5E99AA29"/>
    <w:rsid w:val="5E9B5631"/>
    <w:rsid w:val="5E9BFBEA"/>
    <w:rsid w:val="5EA1F415"/>
    <w:rsid w:val="5EABB4DE"/>
    <w:rsid w:val="5EB583F7"/>
    <w:rsid w:val="5EB798DB"/>
    <w:rsid w:val="5EBBD0F9"/>
    <w:rsid w:val="5EC62DB7"/>
    <w:rsid w:val="5ECC99BB"/>
    <w:rsid w:val="5ED71DDE"/>
    <w:rsid w:val="5ED75EBF"/>
    <w:rsid w:val="5ED878B0"/>
    <w:rsid w:val="5EE14106"/>
    <w:rsid w:val="5EE28B35"/>
    <w:rsid w:val="5EE400E6"/>
    <w:rsid w:val="5EEF7F5A"/>
    <w:rsid w:val="5EF31006"/>
    <w:rsid w:val="5EF4540B"/>
    <w:rsid w:val="5EF6118B"/>
    <w:rsid w:val="5EF9DC2D"/>
    <w:rsid w:val="5F02C3FD"/>
    <w:rsid w:val="5F0EA1DD"/>
    <w:rsid w:val="5F0FDE21"/>
    <w:rsid w:val="5F10D75D"/>
    <w:rsid w:val="5F140C31"/>
    <w:rsid w:val="5F194061"/>
    <w:rsid w:val="5F27C523"/>
    <w:rsid w:val="5F2DFEB3"/>
    <w:rsid w:val="5F2F16D4"/>
    <w:rsid w:val="5F30696B"/>
    <w:rsid w:val="5F32E58B"/>
    <w:rsid w:val="5F3A56CC"/>
    <w:rsid w:val="5F3F65B5"/>
    <w:rsid w:val="5F41E498"/>
    <w:rsid w:val="5F422558"/>
    <w:rsid w:val="5F4A3533"/>
    <w:rsid w:val="5F5374D7"/>
    <w:rsid w:val="5F5C2F1B"/>
    <w:rsid w:val="5F5F8EBF"/>
    <w:rsid w:val="5F68A04C"/>
    <w:rsid w:val="5F6A7276"/>
    <w:rsid w:val="5F71BD0D"/>
    <w:rsid w:val="5F758EF0"/>
    <w:rsid w:val="5F761736"/>
    <w:rsid w:val="5F7A43AD"/>
    <w:rsid w:val="5F7B5FF1"/>
    <w:rsid w:val="5F7CA538"/>
    <w:rsid w:val="5F7CB166"/>
    <w:rsid w:val="5F8B55DF"/>
    <w:rsid w:val="5F93B7F3"/>
    <w:rsid w:val="5F97E5DE"/>
    <w:rsid w:val="5FA073B3"/>
    <w:rsid w:val="5FA461C0"/>
    <w:rsid w:val="5FA71DDD"/>
    <w:rsid w:val="5FA73870"/>
    <w:rsid w:val="5FAC1993"/>
    <w:rsid w:val="5FB608C8"/>
    <w:rsid w:val="5FBE596D"/>
    <w:rsid w:val="5FC0AA4B"/>
    <w:rsid w:val="5FC7D373"/>
    <w:rsid w:val="5FCBEDF5"/>
    <w:rsid w:val="5FD12B70"/>
    <w:rsid w:val="5FDA63B4"/>
    <w:rsid w:val="5FDFBA13"/>
    <w:rsid w:val="5FE25DA6"/>
    <w:rsid w:val="5FE63CA2"/>
    <w:rsid w:val="5FE976E3"/>
    <w:rsid w:val="5FF87B62"/>
    <w:rsid w:val="5FF9C99F"/>
    <w:rsid w:val="5FFD26E7"/>
    <w:rsid w:val="60035807"/>
    <w:rsid w:val="600698BA"/>
    <w:rsid w:val="600D2B54"/>
    <w:rsid w:val="601690F5"/>
    <w:rsid w:val="6016A2DB"/>
    <w:rsid w:val="601F61FF"/>
    <w:rsid w:val="602BBD1B"/>
    <w:rsid w:val="602ED41A"/>
    <w:rsid w:val="6030BBC0"/>
    <w:rsid w:val="6032F40D"/>
    <w:rsid w:val="6036064A"/>
    <w:rsid w:val="6044AA68"/>
    <w:rsid w:val="60476C21"/>
    <w:rsid w:val="6047880B"/>
    <w:rsid w:val="6051DF26"/>
    <w:rsid w:val="60531A1A"/>
    <w:rsid w:val="60563B5D"/>
    <w:rsid w:val="60693197"/>
    <w:rsid w:val="606FBC90"/>
    <w:rsid w:val="6074CA77"/>
    <w:rsid w:val="60794A9B"/>
    <w:rsid w:val="607CB96E"/>
    <w:rsid w:val="607E680B"/>
    <w:rsid w:val="608D0C5A"/>
    <w:rsid w:val="6090F279"/>
    <w:rsid w:val="6092A9C1"/>
    <w:rsid w:val="609612E0"/>
    <w:rsid w:val="60A1DBAD"/>
    <w:rsid w:val="60A7BF51"/>
    <w:rsid w:val="60AC7F6B"/>
    <w:rsid w:val="60B80C47"/>
    <w:rsid w:val="60B85A7A"/>
    <w:rsid w:val="60C37226"/>
    <w:rsid w:val="60CEC848"/>
    <w:rsid w:val="60D8D0E8"/>
    <w:rsid w:val="60E2EEB4"/>
    <w:rsid w:val="60E493DA"/>
    <w:rsid w:val="60E9A74B"/>
    <w:rsid w:val="60EACAF8"/>
    <w:rsid w:val="60ED805F"/>
    <w:rsid w:val="60F23982"/>
    <w:rsid w:val="60F39134"/>
    <w:rsid w:val="60F3A361"/>
    <w:rsid w:val="60FA38A7"/>
    <w:rsid w:val="61008CA8"/>
    <w:rsid w:val="610904D7"/>
    <w:rsid w:val="61091C0E"/>
    <w:rsid w:val="6112EC0C"/>
    <w:rsid w:val="61160F67"/>
    <w:rsid w:val="611C192D"/>
    <w:rsid w:val="611F0973"/>
    <w:rsid w:val="61203294"/>
    <w:rsid w:val="612EB674"/>
    <w:rsid w:val="6138FF37"/>
    <w:rsid w:val="613A4485"/>
    <w:rsid w:val="614484EB"/>
    <w:rsid w:val="6145D4F8"/>
    <w:rsid w:val="614915C5"/>
    <w:rsid w:val="61494AEB"/>
    <w:rsid w:val="614D8C34"/>
    <w:rsid w:val="6157AB34"/>
    <w:rsid w:val="6167E0AE"/>
    <w:rsid w:val="61730A91"/>
    <w:rsid w:val="6180CE6F"/>
    <w:rsid w:val="618C4E27"/>
    <w:rsid w:val="61948525"/>
    <w:rsid w:val="61994A42"/>
    <w:rsid w:val="619F6FD4"/>
    <w:rsid w:val="61A6EDF5"/>
    <w:rsid w:val="61A7D919"/>
    <w:rsid w:val="61B3A0F0"/>
    <w:rsid w:val="61BAE824"/>
    <w:rsid w:val="61C26A06"/>
    <w:rsid w:val="61C2ADC9"/>
    <w:rsid w:val="61CB5BD5"/>
    <w:rsid w:val="61CD5517"/>
    <w:rsid w:val="61CE1B9C"/>
    <w:rsid w:val="61D386E8"/>
    <w:rsid w:val="61D6C44E"/>
    <w:rsid w:val="61EED33A"/>
    <w:rsid w:val="61F628EC"/>
    <w:rsid w:val="61FF00D2"/>
    <w:rsid w:val="6204676A"/>
    <w:rsid w:val="62176404"/>
    <w:rsid w:val="621FFBD9"/>
    <w:rsid w:val="62210D11"/>
    <w:rsid w:val="62273EB3"/>
    <w:rsid w:val="62303DE2"/>
    <w:rsid w:val="62334305"/>
    <w:rsid w:val="62337045"/>
    <w:rsid w:val="623D6AE9"/>
    <w:rsid w:val="62466028"/>
    <w:rsid w:val="624E28A5"/>
    <w:rsid w:val="6251108A"/>
    <w:rsid w:val="6253C84B"/>
    <w:rsid w:val="6255C682"/>
    <w:rsid w:val="625F32D9"/>
    <w:rsid w:val="625F9799"/>
    <w:rsid w:val="62610BD2"/>
    <w:rsid w:val="6271F4FE"/>
    <w:rsid w:val="62741025"/>
    <w:rsid w:val="6279D678"/>
    <w:rsid w:val="627C9111"/>
    <w:rsid w:val="62829388"/>
    <w:rsid w:val="6282F444"/>
    <w:rsid w:val="62860E64"/>
    <w:rsid w:val="62900192"/>
    <w:rsid w:val="62A19BBA"/>
    <w:rsid w:val="62A2E138"/>
    <w:rsid w:val="62A3A815"/>
    <w:rsid w:val="62A951D3"/>
    <w:rsid w:val="62AD3BFF"/>
    <w:rsid w:val="62B5DC22"/>
    <w:rsid w:val="62B66FFF"/>
    <w:rsid w:val="62B79159"/>
    <w:rsid w:val="62B8444F"/>
    <w:rsid w:val="62B8784F"/>
    <w:rsid w:val="62BE0F67"/>
    <w:rsid w:val="62C72298"/>
    <w:rsid w:val="62CD47B4"/>
    <w:rsid w:val="62D4C3E7"/>
    <w:rsid w:val="62D4F4A7"/>
    <w:rsid w:val="62D7FCD7"/>
    <w:rsid w:val="62E2100B"/>
    <w:rsid w:val="62E746DB"/>
    <w:rsid w:val="62F77943"/>
    <w:rsid w:val="63076249"/>
    <w:rsid w:val="630E38AC"/>
    <w:rsid w:val="63121FC3"/>
    <w:rsid w:val="6317A4EA"/>
    <w:rsid w:val="631DFC69"/>
    <w:rsid w:val="63281AEB"/>
    <w:rsid w:val="632C0804"/>
    <w:rsid w:val="633408DA"/>
    <w:rsid w:val="633A0109"/>
    <w:rsid w:val="633F0067"/>
    <w:rsid w:val="6345809C"/>
    <w:rsid w:val="6347293F"/>
    <w:rsid w:val="634959B7"/>
    <w:rsid w:val="634DA051"/>
    <w:rsid w:val="634E3C20"/>
    <w:rsid w:val="634F469A"/>
    <w:rsid w:val="63525FFC"/>
    <w:rsid w:val="63531C29"/>
    <w:rsid w:val="635718A2"/>
    <w:rsid w:val="63592A3F"/>
    <w:rsid w:val="63687425"/>
    <w:rsid w:val="636962A9"/>
    <w:rsid w:val="636C9382"/>
    <w:rsid w:val="6370F274"/>
    <w:rsid w:val="6381C811"/>
    <w:rsid w:val="638A4C1C"/>
    <w:rsid w:val="638DF878"/>
    <w:rsid w:val="639A437E"/>
    <w:rsid w:val="63A7401A"/>
    <w:rsid w:val="63AA16AC"/>
    <w:rsid w:val="63AB16B9"/>
    <w:rsid w:val="63B4FE6D"/>
    <w:rsid w:val="63C0F714"/>
    <w:rsid w:val="63C3AE5A"/>
    <w:rsid w:val="63C615C3"/>
    <w:rsid w:val="63C68C2B"/>
    <w:rsid w:val="63C93BCA"/>
    <w:rsid w:val="63CD852F"/>
    <w:rsid w:val="63D00C1C"/>
    <w:rsid w:val="63D1B276"/>
    <w:rsid w:val="63E2998A"/>
    <w:rsid w:val="63E435FF"/>
    <w:rsid w:val="63EBA9EF"/>
    <w:rsid w:val="63F84355"/>
    <w:rsid w:val="63F8E9B3"/>
    <w:rsid w:val="63FF6598"/>
    <w:rsid w:val="64019A56"/>
    <w:rsid w:val="640C1F97"/>
    <w:rsid w:val="641FB132"/>
    <w:rsid w:val="6425C7CF"/>
    <w:rsid w:val="642843BE"/>
    <w:rsid w:val="64384019"/>
    <w:rsid w:val="6445698F"/>
    <w:rsid w:val="6446B32A"/>
    <w:rsid w:val="645112A8"/>
    <w:rsid w:val="64551E79"/>
    <w:rsid w:val="645A4298"/>
    <w:rsid w:val="645B5AAC"/>
    <w:rsid w:val="646619D0"/>
    <w:rsid w:val="646A1230"/>
    <w:rsid w:val="646DE902"/>
    <w:rsid w:val="647526C9"/>
    <w:rsid w:val="647A8F00"/>
    <w:rsid w:val="647E9B4C"/>
    <w:rsid w:val="649184B9"/>
    <w:rsid w:val="6498B6B7"/>
    <w:rsid w:val="649DCBBD"/>
    <w:rsid w:val="64A0B9D4"/>
    <w:rsid w:val="64C03C12"/>
    <w:rsid w:val="64C3469A"/>
    <w:rsid w:val="64C9EA13"/>
    <w:rsid w:val="64CE9A38"/>
    <w:rsid w:val="64CEBE73"/>
    <w:rsid w:val="64D1965B"/>
    <w:rsid w:val="64D2C6E2"/>
    <w:rsid w:val="64D85172"/>
    <w:rsid w:val="64E841BF"/>
    <w:rsid w:val="64EC6AC3"/>
    <w:rsid w:val="64F19ACD"/>
    <w:rsid w:val="64FA46E2"/>
    <w:rsid w:val="64FC4162"/>
    <w:rsid w:val="650FA31C"/>
    <w:rsid w:val="651165AA"/>
    <w:rsid w:val="65121BE4"/>
    <w:rsid w:val="651A75EA"/>
    <w:rsid w:val="652BDD8A"/>
    <w:rsid w:val="652C0079"/>
    <w:rsid w:val="653A270E"/>
    <w:rsid w:val="6541143D"/>
    <w:rsid w:val="65422454"/>
    <w:rsid w:val="654930BE"/>
    <w:rsid w:val="654F608C"/>
    <w:rsid w:val="65523F3D"/>
    <w:rsid w:val="655E460C"/>
    <w:rsid w:val="65621CC3"/>
    <w:rsid w:val="65646F8D"/>
    <w:rsid w:val="6569249F"/>
    <w:rsid w:val="6569FA82"/>
    <w:rsid w:val="656ACC9B"/>
    <w:rsid w:val="656BEC7B"/>
    <w:rsid w:val="656F65E0"/>
    <w:rsid w:val="6578A200"/>
    <w:rsid w:val="657F4573"/>
    <w:rsid w:val="6582FE1E"/>
    <w:rsid w:val="6584AF77"/>
    <w:rsid w:val="658500FB"/>
    <w:rsid w:val="65863F1A"/>
    <w:rsid w:val="65878490"/>
    <w:rsid w:val="658DE552"/>
    <w:rsid w:val="65954C41"/>
    <w:rsid w:val="65A58C14"/>
    <w:rsid w:val="65A7685D"/>
    <w:rsid w:val="65AED26E"/>
    <w:rsid w:val="65C2A96B"/>
    <w:rsid w:val="65C971FF"/>
    <w:rsid w:val="65CAC519"/>
    <w:rsid w:val="65CB427A"/>
    <w:rsid w:val="65D085A8"/>
    <w:rsid w:val="65D30883"/>
    <w:rsid w:val="65D42266"/>
    <w:rsid w:val="65D7440C"/>
    <w:rsid w:val="65D939C5"/>
    <w:rsid w:val="65D99BA2"/>
    <w:rsid w:val="65DD9A25"/>
    <w:rsid w:val="65E71CE8"/>
    <w:rsid w:val="65ED2AF9"/>
    <w:rsid w:val="65F13B3F"/>
    <w:rsid w:val="65F2554E"/>
    <w:rsid w:val="661AB784"/>
    <w:rsid w:val="661FCC58"/>
    <w:rsid w:val="66248832"/>
    <w:rsid w:val="6638735E"/>
    <w:rsid w:val="66504207"/>
    <w:rsid w:val="66551630"/>
    <w:rsid w:val="66562259"/>
    <w:rsid w:val="665E2150"/>
    <w:rsid w:val="6664FD3F"/>
    <w:rsid w:val="666BE37D"/>
    <w:rsid w:val="668678ED"/>
    <w:rsid w:val="6688EC66"/>
    <w:rsid w:val="6689149C"/>
    <w:rsid w:val="66980B1E"/>
    <w:rsid w:val="66A06694"/>
    <w:rsid w:val="66A4223C"/>
    <w:rsid w:val="66A5810C"/>
    <w:rsid w:val="66AAB78D"/>
    <w:rsid w:val="66AD1E29"/>
    <w:rsid w:val="66B9BDFD"/>
    <w:rsid w:val="66BA45D3"/>
    <w:rsid w:val="66BADE88"/>
    <w:rsid w:val="66D1E282"/>
    <w:rsid w:val="66D57B65"/>
    <w:rsid w:val="66DABC39"/>
    <w:rsid w:val="66DF66F1"/>
    <w:rsid w:val="66E51712"/>
    <w:rsid w:val="66EA9E73"/>
    <w:rsid w:val="66EB4709"/>
    <w:rsid w:val="66ED41B5"/>
    <w:rsid w:val="66FD3910"/>
    <w:rsid w:val="66FD969D"/>
    <w:rsid w:val="670F206E"/>
    <w:rsid w:val="671ACC1D"/>
    <w:rsid w:val="67386DCD"/>
    <w:rsid w:val="674D3CF8"/>
    <w:rsid w:val="674D94BD"/>
    <w:rsid w:val="6753858C"/>
    <w:rsid w:val="67563CEE"/>
    <w:rsid w:val="675719BE"/>
    <w:rsid w:val="67574BB4"/>
    <w:rsid w:val="675A26BA"/>
    <w:rsid w:val="67624BA0"/>
    <w:rsid w:val="6766508A"/>
    <w:rsid w:val="6768EBEB"/>
    <w:rsid w:val="676C87F2"/>
    <w:rsid w:val="677003F3"/>
    <w:rsid w:val="6771FAFC"/>
    <w:rsid w:val="6777079B"/>
    <w:rsid w:val="67775DDE"/>
    <w:rsid w:val="6777918E"/>
    <w:rsid w:val="677B23C5"/>
    <w:rsid w:val="677B6735"/>
    <w:rsid w:val="6783BDB0"/>
    <w:rsid w:val="6786F3CD"/>
    <w:rsid w:val="6793600F"/>
    <w:rsid w:val="6798F93A"/>
    <w:rsid w:val="67997F67"/>
    <w:rsid w:val="67A47B43"/>
    <w:rsid w:val="67ABF142"/>
    <w:rsid w:val="67AF2C57"/>
    <w:rsid w:val="67B10573"/>
    <w:rsid w:val="67B6C5AA"/>
    <w:rsid w:val="67B6F3A2"/>
    <w:rsid w:val="67B875E7"/>
    <w:rsid w:val="67BA1D7C"/>
    <w:rsid w:val="67BD111B"/>
    <w:rsid w:val="67C1BBC5"/>
    <w:rsid w:val="67C25B4F"/>
    <w:rsid w:val="67CB2EB0"/>
    <w:rsid w:val="67CFD45F"/>
    <w:rsid w:val="67DB679A"/>
    <w:rsid w:val="67E5B426"/>
    <w:rsid w:val="67EC8A56"/>
    <w:rsid w:val="67F04EF9"/>
    <w:rsid w:val="68015D4F"/>
    <w:rsid w:val="680574A8"/>
    <w:rsid w:val="6809935B"/>
    <w:rsid w:val="6817281A"/>
    <w:rsid w:val="6820B15C"/>
    <w:rsid w:val="68285228"/>
    <w:rsid w:val="682FB891"/>
    <w:rsid w:val="68350A9D"/>
    <w:rsid w:val="6837A920"/>
    <w:rsid w:val="683C1AC1"/>
    <w:rsid w:val="6840CB14"/>
    <w:rsid w:val="6845E21E"/>
    <w:rsid w:val="685A8956"/>
    <w:rsid w:val="685B3ACE"/>
    <w:rsid w:val="6861F93A"/>
    <w:rsid w:val="686A3D2D"/>
    <w:rsid w:val="686B1D3D"/>
    <w:rsid w:val="686D4AB5"/>
    <w:rsid w:val="687399C5"/>
    <w:rsid w:val="6885C98B"/>
    <w:rsid w:val="688E2C19"/>
    <w:rsid w:val="688F1FA5"/>
    <w:rsid w:val="68920B93"/>
    <w:rsid w:val="689740FD"/>
    <w:rsid w:val="689C17FF"/>
    <w:rsid w:val="689E2EBD"/>
    <w:rsid w:val="68A2C8F5"/>
    <w:rsid w:val="68AC49C4"/>
    <w:rsid w:val="68BAFE52"/>
    <w:rsid w:val="68C423DE"/>
    <w:rsid w:val="68C97C37"/>
    <w:rsid w:val="68D7A001"/>
    <w:rsid w:val="68DA98E5"/>
    <w:rsid w:val="68E0FEFD"/>
    <w:rsid w:val="68E10139"/>
    <w:rsid w:val="68E3336D"/>
    <w:rsid w:val="68E45A90"/>
    <w:rsid w:val="68F4315F"/>
    <w:rsid w:val="68F745E2"/>
    <w:rsid w:val="68FC67DC"/>
    <w:rsid w:val="69003F91"/>
    <w:rsid w:val="69030596"/>
    <w:rsid w:val="6908CEF8"/>
    <w:rsid w:val="690F419A"/>
    <w:rsid w:val="69167BD6"/>
    <w:rsid w:val="691B6A68"/>
    <w:rsid w:val="6936D6C2"/>
    <w:rsid w:val="693A49A9"/>
    <w:rsid w:val="693D15E9"/>
    <w:rsid w:val="693EA5D7"/>
    <w:rsid w:val="6943FFBF"/>
    <w:rsid w:val="6946E4F4"/>
    <w:rsid w:val="69588BC1"/>
    <w:rsid w:val="695A45B3"/>
    <w:rsid w:val="695AFAFE"/>
    <w:rsid w:val="6961D444"/>
    <w:rsid w:val="69671E20"/>
    <w:rsid w:val="69735609"/>
    <w:rsid w:val="697DFE7D"/>
    <w:rsid w:val="69814D56"/>
    <w:rsid w:val="6989959B"/>
    <w:rsid w:val="69905390"/>
    <w:rsid w:val="6995B706"/>
    <w:rsid w:val="699631A0"/>
    <w:rsid w:val="69A9CFE8"/>
    <w:rsid w:val="69AF60E7"/>
    <w:rsid w:val="69B7D597"/>
    <w:rsid w:val="69BC8647"/>
    <w:rsid w:val="69BFD34E"/>
    <w:rsid w:val="69C3470B"/>
    <w:rsid w:val="69CD5943"/>
    <w:rsid w:val="69D8EDBA"/>
    <w:rsid w:val="69E048C7"/>
    <w:rsid w:val="69E364E7"/>
    <w:rsid w:val="69E947DF"/>
    <w:rsid w:val="69F5E99D"/>
    <w:rsid w:val="69FD4944"/>
    <w:rsid w:val="69FFAE50"/>
    <w:rsid w:val="6A0690E8"/>
    <w:rsid w:val="6A073D5E"/>
    <w:rsid w:val="6A0BF544"/>
    <w:rsid w:val="6A26CE41"/>
    <w:rsid w:val="6A2B75DC"/>
    <w:rsid w:val="6A30D91C"/>
    <w:rsid w:val="6A34B74C"/>
    <w:rsid w:val="6A3F520B"/>
    <w:rsid w:val="6A46569D"/>
    <w:rsid w:val="6A4926C8"/>
    <w:rsid w:val="6A4F4240"/>
    <w:rsid w:val="6A51C368"/>
    <w:rsid w:val="6A655E82"/>
    <w:rsid w:val="6A7469AE"/>
    <w:rsid w:val="6A7574CD"/>
    <w:rsid w:val="6A789C32"/>
    <w:rsid w:val="6A833253"/>
    <w:rsid w:val="6A85230B"/>
    <w:rsid w:val="6A8ADE30"/>
    <w:rsid w:val="6A946AA9"/>
    <w:rsid w:val="6AB3FF5E"/>
    <w:rsid w:val="6ABC0229"/>
    <w:rsid w:val="6AC040C1"/>
    <w:rsid w:val="6AC385A6"/>
    <w:rsid w:val="6AD6E076"/>
    <w:rsid w:val="6AEB2E64"/>
    <w:rsid w:val="6AEF9150"/>
    <w:rsid w:val="6AF86411"/>
    <w:rsid w:val="6B009C28"/>
    <w:rsid w:val="6B06D3AA"/>
    <w:rsid w:val="6B101E24"/>
    <w:rsid w:val="6B1112AE"/>
    <w:rsid w:val="6B1F332F"/>
    <w:rsid w:val="6B236038"/>
    <w:rsid w:val="6B30C84A"/>
    <w:rsid w:val="6B330848"/>
    <w:rsid w:val="6B33DDA3"/>
    <w:rsid w:val="6B384155"/>
    <w:rsid w:val="6B38D7B4"/>
    <w:rsid w:val="6B3E2361"/>
    <w:rsid w:val="6B3EB734"/>
    <w:rsid w:val="6B45880D"/>
    <w:rsid w:val="6B4C6F8D"/>
    <w:rsid w:val="6B56091C"/>
    <w:rsid w:val="6B57BB43"/>
    <w:rsid w:val="6B597BDF"/>
    <w:rsid w:val="6B637667"/>
    <w:rsid w:val="6B65E601"/>
    <w:rsid w:val="6B6D3B36"/>
    <w:rsid w:val="6B7C53E8"/>
    <w:rsid w:val="6B7DCF2E"/>
    <w:rsid w:val="6B7EE321"/>
    <w:rsid w:val="6B7F173D"/>
    <w:rsid w:val="6B89D807"/>
    <w:rsid w:val="6B95C6D6"/>
    <w:rsid w:val="6B993D30"/>
    <w:rsid w:val="6B9C441F"/>
    <w:rsid w:val="6BA41E7C"/>
    <w:rsid w:val="6BAC653F"/>
    <w:rsid w:val="6BB97C66"/>
    <w:rsid w:val="6BBA5F8D"/>
    <w:rsid w:val="6BBE8533"/>
    <w:rsid w:val="6BC22DA4"/>
    <w:rsid w:val="6BC7250E"/>
    <w:rsid w:val="6BCE1675"/>
    <w:rsid w:val="6BD13BA2"/>
    <w:rsid w:val="6BD248D3"/>
    <w:rsid w:val="6BD2DCB1"/>
    <w:rsid w:val="6BD32AAA"/>
    <w:rsid w:val="6BDBD910"/>
    <w:rsid w:val="6BE47FB3"/>
    <w:rsid w:val="6BF11F65"/>
    <w:rsid w:val="6BF967DF"/>
    <w:rsid w:val="6BFF0385"/>
    <w:rsid w:val="6C04D674"/>
    <w:rsid w:val="6C094EDE"/>
    <w:rsid w:val="6C0D6157"/>
    <w:rsid w:val="6C0E4233"/>
    <w:rsid w:val="6C182CF6"/>
    <w:rsid w:val="6C1AE906"/>
    <w:rsid w:val="6C1B1CB5"/>
    <w:rsid w:val="6C2874FA"/>
    <w:rsid w:val="6C2C9CAD"/>
    <w:rsid w:val="6C2EDD4B"/>
    <w:rsid w:val="6C2FBFC5"/>
    <w:rsid w:val="6C36E03D"/>
    <w:rsid w:val="6C3ECE13"/>
    <w:rsid w:val="6C44E342"/>
    <w:rsid w:val="6C4A2CA2"/>
    <w:rsid w:val="6C4C8AF8"/>
    <w:rsid w:val="6C51A846"/>
    <w:rsid w:val="6C671287"/>
    <w:rsid w:val="6C6E6913"/>
    <w:rsid w:val="6C70A9A0"/>
    <w:rsid w:val="6C71AB5D"/>
    <w:rsid w:val="6C71BEE8"/>
    <w:rsid w:val="6C7C0232"/>
    <w:rsid w:val="6C7CEA31"/>
    <w:rsid w:val="6C86D40C"/>
    <w:rsid w:val="6C8D4175"/>
    <w:rsid w:val="6C90C10F"/>
    <w:rsid w:val="6C9E8DC4"/>
    <w:rsid w:val="6CA7254C"/>
    <w:rsid w:val="6CAF1F77"/>
    <w:rsid w:val="6CC2D32A"/>
    <w:rsid w:val="6CC892B4"/>
    <w:rsid w:val="6CD885F9"/>
    <w:rsid w:val="6CD8DCD4"/>
    <w:rsid w:val="6CDF3BAC"/>
    <w:rsid w:val="6CE273BC"/>
    <w:rsid w:val="6CEFCF4B"/>
    <w:rsid w:val="6CF473EA"/>
    <w:rsid w:val="6CF8C59B"/>
    <w:rsid w:val="6D06EB64"/>
    <w:rsid w:val="6D0F64B8"/>
    <w:rsid w:val="6D14BA6F"/>
    <w:rsid w:val="6D25AC42"/>
    <w:rsid w:val="6D29B544"/>
    <w:rsid w:val="6D2D4287"/>
    <w:rsid w:val="6D345907"/>
    <w:rsid w:val="6D419384"/>
    <w:rsid w:val="6D44630A"/>
    <w:rsid w:val="6D466B48"/>
    <w:rsid w:val="6D4B88E2"/>
    <w:rsid w:val="6D577629"/>
    <w:rsid w:val="6D5FF67A"/>
    <w:rsid w:val="6D6079DF"/>
    <w:rsid w:val="6D65207E"/>
    <w:rsid w:val="6D670635"/>
    <w:rsid w:val="6D6B82A0"/>
    <w:rsid w:val="6D71C82B"/>
    <w:rsid w:val="6D7398AA"/>
    <w:rsid w:val="6D775774"/>
    <w:rsid w:val="6D782FBF"/>
    <w:rsid w:val="6D7FCE57"/>
    <w:rsid w:val="6D85FEA9"/>
    <w:rsid w:val="6D8D9D93"/>
    <w:rsid w:val="6D9E18D5"/>
    <w:rsid w:val="6DAB2AD4"/>
    <w:rsid w:val="6DB1B961"/>
    <w:rsid w:val="6DC24E0F"/>
    <w:rsid w:val="6DCF8132"/>
    <w:rsid w:val="6DD0D46D"/>
    <w:rsid w:val="6DD39BD8"/>
    <w:rsid w:val="6DD56D88"/>
    <w:rsid w:val="6DD5BDF7"/>
    <w:rsid w:val="6DDE9CD3"/>
    <w:rsid w:val="6DEEEDE9"/>
    <w:rsid w:val="6DFD46CD"/>
    <w:rsid w:val="6DFF595C"/>
    <w:rsid w:val="6E01042A"/>
    <w:rsid w:val="6E0E8F0E"/>
    <w:rsid w:val="6E0EC302"/>
    <w:rsid w:val="6E14B62C"/>
    <w:rsid w:val="6E1E0F75"/>
    <w:rsid w:val="6E203EAE"/>
    <w:rsid w:val="6E20B5B0"/>
    <w:rsid w:val="6E2393C2"/>
    <w:rsid w:val="6E26021C"/>
    <w:rsid w:val="6E34380D"/>
    <w:rsid w:val="6E34A5DC"/>
    <w:rsid w:val="6E4CF994"/>
    <w:rsid w:val="6E50239C"/>
    <w:rsid w:val="6E5090FE"/>
    <w:rsid w:val="6E5575B2"/>
    <w:rsid w:val="6E5A9805"/>
    <w:rsid w:val="6E5AC062"/>
    <w:rsid w:val="6E5C1AA1"/>
    <w:rsid w:val="6E5C4E12"/>
    <w:rsid w:val="6E648E33"/>
    <w:rsid w:val="6E6D5BE9"/>
    <w:rsid w:val="6E702BF8"/>
    <w:rsid w:val="6E7CA667"/>
    <w:rsid w:val="6E7EF1F0"/>
    <w:rsid w:val="6E822210"/>
    <w:rsid w:val="6E90D990"/>
    <w:rsid w:val="6E92E166"/>
    <w:rsid w:val="6E9569D2"/>
    <w:rsid w:val="6E97A8AA"/>
    <w:rsid w:val="6E97AF77"/>
    <w:rsid w:val="6E9CD3CB"/>
    <w:rsid w:val="6EA8FCE3"/>
    <w:rsid w:val="6EAC7306"/>
    <w:rsid w:val="6EB12337"/>
    <w:rsid w:val="6EB16316"/>
    <w:rsid w:val="6EB3B3F8"/>
    <w:rsid w:val="6EBD9040"/>
    <w:rsid w:val="6EC132F1"/>
    <w:rsid w:val="6EC59C36"/>
    <w:rsid w:val="6EC96D0D"/>
    <w:rsid w:val="6ED0E926"/>
    <w:rsid w:val="6ED2A6ED"/>
    <w:rsid w:val="6ED4E3EB"/>
    <w:rsid w:val="6EDD02D4"/>
    <w:rsid w:val="6EE3879D"/>
    <w:rsid w:val="6EE5D24D"/>
    <w:rsid w:val="6EE5FFB3"/>
    <w:rsid w:val="6EE8291D"/>
    <w:rsid w:val="6EE8C53E"/>
    <w:rsid w:val="6EE96152"/>
    <w:rsid w:val="6EEA0DE7"/>
    <w:rsid w:val="6EF534C5"/>
    <w:rsid w:val="6F038A7D"/>
    <w:rsid w:val="6F048BD5"/>
    <w:rsid w:val="6F0C55B3"/>
    <w:rsid w:val="6F1239A4"/>
    <w:rsid w:val="6F175F97"/>
    <w:rsid w:val="6F18903D"/>
    <w:rsid w:val="6F1ADA3A"/>
    <w:rsid w:val="6F1B5749"/>
    <w:rsid w:val="6F201914"/>
    <w:rsid w:val="6F23343C"/>
    <w:rsid w:val="6F243ABE"/>
    <w:rsid w:val="6F3BD737"/>
    <w:rsid w:val="6F3C020A"/>
    <w:rsid w:val="6F503004"/>
    <w:rsid w:val="6F550BA9"/>
    <w:rsid w:val="6F5FEE84"/>
    <w:rsid w:val="6F605BEE"/>
    <w:rsid w:val="6F7A3027"/>
    <w:rsid w:val="6F82E6F8"/>
    <w:rsid w:val="6F838628"/>
    <w:rsid w:val="6F920E1C"/>
    <w:rsid w:val="6F932C0D"/>
    <w:rsid w:val="6FA0781D"/>
    <w:rsid w:val="6FB8A688"/>
    <w:rsid w:val="6FBFF7F7"/>
    <w:rsid w:val="6FC8105F"/>
    <w:rsid w:val="6FC89E11"/>
    <w:rsid w:val="6FD4069B"/>
    <w:rsid w:val="6FD4B91E"/>
    <w:rsid w:val="6FD6E59C"/>
    <w:rsid w:val="6FECE078"/>
    <w:rsid w:val="6FF3F5B8"/>
    <w:rsid w:val="6FF66E22"/>
    <w:rsid w:val="700DD465"/>
    <w:rsid w:val="70127A4B"/>
    <w:rsid w:val="7017CE61"/>
    <w:rsid w:val="701C53E0"/>
    <w:rsid w:val="701D0F6A"/>
    <w:rsid w:val="701F698D"/>
    <w:rsid w:val="702E0B88"/>
    <w:rsid w:val="702E5273"/>
    <w:rsid w:val="703002B6"/>
    <w:rsid w:val="70359D66"/>
    <w:rsid w:val="7037A9D3"/>
    <w:rsid w:val="70400E98"/>
    <w:rsid w:val="7040A7F9"/>
    <w:rsid w:val="70438B72"/>
    <w:rsid w:val="7043D8CC"/>
    <w:rsid w:val="7045935B"/>
    <w:rsid w:val="704597A1"/>
    <w:rsid w:val="70486706"/>
    <w:rsid w:val="7049632D"/>
    <w:rsid w:val="704CA5AF"/>
    <w:rsid w:val="704EB54A"/>
    <w:rsid w:val="7055C5FB"/>
    <w:rsid w:val="70700A87"/>
    <w:rsid w:val="70706589"/>
    <w:rsid w:val="707D4B3B"/>
    <w:rsid w:val="707E63E9"/>
    <w:rsid w:val="708DE231"/>
    <w:rsid w:val="7099F775"/>
    <w:rsid w:val="709FD8D4"/>
    <w:rsid w:val="70A15DF2"/>
    <w:rsid w:val="70A8D87A"/>
    <w:rsid w:val="70B38125"/>
    <w:rsid w:val="70C2D5CD"/>
    <w:rsid w:val="70C3BF3B"/>
    <w:rsid w:val="70C841B2"/>
    <w:rsid w:val="70CC3711"/>
    <w:rsid w:val="70CFFF1B"/>
    <w:rsid w:val="70DFE9DB"/>
    <w:rsid w:val="70E20D17"/>
    <w:rsid w:val="70E611A1"/>
    <w:rsid w:val="70E71504"/>
    <w:rsid w:val="70F2890C"/>
    <w:rsid w:val="70F9144E"/>
    <w:rsid w:val="7102D71A"/>
    <w:rsid w:val="710370DA"/>
    <w:rsid w:val="71127CBB"/>
    <w:rsid w:val="7119EBB1"/>
    <w:rsid w:val="71221C37"/>
    <w:rsid w:val="712CB1C1"/>
    <w:rsid w:val="7136FBD8"/>
    <w:rsid w:val="713F06E1"/>
    <w:rsid w:val="715AA3FA"/>
    <w:rsid w:val="715B6BB7"/>
    <w:rsid w:val="716144A0"/>
    <w:rsid w:val="7162B33C"/>
    <w:rsid w:val="7162DBC4"/>
    <w:rsid w:val="71674573"/>
    <w:rsid w:val="71726F3B"/>
    <w:rsid w:val="71750954"/>
    <w:rsid w:val="717BC497"/>
    <w:rsid w:val="7180D4BF"/>
    <w:rsid w:val="718BBF33"/>
    <w:rsid w:val="719C4ABE"/>
    <w:rsid w:val="71A7F1B0"/>
    <w:rsid w:val="71B83B5D"/>
    <w:rsid w:val="71B951DB"/>
    <w:rsid w:val="71C3B751"/>
    <w:rsid w:val="71CA3978"/>
    <w:rsid w:val="71E2B36A"/>
    <w:rsid w:val="71EA7F37"/>
    <w:rsid w:val="71F94F36"/>
    <w:rsid w:val="71FAC3F8"/>
    <w:rsid w:val="71FCA290"/>
    <w:rsid w:val="720C8D20"/>
    <w:rsid w:val="72100AF0"/>
    <w:rsid w:val="7223EBE2"/>
    <w:rsid w:val="7226FA9B"/>
    <w:rsid w:val="72277149"/>
    <w:rsid w:val="7228B8DB"/>
    <w:rsid w:val="7237E133"/>
    <w:rsid w:val="723DD627"/>
    <w:rsid w:val="7243A05A"/>
    <w:rsid w:val="7243FC9E"/>
    <w:rsid w:val="72442C82"/>
    <w:rsid w:val="724A18DE"/>
    <w:rsid w:val="725EBBBB"/>
    <w:rsid w:val="7261DDDF"/>
    <w:rsid w:val="7266B1E6"/>
    <w:rsid w:val="726EB725"/>
    <w:rsid w:val="728490CE"/>
    <w:rsid w:val="72A33CBE"/>
    <w:rsid w:val="72A538BE"/>
    <w:rsid w:val="72BCDA00"/>
    <w:rsid w:val="72BEE817"/>
    <w:rsid w:val="72BF127F"/>
    <w:rsid w:val="72CE7F6F"/>
    <w:rsid w:val="72CFFBB0"/>
    <w:rsid w:val="72D77F8D"/>
    <w:rsid w:val="72E1C016"/>
    <w:rsid w:val="72E3D8FB"/>
    <w:rsid w:val="72E4BA4C"/>
    <w:rsid w:val="72E97001"/>
    <w:rsid w:val="72FC4D22"/>
    <w:rsid w:val="730A2ADA"/>
    <w:rsid w:val="730E7D4B"/>
    <w:rsid w:val="73141F2E"/>
    <w:rsid w:val="73169C7F"/>
    <w:rsid w:val="73299539"/>
    <w:rsid w:val="732C90FF"/>
    <w:rsid w:val="734C8AB3"/>
    <w:rsid w:val="734E816D"/>
    <w:rsid w:val="7353B3BC"/>
    <w:rsid w:val="735D40F8"/>
    <w:rsid w:val="73684601"/>
    <w:rsid w:val="7378E0B4"/>
    <w:rsid w:val="737A0D63"/>
    <w:rsid w:val="738468E5"/>
    <w:rsid w:val="73889259"/>
    <w:rsid w:val="73944429"/>
    <w:rsid w:val="739F828D"/>
    <w:rsid w:val="73A1C122"/>
    <w:rsid w:val="73AA65A1"/>
    <w:rsid w:val="73B147A8"/>
    <w:rsid w:val="73B4172C"/>
    <w:rsid w:val="73BB1AB4"/>
    <w:rsid w:val="73CA73C4"/>
    <w:rsid w:val="73D1AB4D"/>
    <w:rsid w:val="73D50DDA"/>
    <w:rsid w:val="73D51421"/>
    <w:rsid w:val="73D689A7"/>
    <w:rsid w:val="73D99760"/>
    <w:rsid w:val="73EFC006"/>
    <w:rsid w:val="73F181BD"/>
    <w:rsid w:val="73F4F858"/>
    <w:rsid w:val="73F58104"/>
    <w:rsid w:val="73F9E4DB"/>
    <w:rsid w:val="73FA21C0"/>
    <w:rsid w:val="74050D72"/>
    <w:rsid w:val="74057F36"/>
    <w:rsid w:val="741185FD"/>
    <w:rsid w:val="74121D01"/>
    <w:rsid w:val="74173568"/>
    <w:rsid w:val="7418B752"/>
    <w:rsid w:val="741991D1"/>
    <w:rsid w:val="74200E3D"/>
    <w:rsid w:val="7420206D"/>
    <w:rsid w:val="7423392D"/>
    <w:rsid w:val="74260D9E"/>
    <w:rsid w:val="742D8564"/>
    <w:rsid w:val="74366962"/>
    <w:rsid w:val="743B2A93"/>
    <w:rsid w:val="743D32BB"/>
    <w:rsid w:val="743DBACD"/>
    <w:rsid w:val="7440D4BB"/>
    <w:rsid w:val="7440E006"/>
    <w:rsid w:val="7452BB8A"/>
    <w:rsid w:val="7452FE55"/>
    <w:rsid w:val="7453D749"/>
    <w:rsid w:val="745D9363"/>
    <w:rsid w:val="745EBEAD"/>
    <w:rsid w:val="74636F4C"/>
    <w:rsid w:val="74652BE7"/>
    <w:rsid w:val="7466FA90"/>
    <w:rsid w:val="746F56C3"/>
    <w:rsid w:val="746FB1E5"/>
    <w:rsid w:val="74718A22"/>
    <w:rsid w:val="747353F5"/>
    <w:rsid w:val="747378DD"/>
    <w:rsid w:val="747A67E5"/>
    <w:rsid w:val="749DA088"/>
    <w:rsid w:val="74A141A2"/>
    <w:rsid w:val="74A667AF"/>
    <w:rsid w:val="74A78B2F"/>
    <w:rsid w:val="74A96F0F"/>
    <w:rsid w:val="74B6A37D"/>
    <w:rsid w:val="74BD64C8"/>
    <w:rsid w:val="74BF66D3"/>
    <w:rsid w:val="74BF6F03"/>
    <w:rsid w:val="74C567F3"/>
    <w:rsid w:val="74C782E5"/>
    <w:rsid w:val="74C7F215"/>
    <w:rsid w:val="74C9A21D"/>
    <w:rsid w:val="74CD2BAF"/>
    <w:rsid w:val="74CE7086"/>
    <w:rsid w:val="74D36500"/>
    <w:rsid w:val="74D64E00"/>
    <w:rsid w:val="74D71B48"/>
    <w:rsid w:val="74D7CAFF"/>
    <w:rsid w:val="74D8AF18"/>
    <w:rsid w:val="74E0D55C"/>
    <w:rsid w:val="750347E5"/>
    <w:rsid w:val="7509214E"/>
    <w:rsid w:val="7509F96F"/>
    <w:rsid w:val="750BFA28"/>
    <w:rsid w:val="750F1E0A"/>
    <w:rsid w:val="751FE1D2"/>
    <w:rsid w:val="7520F311"/>
    <w:rsid w:val="753DFEFF"/>
    <w:rsid w:val="754141C9"/>
    <w:rsid w:val="7549F415"/>
    <w:rsid w:val="754E0D49"/>
    <w:rsid w:val="7552E68E"/>
    <w:rsid w:val="75543909"/>
    <w:rsid w:val="755591DC"/>
    <w:rsid w:val="755988CE"/>
    <w:rsid w:val="75611BAB"/>
    <w:rsid w:val="75661410"/>
    <w:rsid w:val="75717880"/>
    <w:rsid w:val="7576A575"/>
    <w:rsid w:val="75789D70"/>
    <w:rsid w:val="7587E743"/>
    <w:rsid w:val="75886208"/>
    <w:rsid w:val="759D3980"/>
    <w:rsid w:val="75A9DA4D"/>
    <w:rsid w:val="75B58D11"/>
    <w:rsid w:val="75BB82A2"/>
    <w:rsid w:val="75CE7979"/>
    <w:rsid w:val="75D68FD5"/>
    <w:rsid w:val="75E49C60"/>
    <w:rsid w:val="75ED80CF"/>
    <w:rsid w:val="75FA76CD"/>
    <w:rsid w:val="76045FBA"/>
    <w:rsid w:val="76069728"/>
    <w:rsid w:val="76079F22"/>
    <w:rsid w:val="760BAA6F"/>
    <w:rsid w:val="760BC9A7"/>
    <w:rsid w:val="761146B6"/>
    <w:rsid w:val="761A5402"/>
    <w:rsid w:val="761EDE7C"/>
    <w:rsid w:val="762D5A36"/>
    <w:rsid w:val="762D6FB3"/>
    <w:rsid w:val="762E45B1"/>
    <w:rsid w:val="7631105B"/>
    <w:rsid w:val="76317CAC"/>
    <w:rsid w:val="763A444C"/>
    <w:rsid w:val="764A986C"/>
    <w:rsid w:val="765AC577"/>
    <w:rsid w:val="765E16B6"/>
    <w:rsid w:val="766A32B0"/>
    <w:rsid w:val="766A8094"/>
    <w:rsid w:val="76772095"/>
    <w:rsid w:val="767BA822"/>
    <w:rsid w:val="768A039B"/>
    <w:rsid w:val="768A39D9"/>
    <w:rsid w:val="768A3FD5"/>
    <w:rsid w:val="7691BB6A"/>
    <w:rsid w:val="76A4E046"/>
    <w:rsid w:val="76AE5754"/>
    <w:rsid w:val="76B87003"/>
    <w:rsid w:val="76C108C3"/>
    <w:rsid w:val="76CB58F9"/>
    <w:rsid w:val="76D2CE68"/>
    <w:rsid w:val="76DA9901"/>
    <w:rsid w:val="76DB466B"/>
    <w:rsid w:val="76DDFB27"/>
    <w:rsid w:val="76E8B760"/>
    <w:rsid w:val="76E98CF0"/>
    <w:rsid w:val="76EEFBDC"/>
    <w:rsid w:val="76F03C96"/>
    <w:rsid w:val="76F089AD"/>
    <w:rsid w:val="76F1AE09"/>
    <w:rsid w:val="76F31FC5"/>
    <w:rsid w:val="76F847FC"/>
    <w:rsid w:val="76F8DCE0"/>
    <w:rsid w:val="7705E58E"/>
    <w:rsid w:val="770ECFE5"/>
    <w:rsid w:val="771C5489"/>
    <w:rsid w:val="7722856D"/>
    <w:rsid w:val="7723BF77"/>
    <w:rsid w:val="77295CB6"/>
    <w:rsid w:val="77383B55"/>
    <w:rsid w:val="773A2D52"/>
    <w:rsid w:val="77404241"/>
    <w:rsid w:val="77416C84"/>
    <w:rsid w:val="77429A43"/>
    <w:rsid w:val="7742BD21"/>
    <w:rsid w:val="7748A151"/>
    <w:rsid w:val="776DBF57"/>
    <w:rsid w:val="7771079A"/>
    <w:rsid w:val="7777E030"/>
    <w:rsid w:val="777D868D"/>
    <w:rsid w:val="777EA2FC"/>
    <w:rsid w:val="7799522B"/>
    <w:rsid w:val="779BFDBF"/>
    <w:rsid w:val="779E9C3F"/>
    <w:rsid w:val="77A32562"/>
    <w:rsid w:val="77A90DA5"/>
    <w:rsid w:val="77B00247"/>
    <w:rsid w:val="77B3A054"/>
    <w:rsid w:val="77B9E4BB"/>
    <w:rsid w:val="77BCD1C6"/>
    <w:rsid w:val="77BEBC34"/>
    <w:rsid w:val="77C44FC4"/>
    <w:rsid w:val="77D792A7"/>
    <w:rsid w:val="77D7C88B"/>
    <w:rsid w:val="77D8BEBD"/>
    <w:rsid w:val="77DD7D88"/>
    <w:rsid w:val="77E0C9DA"/>
    <w:rsid w:val="77E503DE"/>
    <w:rsid w:val="77F459ED"/>
    <w:rsid w:val="77F896EE"/>
    <w:rsid w:val="780446C3"/>
    <w:rsid w:val="7804EEFA"/>
    <w:rsid w:val="780C8CED"/>
    <w:rsid w:val="780EEE3E"/>
    <w:rsid w:val="780F0015"/>
    <w:rsid w:val="7819A2E2"/>
    <w:rsid w:val="781B6FA6"/>
    <w:rsid w:val="78279A36"/>
    <w:rsid w:val="78281E00"/>
    <w:rsid w:val="78318896"/>
    <w:rsid w:val="7844D814"/>
    <w:rsid w:val="7846AC5B"/>
    <w:rsid w:val="784AC897"/>
    <w:rsid w:val="784B1DAE"/>
    <w:rsid w:val="784CEC19"/>
    <w:rsid w:val="784E7B4D"/>
    <w:rsid w:val="7850EFB8"/>
    <w:rsid w:val="785569ED"/>
    <w:rsid w:val="78591DB2"/>
    <w:rsid w:val="78639399"/>
    <w:rsid w:val="7865BE01"/>
    <w:rsid w:val="7869F4DB"/>
    <w:rsid w:val="786B4FB1"/>
    <w:rsid w:val="786C7B94"/>
    <w:rsid w:val="78794100"/>
    <w:rsid w:val="78799B3F"/>
    <w:rsid w:val="787A3E2B"/>
    <w:rsid w:val="787FF458"/>
    <w:rsid w:val="78811456"/>
    <w:rsid w:val="7882AC9D"/>
    <w:rsid w:val="788488F2"/>
    <w:rsid w:val="788A5BE6"/>
    <w:rsid w:val="788F294A"/>
    <w:rsid w:val="78954D14"/>
    <w:rsid w:val="7899ED32"/>
    <w:rsid w:val="789B85E4"/>
    <w:rsid w:val="789BD677"/>
    <w:rsid w:val="789C63B2"/>
    <w:rsid w:val="78A5095A"/>
    <w:rsid w:val="78A6D64A"/>
    <w:rsid w:val="78B2FC96"/>
    <w:rsid w:val="78B3438B"/>
    <w:rsid w:val="78B4B491"/>
    <w:rsid w:val="78C0A272"/>
    <w:rsid w:val="78D00B4A"/>
    <w:rsid w:val="78D9EABD"/>
    <w:rsid w:val="78E200F9"/>
    <w:rsid w:val="78E45070"/>
    <w:rsid w:val="78EC82AC"/>
    <w:rsid w:val="78F2FF7A"/>
    <w:rsid w:val="78FAEC97"/>
    <w:rsid w:val="790A8559"/>
    <w:rsid w:val="790F9CB8"/>
    <w:rsid w:val="790FA065"/>
    <w:rsid w:val="7911F8EA"/>
    <w:rsid w:val="7919BA46"/>
    <w:rsid w:val="7921EDC9"/>
    <w:rsid w:val="792C5E1E"/>
    <w:rsid w:val="792EEBD7"/>
    <w:rsid w:val="793214A3"/>
    <w:rsid w:val="793D98EF"/>
    <w:rsid w:val="793E747B"/>
    <w:rsid w:val="793E8D09"/>
    <w:rsid w:val="7947193F"/>
    <w:rsid w:val="794FA03F"/>
    <w:rsid w:val="795078A6"/>
    <w:rsid w:val="795786DD"/>
    <w:rsid w:val="795A548F"/>
    <w:rsid w:val="795A5676"/>
    <w:rsid w:val="795C8A4E"/>
    <w:rsid w:val="79610274"/>
    <w:rsid w:val="7961BA51"/>
    <w:rsid w:val="79644977"/>
    <w:rsid w:val="79669516"/>
    <w:rsid w:val="796CAE82"/>
    <w:rsid w:val="79767D6B"/>
    <w:rsid w:val="797B4CD1"/>
    <w:rsid w:val="797F1FAB"/>
    <w:rsid w:val="79824A8F"/>
    <w:rsid w:val="798830D5"/>
    <w:rsid w:val="799E6888"/>
    <w:rsid w:val="79A13105"/>
    <w:rsid w:val="79A31E58"/>
    <w:rsid w:val="79A5CFDF"/>
    <w:rsid w:val="79B71430"/>
    <w:rsid w:val="79BB8BAC"/>
    <w:rsid w:val="79BB95DC"/>
    <w:rsid w:val="79CE477C"/>
    <w:rsid w:val="79D35A67"/>
    <w:rsid w:val="79D3AEDB"/>
    <w:rsid w:val="79E043F5"/>
    <w:rsid w:val="79E0CD93"/>
    <w:rsid w:val="79E814E5"/>
    <w:rsid w:val="79ECEEA9"/>
    <w:rsid w:val="79F412E7"/>
    <w:rsid w:val="79F5DF4A"/>
    <w:rsid w:val="79F972C3"/>
    <w:rsid w:val="79FF03CB"/>
    <w:rsid w:val="7A00E339"/>
    <w:rsid w:val="7A1230DD"/>
    <w:rsid w:val="7A1C7FF2"/>
    <w:rsid w:val="7A1D40F6"/>
    <w:rsid w:val="7A22DADE"/>
    <w:rsid w:val="7A239396"/>
    <w:rsid w:val="7A2CBAAC"/>
    <w:rsid w:val="7A39C84C"/>
    <w:rsid w:val="7A454DCE"/>
    <w:rsid w:val="7A4719B1"/>
    <w:rsid w:val="7A4AA0D6"/>
    <w:rsid w:val="7A580327"/>
    <w:rsid w:val="7A5E97B7"/>
    <w:rsid w:val="7A62732D"/>
    <w:rsid w:val="7A632AC8"/>
    <w:rsid w:val="7A6968C8"/>
    <w:rsid w:val="7A6F83B2"/>
    <w:rsid w:val="7A7570C7"/>
    <w:rsid w:val="7A7FA175"/>
    <w:rsid w:val="7A86D280"/>
    <w:rsid w:val="7A871176"/>
    <w:rsid w:val="7A92789E"/>
    <w:rsid w:val="7A9B8E2F"/>
    <w:rsid w:val="7A9B9CD4"/>
    <w:rsid w:val="7AADD2FD"/>
    <w:rsid w:val="7AB2DF6E"/>
    <w:rsid w:val="7ABB242D"/>
    <w:rsid w:val="7AC2CE6A"/>
    <w:rsid w:val="7AC3F794"/>
    <w:rsid w:val="7ACBBC19"/>
    <w:rsid w:val="7AD5335E"/>
    <w:rsid w:val="7AD69472"/>
    <w:rsid w:val="7ADF652B"/>
    <w:rsid w:val="7AEB809E"/>
    <w:rsid w:val="7AED031B"/>
    <w:rsid w:val="7AF73FA0"/>
    <w:rsid w:val="7AFD5C05"/>
    <w:rsid w:val="7B01BA2E"/>
    <w:rsid w:val="7B0983CC"/>
    <w:rsid w:val="7B0BF9ED"/>
    <w:rsid w:val="7B224A44"/>
    <w:rsid w:val="7B230411"/>
    <w:rsid w:val="7B38F8EC"/>
    <w:rsid w:val="7B4CB172"/>
    <w:rsid w:val="7B4E5652"/>
    <w:rsid w:val="7B4F1C93"/>
    <w:rsid w:val="7B50A472"/>
    <w:rsid w:val="7B6458C4"/>
    <w:rsid w:val="7B64CFD1"/>
    <w:rsid w:val="7B6F0B9F"/>
    <w:rsid w:val="7B71464A"/>
    <w:rsid w:val="7B7280D3"/>
    <w:rsid w:val="7B7289EE"/>
    <w:rsid w:val="7B748191"/>
    <w:rsid w:val="7B748612"/>
    <w:rsid w:val="7B80E9F8"/>
    <w:rsid w:val="7B86642F"/>
    <w:rsid w:val="7B885D31"/>
    <w:rsid w:val="7B88A365"/>
    <w:rsid w:val="7B9A0D0E"/>
    <w:rsid w:val="7B9D8EDA"/>
    <w:rsid w:val="7BA6E2D8"/>
    <w:rsid w:val="7BBA4731"/>
    <w:rsid w:val="7BC1A4EB"/>
    <w:rsid w:val="7BC50D31"/>
    <w:rsid w:val="7BCCB106"/>
    <w:rsid w:val="7BD5014B"/>
    <w:rsid w:val="7BDAF78C"/>
    <w:rsid w:val="7BE28CF7"/>
    <w:rsid w:val="7BED0462"/>
    <w:rsid w:val="7BF00F09"/>
    <w:rsid w:val="7BF1354D"/>
    <w:rsid w:val="7BF4D20B"/>
    <w:rsid w:val="7BFC9BD9"/>
    <w:rsid w:val="7C13EDCA"/>
    <w:rsid w:val="7C19EB4B"/>
    <w:rsid w:val="7C1D4964"/>
    <w:rsid w:val="7C2D106A"/>
    <w:rsid w:val="7C35A010"/>
    <w:rsid w:val="7C432C6D"/>
    <w:rsid w:val="7C493D2F"/>
    <w:rsid w:val="7C511CD4"/>
    <w:rsid w:val="7C5B39C1"/>
    <w:rsid w:val="7C62B42C"/>
    <w:rsid w:val="7C668C99"/>
    <w:rsid w:val="7C6DB122"/>
    <w:rsid w:val="7C6E19BF"/>
    <w:rsid w:val="7C6F2E0B"/>
    <w:rsid w:val="7C6F4B9E"/>
    <w:rsid w:val="7C7562B3"/>
    <w:rsid w:val="7C7E4DB1"/>
    <w:rsid w:val="7C8D150E"/>
    <w:rsid w:val="7C95E7DF"/>
    <w:rsid w:val="7C9AC41B"/>
    <w:rsid w:val="7C9EE16B"/>
    <w:rsid w:val="7CA52B3B"/>
    <w:rsid w:val="7CA58AD4"/>
    <w:rsid w:val="7CA92B53"/>
    <w:rsid w:val="7CB166E5"/>
    <w:rsid w:val="7CB23605"/>
    <w:rsid w:val="7CB5FC84"/>
    <w:rsid w:val="7CB9BFDD"/>
    <w:rsid w:val="7CBF097D"/>
    <w:rsid w:val="7CBFBE5A"/>
    <w:rsid w:val="7CC7163F"/>
    <w:rsid w:val="7CC9473E"/>
    <w:rsid w:val="7CDCD091"/>
    <w:rsid w:val="7CE05795"/>
    <w:rsid w:val="7CF24D86"/>
    <w:rsid w:val="7CF3CC5D"/>
    <w:rsid w:val="7D0B641D"/>
    <w:rsid w:val="7D0E95CE"/>
    <w:rsid w:val="7D19296F"/>
    <w:rsid w:val="7D1B2226"/>
    <w:rsid w:val="7D1C3E3F"/>
    <w:rsid w:val="7D20C985"/>
    <w:rsid w:val="7D219FD0"/>
    <w:rsid w:val="7D233714"/>
    <w:rsid w:val="7D256C91"/>
    <w:rsid w:val="7D27D202"/>
    <w:rsid w:val="7D29D8C2"/>
    <w:rsid w:val="7D29E203"/>
    <w:rsid w:val="7D2AB355"/>
    <w:rsid w:val="7D356B7D"/>
    <w:rsid w:val="7D405AA9"/>
    <w:rsid w:val="7D40EBD1"/>
    <w:rsid w:val="7D420662"/>
    <w:rsid w:val="7D454AA6"/>
    <w:rsid w:val="7D483EE2"/>
    <w:rsid w:val="7D4B0CA3"/>
    <w:rsid w:val="7D505870"/>
    <w:rsid w:val="7D56F754"/>
    <w:rsid w:val="7D57B522"/>
    <w:rsid w:val="7D59FBBC"/>
    <w:rsid w:val="7D5FF38C"/>
    <w:rsid w:val="7D678E89"/>
    <w:rsid w:val="7D6ABD0E"/>
    <w:rsid w:val="7D6C33E1"/>
    <w:rsid w:val="7D6CF260"/>
    <w:rsid w:val="7D73C51E"/>
    <w:rsid w:val="7D73F235"/>
    <w:rsid w:val="7D7C6C4F"/>
    <w:rsid w:val="7D7DE12B"/>
    <w:rsid w:val="7D806803"/>
    <w:rsid w:val="7D83DE45"/>
    <w:rsid w:val="7D83E43E"/>
    <w:rsid w:val="7D855CAC"/>
    <w:rsid w:val="7D891495"/>
    <w:rsid w:val="7D89F695"/>
    <w:rsid w:val="7D8A1AC0"/>
    <w:rsid w:val="7D9297DB"/>
    <w:rsid w:val="7D998D3A"/>
    <w:rsid w:val="7DA17259"/>
    <w:rsid w:val="7DA89255"/>
    <w:rsid w:val="7DA97349"/>
    <w:rsid w:val="7DAF279E"/>
    <w:rsid w:val="7DB0CC68"/>
    <w:rsid w:val="7DBBAB34"/>
    <w:rsid w:val="7DC0DD47"/>
    <w:rsid w:val="7DC5D819"/>
    <w:rsid w:val="7DC90CDC"/>
    <w:rsid w:val="7DCDDA35"/>
    <w:rsid w:val="7DD84E02"/>
    <w:rsid w:val="7DEE23F2"/>
    <w:rsid w:val="7DF131B5"/>
    <w:rsid w:val="7DF62A38"/>
    <w:rsid w:val="7DFD3A61"/>
    <w:rsid w:val="7E11CA0A"/>
    <w:rsid w:val="7E120D26"/>
    <w:rsid w:val="7E1F16F6"/>
    <w:rsid w:val="7E22C58E"/>
    <w:rsid w:val="7E2FD6CE"/>
    <w:rsid w:val="7E348949"/>
    <w:rsid w:val="7E37BDC3"/>
    <w:rsid w:val="7E38ACE3"/>
    <w:rsid w:val="7E3A9761"/>
    <w:rsid w:val="7E3E87D5"/>
    <w:rsid w:val="7E476F73"/>
    <w:rsid w:val="7E4FADE0"/>
    <w:rsid w:val="7E55EBBD"/>
    <w:rsid w:val="7E56147E"/>
    <w:rsid w:val="7E57E883"/>
    <w:rsid w:val="7E5942C5"/>
    <w:rsid w:val="7E5DFD44"/>
    <w:rsid w:val="7E5FABEF"/>
    <w:rsid w:val="7E64967C"/>
    <w:rsid w:val="7E6C4580"/>
    <w:rsid w:val="7E71F983"/>
    <w:rsid w:val="7E869B3D"/>
    <w:rsid w:val="7E86B818"/>
    <w:rsid w:val="7E8F3C49"/>
    <w:rsid w:val="7EA8DF3A"/>
    <w:rsid w:val="7EABACB8"/>
    <w:rsid w:val="7EB16EBE"/>
    <w:rsid w:val="7EB30EAF"/>
    <w:rsid w:val="7EBE2AF8"/>
    <w:rsid w:val="7EC03A25"/>
    <w:rsid w:val="7EC20694"/>
    <w:rsid w:val="7EC71E0E"/>
    <w:rsid w:val="7EC7EF0F"/>
    <w:rsid w:val="7ECB9046"/>
    <w:rsid w:val="7ECC1B52"/>
    <w:rsid w:val="7ECD6454"/>
    <w:rsid w:val="7ED019F0"/>
    <w:rsid w:val="7EDC917B"/>
    <w:rsid w:val="7EDE3B75"/>
    <w:rsid w:val="7EF93537"/>
    <w:rsid w:val="7F006AC6"/>
    <w:rsid w:val="7F052D71"/>
    <w:rsid w:val="7F09B248"/>
    <w:rsid w:val="7F0BA1BE"/>
    <w:rsid w:val="7F101906"/>
    <w:rsid w:val="7F115071"/>
    <w:rsid w:val="7F129F73"/>
    <w:rsid w:val="7F16C0B2"/>
    <w:rsid w:val="7F16CF09"/>
    <w:rsid w:val="7F208F75"/>
    <w:rsid w:val="7F23DBDE"/>
    <w:rsid w:val="7F2D7C24"/>
    <w:rsid w:val="7F378FF4"/>
    <w:rsid w:val="7F3F1428"/>
    <w:rsid w:val="7F445BD5"/>
    <w:rsid w:val="7F495B5F"/>
    <w:rsid w:val="7F536264"/>
    <w:rsid w:val="7F552963"/>
    <w:rsid w:val="7F5D0FC4"/>
    <w:rsid w:val="7F603F8F"/>
    <w:rsid w:val="7F67ED04"/>
    <w:rsid w:val="7F7B2195"/>
    <w:rsid w:val="7F7E579F"/>
    <w:rsid w:val="7F7EFB25"/>
    <w:rsid w:val="7F8A8980"/>
    <w:rsid w:val="7F8E5FFD"/>
    <w:rsid w:val="7F98A4D0"/>
    <w:rsid w:val="7F9A8C4E"/>
    <w:rsid w:val="7FA17D9F"/>
    <w:rsid w:val="7FA31E89"/>
    <w:rsid w:val="7FA4EA5B"/>
    <w:rsid w:val="7FAABBE4"/>
    <w:rsid w:val="7FAB604B"/>
    <w:rsid w:val="7FAE73BA"/>
    <w:rsid w:val="7FB7806B"/>
    <w:rsid w:val="7FBC6991"/>
    <w:rsid w:val="7FBDD680"/>
    <w:rsid w:val="7FC1F2DD"/>
    <w:rsid w:val="7FC792CA"/>
    <w:rsid w:val="7FCD4EAF"/>
    <w:rsid w:val="7FD3F82A"/>
    <w:rsid w:val="7FED76C2"/>
    <w:rsid w:val="7FEDCAA2"/>
    <w:rsid w:val="7FEDED05"/>
    <w:rsid w:val="7FF901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1A31A"/>
  <w15:chartTrackingRefBased/>
  <w15:docId w15:val="{DA54A704-A55F-4ECC-802C-D201CA11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D71"/>
    <w:pPr>
      <w:spacing w:after="120" w:line="240" w:lineRule="auto"/>
    </w:pPr>
    <w:rPr>
      <w:rFonts w:eastAsia="Times New Roman"/>
    </w:rPr>
  </w:style>
  <w:style w:type="paragraph" w:styleId="Heading1">
    <w:name w:val="heading 1"/>
    <w:aliases w:val="1 Section"/>
    <w:basedOn w:val="Normal"/>
    <w:next w:val="Default"/>
    <w:link w:val="Heading1Char"/>
    <w:uiPriority w:val="9"/>
    <w:qFormat/>
    <w:rsid w:val="00DE1A48"/>
    <w:pPr>
      <w:keepNext/>
      <w:keepLines/>
      <w:spacing w:before="240" w:after="240"/>
      <w:outlineLvl w:val="0"/>
    </w:pPr>
    <w:rPr>
      <w:rFonts w:ascii="Calibri" w:eastAsiaTheme="majorEastAsia" w:hAnsi="Calibri" w:cstheme="majorBidi"/>
      <w:b/>
      <w:color w:val="2F5496"/>
      <w:sz w:val="28"/>
      <w:szCs w:val="32"/>
    </w:rPr>
  </w:style>
  <w:style w:type="paragraph" w:styleId="Heading2">
    <w:name w:val="heading 2"/>
    <w:aliases w:val="2 Subsection"/>
    <w:basedOn w:val="Normal"/>
    <w:next w:val="Normal"/>
    <w:link w:val="Heading2Char"/>
    <w:uiPriority w:val="9"/>
    <w:unhideWhenUsed/>
    <w:qFormat/>
    <w:rsid w:val="000F2B5B"/>
    <w:pPr>
      <w:keepNext/>
      <w:keepLines/>
      <w:spacing w:before="240"/>
      <w:outlineLvl w:val="1"/>
    </w:pPr>
    <w:rPr>
      <w:rFonts w:ascii="Calibri" w:eastAsiaTheme="majorEastAsia" w:hAnsi="Calibri" w:cstheme="majorBidi"/>
      <w:b/>
      <w:sz w:val="24"/>
      <w:szCs w:val="26"/>
    </w:rPr>
  </w:style>
  <w:style w:type="paragraph" w:styleId="Heading3">
    <w:name w:val="heading 3"/>
    <w:aliases w:val="3 Topic"/>
    <w:basedOn w:val="Normal"/>
    <w:next w:val="Normal"/>
    <w:link w:val="Heading3Char"/>
    <w:uiPriority w:val="9"/>
    <w:unhideWhenUsed/>
    <w:qFormat/>
    <w:rsid w:val="000F2B5B"/>
    <w:pPr>
      <w:keepNext/>
      <w:keepLines/>
      <w:spacing w:before="240"/>
      <w:outlineLvl w:val="2"/>
    </w:pPr>
    <w:rPr>
      <w:rFonts w:ascii="Calibri" w:eastAsiaTheme="majorEastAsia" w:hAnsi="Calibri" w:cstheme="majorBidi"/>
      <w:color w:val="2F5496"/>
      <w:sz w:val="24"/>
      <w:szCs w:val="24"/>
    </w:rPr>
  </w:style>
  <w:style w:type="paragraph" w:styleId="Heading4">
    <w:name w:val="heading 4"/>
    <w:aliases w:val="4 Subtopic"/>
    <w:basedOn w:val="Normal"/>
    <w:next w:val="Normal"/>
    <w:link w:val="Heading4Char"/>
    <w:uiPriority w:val="9"/>
    <w:unhideWhenUsed/>
    <w:qFormat/>
    <w:rsid w:val="000F2B5B"/>
    <w:pPr>
      <w:keepNext/>
      <w:keepLines/>
      <w:spacing w:before="240"/>
      <w:outlineLvl w:val="3"/>
    </w:pPr>
    <w:rPr>
      <w:rFonts w:ascii="Calibri" w:eastAsiaTheme="majorEastAsia" w:hAnsi="Calibri" w:cstheme="majorBidi"/>
      <w:b/>
      <w:iCs/>
      <w:sz w:val="24"/>
    </w:rPr>
  </w:style>
  <w:style w:type="paragraph" w:styleId="Heading5">
    <w:name w:val="heading 5"/>
    <w:basedOn w:val="Normal"/>
    <w:next w:val="Normal"/>
    <w:link w:val="Heading5Char"/>
    <w:uiPriority w:val="9"/>
    <w:unhideWhenUsed/>
    <w:qFormat/>
    <w:rsid w:val="00EB59F1"/>
    <w:pPr>
      <w:keepNext/>
      <w:keepLines/>
      <w:spacing w:before="40"/>
      <w:outlineLvl w:val="4"/>
    </w:pPr>
    <w:rPr>
      <w:rFonts w:asciiTheme="majorHAnsi" w:eastAsiaTheme="majorEastAsia" w:hAnsiTheme="majorHAnsi" w:cstheme="majorBidi"/>
      <w:color w:val="94989A" w:themeColor="accent1" w:themeShade="BF"/>
    </w:rPr>
  </w:style>
  <w:style w:type="paragraph" w:styleId="Heading6">
    <w:name w:val="heading 6"/>
    <w:basedOn w:val="Normal"/>
    <w:next w:val="Normal"/>
    <w:link w:val="Heading6Char"/>
    <w:uiPriority w:val="9"/>
    <w:unhideWhenUsed/>
    <w:qFormat/>
    <w:rsid w:val="00885FCE"/>
    <w:pPr>
      <w:keepNext/>
      <w:keepLines/>
      <w:spacing w:before="40"/>
      <w:outlineLvl w:val="5"/>
    </w:pPr>
    <w:rPr>
      <w:rFonts w:asciiTheme="majorHAnsi" w:eastAsiaTheme="majorEastAsia" w:hAnsiTheme="majorHAnsi" w:cstheme="majorBidi"/>
      <w:color w:val="626567"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9A1"/>
    <w:pPr>
      <w:ind w:left="720"/>
      <w:contextualSpacing/>
    </w:pPr>
  </w:style>
  <w:style w:type="paragraph" w:customStyle="1" w:styleId="xmsonormal">
    <w:name w:val="x_msonormal"/>
    <w:basedOn w:val="Normal"/>
    <w:rsid w:val="00C479A1"/>
    <w:rPr>
      <w:rFonts w:ascii="Calibri" w:eastAsiaTheme="minorHAnsi" w:hAnsi="Calibri" w:cs="Calibri"/>
    </w:rPr>
  </w:style>
  <w:style w:type="paragraph" w:styleId="Header">
    <w:name w:val="header"/>
    <w:basedOn w:val="Normal"/>
    <w:link w:val="HeaderChar"/>
    <w:uiPriority w:val="99"/>
    <w:unhideWhenUsed/>
    <w:rsid w:val="00C479A1"/>
    <w:pPr>
      <w:tabs>
        <w:tab w:val="center" w:pos="4680"/>
        <w:tab w:val="right" w:pos="9360"/>
      </w:tabs>
    </w:pPr>
  </w:style>
  <w:style w:type="character" w:customStyle="1" w:styleId="HeaderChar">
    <w:name w:val="Header Char"/>
    <w:basedOn w:val="DefaultParagraphFont"/>
    <w:link w:val="Header"/>
    <w:uiPriority w:val="99"/>
    <w:rsid w:val="00C479A1"/>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C479A1"/>
    <w:pPr>
      <w:tabs>
        <w:tab w:val="center" w:pos="4680"/>
        <w:tab w:val="right" w:pos="9360"/>
      </w:tabs>
    </w:pPr>
  </w:style>
  <w:style w:type="character" w:customStyle="1" w:styleId="FooterChar">
    <w:name w:val="Footer Char"/>
    <w:basedOn w:val="DefaultParagraphFont"/>
    <w:link w:val="Footer"/>
    <w:uiPriority w:val="99"/>
    <w:rsid w:val="00C479A1"/>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F97B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BF1"/>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115842"/>
    <w:rPr>
      <w:sz w:val="16"/>
      <w:szCs w:val="16"/>
    </w:rPr>
  </w:style>
  <w:style w:type="paragraph" w:styleId="CommentText">
    <w:name w:val="annotation text"/>
    <w:basedOn w:val="Normal"/>
    <w:link w:val="CommentTextChar"/>
    <w:uiPriority w:val="99"/>
    <w:unhideWhenUsed/>
    <w:rsid w:val="00115842"/>
    <w:rPr>
      <w:sz w:val="20"/>
    </w:rPr>
  </w:style>
  <w:style w:type="character" w:customStyle="1" w:styleId="CommentTextChar">
    <w:name w:val="Comment Text Char"/>
    <w:basedOn w:val="DefaultParagraphFont"/>
    <w:link w:val="CommentText"/>
    <w:uiPriority w:val="99"/>
    <w:rsid w:val="0011584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5842"/>
    <w:rPr>
      <w:b/>
      <w:bCs/>
    </w:rPr>
  </w:style>
  <w:style w:type="character" w:customStyle="1" w:styleId="CommentSubjectChar">
    <w:name w:val="Comment Subject Char"/>
    <w:basedOn w:val="CommentTextChar"/>
    <w:link w:val="CommentSubject"/>
    <w:uiPriority w:val="99"/>
    <w:semiHidden/>
    <w:rsid w:val="00115842"/>
    <w:rPr>
      <w:rFonts w:ascii="Times New Roman" w:eastAsia="Times New Roman" w:hAnsi="Times New Roman" w:cs="Times New Roman"/>
      <w:b/>
      <w:bCs/>
      <w:sz w:val="20"/>
      <w:szCs w:val="20"/>
    </w:rPr>
  </w:style>
  <w:style w:type="character" w:customStyle="1" w:styleId="Heading1Char">
    <w:name w:val="Heading 1 Char"/>
    <w:aliases w:val="1 Section Char"/>
    <w:basedOn w:val="DefaultParagraphFont"/>
    <w:link w:val="Heading1"/>
    <w:uiPriority w:val="9"/>
    <w:rsid w:val="0009114D"/>
    <w:rPr>
      <w:rFonts w:ascii="Calibri" w:eastAsiaTheme="majorEastAsia" w:hAnsi="Calibri" w:cstheme="majorBidi"/>
      <w:b/>
      <w:color w:val="2F5496"/>
      <w:sz w:val="28"/>
      <w:szCs w:val="32"/>
    </w:rPr>
  </w:style>
  <w:style w:type="character" w:customStyle="1" w:styleId="Heading2Char">
    <w:name w:val="Heading 2 Char"/>
    <w:aliases w:val="2 Subsection Char"/>
    <w:basedOn w:val="DefaultParagraphFont"/>
    <w:link w:val="Heading2"/>
    <w:uiPriority w:val="9"/>
    <w:rsid w:val="000F2B5B"/>
    <w:rPr>
      <w:rFonts w:ascii="Calibri" w:eastAsiaTheme="majorEastAsia" w:hAnsi="Calibri" w:cstheme="majorBidi"/>
      <w:b/>
      <w:sz w:val="24"/>
      <w:szCs w:val="26"/>
    </w:rPr>
  </w:style>
  <w:style w:type="character" w:customStyle="1" w:styleId="Heading3Char">
    <w:name w:val="Heading 3 Char"/>
    <w:aliases w:val="3 Topic Char"/>
    <w:basedOn w:val="DefaultParagraphFont"/>
    <w:link w:val="Heading3"/>
    <w:uiPriority w:val="9"/>
    <w:rsid w:val="000F2B5B"/>
    <w:rPr>
      <w:rFonts w:ascii="Calibri" w:eastAsiaTheme="majorEastAsia" w:hAnsi="Calibri" w:cstheme="majorBidi"/>
      <w:color w:val="2F5496"/>
      <w:sz w:val="24"/>
      <w:szCs w:val="24"/>
    </w:rPr>
  </w:style>
  <w:style w:type="table" w:styleId="TableGrid">
    <w:name w:val="Table Grid"/>
    <w:basedOn w:val="TableNormal"/>
    <w:uiPriority w:val="39"/>
    <w:rsid w:val="00EE6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4 Subtopic Char"/>
    <w:basedOn w:val="DefaultParagraphFont"/>
    <w:link w:val="Heading4"/>
    <w:uiPriority w:val="9"/>
    <w:rsid w:val="000F2B5B"/>
    <w:rPr>
      <w:rFonts w:ascii="Calibri" w:eastAsiaTheme="majorEastAsia" w:hAnsi="Calibri" w:cstheme="majorBidi"/>
      <w:b/>
      <w:iCs/>
      <w:sz w:val="24"/>
    </w:rPr>
  </w:style>
  <w:style w:type="paragraph" w:styleId="NoSpacing">
    <w:name w:val="No Spacing"/>
    <w:uiPriority w:val="1"/>
    <w:qFormat/>
    <w:rsid w:val="002758B5"/>
    <w:pPr>
      <w:spacing w:after="0" w:line="240" w:lineRule="auto"/>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B4652"/>
    <w:rPr>
      <w:color w:val="7A822E" w:themeColor="hyperlink"/>
      <w:u w:val="single"/>
    </w:rPr>
  </w:style>
  <w:style w:type="character" w:styleId="UnresolvedMention">
    <w:name w:val="Unresolved Mention"/>
    <w:basedOn w:val="DefaultParagraphFont"/>
    <w:uiPriority w:val="99"/>
    <w:unhideWhenUsed/>
    <w:rsid w:val="00FB4652"/>
    <w:rPr>
      <w:color w:val="605E5C"/>
      <w:shd w:val="clear" w:color="auto" w:fill="E1DFDD"/>
    </w:rPr>
  </w:style>
  <w:style w:type="character" w:styleId="FollowedHyperlink">
    <w:name w:val="FollowedHyperlink"/>
    <w:basedOn w:val="DefaultParagraphFont"/>
    <w:uiPriority w:val="99"/>
    <w:semiHidden/>
    <w:unhideWhenUsed/>
    <w:rsid w:val="00FB4652"/>
    <w:rPr>
      <w:color w:val="EC6400" w:themeColor="followedHyperlink"/>
      <w:u w:val="single"/>
    </w:rPr>
  </w:style>
  <w:style w:type="character" w:customStyle="1" w:styleId="Heading5Char">
    <w:name w:val="Heading 5 Char"/>
    <w:basedOn w:val="DefaultParagraphFont"/>
    <w:link w:val="Heading5"/>
    <w:uiPriority w:val="9"/>
    <w:rsid w:val="00EB59F1"/>
    <w:rPr>
      <w:rFonts w:asciiTheme="majorHAnsi" w:eastAsiaTheme="majorEastAsia" w:hAnsiTheme="majorHAnsi" w:cstheme="majorBidi"/>
      <w:color w:val="94989A" w:themeColor="accent1" w:themeShade="BF"/>
      <w:sz w:val="24"/>
      <w:szCs w:val="20"/>
    </w:rPr>
  </w:style>
  <w:style w:type="paragraph" w:styleId="TOCHeading">
    <w:name w:val="TOC Heading"/>
    <w:basedOn w:val="Heading1"/>
    <w:next w:val="Normal"/>
    <w:uiPriority w:val="39"/>
    <w:unhideWhenUsed/>
    <w:qFormat/>
    <w:rsid w:val="008A204C"/>
    <w:pPr>
      <w:spacing w:line="259" w:lineRule="auto"/>
      <w:outlineLvl w:val="9"/>
    </w:pPr>
  </w:style>
  <w:style w:type="paragraph" w:styleId="TOC1">
    <w:name w:val="toc 1"/>
    <w:basedOn w:val="Normal"/>
    <w:next w:val="Normal"/>
    <w:autoRedefine/>
    <w:uiPriority w:val="39"/>
    <w:unhideWhenUsed/>
    <w:rsid w:val="00F2342D"/>
    <w:pPr>
      <w:tabs>
        <w:tab w:val="left" w:pos="1540"/>
        <w:tab w:val="right" w:leader="dot" w:pos="10790"/>
      </w:tabs>
      <w:spacing w:after="100"/>
      <w:ind w:left="270"/>
    </w:pPr>
  </w:style>
  <w:style w:type="paragraph" w:styleId="TOC2">
    <w:name w:val="toc 2"/>
    <w:basedOn w:val="Normal"/>
    <w:next w:val="Normal"/>
    <w:autoRedefine/>
    <w:uiPriority w:val="39"/>
    <w:unhideWhenUsed/>
    <w:rsid w:val="008661D8"/>
    <w:pPr>
      <w:tabs>
        <w:tab w:val="right" w:leader="dot" w:pos="10790"/>
      </w:tabs>
      <w:spacing w:after="100"/>
      <w:ind w:left="720"/>
    </w:pPr>
  </w:style>
  <w:style w:type="paragraph" w:styleId="TOC3">
    <w:name w:val="toc 3"/>
    <w:basedOn w:val="Normal"/>
    <w:next w:val="Normal"/>
    <w:autoRedefine/>
    <w:uiPriority w:val="39"/>
    <w:unhideWhenUsed/>
    <w:rsid w:val="008A204C"/>
    <w:pPr>
      <w:spacing w:after="100" w:line="259" w:lineRule="auto"/>
      <w:ind w:left="440"/>
    </w:pPr>
    <w:rPr>
      <w:rFonts w:eastAsiaTheme="minorEastAsia"/>
    </w:rPr>
  </w:style>
  <w:style w:type="character" w:customStyle="1" w:styleId="normaltextrun">
    <w:name w:val="normaltextrun"/>
    <w:basedOn w:val="DefaultParagraphFont"/>
    <w:rsid w:val="00630896"/>
  </w:style>
  <w:style w:type="character" w:customStyle="1" w:styleId="eop">
    <w:name w:val="eop"/>
    <w:basedOn w:val="DefaultParagraphFont"/>
    <w:rsid w:val="00630896"/>
  </w:style>
  <w:style w:type="paragraph" w:styleId="NormalWeb">
    <w:name w:val="Normal (Web)"/>
    <w:basedOn w:val="Normal"/>
    <w:uiPriority w:val="99"/>
    <w:unhideWhenUsed/>
    <w:rsid w:val="00194D21"/>
    <w:pPr>
      <w:spacing w:after="150"/>
    </w:pPr>
    <w:rPr>
      <w:szCs w:val="24"/>
    </w:rPr>
  </w:style>
  <w:style w:type="paragraph" w:customStyle="1" w:styleId="Default">
    <w:name w:val="Default"/>
    <w:rsid w:val="0051795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nhideWhenUsed/>
    <w:rsid w:val="00DC446B"/>
    <w:rPr>
      <w:rFonts w:eastAsiaTheme="minorHAnsi"/>
      <w:sz w:val="20"/>
    </w:rPr>
  </w:style>
  <w:style w:type="character" w:customStyle="1" w:styleId="FootnoteTextChar">
    <w:name w:val="Footnote Text Char"/>
    <w:basedOn w:val="DefaultParagraphFont"/>
    <w:link w:val="FootnoteText"/>
    <w:rsid w:val="00DC446B"/>
    <w:rPr>
      <w:sz w:val="20"/>
    </w:rPr>
  </w:style>
  <w:style w:type="character" w:styleId="FootnoteReference">
    <w:name w:val="footnote reference"/>
    <w:basedOn w:val="DefaultParagraphFont"/>
    <w:unhideWhenUsed/>
    <w:rsid w:val="00DC446B"/>
    <w:rPr>
      <w:vertAlign w:val="superscript"/>
    </w:rPr>
  </w:style>
  <w:style w:type="character" w:styleId="Strong">
    <w:name w:val="Strong"/>
    <w:basedOn w:val="DefaultParagraphFont"/>
    <w:uiPriority w:val="22"/>
    <w:qFormat/>
    <w:rsid w:val="00F844DE"/>
    <w:rPr>
      <w:b/>
      <w:bCs/>
    </w:rPr>
  </w:style>
  <w:style w:type="paragraph" w:styleId="BodyText">
    <w:name w:val="Body Text"/>
    <w:basedOn w:val="Normal"/>
    <w:link w:val="BodyTextChar"/>
    <w:uiPriority w:val="1"/>
    <w:qFormat/>
    <w:rsid w:val="000B0265"/>
    <w:pPr>
      <w:widowControl w:val="0"/>
      <w:autoSpaceDE w:val="0"/>
      <w:autoSpaceDN w:val="0"/>
      <w:spacing w:after="100" w:afterAutospacing="1"/>
    </w:pPr>
    <w:rPr>
      <w:szCs w:val="24"/>
      <w:lang w:bidi="en-US"/>
    </w:rPr>
  </w:style>
  <w:style w:type="character" w:customStyle="1" w:styleId="BodyTextChar">
    <w:name w:val="Body Text Char"/>
    <w:basedOn w:val="DefaultParagraphFont"/>
    <w:link w:val="BodyText"/>
    <w:uiPriority w:val="1"/>
    <w:rsid w:val="000B0265"/>
    <w:rPr>
      <w:rFonts w:ascii="Palatino Linotype" w:eastAsia="Times New Roman" w:hAnsi="Palatino Linotype"/>
      <w:szCs w:val="24"/>
      <w:lang w:bidi="en-US"/>
    </w:rPr>
  </w:style>
  <w:style w:type="character" w:styleId="Mention">
    <w:name w:val="Mention"/>
    <w:basedOn w:val="DefaultParagraphFont"/>
    <w:uiPriority w:val="99"/>
    <w:unhideWhenUsed/>
    <w:rsid w:val="00F62378"/>
    <w:rPr>
      <w:color w:val="2B579A"/>
      <w:shd w:val="clear" w:color="auto" w:fill="E1DFDD"/>
    </w:rPr>
  </w:style>
  <w:style w:type="character" w:customStyle="1" w:styleId="Heading6Char">
    <w:name w:val="Heading 6 Char"/>
    <w:basedOn w:val="DefaultParagraphFont"/>
    <w:link w:val="Heading6"/>
    <w:uiPriority w:val="9"/>
    <w:rsid w:val="00885FCE"/>
    <w:rPr>
      <w:rFonts w:asciiTheme="majorHAnsi" w:eastAsiaTheme="majorEastAsia" w:hAnsiTheme="majorHAnsi" w:cstheme="majorBidi"/>
      <w:color w:val="626567" w:themeColor="accent1" w:themeShade="7F"/>
      <w:sz w:val="24"/>
      <w:szCs w:val="20"/>
    </w:rPr>
  </w:style>
  <w:style w:type="paragraph" w:customStyle="1" w:styleId="paragraph">
    <w:name w:val="paragraph"/>
    <w:basedOn w:val="Normal"/>
    <w:rsid w:val="000A0EF2"/>
    <w:pPr>
      <w:spacing w:before="100" w:beforeAutospacing="1" w:after="100" w:afterAutospacing="1"/>
    </w:pPr>
    <w:rPr>
      <w:szCs w:val="24"/>
    </w:rPr>
  </w:style>
  <w:style w:type="paragraph" w:styleId="Revision">
    <w:name w:val="Revision"/>
    <w:hidden/>
    <w:uiPriority w:val="99"/>
    <w:semiHidden/>
    <w:rsid w:val="008A260F"/>
    <w:pPr>
      <w:spacing w:after="0" w:line="240" w:lineRule="auto"/>
    </w:pPr>
    <w:rPr>
      <w:rFonts w:ascii="Times New Roman" w:eastAsia="Times New Roman" w:hAnsi="Times New Roman" w:cs="Times New Roman"/>
      <w:sz w:val="24"/>
      <w:szCs w:val="20"/>
    </w:rPr>
  </w:style>
  <w:style w:type="character" w:customStyle="1" w:styleId="mntl-inline-citation">
    <w:name w:val="mntl-inline-citation"/>
    <w:basedOn w:val="DefaultParagraphFont"/>
    <w:rsid w:val="00C41417"/>
  </w:style>
  <w:style w:type="paragraph" w:styleId="EndnoteText">
    <w:name w:val="endnote text"/>
    <w:basedOn w:val="Normal"/>
    <w:link w:val="EndnoteTextChar"/>
    <w:uiPriority w:val="99"/>
    <w:semiHidden/>
    <w:unhideWhenUsed/>
    <w:rsid w:val="00607AEF"/>
    <w:rPr>
      <w:sz w:val="20"/>
    </w:rPr>
  </w:style>
  <w:style w:type="character" w:customStyle="1" w:styleId="EndnoteTextChar">
    <w:name w:val="Endnote Text Char"/>
    <w:basedOn w:val="DefaultParagraphFont"/>
    <w:link w:val="EndnoteText"/>
    <w:uiPriority w:val="99"/>
    <w:semiHidden/>
    <w:rsid w:val="00607AEF"/>
    <w:rPr>
      <w:rFonts w:ascii="Times New Roman" w:eastAsia="Times New Roman" w:hAnsi="Times New Roman" w:cs="Times New Roman"/>
      <w:sz w:val="20"/>
      <w:szCs w:val="20"/>
    </w:rPr>
  </w:style>
  <w:style w:type="character" w:styleId="EndnoteReference">
    <w:name w:val="endnote reference"/>
    <w:basedOn w:val="DefaultParagraphFont"/>
    <w:uiPriority w:val="99"/>
    <w:unhideWhenUsed/>
    <w:rsid w:val="00607AEF"/>
    <w:rPr>
      <w:vertAlign w:val="superscript"/>
    </w:rPr>
  </w:style>
  <w:style w:type="paragraph" w:styleId="Title">
    <w:name w:val="Title"/>
    <w:basedOn w:val="Normal"/>
    <w:next w:val="Normal"/>
    <w:link w:val="TitleChar"/>
    <w:uiPriority w:val="10"/>
    <w:qFormat/>
    <w:rsid w:val="005064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850"/>
    <w:rPr>
      <w:rFonts w:asciiTheme="majorHAnsi" w:eastAsiaTheme="majorEastAsia" w:hAnsiTheme="majorHAnsi" w:cstheme="majorBidi"/>
      <w:spacing w:val="-10"/>
      <w:kern w:val="28"/>
      <w:sz w:val="56"/>
      <w:szCs w:val="56"/>
    </w:rPr>
  </w:style>
  <w:style w:type="paragraph" w:customStyle="1" w:styleId="FigureHeader">
    <w:name w:val="Figure Header"/>
    <w:basedOn w:val="BodyText"/>
    <w:link w:val="FigureHeaderChar"/>
    <w:autoRedefine/>
    <w:qFormat/>
    <w:rsid w:val="00381E39"/>
    <w:pPr>
      <w:keepNext/>
      <w:spacing w:after="120" w:afterAutospacing="0"/>
      <w:jc w:val="center"/>
    </w:pPr>
    <w:rPr>
      <w:rFonts w:ascii="Calibri" w:hAnsi="Calibri" w:cs="Times New Roman"/>
    </w:rPr>
  </w:style>
  <w:style w:type="character" w:customStyle="1" w:styleId="FigureHeaderChar">
    <w:name w:val="Figure Header Char"/>
    <w:basedOn w:val="BodyTextChar"/>
    <w:link w:val="FigureHeader"/>
    <w:rsid w:val="00381E39"/>
    <w:rPr>
      <w:rFonts w:ascii="Calibri" w:eastAsia="Times New Roman" w:hAnsi="Calibri" w:cs="Times New Roman"/>
      <w:szCs w:val="24"/>
      <w:lang w:bidi="en-US"/>
    </w:rPr>
  </w:style>
  <w:style w:type="paragraph" w:styleId="Caption">
    <w:name w:val="caption"/>
    <w:basedOn w:val="Normal"/>
    <w:next w:val="Normal"/>
    <w:uiPriority w:val="35"/>
    <w:unhideWhenUsed/>
    <w:qFormat/>
    <w:rsid w:val="000716AF"/>
    <w:pPr>
      <w:keepNext/>
      <w:spacing w:before="120"/>
      <w:jc w:val="center"/>
    </w:pPr>
    <w:rPr>
      <w:b/>
      <w:iCs/>
      <w:szCs w:val="18"/>
    </w:rPr>
  </w:style>
  <w:style w:type="table" w:customStyle="1" w:styleId="CustomTableFormat">
    <w:name w:val="Custom Table Format"/>
    <w:basedOn w:val="TableNormal"/>
    <w:uiPriority w:val="99"/>
    <w:rsid w:val="00492D88"/>
    <w:pPr>
      <w:spacing w:after="0" w:line="240" w:lineRule="auto"/>
    </w:pPr>
    <w:rPr>
      <w:rFonts w:ascii="Arial Narrow" w:hAnsi="Arial Narrow"/>
    </w:rPr>
    <w:tblPr>
      <w:tblStyleRowBandSize w:val="1"/>
    </w:tblPr>
    <w:tcPr>
      <w:shd w:val="clear" w:color="auto" w:fill="auto"/>
      <w:vAlign w:val="center"/>
    </w:tcPr>
    <w:tblStylePr w:type="firstRow">
      <w:pPr>
        <w:jc w:val="center"/>
      </w:pPr>
      <w:rPr>
        <w:rFonts w:ascii="Arial Narrow" w:hAnsi="Arial Narrow"/>
        <w:b/>
        <w:sz w:val="24"/>
      </w:rPr>
      <w:tblPr/>
      <w:trPr>
        <w:tblHeader/>
      </w:trPr>
      <w:tcPr>
        <w:tcBorders>
          <w:top w:val="single" w:sz="4" w:space="0" w:color="FFFFFF" w:themeColor="accent3"/>
          <w:left w:val="single" w:sz="4" w:space="0" w:color="FFFFFF" w:themeColor="accent3"/>
          <w:bottom w:val="single" w:sz="4" w:space="0" w:color="FFFFFF" w:themeColor="accent3"/>
          <w:right w:val="single" w:sz="4" w:space="0" w:color="FFFFFF" w:themeColor="accent3"/>
        </w:tcBorders>
        <w:shd w:val="clear" w:color="auto" w:fill="00447C" w:themeFill="background2"/>
      </w:tcPr>
    </w:tblStylePr>
    <w:tblStylePr w:type="firstCol">
      <w:pPr>
        <w:jc w:val="left"/>
      </w:p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E1E2E2" w:themeFill="accent5"/>
      </w:tcPr>
    </w:tblStylePr>
  </w:style>
  <w:style w:type="paragraph" w:customStyle="1" w:styleId="Tableandgraphtext">
    <w:name w:val="Table and graph text"/>
    <w:basedOn w:val="Normal"/>
    <w:link w:val="TableandgraphtextChar"/>
    <w:qFormat/>
    <w:rsid w:val="00920857"/>
    <w:rPr>
      <w:rFonts w:ascii="Arial Narrow" w:hAnsi="Arial Narrow"/>
    </w:rPr>
  </w:style>
  <w:style w:type="character" w:customStyle="1" w:styleId="TableandgraphtextChar">
    <w:name w:val="Table and graph text Char"/>
    <w:basedOn w:val="DefaultParagraphFont"/>
    <w:link w:val="Tableandgraphtext"/>
    <w:rsid w:val="00920857"/>
    <w:rPr>
      <w:rFonts w:ascii="Arial Narrow" w:eastAsia="Times New Roman" w:hAnsi="Arial Narrow"/>
    </w:rPr>
  </w:style>
  <w:style w:type="paragraph" w:styleId="TableofFigures">
    <w:name w:val="table of figures"/>
    <w:basedOn w:val="Normal"/>
    <w:next w:val="Normal"/>
    <w:uiPriority w:val="99"/>
    <w:unhideWhenUsed/>
    <w:rsid w:val="00181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442">
      <w:bodyDiv w:val="1"/>
      <w:marLeft w:val="0"/>
      <w:marRight w:val="0"/>
      <w:marTop w:val="0"/>
      <w:marBottom w:val="0"/>
      <w:divBdr>
        <w:top w:val="none" w:sz="0" w:space="0" w:color="auto"/>
        <w:left w:val="none" w:sz="0" w:space="0" w:color="auto"/>
        <w:bottom w:val="none" w:sz="0" w:space="0" w:color="auto"/>
        <w:right w:val="none" w:sz="0" w:space="0" w:color="auto"/>
      </w:divBdr>
    </w:div>
    <w:div w:id="10180161">
      <w:bodyDiv w:val="1"/>
      <w:marLeft w:val="0"/>
      <w:marRight w:val="0"/>
      <w:marTop w:val="0"/>
      <w:marBottom w:val="0"/>
      <w:divBdr>
        <w:top w:val="none" w:sz="0" w:space="0" w:color="auto"/>
        <w:left w:val="none" w:sz="0" w:space="0" w:color="auto"/>
        <w:bottom w:val="none" w:sz="0" w:space="0" w:color="auto"/>
        <w:right w:val="none" w:sz="0" w:space="0" w:color="auto"/>
      </w:divBdr>
    </w:div>
    <w:div w:id="15470998">
      <w:bodyDiv w:val="1"/>
      <w:marLeft w:val="0"/>
      <w:marRight w:val="0"/>
      <w:marTop w:val="0"/>
      <w:marBottom w:val="0"/>
      <w:divBdr>
        <w:top w:val="none" w:sz="0" w:space="0" w:color="auto"/>
        <w:left w:val="none" w:sz="0" w:space="0" w:color="auto"/>
        <w:bottom w:val="none" w:sz="0" w:space="0" w:color="auto"/>
        <w:right w:val="none" w:sz="0" w:space="0" w:color="auto"/>
      </w:divBdr>
    </w:div>
    <w:div w:id="25107842">
      <w:bodyDiv w:val="1"/>
      <w:marLeft w:val="0"/>
      <w:marRight w:val="0"/>
      <w:marTop w:val="0"/>
      <w:marBottom w:val="0"/>
      <w:divBdr>
        <w:top w:val="none" w:sz="0" w:space="0" w:color="auto"/>
        <w:left w:val="none" w:sz="0" w:space="0" w:color="auto"/>
        <w:bottom w:val="none" w:sz="0" w:space="0" w:color="auto"/>
        <w:right w:val="none" w:sz="0" w:space="0" w:color="auto"/>
      </w:divBdr>
    </w:div>
    <w:div w:id="31198463">
      <w:bodyDiv w:val="1"/>
      <w:marLeft w:val="0"/>
      <w:marRight w:val="0"/>
      <w:marTop w:val="0"/>
      <w:marBottom w:val="0"/>
      <w:divBdr>
        <w:top w:val="none" w:sz="0" w:space="0" w:color="auto"/>
        <w:left w:val="none" w:sz="0" w:space="0" w:color="auto"/>
        <w:bottom w:val="none" w:sz="0" w:space="0" w:color="auto"/>
        <w:right w:val="none" w:sz="0" w:space="0" w:color="auto"/>
      </w:divBdr>
    </w:div>
    <w:div w:id="34354835">
      <w:bodyDiv w:val="1"/>
      <w:marLeft w:val="0"/>
      <w:marRight w:val="0"/>
      <w:marTop w:val="0"/>
      <w:marBottom w:val="0"/>
      <w:divBdr>
        <w:top w:val="none" w:sz="0" w:space="0" w:color="auto"/>
        <w:left w:val="none" w:sz="0" w:space="0" w:color="auto"/>
        <w:bottom w:val="none" w:sz="0" w:space="0" w:color="auto"/>
        <w:right w:val="none" w:sz="0" w:space="0" w:color="auto"/>
      </w:divBdr>
    </w:div>
    <w:div w:id="34544599">
      <w:bodyDiv w:val="1"/>
      <w:marLeft w:val="0"/>
      <w:marRight w:val="0"/>
      <w:marTop w:val="0"/>
      <w:marBottom w:val="0"/>
      <w:divBdr>
        <w:top w:val="none" w:sz="0" w:space="0" w:color="auto"/>
        <w:left w:val="none" w:sz="0" w:space="0" w:color="auto"/>
        <w:bottom w:val="none" w:sz="0" w:space="0" w:color="auto"/>
        <w:right w:val="none" w:sz="0" w:space="0" w:color="auto"/>
      </w:divBdr>
    </w:div>
    <w:div w:id="37710892">
      <w:bodyDiv w:val="1"/>
      <w:marLeft w:val="0"/>
      <w:marRight w:val="0"/>
      <w:marTop w:val="0"/>
      <w:marBottom w:val="0"/>
      <w:divBdr>
        <w:top w:val="none" w:sz="0" w:space="0" w:color="auto"/>
        <w:left w:val="none" w:sz="0" w:space="0" w:color="auto"/>
        <w:bottom w:val="none" w:sz="0" w:space="0" w:color="auto"/>
        <w:right w:val="none" w:sz="0" w:space="0" w:color="auto"/>
      </w:divBdr>
    </w:div>
    <w:div w:id="44374089">
      <w:bodyDiv w:val="1"/>
      <w:marLeft w:val="0"/>
      <w:marRight w:val="0"/>
      <w:marTop w:val="0"/>
      <w:marBottom w:val="0"/>
      <w:divBdr>
        <w:top w:val="none" w:sz="0" w:space="0" w:color="auto"/>
        <w:left w:val="none" w:sz="0" w:space="0" w:color="auto"/>
        <w:bottom w:val="none" w:sz="0" w:space="0" w:color="auto"/>
        <w:right w:val="none" w:sz="0" w:space="0" w:color="auto"/>
      </w:divBdr>
      <w:divsChild>
        <w:div w:id="79449724">
          <w:marLeft w:val="0"/>
          <w:marRight w:val="0"/>
          <w:marTop w:val="0"/>
          <w:marBottom w:val="0"/>
          <w:divBdr>
            <w:top w:val="none" w:sz="0" w:space="0" w:color="auto"/>
            <w:left w:val="none" w:sz="0" w:space="0" w:color="auto"/>
            <w:bottom w:val="none" w:sz="0" w:space="0" w:color="auto"/>
            <w:right w:val="none" w:sz="0" w:space="0" w:color="auto"/>
          </w:divBdr>
        </w:div>
        <w:div w:id="662242483">
          <w:marLeft w:val="0"/>
          <w:marRight w:val="0"/>
          <w:marTop w:val="0"/>
          <w:marBottom w:val="0"/>
          <w:divBdr>
            <w:top w:val="none" w:sz="0" w:space="0" w:color="auto"/>
            <w:left w:val="none" w:sz="0" w:space="0" w:color="auto"/>
            <w:bottom w:val="none" w:sz="0" w:space="0" w:color="auto"/>
            <w:right w:val="none" w:sz="0" w:space="0" w:color="auto"/>
          </w:divBdr>
        </w:div>
        <w:div w:id="1551261282">
          <w:marLeft w:val="0"/>
          <w:marRight w:val="0"/>
          <w:marTop w:val="0"/>
          <w:marBottom w:val="0"/>
          <w:divBdr>
            <w:top w:val="none" w:sz="0" w:space="0" w:color="auto"/>
            <w:left w:val="none" w:sz="0" w:space="0" w:color="auto"/>
            <w:bottom w:val="none" w:sz="0" w:space="0" w:color="auto"/>
            <w:right w:val="none" w:sz="0" w:space="0" w:color="auto"/>
          </w:divBdr>
        </w:div>
      </w:divsChild>
    </w:div>
    <w:div w:id="44793407">
      <w:bodyDiv w:val="1"/>
      <w:marLeft w:val="0"/>
      <w:marRight w:val="0"/>
      <w:marTop w:val="0"/>
      <w:marBottom w:val="0"/>
      <w:divBdr>
        <w:top w:val="none" w:sz="0" w:space="0" w:color="auto"/>
        <w:left w:val="none" w:sz="0" w:space="0" w:color="auto"/>
        <w:bottom w:val="none" w:sz="0" w:space="0" w:color="auto"/>
        <w:right w:val="none" w:sz="0" w:space="0" w:color="auto"/>
      </w:divBdr>
    </w:div>
    <w:div w:id="44835955">
      <w:bodyDiv w:val="1"/>
      <w:marLeft w:val="0"/>
      <w:marRight w:val="0"/>
      <w:marTop w:val="0"/>
      <w:marBottom w:val="0"/>
      <w:divBdr>
        <w:top w:val="none" w:sz="0" w:space="0" w:color="auto"/>
        <w:left w:val="none" w:sz="0" w:space="0" w:color="auto"/>
        <w:bottom w:val="none" w:sz="0" w:space="0" w:color="auto"/>
        <w:right w:val="none" w:sz="0" w:space="0" w:color="auto"/>
      </w:divBdr>
    </w:div>
    <w:div w:id="45840496">
      <w:bodyDiv w:val="1"/>
      <w:marLeft w:val="0"/>
      <w:marRight w:val="0"/>
      <w:marTop w:val="0"/>
      <w:marBottom w:val="0"/>
      <w:divBdr>
        <w:top w:val="none" w:sz="0" w:space="0" w:color="auto"/>
        <w:left w:val="none" w:sz="0" w:space="0" w:color="auto"/>
        <w:bottom w:val="none" w:sz="0" w:space="0" w:color="auto"/>
        <w:right w:val="none" w:sz="0" w:space="0" w:color="auto"/>
      </w:divBdr>
    </w:div>
    <w:div w:id="53160700">
      <w:bodyDiv w:val="1"/>
      <w:marLeft w:val="0"/>
      <w:marRight w:val="0"/>
      <w:marTop w:val="0"/>
      <w:marBottom w:val="0"/>
      <w:divBdr>
        <w:top w:val="none" w:sz="0" w:space="0" w:color="auto"/>
        <w:left w:val="none" w:sz="0" w:space="0" w:color="auto"/>
        <w:bottom w:val="none" w:sz="0" w:space="0" w:color="auto"/>
        <w:right w:val="none" w:sz="0" w:space="0" w:color="auto"/>
      </w:divBdr>
    </w:div>
    <w:div w:id="60178923">
      <w:bodyDiv w:val="1"/>
      <w:marLeft w:val="0"/>
      <w:marRight w:val="0"/>
      <w:marTop w:val="0"/>
      <w:marBottom w:val="0"/>
      <w:divBdr>
        <w:top w:val="none" w:sz="0" w:space="0" w:color="auto"/>
        <w:left w:val="none" w:sz="0" w:space="0" w:color="auto"/>
        <w:bottom w:val="none" w:sz="0" w:space="0" w:color="auto"/>
        <w:right w:val="none" w:sz="0" w:space="0" w:color="auto"/>
      </w:divBdr>
    </w:div>
    <w:div w:id="67192887">
      <w:bodyDiv w:val="1"/>
      <w:marLeft w:val="0"/>
      <w:marRight w:val="0"/>
      <w:marTop w:val="0"/>
      <w:marBottom w:val="0"/>
      <w:divBdr>
        <w:top w:val="none" w:sz="0" w:space="0" w:color="auto"/>
        <w:left w:val="none" w:sz="0" w:space="0" w:color="auto"/>
        <w:bottom w:val="none" w:sz="0" w:space="0" w:color="auto"/>
        <w:right w:val="none" w:sz="0" w:space="0" w:color="auto"/>
      </w:divBdr>
    </w:div>
    <w:div w:id="70733979">
      <w:bodyDiv w:val="1"/>
      <w:marLeft w:val="0"/>
      <w:marRight w:val="0"/>
      <w:marTop w:val="0"/>
      <w:marBottom w:val="0"/>
      <w:divBdr>
        <w:top w:val="none" w:sz="0" w:space="0" w:color="auto"/>
        <w:left w:val="none" w:sz="0" w:space="0" w:color="auto"/>
        <w:bottom w:val="none" w:sz="0" w:space="0" w:color="auto"/>
        <w:right w:val="none" w:sz="0" w:space="0" w:color="auto"/>
      </w:divBdr>
    </w:div>
    <w:div w:id="78137444">
      <w:bodyDiv w:val="1"/>
      <w:marLeft w:val="0"/>
      <w:marRight w:val="0"/>
      <w:marTop w:val="0"/>
      <w:marBottom w:val="0"/>
      <w:divBdr>
        <w:top w:val="none" w:sz="0" w:space="0" w:color="auto"/>
        <w:left w:val="none" w:sz="0" w:space="0" w:color="auto"/>
        <w:bottom w:val="none" w:sz="0" w:space="0" w:color="auto"/>
        <w:right w:val="none" w:sz="0" w:space="0" w:color="auto"/>
      </w:divBdr>
    </w:div>
    <w:div w:id="80563163">
      <w:bodyDiv w:val="1"/>
      <w:marLeft w:val="0"/>
      <w:marRight w:val="0"/>
      <w:marTop w:val="0"/>
      <w:marBottom w:val="0"/>
      <w:divBdr>
        <w:top w:val="none" w:sz="0" w:space="0" w:color="auto"/>
        <w:left w:val="none" w:sz="0" w:space="0" w:color="auto"/>
        <w:bottom w:val="none" w:sz="0" w:space="0" w:color="auto"/>
        <w:right w:val="none" w:sz="0" w:space="0" w:color="auto"/>
      </w:divBdr>
    </w:div>
    <w:div w:id="84234422">
      <w:bodyDiv w:val="1"/>
      <w:marLeft w:val="0"/>
      <w:marRight w:val="0"/>
      <w:marTop w:val="0"/>
      <w:marBottom w:val="0"/>
      <w:divBdr>
        <w:top w:val="none" w:sz="0" w:space="0" w:color="auto"/>
        <w:left w:val="none" w:sz="0" w:space="0" w:color="auto"/>
        <w:bottom w:val="none" w:sz="0" w:space="0" w:color="auto"/>
        <w:right w:val="none" w:sz="0" w:space="0" w:color="auto"/>
      </w:divBdr>
    </w:div>
    <w:div w:id="91169496">
      <w:bodyDiv w:val="1"/>
      <w:marLeft w:val="0"/>
      <w:marRight w:val="0"/>
      <w:marTop w:val="0"/>
      <w:marBottom w:val="0"/>
      <w:divBdr>
        <w:top w:val="none" w:sz="0" w:space="0" w:color="auto"/>
        <w:left w:val="none" w:sz="0" w:space="0" w:color="auto"/>
        <w:bottom w:val="none" w:sz="0" w:space="0" w:color="auto"/>
        <w:right w:val="none" w:sz="0" w:space="0" w:color="auto"/>
      </w:divBdr>
    </w:div>
    <w:div w:id="95835412">
      <w:bodyDiv w:val="1"/>
      <w:marLeft w:val="0"/>
      <w:marRight w:val="0"/>
      <w:marTop w:val="0"/>
      <w:marBottom w:val="0"/>
      <w:divBdr>
        <w:top w:val="none" w:sz="0" w:space="0" w:color="auto"/>
        <w:left w:val="none" w:sz="0" w:space="0" w:color="auto"/>
        <w:bottom w:val="none" w:sz="0" w:space="0" w:color="auto"/>
        <w:right w:val="none" w:sz="0" w:space="0" w:color="auto"/>
      </w:divBdr>
    </w:div>
    <w:div w:id="98843070">
      <w:bodyDiv w:val="1"/>
      <w:marLeft w:val="0"/>
      <w:marRight w:val="0"/>
      <w:marTop w:val="0"/>
      <w:marBottom w:val="0"/>
      <w:divBdr>
        <w:top w:val="none" w:sz="0" w:space="0" w:color="auto"/>
        <w:left w:val="none" w:sz="0" w:space="0" w:color="auto"/>
        <w:bottom w:val="none" w:sz="0" w:space="0" w:color="auto"/>
        <w:right w:val="none" w:sz="0" w:space="0" w:color="auto"/>
      </w:divBdr>
    </w:div>
    <w:div w:id="100033156">
      <w:bodyDiv w:val="1"/>
      <w:marLeft w:val="0"/>
      <w:marRight w:val="0"/>
      <w:marTop w:val="0"/>
      <w:marBottom w:val="0"/>
      <w:divBdr>
        <w:top w:val="none" w:sz="0" w:space="0" w:color="auto"/>
        <w:left w:val="none" w:sz="0" w:space="0" w:color="auto"/>
        <w:bottom w:val="none" w:sz="0" w:space="0" w:color="auto"/>
        <w:right w:val="none" w:sz="0" w:space="0" w:color="auto"/>
      </w:divBdr>
    </w:div>
    <w:div w:id="111633429">
      <w:bodyDiv w:val="1"/>
      <w:marLeft w:val="0"/>
      <w:marRight w:val="0"/>
      <w:marTop w:val="0"/>
      <w:marBottom w:val="0"/>
      <w:divBdr>
        <w:top w:val="none" w:sz="0" w:space="0" w:color="auto"/>
        <w:left w:val="none" w:sz="0" w:space="0" w:color="auto"/>
        <w:bottom w:val="none" w:sz="0" w:space="0" w:color="auto"/>
        <w:right w:val="none" w:sz="0" w:space="0" w:color="auto"/>
      </w:divBdr>
    </w:div>
    <w:div w:id="112945633">
      <w:bodyDiv w:val="1"/>
      <w:marLeft w:val="0"/>
      <w:marRight w:val="0"/>
      <w:marTop w:val="0"/>
      <w:marBottom w:val="0"/>
      <w:divBdr>
        <w:top w:val="none" w:sz="0" w:space="0" w:color="auto"/>
        <w:left w:val="none" w:sz="0" w:space="0" w:color="auto"/>
        <w:bottom w:val="none" w:sz="0" w:space="0" w:color="auto"/>
        <w:right w:val="none" w:sz="0" w:space="0" w:color="auto"/>
      </w:divBdr>
      <w:divsChild>
        <w:div w:id="1893153246">
          <w:marLeft w:val="0"/>
          <w:marRight w:val="0"/>
          <w:marTop w:val="0"/>
          <w:marBottom w:val="0"/>
          <w:divBdr>
            <w:top w:val="none" w:sz="0" w:space="0" w:color="auto"/>
            <w:left w:val="none" w:sz="0" w:space="0" w:color="auto"/>
            <w:bottom w:val="none" w:sz="0" w:space="0" w:color="auto"/>
            <w:right w:val="none" w:sz="0" w:space="0" w:color="auto"/>
          </w:divBdr>
          <w:divsChild>
            <w:div w:id="970476262">
              <w:marLeft w:val="0"/>
              <w:marRight w:val="0"/>
              <w:marTop w:val="0"/>
              <w:marBottom w:val="0"/>
              <w:divBdr>
                <w:top w:val="none" w:sz="0" w:space="0" w:color="auto"/>
                <w:left w:val="none" w:sz="0" w:space="0" w:color="auto"/>
                <w:bottom w:val="none" w:sz="0" w:space="0" w:color="auto"/>
                <w:right w:val="none" w:sz="0" w:space="0" w:color="auto"/>
              </w:divBdr>
              <w:divsChild>
                <w:div w:id="1513033330">
                  <w:marLeft w:val="-300"/>
                  <w:marRight w:val="-300"/>
                  <w:marTop w:val="0"/>
                  <w:marBottom w:val="0"/>
                  <w:divBdr>
                    <w:top w:val="none" w:sz="0" w:space="0" w:color="auto"/>
                    <w:left w:val="none" w:sz="0" w:space="0" w:color="auto"/>
                    <w:bottom w:val="none" w:sz="0" w:space="0" w:color="auto"/>
                    <w:right w:val="none" w:sz="0" w:space="0" w:color="auto"/>
                  </w:divBdr>
                  <w:divsChild>
                    <w:div w:id="1525051792">
                      <w:marLeft w:val="0"/>
                      <w:marRight w:val="0"/>
                      <w:marTop w:val="0"/>
                      <w:marBottom w:val="0"/>
                      <w:divBdr>
                        <w:top w:val="none" w:sz="0" w:space="0" w:color="auto"/>
                        <w:left w:val="none" w:sz="0" w:space="0" w:color="auto"/>
                        <w:bottom w:val="none" w:sz="0" w:space="0" w:color="auto"/>
                        <w:right w:val="none" w:sz="0" w:space="0" w:color="auto"/>
                      </w:divBdr>
                      <w:divsChild>
                        <w:div w:id="710686499">
                          <w:marLeft w:val="-300"/>
                          <w:marRight w:val="-300"/>
                          <w:marTop w:val="0"/>
                          <w:marBottom w:val="0"/>
                          <w:divBdr>
                            <w:top w:val="none" w:sz="0" w:space="0" w:color="auto"/>
                            <w:left w:val="none" w:sz="0" w:space="0" w:color="auto"/>
                            <w:bottom w:val="none" w:sz="0" w:space="0" w:color="auto"/>
                            <w:right w:val="none" w:sz="0" w:space="0" w:color="auto"/>
                          </w:divBdr>
                          <w:divsChild>
                            <w:div w:id="156309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87017">
      <w:bodyDiv w:val="1"/>
      <w:marLeft w:val="0"/>
      <w:marRight w:val="0"/>
      <w:marTop w:val="0"/>
      <w:marBottom w:val="0"/>
      <w:divBdr>
        <w:top w:val="none" w:sz="0" w:space="0" w:color="auto"/>
        <w:left w:val="none" w:sz="0" w:space="0" w:color="auto"/>
        <w:bottom w:val="none" w:sz="0" w:space="0" w:color="auto"/>
        <w:right w:val="none" w:sz="0" w:space="0" w:color="auto"/>
      </w:divBdr>
    </w:div>
    <w:div w:id="121969642">
      <w:bodyDiv w:val="1"/>
      <w:marLeft w:val="0"/>
      <w:marRight w:val="0"/>
      <w:marTop w:val="0"/>
      <w:marBottom w:val="0"/>
      <w:divBdr>
        <w:top w:val="none" w:sz="0" w:space="0" w:color="auto"/>
        <w:left w:val="none" w:sz="0" w:space="0" w:color="auto"/>
        <w:bottom w:val="none" w:sz="0" w:space="0" w:color="auto"/>
        <w:right w:val="none" w:sz="0" w:space="0" w:color="auto"/>
      </w:divBdr>
    </w:div>
    <w:div w:id="124395410">
      <w:bodyDiv w:val="1"/>
      <w:marLeft w:val="0"/>
      <w:marRight w:val="0"/>
      <w:marTop w:val="0"/>
      <w:marBottom w:val="0"/>
      <w:divBdr>
        <w:top w:val="none" w:sz="0" w:space="0" w:color="auto"/>
        <w:left w:val="none" w:sz="0" w:space="0" w:color="auto"/>
        <w:bottom w:val="none" w:sz="0" w:space="0" w:color="auto"/>
        <w:right w:val="none" w:sz="0" w:space="0" w:color="auto"/>
      </w:divBdr>
    </w:div>
    <w:div w:id="126822025">
      <w:bodyDiv w:val="1"/>
      <w:marLeft w:val="0"/>
      <w:marRight w:val="0"/>
      <w:marTop w:val="0"/>
      <w:marBottom w:val="0"/>
      <w:divBdr>
        <w:top w:val="none" w:sz="0" w:space="0" w:color="auto"/>
        <w:left w:val="none" w:sz="0" w:space="0" w:color="auto"/>
        <w:bottom w:val="none" w:sz="0" w:space="0" w:color="auto"/>
        <w:right w:val="none" w:sz="0" w:space="0" w:color="auto"/>
      </w:divBdr>
    </w:div>
    <w:div w:id="129180007">
      <w:bodyDiv w:val="1"/>
      <w:marLeft w:val="0"/>
      <w:marRight w:val="0"/>
      <w:marTop w:val="0"/>
      <w:marBottom w:val="0"/>
      <w:divBdr>
        <w:top w:val="none" w:sz="0" w:space="0" w:color="auto"/>
        <w:left w:val="none" w:sz="0" w:space="0" w:color="auto"/>
        <w:bottom w:val="none" w:sz="0" w:space="0" w:color="auto"/>
        <w:right w:val="none" w:sz="0" w:space="0" w:color="auto"/>
      </w:divBdr>
    </w:div>
    <w:div w:id="130903958">
      <w:bodyDiv w:val="1"/>
      <w:marLeft w:val="0"/>
      <w:marRight w:val="0"/>
      <w:marTop w:val="0"/>
      <w:marBottom w:val="0"/>
      <w:divBdr>
        <w:top w:val="none" w:sz="0" w:space="0" w:color="auto"/>
        <w:left w:val="none" w:sz="0" w:space="0" w:color="auto"/>
        <w:bottom w:val="none" w:sz="0" w:space="0" w:color="auto"/>
        <w:right w:val="none" w:sz="0" w:space="0" w:color="auto"/>
      </w:divBdr>
    </w:div>
    <w:div w:id="131556554">
      <w:bodyDiv w:val="1"/>
      <w:marLeft w:val="0"/>
      <w:marRight w:val="0"/>
      <w:marTop w:val="0"/>
      <w:marBottom w:val="0"/>
      <w:divBdr>
        <w:top w:val="none" w:sz="0" w:space="0" w:color="auto"/>
        <w:left w:val="none" w:sz="0" w:space="0" w:color="auto"/>
        <w:bottom w:val="none" w:sz="0" w:space="0" w:color="auto"/>
        <w:right w:val="none" w:sz="0" w:space="0" w:color="auto"/>
      </w:divBdr>
      <w:divsChild>
        <w:div w:id="386732965">
          <w:marLeft w:val="274"/>
          <w:marRight w:val="0"/>
          <w:marTop w:val="0"/>
          <w:marBottom w:val="60"/>
          <w:divBdr>
            <w:top w:val="none" w:sz="0" w:space="0" w:color="auto"/>
            <w:left w:val="none" w:sz="0" w:space="0" w:color="auto"/>
            <w:bottom w:val="none" w:sz="0" w:space="0" w:color="auto"/>
            <w:right w:val="none" w:sz="0" w:space="0" w:color="auto"/>
          </w:divBdr>
        </w:div>
        <w:div w:id="512306813">
          <w:marLeft w:val="850"/>
          <w:marRight w:val="0"/>
          <w:marTop w:val="0"/>
          <w:marBottom w:val="60"/>
          <w:divBdr>
            <w:top w:val="none" w:sz="0" w:space="0" w:color="auto"/>
            <w:left w:val="none" w:sz="0" w:space="0" w:color="auto"/>
            <w:bottom w:val="none" w:sz="0" w:space="0" w:color="auto"/>
            <w:right w:val="none" w:sz="0" w:space="0" w:color="auto"/>
          </w:divBdr>
        </w:div>
      </w:divsChild>
    </w:div>
    <w:div w:id="145820829">
      <w:bodyDiv w:val="1"/>
      <w:marLeft w:val="0"/>
      <w:marRight w:val="0"/>
      <w:marTop w:val="0"/>
      <w:marBottom w:val="0"/>
      <w:divBdr>
        <w:top w:val="none" w:sz="0" w:space="0" w:color="auto"/>
        <w:left w:val="none" w:sz="0" w:space="0" w:color="auto"/>
        <w:bottom w:val="none" w:sz="0" w:space="0" w:color="auto"/>
        <w:right w:val="none" w:sz="0" w:space="0" w:color="auto"/>
      </w:divBdr>
    </w:div>
    <w:div w:id="150565004">
      <w:bodyDiv w:val="1"/>
      <w:marLeft w:val="0"/>
      <w:marRight w:val="0"/>
      <w:marTop w:val="0"/>
      <w:marBottom w:val="0"/>
      <w:divBdr>
        <w:top w:val="none" w:sz="0" w:space="0" w:color="auto"/>
        <w:left w:val="none" w:sz="0" w:space="0" w:color="auto"/>
        <w:bottom w:val="none" w:sz="0" w:space="0" w:color="auto"/>
        <w:right w:val="none" w:sz="0" w:space="0" w:color="auto"/>
      </w:divBdr>
    </w:div>
    <w:div w:id="159347013">
      <w:bodyDiv w:val="1"/>
      <w:marLeft w:val="0"/>
      <w:marRight w:val="0"/>
      <w:marTop w:val="0"/>
      <w:marBottom w:val="0"/>
      <w:divBdr>
        <w:top w:val="none" w:sz="0" w:space="0" w:color="auto"/>
        <w:left w:val="none" w:sz="0" w:space="0" w:color="auto"/>
        <w:bottom w:val="none" w:sz="0" w:space="0" w:color="auto"/>
        <w:right w:val="none" w:sz="0" w:space="0" w:color="auto"/>
      </w:divBdr>
    </w:div>
    <w:div w:id="161628382">
      <w:bodyDiv w:val="1"/>
      <w:marLeft w:val="0"/>
      <w:marRight w:val="0"/>
      <w:marTop w:val="0"/>
      <w:marBottom w:val="0"/>
      <w:divBdr>
        <w:top w:val="none" w:sz="0" w:space="0" w:color="auto"/>
        <w:left w:val="none" w:sz="0" w:space="0" w:color="auto"/>
        <w:bottom w:val="none" w:sz="0" w:space="0" w:color="auto"/>
        <w:right w:val="none" w:sz="0" w:space="0" w:color="auto"/>
      </w:divBdr>
    </w:div>
    <w:div w:id="177893825">
      <w:bodyDiv w:val="1"/>
      <w:marLeft w:val="0"/>
      <w:marRight w:val="0"/>
      <w:marTop w:val="0"/>
      <w:marBottom w:val="0"/>
      <w:divBdr>
        <w:top w:val="none" w:sz="0" w:space="0" w:color="auto"/>
        <w:left w:val="none" w:sz="0" w:space="0" w:color="auto"/>
        <w:bottom w:val="none" w:sz="0" w:space="0" w:color="auto"/>
        <w:right w:val="none" w:sz="0" w:space="0" w:color="auto"/>
      </w:divBdr>
    </w:div>
    <w:div w:id="179853776">
      <w:bodyDiv w:val="1"/>
      <w:marLeft w:val="0"/>
      <w:marRight w:val="0"/>
      <w:marTop w:val="0"/>
      <w:marBottom w:val="0"/>
      <w:divBdr>
        <w:top w:val="none" w:sz="0" w:space="0" w:color="auto"/>
        <w:left w:val="none" w:sz="0" w:space="0" w:color="auto"/>
        <w:bottom w:val="none" w:sz="0" w:space="0" w:color="auto"/>
        <w:right w:val="none" w:sz="0" w:space="0" w:color="auto"/>
      </w:divBdr>
    </w:div>
    <w:div w:id="180945920">
      <w:bodyDiv w:val="1"/>
      <w:marLeft w:val="0"/>
      <w:marRight w:val="0"/>
      <w:marTop w:val="0"/>
      <w:marBottom w:val="0"/>
      <w:divBdr>
        <w:top w:val="none" w:sz="0" w:space="0" w:color="auto"/>
        <w:left w:val="none" w:sz="0" w:space="0" w:color="auto"/>
        <w:bottom w:val="none" w:sz="0" w:space="0" w:color="auto"/>
        <w:right w:val="none" w:sz="0" w:space="0" w:color="auto"/>
      </w:divBdr>
    </w:div>
    <w:div w:id="188028995">
      <w:bodyDiv w:val="1"/>
      <w:marLeft w:val="0"/>
      <w:marRight w:val="0"/>
      <w:marTop w:val="0"/>
      <w:marBottom w:val="0"/>
      <w:divBdr>
        <w:top w:val="none" w:sz="0" w:space="0" w:color="auto"/>
        <w:left w:val="none" w:sz="0" w:space="0" w:color="auto"/>
        <w:bottom w:val="none" w:sz="0" w:space="0" w:color="auto"/>
        <w:right w:val="none" w:sz="0" w:space="0" w:color="auto"/>
      </w:divBdr>
    </w:div>
    <w:div w:id="201408274">
      <w:bodyDiv w:val="1"/>
      <w:marLeft w:val="0"/>
      <w:marRight w:val="0"/>
      <w:marTop w:val="0"/>
      <w:marBottom w:val="0"/>
      <w:divBdr>
        <w:top w:val="none" w:sz="0" w:space="0" w:color="auto"/>
        <w:left w:val="none" w:sz="0" w:space="0" w:color="auto"/>
        <w:bottom w:val="none" w:sz="0" w:space="0" w:color="auto"/>
        <w:right w:val="none" w:sz="0" w:space="0" w:color="auto"/>
      </w:divBdr>
    </w:div>
    <w:div w:id="201939938">
      <w:bodyDiv w:val="1"/>
      <w:marLeft w:val="0"/>
      <w:marRight w:val="0"/>
      <w:marTop w:val="0"/>
      <w:marBottom w:val="0"/>
      <w:divBdr>
        <w:top w:val="none" w:sz="0" w:space="0" w:color="auto"/>
        <w:left w:val="none" w:sz="0" w:space="0" w:color="auto"/>
        <w:bottom w:val="none" w:sz="0" w:space="0" w:color="auto"/>
        <w:right w:val="none" w:sz="0" w:space="0" w:color="auto"/>
      </w:divBdr>
    </w:div>
    <w:div w:id="213591063">
      <w:bodyDiv w:val="1"/>
      <w:marLeft w:val="0"/>
      <w:marRight w:val="0"/>
      <w:marTop w:val="0"/>
      <w:marBottom w:val="0"/>
      <w:divBdr>
        <w:top w:val="none" w:sz="0" w:space="0" w:color="auto"/>
        <w:left w:val="none" w:sz="0" w:space="0" w:color="auto"/>
        <w:bottom w:val="none" w:sz="0" w:space="0" w:color="auto"/>
        <w:right w:val="none" w:sz="0" w:space="0" w:color="auto"/>
      </w:divBdr>
    </w:div>
    <w:div w:id="216628980">
      <w:bodyDiv w:val="1"/>
      <w:marLeft w:val="0"/>
      <w:marRight w:val="0"/>
      <w:marTop w:val="0"/>
      <w:marBottom w:val="0"/>
      <w:divBdr>
        <w:top w:val="none" w:sz="0" w:space="0" w:color="auto"/>
        <w:left w:val="none" w:sz="0" w:space="0" w:color="auto"/>
        <w:bottom w:val="none" w:sz="0" w:space="0" w:color="auto"/>
        <w:right w:val="none" w:sz="0" w:space="0" w:color="auto"/>
      </w:divBdr>
    </w:div>
    <w:div w:id="221527667">
      <w:bodyDiv w:val="1"/>
      <w:marLeft w:val="0"/>
      <w:marRight w:val="0"/>
      <w:marTop w:val="0"/>
      <w:marBottom w:val="0"/>
      <w:divBdr>
        <w:top w:val="none" w:sz="0" w:space="0" w:color="auto"/>
        <w:left w:val="none" w:sz="0" w:space="0" w:color="auto"/>
        <w:bottom w:val="none" w:sz="0" w:space="0" w:color="auto"/>
        <w:right w:val="none" w:sz="0" w:space="0" w:color="auto"/>
      </w:divBdr>
    </w:div>
    <w:div w:id="224996254">
      <w:bodyDiv w:val="1"/>
      <w:marLeft w:val="0"/>
      <w:marRight w:val="0"/>
      <w:marTop w:val="0"/>
      <w:marBottom w:val="0"/>
      <w:divBdr>
        <w:top w:val="none" w:sz="0" w:space="0" w:color="auto"/>
        <w:left w:val="none" w:sz="0" w:space="0" w:color="auto"/>
        <w:bottom w:val="none" w:sz="0" w:space="0" w:color="auto"/>
        <w:right w:val="none" w:sz="0" w:space="0" w:color="auto"/>
      </w:divBdr>
    </w:div>
    <w:div w:id="230046924">
      <w:bodyDiv w:val="1"/>
      <w:marLeft w:val="0"/>
      <w:marRight w:val="0"/>
      <w:marTop w:val="0"/>
      <w:marBottom w:val="0"/>
      <w:divBdr>
        <w:top w:val="none" w:sz="0" w:space="0" w:color="auto"/>
        <w:left w:val="none" w:sz="0" w:space="0" w:color="auto"/>
        <w:bottom w:val="none" w:sz="0" w:space="0" w:color="auto"/>
        <w:right w:val="none" w:sz="0" w:space="0" w:color="auto"/>
      </w:divBdr>
    </w:div>
    <w:div w:id="232357160">
      <w:bodyDiv w:val="1"/>
      <w:marLeft w:val="0"/>
      <w:marRight w:val="0"/>
      <w:marTop w:val="0"/>
      <w:marBottom w:val="0"/>
      <w:divBdr>
        <w:top w:val="none" w:sz="0" w:space="0" w:color="auto"/>
        <w:left w:val="none" w:sz="0" w:space="0" w:color="auto"/>
        <w:bottom w:val="none" w:sz="0" w:space="0" w:color="auto"/>
        <w:right w:val="none" w:sz="0" w:space="0" w:color="auto"/>
      </w:divBdr>
    </w:div>
    <w:div w:id="234436697">
      <w:bodyDiv w:val="1"/>
      <w:marLeft w:val="0"/>
      <w:marRight w:val="0"/>
      <w:marTop w:val="0"/>
      <w:marBottom w:val="0"/>
      <w:divBdr>
        <w:top w:val="none" w:sz="0" w:space="0" w:color="auto"/>
        <w:left w:val="none" w:sz="0" w:space="0" w:color="auto"/>
        <w:bottom w:val="none" w:sz="0" w:space="0" w:color="auto"/>
        <w:right w:val="none" w:sz="0" w:space="0" w:color="auto"/>
      </w:divBdr>
    </w:div>
    <w:div w:id="236599507">
      <w:bodyDiv w:val="1"/>
      <w:marLeft w:val="0"/>
      <w:marRight w:val="0"/>
      <w:marTop w:val="0"/>
      <w:marBottom w:val="0"/>
      <w:divBdr>
        <w:top w:val="none" w:sz="0" w:space="0" w:color="auto"/>
        <w:left w:val="none" w:sz="0" w:space="0" w:color="auto"/>
        <w:bottom w:val="none" w:sz="0" w:space="0" w:color="auto"/>
        <w:right w:val="none" w:sz="0" w:space="0" w:color="auto"/>
      </w:divBdr>
    </w:div>
    <w:div w:id="241187366">
      <w:bodyDiv w:val="1"/>
      <w:marLeft w:val="0"/>
      <w:marRight w:val="0"/>
      <w:marTop w:val="0"/>
      <w:marBottom w:val="0"/>
      <w:divBdr>
        <w:top w:val="none" w:sz="0" w:space="0" w:color="auto"/>
        <w:left w:val="none" w:sz="0" w:space="0" w:color="auto"/>
        <w:bottom w:val="none" w:sz="0" w:space="0" w:color="auto"/>
        <w:right w:val="none" w:sz="0" w:space="0" w:color="auto"/>
      </w:divBdr>
    </w:div>
    <w:div w:id="243686741">
      <w:bodyDiv w:val="1"/>
      <w:marLeft w:val="0"/>
      <w:marRight w:val="0"/>
      <w:marTop w:val="0"/>
      <w:marBottom w:val="0"/>
      <w:divBdr>
        <w:top w:val="none" w:sz="0" w:space="0" w:color="auto"/>
        <w:left w:val="none" w:sz="0" w:space="0" w:color="auto"/>
        <w:bottom w:val="none" w:sz="0" w:space="0" w:color="auto"/>
        <w:right w:val="none" w:sz="0" w:space="0" w:color="auto"/>
      </w:divBdr>
      <w:divsChild>
        <w:div w:id="78478983">
          <w:marLeft w:val="821"/>
          <w:marRight w:val="0"/>
          <w:marTop w:val="120"/>
          <w:marBottom w:val="240"/>
          <w:divBdr>
            <w:top w:val="none" w:sz="0" w:space="0" w:color="auto"/>
            <w:left w:val="none" w:sz="0" w:space="0" w:color="auto"/>
            <w:bottom w:val="none" w:sz="0" w:space="0" w:color="auto"/>
            <w:right w:val="none" w:sz="0" w:space="0" w:color="auto"/>
          </w:divBdr>
        </w:div>
        <w:div w:id="142085717">
          <w:marLeft w:val="1800"/>
          <w:marRight w:val="0"/>
          <w:marTop w:val="120"/>
          <w:marBottom w:val="240"/>
          <w:divBdr>
            <w:top w:val="none" w:sz="0" w:space="0" w:color="auto"/>
            <w:left w:val="none" w:sz="0" w:space="0" w:color="auto"/>
            <w:bottom w:val="none" w:sz="0" w:space="0" w:color="auto"/>
            <w:right w:val="none" w:sz="0" w:space="0" w:color="auto"/>
          </w:divBdr>
        </w:div>
        <w:div w:id="403767990">
          <w:marLeft w:val="1800"/>
          <w:marRight w:val="0"/>
          <w:marTop w:val="120"/>
          <w:marBottom w:val="240"/>
          <w:divBdr>
            <w:top w:val="none" w:sz="0" w:space="0" w:color="auto"/>
            <w:left w:val="none" w:sz="0" w:space="0" w:color="auto"/>
            <w:bottom w:val="none" w:sz="0" w:space="0" w:color="auto"/>
            <w:right w:val="none" w:sz="0" w:space="0" w:color="auto"/>
          </w:divBdr>
        </w:div>
        <w:div w:id="527303745">
          <w:marLeft w:val="907"/>
          <w:marRight w:val="0"/>
          <w:marTop w:val="120"/>
          <w:marBottom w:val="240"/>
          <w:divBdr>
            <w:top w:val="none" w:sz="0" w:space="0" w:color="auto"/>
            <w:left w:val="none" w:sz="0" w:space="0" w:color="auto"/>
            <w:bottom w:val="none" w:sz="0" w:space="0" w:color="auto"/>
            <w:right w:val="none" w:sz="0" w:space="0" w:color="auto"/>
          </w:divBdr>
        </w:div>
        <w:div w:id="1300693147">
          <w:marLeft w:val="907"/>
          <w:marRight w:val="0"/>
          <w:marTop w:val="120"/>
          <w:marBottom w:val="240"/>
          <w:divBdr>
            <w:top w:val="none" w:sz="0" w:space="0" w:color="auto"/>
            <w:left w:val="none" w:sz="0" w:space="0" w:color="auto"/>
            <w:bottom w:val="none" w:sz="0" w:space="0" w:color="auto"/>
            <w:right w:val="none" w:sz="0" w:space="0" w:color="auto"/>
          </w:divBdr>
        </w:div>
        <w:div w:id="1828352637">
          <w:marLeft w:val="1800"/>
          <w:marRight w:val="0"/>
          <w:marTop w:val="120"/>
          <w:marBottom w:val="240"/>
          <w:divBdr>
            <w:top w:val="none" w:sz="0" w:space="0" w:color="auto"/>
            <w:left w:val="none" w:sz="0" w:space="0" w:color="auto"/>
            <w:bottom w:val="none" w:sz="0" w:space="0" w:color="auto"/>
            <w:right w:val="none" w:sz="0" w:space="0" w:color="auto"/>
          </w:divBdr>
        </w:div>
      </w:divsChild>
    </w:div>
    <w:div w:id="246425809">
      <w:bodyDiv w:val="1"/>
      <w:marLeft w:val="0"/>
      <w:marRight w:val="0"/>
      <w:marTop w:val="0"/>
      <w:marBottom w:val="0"/>
      <w:divBdr>
        <w:top w:val="none" w:sz="0" w:space="0" w:color="auto"/>
        <w:left w:val="none" w:sz="0" w:space="0" w:color="auto"/>
        <w:bottom w:val="none" w:sz="0" w:space="0" w:color="auto"/>
        <w:right w:val="none" w:sz="0" w:space="0" w:color="auto"/>
      </w:divBdr>
    </w:div>
    <w:div w:id="248662071">
      <w:bodyDiv w:val="1"/>
      <w:marLeft w:val="0"/>
      <w:marRight w:val="0"/>
      <w:marTop w:val="0"/>
      <w:marBottom w:val="0"/>
      <w:divBdr>
        <w:top w:val="none" w:sz="0" w:space="0" w:color="auto"/>
        <w:left w:val="none" w:sz="0" w:space="0" w:color="auto"/>
        <w:bottom w:val="none" w:sz="0" w:space="0" w:color="auto"/>
        <w:right w:val="none" w:sz="0" w:space="0" w:color="auto"/>
      </w:divBdr>
    </w:div>
    <w:div w:id="250821759">
      <w:bodyDiv w:val="1"/>
      <w:marLeft w:val="0"/>
      <w:marRight w:val="0"/>
      <w:marTop w:val="0"/>
      <w:marBottom w:val="0"/>
      <w:divBdr>
        <w:top w:val="none" w:sz="0" w:space="0" w:color="auto"/>
        <w:left w:val="none" w:sz="0" w:space="0" w:color="auto"/>
        <w:bottom w:val="none" w:sz="0" w:space="0" w:color="auto"/>
        <w:right w:val="none" w:sz="0" w:space="0" w:color="auto"/>
      </w:divBdr>
    </w:div>
    <w:div w:id="252397977">
      <w:bodyDiv w:val="1"/>
      <w:marLeft w:val="0"/>
      <w:marRight w:val="0"/>
      <w:marTop w:val="0"/>
      <w:marBottom w:val="0"/>
      <w:divBdr>
        <w:top w:val="none" w:sz="0" w:space="0" w:color="auto"/>
        <w:left w:val="none" w:sz="0" w:space="0" w:color="auto"/>
        <w:bottom w:val="none" w:sz="0" w:space="0" w:color="auto"/>
        <w:right w:val="none" w:sz="0" w:space="0" w:color="auto"/>
      </w:divBdr>
    </w:div>
    <w:div w:id="257644237">
      <w:bodyDiv w:val="1"/>
      <w:marLeft w:val="0"/>
      <w:marRight w:val="0"/>
      <w:marTop w:val="0"/>
      <w:marBottom w:val="0"/>
      <w:divBdr>
        <w:top w:val="none" w:sz="0" w:space="0" w:color="auto"/>
        <w:left w:val="none" w:sz="0" w:space="0" w:color="auto"/>
        <w:bottom w:val="none" w:sz="0" w:space="0" w:color="auto"/>
        <w:right w:val="none" w:sz="0" w:space="0" w:color="auto"/>
      </w:divBdr>
      <w:divsChild>
        <w:div w:id="921454077">
          <w:marLeft w:val="0"/>
          <w:marRight w:val="0"/>
          <w:marTop w:val="0"/>
          <w:marBottom w:val="0"/>
          <w:divBdr>
            <w:top w:val="none" w:sz="0" w:space="0" w:color="auto"/>
            <w:left w:val="none" w:sz="0" w:space="0" w:color="auto"/>
            <w:bottom w:val="none" w:sz="0" w:space="0" w:color="auto"/>
            <w:right w:val="none" w:sz="0" w:space="0" w:color="auto"/>
          </w:divBdr>
        </w:div>
      </w:divsChild>
    </w:div>
    <w:div w:id="265700540">
      <w:bodyDiv w:val="1"/>
      <w:marLeft w:val="0"/>
      <w:marRight w:val="0"/>
      <w:marTop w:val="0"/>
      <w:marBottom w:val="0"/>
      <w:divBdr>
        <w:top w:val="none" w:sz="0" w:space="0" w:color="auto"/>
        <w:left w:val="none" w:sz="0" w:space="0" w:color="auto"/>
        <w:bottom w:val="none" w:sz="0" w:space="0" w:color="auto"/>
        <w:right w:val="none" w:sz="0" w:space="0" w:color="auto"/>
      </w:divBdr>
      <w:divsChild>
        <w:div w:id="853155339">
          <w:marLeft w:val="274"/>
          <w:marRight w:val="0"/>
          <w:marTop w:val="0"/>
          <w:marBottom w:val="240"/>
          <w:divBdr>
            <w:top w:val="none" w:sz="0" w:space="0" w:color="auto"/>
            <w:left w:val="none" w:sz="0" w:space="0" w:color="auto"/>
            <w:bottom w:val="none" w:sz="0" w:space="0" w:color="auto"/>
            <w:right w:val="none" w:sz="0" w:space="0" w:color="auto"/>
          </w:divBdr>
        </w:div>
      </w:divsChild>
    </w:div>
    <w:div w:id="274027171">
      <w:bodyDiv w:val="1"/>
      <w:marLeft w:val="0"/>
      <w:marRight w:val="0"/>
      <w:marTop w:val="0"/>
      <w:marBottom w:val="0"/>
      <w:divBdr>
        <w:top w:val="none" w:sz="0" w:space="0" w:color="auto"/>
        <w:left w:val="none" w:sz="0" w:space="0" w:color="auto"/>
        <w:bottom w:val="none" w:sz="0" w:space="0" w:color="auto"/>
        <w:right w:val="none" w:sz="0" w:space="0" w:color="auto"/>
      </w:divBdr>
    </w:div>
    <w:div w:id="275336549">
      <w:bodyDiv w:val="1"/>
      <w:marLeft w:val="0"/>
      <w:marRight w:val="0"/>
      <w:marTop w:val="0"/>
      <w:marBottom w:val="0"/>
      <w:divBdr>
        <w:top w:val="none" w:sz="0" w:space="0" w:color="auto"/>
        <w:left w:val="none" w:sz="0" w:space="0" w:color="auto"/>
        <w:bottom w:val="none" w:sz="0" w:space="0" w:color="auto"/>
        <w:right w:val="none" w:sz="0" w:space="0" w:color="auto"/>
      </w:divBdr>
    </w:div>
    <w:div w:id="275991395">
      <w:bodyDiv w:val="1"/>
      <w:marLeft w:val="0"/>
      <w:marRight w:val="0"/>
      <w:marTop w:val="0"/>
      <w:marBottom w:val="0"/>
      <w:divBdr>
        <w:top w:val="none" w:sz="0" w:space="0" w:color="auto"/>
        <w:left w:val="none" w:sz="0" w:space="0" w:color="auto"/>
        <w:bottom w:val="none" w:sz="0" w:space="0" w:color="auto"/>
        <w:right w:val="none" w:sz="0" w:space="0" w:color="auto"/>
      </w:divBdr>
    </w:div>
    <w:div w:id="277298100">
      <w:bodyDiv w:val="1"/>
      <w:marLeft w:val="0"/>
      <w:marRight w:val="0"/>
      <w:marTop w:val="0"/>
      <w:marBottom w:val="0"/>
      <w:divBdr>
        <w:top w:val="none" w:sz="0" w:space="0" w:color="auto"/>
        <w:left w:val="none" w:sz="0" w:space="0" w:color="auto"/>
        <w:bottom w:val="none" w:sz="0" w:space="0" w:color="auto"/>
        <w:right w:val="none" w:sz="0" w:space="0" w:color="auto"/>
      </w:divBdr>
    </w:div>
    <w:div w:id="278033196">
      <w:bodyDiv w:val="1"/>
      <w:marLeft w:val="0"/>
      <w:marRight w:val="0"/>
      <w:marTop w:val="0"/>
      <w:marBottom w:val="0"/>
      <w:divBdr>
        <w:top w:val="none" w:sz="0" w:space="0" w:color="auto"/>
        <w:left w:val="none" w:sz="0" w:space="0" w:color="auto"/>
        <w:bottom w:val="none" w:sz="0" w:space="0" w:color="auto"/>
        <w:right w:val="none" w:sz="0" w:space="0" w:color="auto"/>
      </w:divBdr>
    </w:div>
    <w:div w:id="278417932">
      <w:bodyDiv w:val="1"/>
      <w:marLeft w:val="0"/>
      <w:marRight w:val="0"/>
      <w:marTop w:val="0"/>
      <w:marBottom w:val="0"/>
      <w:divBdr>
        <w:top w:val="none" w:sz="0" w:space="0" w:color="auto"/>
        <w:left w:val="none" w:sz="0" w:space="0" w:color="auto"/>
        <w:bottom w:val="none" w:sz="0" w:space="0" w:color="auto"/>
        <w:right w:val="none" w:sz="0" w:space="0" w:color="auto"/>
      </w:divBdr>
    </w:div>
    <w:div w:id="284821155">
      <w:bodyDiv w:val="1"/>
      <w:marLeft w:val="0"/>
      <w:marRight w:val="0"/>
      <w:marTop w:val="0"/>
      <w:marBottom w:val="0"/>
      <w:divBdr>
        <w:top w:val="none" w:sz="0" w:space="0" w:color="auto"/>
        <w:left w:val="none" w:sz="0" w:space="0" w:color="auto"/>
        <w:bottom w:val="none" w:sz="0" w:space="0" w:color="auto"/>
        <w:right w:val="none" w:sz="0" w:space="0" w:color="auto"/>
      </w:divBdr>
    </w:div>
    <w:div w:id="289365683">
      <w:bodyDiv w:val="1"/>
      <w:marLeft w:val="0"/>
      <w:marRight w:val="0"/>
      <w:marTop w:val="0"/>
      <w:marBottom w:val="0"/>
      <w:divBdr>
        <w:top w:val="none" w:sz="0" w:space="0" w:color="auto"/>
        <w:left w:val="none" w:sz="0" w:space="0" w:color="auto"/>
        <w:bottom w:val="none" w:sz="0" w:space="0" w:color="auto"/>
        <w:right w:val="none" w:sz="0" w:space="0" w:color="auto"/>
      </w:divBdr>
    </w:div>
    <w:div w:id="289868373">
      <w:bodyDiv w:val="1"/>
      <w:marLeft w:val="0"/>
      <w:marRight w:val="0"/>
      <w:marTop w:val="0"/>
      <w:marBottom w:val="0"/>
      <w:divBdr>
        <w:top w:val="none" w:sz="0" w:space="0" w:color="auto"/>
        <w:left w:val="none" w:sz="0" w:space="0" w:color="auto"/>
        <w:bottom w:val="none" w:sz="0" w:space="0" w:color="auto"/>
        <w:right w:val="none" w:sz="0" w:space="0" w:color="auto"/>
      </w:divBdr>
    </w:div>
    <w:div w:id="294675474">
      <w:bodyDiv w:val="1"/>
      <w:marLeft w:val="0"/>
      <w:marRight w:val="0"/>
      <w:marTop w:val="0"/>
      <w:marBottom w:val="0"/>
      <w:divBdr>
        <w:top w:val="none" w:sz="0" w:space="0" w:color="auto"/>
        <w:left w:val="none" w:sz="0" w:space="0" w:color="auto"/>
        <w:bottom w:val="none" w:sz="0" w:space="0" w:color="auto"/>
        <w:right w:val="none" w:sz="0" w:space="0" w:color="auto"/>
      </w:divBdr>
    </w:div>
    <w:div w:id="295457461">
      <w:bodyDiv w:val="1"/>
      <w:marLeft w:val="0"/>
      <w:marRight w:val="0"/>
      <w:marTop w:val="0"/>
      <w:marBottom w:val="0"/>
      <w:divBdr>
        <w:top w:val="none" w:sz="0" w:space="0" w:color="auto"/>
        <w:left w:val="none" w:sz="0" w:space="0" w:color="auto"/>
        <w:bottom w:val="none" w:sz="0" w:space="0" w:color="auto"/>
        <w:right w:val="none" w:sz="0" w:space="0" w:color="auto"/>
      </w:divBdr>
    </w:div>
    <w:div w:id="297033214">
      <w:bodyDiv w:val="1"/>
      <w:marLeft w:val="0"/>
      <w:marRight w:val="0"/>
      <w:marTop w:val="0"/>
      <w:marBottom w:val="0"/>
      <w:divBdr>
        <w:top w:val="none" w:sz="0" w:space="0" w:color="auto"/>
        <w:left w:val="none" w:sz="0" w:space="0" w:color="auto"/>
        <w:bottom w:val="none" w:sz="0" w:space="0" w:color="auto"/>
        <w:right w:val="none" w:sz="0" w:space="0" w:color="auto"/>
      </w:divBdr>
    </w:div>
    <w:div w:id="297537238">
      <w:bodyDiv w:val="1"/>
      <w:marLeft w:val="0"/>
      <w:marRight w:val="0"/>
      <w:marTop w:val="0"/>
      <w:marBottom w:val="0"/>
      <w:divBdr>
        <w:top w:val="none" w:sz="0" w:space="0" w:color="auto"/>
        <w:left w:val="none" w:sz="0" w:space="0" w:color="auto"/>
        <w:bottom w:val="none" w:sz="0" w:space="0" w:color="auto"/>
        <w:right w:val="none" w:sz="0" w:space="0" w:color="auto"/>
      </w:divBdr>
    </w:div>
    <w:div w:id="302855124">
      <w:bodyDiv w:val="1"/>
      <w:marLeft w:val="0"/>
      <w:marRight w:val="0"/>
      <w:marTop w:val="0"/>
      <w:marBottom w:val="0"/>
      <w:divBdr>
        <w:top w:val="none" w:sz="0" w:space="0" w:color="auto"/>
        <w:left w:val="none" w:sz="0" w:space="0" w:color="auto"/>
        <w:bottom w:val="none" w:sz="0" w:space="0" w:color="auto"/>
        <w:right w:val="none" w:sz="0" w:space="0" w:color="auto"/>
      </w:divBdr>
    </w:div>
    <w:div w:id="304748855">
      <w:bodyDiv w:val="1"/>
      <w:marLeft w:val="0"/>
      <w:marRight w:val="0"/>
      <w:marTop w:val="0"/>
      <w:marBottom w:val="0"/>
      <w:divBdr>
        <w:top w:val="none" w:sz="0" w:space="0" w:color="auto"/>
        <w:left w:val="none" w:sz="0" w:space="0" w:color="auto"/>
        <w:bottom w:val="none" w:sz="0" w:space="0" w:color="auto"/>
        <w:right w:val="none" w:sz="0" w:space="0" w:color="auto"/>
      </w:divBdr>
    </w:div>
    <w:div w:id="305160307">
      <w:bodyDiv w:val="1"/>
      <w:marLeft w:val="0"/>
      <w:marRight w:val="0"/>
      <w:marTop w:val="0"/>
      <w:marBottom w:val="0"/>
      <w:divBdr>
        <w:top w:val="none" w:sz="0" w:space="0" w:color="auto"/>
        <w:left w:val="none" w:sz="0" w:space="0" w:color="auto"/>
        <w:bottom w:val="none" w:sz="0" w:space="0" w:color="auto"/>
        <w:right w:val="none" w:sz="0" w:space="0" w:color="auto"/>
      </w:divBdr>
    </w:div>
    <w:div w:id="311757627">
      <w:bodyDiv w:val="1"/>
      <w:marLeft w:val="0"/>
      <w:marRight w:val="0"/>
      <w:marTop w:val="0"/>
      <w:marBottom w:val="0"/>
      <w:divBdr>
        <w:top w:val="none" w:sz="0" w:space="0" w:color="auto"/>
        <w:left w:val="none" w:sz="0" w:space="0" w:color="auto"/>
        <w:bottom w:val="none" w:sz="0" w:space="0" w:color="auto"/>
        <w:right w:val="none" w:sz="0" w:space="0" w:color="auto"/>
      </w:divBdr>
    </w:div>
    <w:div w:id="342900622">
      <w:bodyDiv w:val="1"/>
      <w:marLeft w:val="0"/>
      <w:marRight w:val="0"/>
      <w:marTop w:val="0"/>
      <w:marBottom w:val="0"/>
      <w:divBdr>
        <w:top w:val="none" w:sz="0" w:space="0" w:color="auto"/>
        <w:left w:val="none" w:sz="0" w:space="0" w:color="auto"/>
        <w:bottom w:val="none" w:sz="0" w:space="0" w:color="auto"/>
        <w:right w:val="none" w:sz="0" w:space="0" w:color="auto"/>
      </w:divBdr>
    </w:div>
    <w:div w:id="344524834">
      <w:bodyDiv w:val="1"/>
      <w:marLeft w:val="0"/>
      <w:marRight w:val="0"/>
      <w:marTop w:val="0"/>
      <w:marBottom w:val="0"/>
      <w:divBdr>
        <w:top w:val="none" w:sz="0" w:space="0" w:color="auto"/>
        <w:left w:val="none" w:sz="0" w:space="0" w:color="auto"/>
        <w:bottom w:val="none" w:sz="0" w:space="0" w:color="auto"/>
        <w:right w:val="none" w:sz="0" w:space="0" w:color="auto"/>
      </w:divBdr>
    </w:div>
    <w:div w:id="344863803">
      <w:bodyDiv w:val="1"/>
      <w:marLeft w:val="0"/>
      <w:marRight w:val="0"/>
      <w:marTop w:val="0"/>
      <w:marBottom w:val="0"/>
      <w:divBdr>
        <w:top w:val="none" w:sz="0" w:space="0" w:color="auto"/>
        <w:left w:val="none" w:sz="0" w:space="0" w:color="auto"/>
        <w:bottom w:val="none" w:sz="0" w:space="0" w:color="auto"/>
        <w:right w:val="none" w:sz="0" w:space="0" w:color="auto"/>
      </w:divBdr>
    </w:div>
    <w:div w:id="345714955">
      <w:bodyDiv w:val="1"/>
      <w:marLeft w:val="0"/>
      <w:marRight w:val="0"/>
      <w:marTop w:val="0"/>
      <w:marBottom w:val="0"/>
      <w:divBdr>
        <w:top w:val="none" w:sz="0" w:space="0" w:color="auto"/>
        <w:left w:val="none" w:sz="0" w:space="0" w:color="auto"/>
        <w:bottom w:val="none" w:sz="0" w:space="0" w:color="auto"/>
        <w:right w:val="none" w:sz="0" w:space="0" w:color="auto"/>
      </w:divBdr>
      <w:divsChild>
        <w:div w:id="837037710">
          <w:marLeft w:val="850"/>
          <w:marRight w:val="0"/>
          <w:marTop w:val="0"/>
          <w:marBottom w:val="240"/>
          <w:divBdr>
            <w:top w:val="none" w:sz="0" w:space="0" w:color="auto"/>
            <w:left w:val="none" w:sz="0" w:space="0" w:color="auto"/>
            <w:bottom w:val="none" w:sz="0" w:space="0" w:color="auto"/>
            <w:right w:val="none" w:sz="0" w:space="0" w:color="auto"/>
          </w:divBdr>
        </w:div>
      </w:divsChild>
    </w:div>
    <w:div w:id="348333352">
      <w:bodyDiv w:val="1"/>
      <w:marLeft w:val="0"/>
      <w:marRight w:val="0"/>
      <w:marTop w:val="0"/>
      <w:marBottom w:val="0"/>
      <w:divBdr>
        <w:top w:val="none" w:sz="0" w:space="0" w:color="auto"/>
        <w:left w:val="none" w:sz="0" w:space="0" w:color="auto"/>
        <w:bottom w:val="none" w:sz="0" w:space="0" w:color="auto"/>
        <w:right w:val="none" w:sz="0" w:space="0" w:color="auto"/>
      </w:divBdr>
    </w:div>
    <w:div w:id="349261907">
      <w:bodyDiv w:val="1"/>
      <w:marLeft w:val="0"/>
      <w:marRight w:val="0"/>
      <w:marTop w:val="0"/>
      <w:marBottom w:val="0"/>
      <w:divBdr>
        <w:top w:val="none" w:sz="0" w:space="0" w:color="auto"/>
        <w:left w:val="none" w:sz="0" w:space="0" w:color="auto"/>
        <w:bottom w:val="none" w:sz="0" w:space="0" w:color="auto"/>
        <w:right w:val="none" w:sz="0" w:space="0" w:color="auto"/>
      </w:divBdr>
    </w:div>
    <w:div w:id="353187218">
      <w:bodyDiv w:val="1"/>
      <w:marLeft w:val="0"/>
      <w:marRight w:val="0"/>
      <w:marTop w:val="0"/>
      <w:marBottom w:val="0"/>
      <w:divBdr>
        <w:top w:val="none" w:sz="0" w:space="0" w:color="auto"/>
        <w:left w:val="none" w:sz="0" w:space="0" w:color="auto"/>
        <w:bottom w:val="none" w:sz="0" w:space="0" w:color="auto"/>
        <w:right w:val="none" w:sz="0" w:space="0" w:color="auto"/>
      </w:divBdr>
    </w:div>
    <w:div w:id="360279979">
      <w:bodyDiv w:val="1"/>
      <w:marLeft w:val="0"/>
      <w:marRight w:val="0"/>
      <w:marTop w:val="0"/>
      <w:marBottom w:val="0"/>
      <w:divBdr>
        <w:top w:val="none" w:sz="0" w:space="0" w:color="auto"/>
        <w:left w:val="none" w:sz="0" w:space="0" w:color="auto"/>
        <w:bottom w:val="none" w:sz="0" w:space="0" w:color="auto"/>
        <w:right w:val="none" w:sz="0" w:space="0" w:color="auto"/>
      </w:divBdr>
    </w:div>
    <w:div w:id="365644157">
      <w:bodyDiv w:val="1"/>
      <w:marLeft w:val="0"/>
      <w:marRight w:val="0"/>
      <w:marTop w:val="0"/>
      <w:marBottom w:val="0"/>
      <w:divBdr>
        <w:top w:val="none" w:sz="0" w:space="0" w:color="auto"/>
        <w:left w:val="none" w:sz="0" w:space="0" w:color="auto"/>
        <w:bottom w:val="none" w:sz="0" w:space="0" w:color="auto"/>
        <w:right w:val="none" w:sz="0" w:space="0" w:color="auto"/>
      </w:divBdr>
    </w:div>
    <w:div w:id="371032007">
      <w:bodyDiv w:val="1"/>
      <w:marLeft w:val="0"/>
      <w:marRight w:val="0"/>
      <w:marTop w:val="0"/>
      <w:marBottom w:val="0"/>
      <w:divBdr>
        <w:top w:val="none" w:sz="0" w:space="0" w:color="auto"/>
        <w:left w:val="none" w:sz="0" w:space="0" w:color="auto"/>
        <w:bottom w:val="none" w:sz="0" w:space="0" w:color="auto"/>
        <w:right w:val="none" w:sz="0" w:space="0" w:color="auto"/>
      </w:divBdr>
    </w:div>
    <w:div w:id="372581282">
      <w:bodyDiv w:val="1"/>
      <w:marLeft w:val="0"/>
      <w:marRight w:val="0"/>
      <w:marTop w:val="0"/>
      <w:marBottom w:val="0"/>
      <w:divBdr>
        <w:top w:val="none" w:sz="0" w:space="0" w:color="auto"/>
        <w:left w:val="none" w:sz="0" w:space="0" w:color="auto"/>
        <w:bottom w:val="none" w:sz="0" w:space="0" w:color="auto"/>
        <w:right w:val="none" w:sz="0" w:space="0" w:color="auto"/>
      </w:divBdr>
    </w:div>
    <w:div w:id="376047946">
      <w:bodyDiv w:val="1"/>
      <w:marLeft w:val="0"/>
      <w:marRight w:val="0"/>
      <w:marTop w:val="0"/>
      <w:marBottom w:val="0"/>
      <w:divBdr>
        <w:top w:val="none" w:sz="0" w:space="0" w:color="auto"/>
        <w:left w:val="none" w:sz="0" w:space="0" w:color="auto"/>
        <w:bottom w:val="none" w:sz="0" w:space="0" w:color="auto"/>
        <w:right w:val="none" w:sz="0" w:space="0" w:color="auto"/>
      </w:divBdr>
    </w:div>
    <w:div w:id="377432397">
      <w:bodyDiv w:val="1"/>
      <w:marLeft w:val="0"/>
      <w:marRight w:val="0"/>
      <w:marTop w:val="0"/>
      <w:marBottom w:val="0"/>
      <w:divBdr>
        <w:top w:val="none" w:sz="0" w:space="0" w:color="auto"/>
        <w:left w:val="none" w:sz="0" w:space="0" w:color="auto"/>
        <w:bottom w:val="none" w:sz="0" w:space="0" w:color="auto"/>
        <w:right w:val="none" w:sz="0" w:space="0" w:color="auto"/>
      </w:divBdr>
    </w:div>
    <w:div w:id="380255892">
      <w:bodyDiv w:val="1"/>
      <w:marLeft w:val="0"/>
      <w:marRight w:val="0"/>
      <w:marTop w:val="0"/>
      <w:marBottom w:val="0"/>
      <w:divBdr>
        <w:top w:val="none" w:sz="0" w:space="0" w:color="auto"/>
        <w:left w:val="none" w:sz="0" w:space="0" w:color="auto"/>
        <w:bottom w:val="none" w:sz="0" w:space="0" w:color="auto"/>
        <w:right w:val="none" w:sz="0" w:space="0" w:color="auto"/>
      </w:divBdr>
    </w:div>
    <w:div w:id="380715542">
      <w:bodyDiv w:val="1"/>
      <w:marLeft w:val="0"/>
      <w:marRight w:val="0"/>
      <w:marTop w:val="0"/>
      <w:marBottom w:val="0"/>
      <w:divBdr>
        <w:top w:val="none" w:sz="0" w:space="0" w:color="auto"/>
        <w:left w:val="none" w:sz="0" w:space="0" w:color="auto"/>
        <w:bottom w:val="none" w:sz="0" w:space="0" w:color="auto"/>
        <w:right w:val="none" w:sz="0" w:space="0" w:color="auto"/>
      </w:divBdr>
    </w:div>
    <w:div w:id="395859081">
      <w:bodyDiv w:val="1"/>
      <w:marLeft w:val="0"/>
      <w:marRight w:val="0"/>
      <w:marTop w:val="0"/>
      <w:marBottom w:val="0"/>
      <w:divBdr>
        <w:top w:val="none" w:sz="0" w:space="0" w:color="auto"/>
        <w:left w:val="none" w:sz="0" w:space="0" w:color="auto"/>
        <w:bottom w:val="none" w:sz="0" w:space="0" w:color="auto"/>
        <w:right w:val="none" w:sz="0" w:space="0" w:color="auto"/>
      </w:divBdr>
    </w:div>
    <w:div w:id="400175958">
      <w:bodyDiv w:val="1"/>
      <w:marLeft w:val="0"/>
      <w:marRight w:val="0"/>
      <w:marTop w:val="0"/>
      <w:marBottom w:val="0"/>
      <w:divBdr>
        <w:top w:val="none" w:sz="0" w:space="0" w:color="auto"/>
        <w:left w:val="none" w:sz="0" w:space="0" w:color="auto"/>
        <w:bottom w:val="none" w:sz="0" w:space="0" w:color="auto"/>
        <w:right w:val="none" w:sz="0" w:space="0" w:color="auto"/>
      </w:divBdr>
    </w:div>
    <w:div w:id="401218552">
      <w:bodyDiv w:val="1"/>
      <w:marLeft w:val="0"/>
      <w:marRight w:val="0"/>
      <w:marTop w:val="0"/>
      <w:marBottom w:val="0"/>
      <w:divBdr>
        <w:top w:val="none" w:sz="0" w:space="0" w:color="auto"/>
        <w:left w:val="none" w:sz="0" w:space="0" w:color="auto"/>
        <w:bottom w:val="none" w:sz="0" w:space="0" w:color="auto"/>
        <w:right w:val="none" w:sz="0" w:space="0" w:color="auto"/>
      </w:divBdr>
    </w:div>
    <w:div w:id="414478070">
      <w:bodyDiv w:val="1"/>
      <w:marLeft w:val="0"/>
      <w:marRight w:val="0"/>
      <w:marTop w:val="0"/>
      <w:marBottom w:val="0"/>
      <w:divBdr>
        <w:top w:val="none" w:sz="0" w:space="0" w:color="auto"/>
        <w:left w:val="none" w:sz="0" w:space="0" w:color="auto"/>
        <w:bottom w:val="none" w:sz="0" w:space="0" w:color="auto"/>
        <w:right w:val="none" w:sz="0" w:space="0" w:color="auto"/>
      </w:divBdr>
    </w:div>
    <w:div w:id="418134115">
      <w:bodyDiv w:val="1"/>
      <w:marLeft w:val="0"/>
      <w:marRight w:val="0"/>
      <w:marTop w:val="0"/>
      <w:marBottom w:val="0"/>
      <w:divBdr>
        <w:top w:val="none" w:sz="0" w:space="0" w:color="auto"/>
        <w:left w:val="none" w:sz="0" w:space="0" w:color="auto"/>
        <w:bottom w:val="none" w:sz="0" w:space="0" w:color="auto"/>
        <w:right w:val="none" w:sz="0" w:space="0" w:color="auto"/>
      </w:divBdr>
    </w:div>
    <w:div w:id="418410722">
      <w:bodyDiv w:val="1"/>
      <w:marLeft w:val="0"/>
      <w:marRight w:val="0"/>
      <w:marTop w:val="0"/>
      <w:marBottom w:val="0"/>
      <w:divBdr>
        <w:top w:val="none" w:sz="0" w:space="0" w:color="auto"/>
        <w:left w:val="none" w:sz="0" w:space="0" w:color="auto"/>
        <w:bottom w:val="none" w:sz="0" w:space="0" w:color="auto"/>
        <w:right w:val="none" w:sz="0" w:space="0" w:color="auto"/>
      </w:divBdr>
    </w:div>
    <w:div w:id="433869349">
      <w:bodyDiv w:val="1"/>
      <w:marLeft w:val="0"/>
      <w:marRight w:val="0"/>
      <w:marTop w:val="0"/>
      <w:marBottom w:val="0"/>
      <w:divBdr>
        <w:top w:val="none" w:sz="0" w:space="0" w:color="auto"/>
        <w:left w:val="none" w:sz="0" w:space="0" w:color="auto"/>
        <w:bottom w:val="none" w:sz="0" w:space="0" w:color="auto"/>
        <w:right w:val="none" w:sz="0" w:space="0" w:color="auto"/>
      </w:divBdr>
    </w:div>
    <w:div w:id="434666719">
      <w:bodyDiv w:val="1"/>
      <w:marLeft w:val="0"/>
      <w:marRight w:val="0"/>
      <w:marTop w:val="0"/>
      <w:marBottom w:val="0"/>
      <w:divBdr>
        <w:top w:val="none" w:sz="0" w:space="0" w:color="auto"/>
        <w:left w:val="none" w:sz="0" w:space="0" w:color="auto"/>
        <w:bottom w:val="none" w:sz="0" w:space="0" w:color="auto"/>
        <w:right w:val="none" w:sz="0" w:space="0" w:color="auto"/>
      </w:divBdr>
    </w:div>
    <w:div w:id="445151255">
      <w:bodyDiv w:val="1"/>
      <w:marLeft w:val="0"/>
      <w:marRight w:val="0"/>
      <w:marTop w:val="0"/>
      <w:marBottom w:val="0"/>
      <w:divBdr>
        <w:top w:val="none" w:sz="0" w:space="0" w:color="auto"/>
        <w:left w:val="none" w:sz="0" w:space="0" w:color="auto"/>
        <w:bottom w:val="none" w:sz="0" w:space="0" w:color="auto"/>
        <w:right w:val="none" w:sz="0" w:space="0" w:color="auto"/>
      </w:divBdr>
    </w:div>
    <w:div w:id="450587564">
      <w:bodyDiv w:val="1"/>
      <w:marLeft w:val="0"/>
      <w:marRight w:val="0"/>
      <w:marTop w:val="0"/>
      <w:marBottom w:val="0"/>
      <w:divBdr>
        <w:top w:val="none" w:sz="0" w:space="0" w:color="auto"/>
        <w:left w:val="none" w:sz="0" w:space="0" w:color="auto"/>
        <w:bottom w:val="none" w:sz="0" w:space="0" w:color="auto"/>
        <w:right w:val="none" w:sz="0" w:space="0" w:color="auto"/>
      </w:divBdr>
    </w:div>
    <w:div w:id="456610947">
      <w:bodyDiv w:val="1"/>
      <w:marLeft w:val="0"/>
      <w:marRight w:val="0"/>
      <w:marTop w:val="0"/>
      <w:marBottom w:val="0"/>
      <w:divBdr>
        <w:top w:val="none" w:sz="0" w:space="0" w:color="auto"/>
        <w:left w:val="none" w:sz="0" w:space="0" w:color="auto"/>
        <w:bottom w:val="none" w:sz="0" w:space="0" w:color="auto"/>
        <w:right w:val="none" w:sz="0" w:space="0" w:color="auto"/>
      </w:divBdr>
    </w:div>
    <w:div w:id="464549810">
      <w:bodyDiv w:val="1"/>
      <w:marLeft w:val="0"/>
      <w:marRight w:val="0"/>
      <w:marTop w:val="0"/>
      <w:marBottom w:val="0"/>
      <w:divBdr>
        <w:top w:val="none" w:sz="0" w:space="0" w:color="auto"/>
        <w:left w:val="none" w:sz="0" w:space="0" w:color="auto"/>
        <w:bottom w:val="none" w:sz="0" w:space="0" w:color="auto"/>
        <w:right w:val="none" w:sz="0" w:space="0" w:color="auto"/>
      </w:divBdr>
    </w:div>
    <w:div w:id="475416445">
      <w:bodyDiv w:val="1"/>
      <w:marLeft w:val="0"/>
      <w:marRight w:val="0"/>
      <w:marTop w:val="0"/>
      <w:marBottom w:val="0"/>
      <w:divBdr>
        <w:top w:val="none" w:sz="0" w:space="0" w:color="auto"/>
        <w:left w:val="none" w:sz="0" w:space="0" w:color="auto"/>
        <w:bottom w:val="none" w:sz="0" w:space="0" w:color="auto"/>
        <w:right w:val="none" w:sz="0" w:space="0" w:color="auto"/>
      </w:divBdr>
    </w:div>
    <w:div w:id="478117155">
      <w:bodyDiv w:val="1"/>
      <w:marLeft w:val="0"/>
      <w:marRight w:val="0"/>
      <w:marTop w:val="0"/>
      <w:marBottom w:val="0"/>
      <w:divBdr>
        <w:top w:val="none" w:sz="0" w:space="0" w:color="auto"/>
        <w:left w:val="none" w:sz="0" w:space="0" w:color="auto"/>
        <w:bottom w:val="none" w:sz="0" w:space="0" w:color="auto"/>
        <w:right w:val="none" w:sz="0" w:space="0" w:color="auto"/>
      </w:divBdr>
    </w:div>
    <w:div w:id="479003877">
      <w:bodyDiv w:val="1"/>
      <w:marLeft w:val="0"/>
      <w:marRight w:val="0"/>
      <w:marTop w:val="0"/>
      <w:marBottom w:val="0"/>
      <w:divBdr>
        <w:top w:val="none" w:sz="0" w:space="0" w:color="auto"/>
        <w:left w:val="none" w:sz="0" w:space="0" w:color="auto"/>
        <w:bottom w:val="none" w:sz="0" w:space="0" w:color="auto"/>
        <w:right w:val="none" w:sz="0" w:space="0" w:color="auto"/>
      </w:divBdr>
    </w:div>
    <w:div w:id="479032324">
      <w:bodyDiv w:val="1"/>
      <w:marLeft w:val="0"/>
      <w:marRight w:val="0"/>
      <w:marTop w:val="0"/>
      <w:marBottom w:val="0"/>
      <w:divBdr>
        <w:top w:val="none" w:sz="0" w:space="0" w:color="auto"/>
        <w:left w:val="none" w:sz="0" w:space="0" w:color="auto"/>
        <w:bottom w:val="none" w:sz="0" w:space="0" w:color="auto"/>
        <w:right w:val="none" w:sz="0" w:space="0" w:color="auto"/>
      </w:divBdr>
    </w:div>
    <w:div w:id="494687338">
      <w:bodyDiv w:val="1"/>
      <w:marLeft w:val="0"/>
      <w:marRight w:val="0"/>
      <w:marTop w:val="0"/>
      <w:marBottom w:val="0"/>
      <w:divBdr>
        <w:top w:val="none" w:sz="0" w:space="0" w:color="auto"/>
        <w:left w:val="none" w:sz="0" w:space="0" w:color="auto"/>
        <w:bottom w:val="none" w:sz="0" w:space="0" w:color="auto"/>
        <w:right w:val="none" w:sz="0" w:space="0" w:color="auto"/>
      </w:divBdr>
    </w:div>
    <w:div w:id="500898819">
      <w:bodyDiv w:val="1"/>
      <w:marLeft w:val="0"/>
      <w:marRight w:val="0"/>
      <w:marTop w:val="0"/>
      <w:marBottom w:val="0"/>
      <w:divBdr>
        <w:top w:val="none" w:sz="0" w:space="0" w:color="auto"/>
        <w:left w:val="none" w:sz="0" w:space="0" w:color="auto"/>
        <w:bottom w:val="none" w:sz="0" w:space="0" w:color="auto"/>
        <w:right w:val="none" w:sz="0" w:space="0" w:color="auto"/>
      </w:divBdr>
    </w:div>
    <w:div w:id="515466837">
      <w:bodyDiv w:val="1"/>
      <w:marLeft w:val="0"/>
      <w:marRight w:val="0"/>
      <w:marTop w:val="0"/>
      <w:marBottom w:val="0"/>
      <w:divBdr>
        <w:top w:val="none" w:sz="0" w:space="0" w:color="auto"/>
        <w:left w:val="none" w:sz="0" w:space="0" w:color="auto"/>
        <w:bottom w:val="none" w:sz="0" w:space="0" w:color="auto"/>
        <w:right w:val="none" w:sz="0" w:space="0" w:color="auto"/>
      </w:divBdr>
    </w:div>
    <w:div w:id="527989112">
      <w:bodyDiv w:val="1"/>
      <w:marLeft w:val="0"/>
      <w:marRight w:val="0"/>
      <w:marTop w:val="0"/>
      <w:marBottom w:val="0"/>
      <w:divBdr>
        <w:top w:val="none" w:sz="0" w:space="0" w:color="auto"/>
        <w:left w:val="none" w:sz="0" w:space="0" w:color="auto"/>
        <w:bottom w:val="none" w:sz="0" w:space="0" w:color="auto"/>
        <w:right w:val="none" w:sz="0" w:space="0" w:color="auto"/>
      </w:divBdr>
    </w:div>
    <w:div w:id="535045774">
      <w:bodyDiv w:val="1"/>
      <w:marLeft w:val="0"/>
      <w:marRight w:val="0"/>
      <w:marTop w:val="0"/>
      <w:marBottom w:val="0"/>
      <w:divBdr>
        <w:top w:val="none" w:sz="0" w:space="0" w:color="auto"/>
        <w:left w:val="none" w:sz="0" w:space="0" w:color="auto"/>
        <w:bottom w:val="none" w:sz="0" w:space="0" w:color="auto"/>
        <w:right w:val="none" w:sz="0" w:space="0" w:color="auto"/>
      </w:divBdr>
    </w:div>
    <w:div w:id="540942817">
      <w:bodyDiv w:val="1"/>
      <w:marLeft w:val="0"/>
      <w:marRight w:val="0"/>
      <w:marTop w:val="0"/>
      <w:marBottom w:val="0"/>
      <w:divBdr>
        <w:top w:val="none" w:sz="0" w:space="0" w:color="auto"/>
        <w:left w:val="none" w:sz="0" w:space="0" w:color="auto"/>
        <w:bottom w:val="none" w:sz="0" w:space="0" w:color="auto"/>
        <w:right w:val="none" w:sz="0" w:space="0" w:color="auto"/>
      </w:divBdr>
      <w:divsChild>
        <w:div w:id="1544177029">
          <w:marLeft w:val="0"/>
          <w:marRight w:val="0"/>
          <w:marTop w:val="0"/>
          <w:marBottom w:val="0"/>
          <w:divBdr>
            <w:top w:val="none" w:sz="0" w:space="0" w:color="auto"/>
            <w:left w:val="none" w:sz="0" w:space="0" w:color="auto"/>
            <w:bottom w:val="none" w:sz="0" w:space="0" w:color="auto"/>
            <w:right w:val="none" w:sz="0" w:space="0" w:color="auto"/>
          </w:divBdr>
          <w:divsChild>
            <w:div w:id="131095641">
              <w:marLeft w:val="0"/>
              <w:marRight w:val="0"/>
              <w:marTop w:val="0"/>
              <w:marBottom w:val="0"/>
              <w:divBdr>
                <w:top w:val="none" w:sz="0" w:space="0" w:color="auto"/>
                <w:left w:val="none" w:sz="0" w:space="0" w:color="auto"/>
                <w:bottom w:val="none" w:sz="0" w:space="0" w:color="auto"/>
                <w:right w:val="none" w:sz="0" w:space="0" w:color="auto"/>
              </w:divBdr>
              <w:divsChild>
                <w:div w:id="893155070">
                  <w:marLeft w:val="-300"/>
                  <w:marRight w:val="-300"/>
                  <w:marTop w:val="0"/>
                  <w:marBottom w:val="0"/>
                  <w:divBdr>
                    <w:top w:val="none" w:sz="0" w:space="0" w:color="auto"/>
                    <w:left w:val="none" w:sz="0" w:space="0" w:color="auto"/>
                    <w:bottom w:val="none" w:sz="0" w:space="0" w:color="auto"/>
                    <w:right w:val="none" w:sz="0" w:space="0" w:color="auto"/>
                  </w:divBdr>
                  <w:divsChild>
                    <w:div w:id="930431762">
                      <w:marLeft w:val="0"/>
                      <w:marRight w:val="0"/>
                      <w:marTop w:val="0"/>
                      <w:marBottom w:val="0"/>
                      <w:divBdr>
                        <w:top w:val="none" w:sz="0" w:space="0" w:color="auto"/>
                        <w:left w:val="none" w:sz="0" w:space="0" w:color="auto"/>
                        <w:bottom w:val="none" w:sz="0" w:space="0" w:color="auto"/>
                        <w:right w:val="none" w:sz="0" w:space="0" w:color="auto"/>
                      </w:divBdr>
                      <w:divsChild>
                        <w:div w:id="1504709841">
                          <w:marLeft w:val="-300"/>
                          <w:marRight w:val="-300"/>
                          <w:marTop w:val="0"/>
                          <w:marBottom w:val="0"/>
                          <w:divBdr>
                            <w:top w:val="none" w:sz="0" w:space="0" w:color="auto"/>
                            <w:left w:val="none" w:sz="0" w:space="0" w:color="auto"/>
                            <w:bottom w:val="none" w:sz="0" w:space="0" w:color="auto"/>
                            <w:right w:val="none" w:sz="0" w:space="0" w:color="auto"/>
                          </w:divBdr>
                          <w:divsChild>
                            <w:div w:id="12182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40762">
      <w:bodyDiv w:val="1"/>
      <w:marLeft w:val="0"/>
      <w:marRight w:val="0"/>
      <w:marTop w:val="0"/>
      <w:marBottom w:val="0"/>
      <w:divBdr>
        <w:top w:val="none" w:sz="0" w:space="0" w:color="auto"/>
        <w:left w:val="none" w:sz="0" w:space="0" w:color="auto"/>
        <w:bottom w:val="none" w:sz="0" w:space="0" w:color="auto"/>
        <w:right w:val="none" w:sz="0" w:space="0" w:color="auto"/>
      </w:divBdr>
      <w:divsChild>
        <w:div w:id="1179583536">
          <w:marLeft w:val="0"/>
          <w:marRight w:val="0"/>
          <w:marTop w:val="0"/>
          <w:marBottom w:val="0"/>
          <w:divBdr>
            <w:top w:val="none" w:sz="0" w:space="0" w:color="auto"/>
            <w:left w:val="none" w:sz="0" w:space="0" w:color="auto"/>
            <w:bottom w:val="none" w:sz="0" w:space="0" w:color="auto"/>
            <w:right w:val="none" w:sz="0" w:space="0" w:color="auto"/>
          </w:divBdr>
          <w:divsChild>
            <w:div w:id="381490926">
              <w:marLeft w:val="0"/>
              <w:marRight w:val="0"/>
              <w:marTop w:val="0"/>
              <w:marBottom w:val="0"/>
              <w:divBdr>
                <w:top w:val="none" w:sz="0" w:space="0" w:color="auto"/>
                <w:left w:val="none" w:sz="0" w:space="0" w:color="auto"/>
                <w:bottom w:val="none" w:sz="0" w:space="0" w:color="auto"/>
                <w:right w:val="none" w:sz="0" w:space="0" w:color="auto"/>
              </w:divBdr>
              <w:divsChild>
                <w:div w:id="1651445144">
                  <w:marLeft w:val="-300"/>
                  <w:marRight w:val="-300"/>
                  <w:marTop w:val="0"/>
                  <w:marBottom w:val="0"/>
                  <w:divBdr>
                    <w:top w:val="none" w:sz="0" w:space="0" w:color="auto"/>
                    <w:left w:val="none" w:sz="0" w:space="0" w:color="auto"/>
                    <w:bottom w:val="none" w:sz="0" w:space="0" w:color="auto"/>
                    <w:right w:val="none" w:sz="0" w:space="0" w:color="auto"/>
                  </w:divBdr>
                  <w:divsChild>
                    <w:div w:id="1979869574">
                      <w:marLeft w:val="0"/>
                      <w:marRight w:val="0"/>
                      <w:marTop w:val="0"/>
                      <w:marBottom w:val="0"/>
                      <w:divBdr>
                        <w:top w:val="none" w:sz="0" w:space="0" w:color="auto"/>
                        <w:left w:val="none" w:sz="0" w:space="0" w:color="auto"/>
                        <w:bottom w:val="none" w:sz="0" w:space="0" w:color="auto"/>
                        <w:right w:val="none" w:sz="0" w:space="0" w:color="auto"/>
                      </w:divBdr>
                      <w:divsChild>
                        <w:div w:id="2000845275">
                          <w:marLeft w:val="-300"/>
                          <w:marRight w:val="-300"/>
                          <w:marTop w:val="0"/>
                          <w:marBottom w:val="0"/>
                          <w:divBdr>
                            <w:top w:val="none" w:sz="0" w:space="0" w:color="auto"/>
                            <w:left w:val="none" w:sz="0" w:space="0" w:color="auto"/>
                            <w:bottom w:val="none" w:sz="0" w:space="0" w:color="auto"/>
                            <w:right w:val="none" w:sz="0" w:space="0" w:color="auto"/>
                          </w:divBdr>
                          <w:divsChild>
                            <w:div w:id="90645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953998">
      <w:bodyDiv w:val="1"/>
      <w:marLeft w:val="0"/>
      <w:marRight w:val="0"/>
      <w:marTop w:val="0"/>
      <w:marBottom w:val="0"/>
      <w:divBdr>
        <w:top w:val="none" w:sz="0" w:space="0" w:color="auto"/>
        <w:left w:val="none" w:sz="0" w:space="0" w:color="auto"/>
        <w:bottom w:val="none" w:sz="0" w:space="0" w:color="auto"/>
        <w:right w:val="none" w:sz="0" w:space="0" w:color="auto"/>
      </w:divBdr>
    </w:div>
    <w:div w:id="549222301">
      <w:bodyDiv w:val="1"/>
      <w:marLeft w:val="0"/>
      <w:marRight w:val="0"/>
      <w:marTop w:val="0"/>
      <w:marBottom w:val="0"/>
      <w:divBdr>
        <w:top w:val="none" w:sz="0" w:space="0" w:color="auto"/>
        <w:left w:val="none" w:sz="0" w:space="0" w:color="auto"/>
        <w:bottom w:val="none" w:sz="0" w:space="0" w:color="auto"/>
        <w:right w:val="none" w:sz="0" w:space="0" w:color="auto"/>
      </w:divBdr>
    </w:div>
    <w:div w:id="549997591">
      <w:bodyDiv w:val="1"/>
      <w:marLeft w:val="0"/>
      <w:marRight w:val="0"/>
      <w:marTop w:val="0"/>
      <w:marBottom w:val="0"/>
      <w:divBdr>
        <w:top w:val="none" w:sz="0" w:space="0" w:color="auto"/>
        <w:left w:val="none" w:sz="0" w:space="0" w:color="auto"/>
        <w:bottom w:val="none" w:sz="0" w:space="0" w:color="auto"/>
        <w:right w:val="none" w:sz="0" w:space="0" w:color="auto"/>
      </w:divBdr>
    </w:div>
    <w:div w:id="560867357">
      <w:bodyDiv w:val="1"/>
      <w:marLeft w:val="0"/>
      <w:marRight w:val="0"/>
      <w:marTop w:val="0"/>
      <w:marBottom w:val="0"/>
      <w:divBdr>
        <w:top w:val="none" w:sz="0" w:space="0" w:color="auto"/>
        <w:left w:val="none" w:sz="0" w:space="0" w:color="auto"/>
        <w:bottom w:val="none" w:sz="0" w:space="0" w:color="auto"/>
        <w:right w:val="none" w:sz="0" w:space="0" w:color="auto"/>
      </w:divBdr>
    </w:div>
    <w:div w:id="560945097">
      <w:bodyDiv w:val="1"/>
      <w:marLeft w:val="0"/>
      <w:marRight w:val="0"/>
      <w:marTop w:val="0"/>
      <w:marBottom w:val="0"/>
      <w:divBdr>
        <w:top w:val="none" w:sz="0" w:space="0" w:color="auto"/>
        <w:left w:val="none" w:sz="0" w:space="0" w:color="auto"/>
        <w:bottom w:val="none" w:sz="0" w:space="0" w:color="auto"/>
        <w:right w:val="none" w:sz="0" w:space="0" w:color="auto"/>
      </w:divBdr>
    </w:div>
    <w:div w:id="572082811">
      <w:bodyDiv w:val="1"/>
      <w:marLeft w:val="0"/>
      <w:marRight w:val="0"/>
      <w:marTop w:val="0"/>
      <w:marBottom w:val="0"/>
      <w:divBdr>
        <w:top w:val="none" w:sz="0" w:space="0" w:color="auto"/>
        <w:left w:val="none" w:sz="0" w:space="0" w:color="auto"/>
        <w:bottom w:val="none" w:sz="0" w:space="0" w:color="auto"/>
        <w:right w:val="none" w:sz="0" w:space="0" w:color="auto"/>
      </w:divBdr>
    </w:div>
    <w:div w:id="575281678">
      <w:bodyDiv w:val="1"/>
      <w:marLeft w:val="0"/>
      <w:marRight w:val="0"/>
      <w:marTop w:val="0"/>
      <w:marBottom w:val="0"/>
      <w:divBdr>
        <w:top w:val="none" w:sz="0" w:space="0" w:color="auto"/>
        <w:left w:val="none" w:sz="0" w:space="0" w:color="auto"/>
        <w:bottom w:val="none" w:sz="0" w:space="0" w:color="auto"/>
        <w:right w:val="none" w:sz="0" w:space="0" w:color="auto"/>
      </w:divBdr>
    </w:div>
    <w:div w:id="579415020">
      <w:bodyDiv w:val="1"/>
      <w:marLeft w:val="0"/>
      <w:marRight w:val="0"/>
      <w:marTop w:val="0"/>
      <w:marBottom w:val="0"/>
      <w:divBdr>
        <w:top w:val="none" w:sz="0" w:space="0" w:color="auto"/>
        <w:left w:val="none" w:sz="0" w:space="0" w:color="auto"/>
        <w:bottom w:val="none" w:sz="0" w:space="0" w:color="auto"/>
        <w:right w:val="none" w:sz="0" w:space="0" w:color="auto"/>
      </w:divBdr>
    </w:div>
    <w:div w:id="583033715">
      <w:bodyDiv w:val="1"/>
      <w:marLeft w:val="0"/>
      <w:marRight w:val="0"/>
      <w:marTop w:val="0"/>
      <w:marBottom w:val="0"/>
      <w:divBdr>
        <w:top w:val="none" w:sz="0" w:space="0" w:color="auto"/>
        <w:left w:val="none" w:sz="0" w:space="0" w:color="auto"/>
        <w:bottom w:val="none" w:sz="0" w:space="0" w:color="auto"/>
        <w:right w:val="none" w:sz="0" w:space="0" w:color="auto"/>
      </w:divBdr>
    </w:div>
    <w:div w:id="584530128">
      <w:bodyDiv w:val="1"/>
      <w:marLeft w:val="0"/>
      <w:marRight w:val="0"/>
      <w:marTop w:val="0"/>
      <w:marBottom w:val="0"/>
      <w:divBdr>
        <w:top w:val="none" w:sz="0" w:space="0" w:color="auto"/>
        <w:left w:val="none" w:sz="0" w:space="0" w:color="auto"/>
        <w:bottom w:val="none" w:sz="0" w:space="0" w:color="auto"/>
        <w:right w:val="none" w:sz="0" w:space="0" w:color="auto"/>
      </w:divBdr>
    </w:div>
    <w:div w:id="589579390">
      <w:bodyDiv w:val="1"/>
      <w:marLeft w:val="0"/>
      <w:marRight w:val="0"/>
      <w:marTop w:val="0"/>
      <w:marBottom w:val="0"/>
      <w:divBdr>
        <w:top w:val="none" w:sz="0" w:space="0" w:color="auto"/>
        <w:left w:val="none" w:sz="0" w:space="0" w:color="auto"/>
        <w:bottom w:val="none" w:sz="0" w:space="0" w:color="auto"/>
        <w:right w:val="none" w:sz="0" w:space="0" w:color="auto"/>
      </w:divBdr>
    </w:div>
    <w:div w:id="590698507">
      <w:bodyDiv w:val="1"/>
      <w:marLeft w:val="0"/>
      <w:marRight w:val="0"/>
      <w:marTop w:val="0"/>
      <w:marBottom w:val="0"/>
      <w:divBdr>
        <w:top w:val="none" w:sz="0" w:space="0" w:color="auto"/>
        <w:left w:val="none" w:sz="0" w:space="0" w:color="auto"/>
        <w:bottom w:val="none" w:sz="0" w:space="0" w:color="auto"/>
        <w:right w:val="none" w:sz="0" w:space="0" w:color="auto"/>
      </w:divBdr>
    </w:div>
    <w:div w:id="596792159">
      <w:bodyDiv w:val="1"/>
      <w:marLeft w:val="0"/>
      <w:marRight w:val="0"/>
      <w:marTop w:val="0"/>
      <w:marBottom w:val="0"/>
      <w:divBdr>
        <w:top w:val="none" w:sz="0" w:space="0" w:color="auto"/>
        <w:left w:val="none" w:sz="0" w:space="0" w:color="auto"/>
        <w:bottom w:val="none" w:sz="0" w:space="0" w:color="auto"/>
        <w:right w:val="none" w:sz="0" w:space="0" w:color="auto"/>
      </w:divBdr>
    </w:div>
    <w:div w:id="601958072">
      <w:bodyDiv w:val="1"/>
      <w:marLeft w:val="0"/>
      <w:marRight w:val="0"/>
      <w:marTop w:val="0"/>
      <w:marBottom w:val="0"/>
      <w:divBdr>
        <w:top w:val="none" w:sz="0" w:space="0" w:color="auto"/>
        <w:left w:val="none" w:sz="0" w:space="0" w:color="auto"/>
        <w:bottom w:val="none" w:sz="0" w:space="0" w:color="auto"/>
        <w:right w:val="none" w:sz="0" w:space="0" w:color="auto"/>
      </w:divBdr>
    </w:div>
    <w:div w:id="602030651">
      <w:bodyDiv w:val="1"/>
      <w:marLeft w:val="0"/>
      <w:marRight w:val="0"/>
      <w:marTop w:val="0"/>
      <w:marBottom w:val="0"/>
      <w:divBdr>
        <w:top w:val="none" w:sz="0" w:space="0" w:color="auto"/>
        <w:left w:val="none" w:sz="0" w:space="0" w:color="auto"/>
        <w:bottom w:val="none" w:sz="0" w:space="0" w:color="auto"/>
        <w:right w:val="none" w:sz="0" w:space="0" w:color="auto"/>
      </w:divBdr>
    </w:div>
    <w:div w:id="610749304">
      <w:bodyDiv w:val="1"/>
      <w:marLeft w:val="0"/>
      <w:marRight w:val="0"/>
      <w:marTop w:val="0"/>
      <w:marBottom w:val="0"/>
      <w:divBdr>
        <w:top w:val="none" w:sz="0" w:space="0" w:color="auto"/>
        <w:left w:val="none" w:sz="0" w:space="0" w:color="auto"/>
        <w:bottom w:val="none" w:sz="0" w:space="0" w:color="auto"/>
        <w:right w:val="none" w:sz="0" w:space="0" w:color="auto"/>
      </w:divBdr>
    </w:div>
    <w:div w:id="616646274">
      <w:bodyDiv w:val="1"/>
      <w:marLeft w:val="0"/>
      <w:marRight w:val="0"/>
      <w:marTop w:val="0"/>
      <w:marBottom w:val="0"/>
      <w:divBdr>
        <w:top w:val="none" w:sz="0" w:space="0" w:color="auto"/>
        <w:left w:val="none" w:sz="0" w:space="0" w:color="auto"/>
        <w:bottom w:val="none" w:sz="0" w:space="0" w:color="auto"/>
        <w:right w:val="none" w:sz="0" w:space="0" w:color="auto"/>
      </w:divBdr>
    </w:div>
    <w:div w:id="618027984">
      <w:bodyDiv w:val="1"/>
      <w:marLeft w:val="0"/>
      <w:marRight w:val="0"/>
      <w:marTop w:val="0"/>
      <w:marBottom w:val="0"/>
      <w:divBdr>
        <w:top w:val="none" w:sz="0" w:space="0" w:color="auto"/>
        <w:left w:val="none" w:sz="0" w:space="0" w:color="auto"/>
        <w:bottom w:val="none" w:sz="0" w:space="0" w:color="auto"/>
        <w:right w:val="none" w:sz="0" w:space="0" w:color="auto"/>
      </w:divBdr>
    </w:div>
    <w:div w:id="618532574">
      <w:bodyDiv w:val="1"/>
      <w:marLeft w:val="0"/>
      <w:marRight w:val="0"/>
      <w:marTop w:val="0"/>
      <w:marBottom w:val="0"/>
      <w:divBdr>
        <w:top w:val="none" w:sz="0" w:space="0" w:color="auto"/>
        <w:left w:val="none" w:sz="0" w:space="0" w:color="auto"/>
        <w:bottom w:val="none" w:sz="0" w:space="0" w:color="auto"/>
        <w:right w:val="none" w:sz="0" w:space="0" w:color="auto"/>
      </w:divBdr>
    </w:div>
    <w:div w:id="634142453">
      <w:bodyDiv w:val="1"/>
      <w:marLeft w:val="0"/>
      <w:marRight w:val="0"/>
      <w:marTop w:val="0"/>
      <w:marBottom w:val="0"/>
      <w:divBdr>
        <w:top w:val="none" w:sz="0" w:space="0" w:color="auto"/>
        <w:left w:val="none" w:sz="0" w:space="0" w:color="auto"/>
        <w:bottom w:val="none" w:sz="0" w:space="0" w:color="auto"/>
        <w:right w:val="none" w:sz="0" w:space="0" w:color="auto"/>
      </w:divBdr>
    </w:div>
    <w:div w:id="634795834">
      <w:bodyDiv w:val="1"/>
      <w:marLeft w:val="0"/>
      <w:marRight w:val="0"/>
      <w:marTop w:val="0"/>
      <w:marBottom w:val="0"/>
      <w:divBdr>
        <w:top w:val="none" w:sz="0" w:space="0" w:color="auto"/>
        <w:left w:val="none" w:sz="0" w:space="0" w:color="auto"/>
        <w:bottom w:val="none" w:sz="0" w:space="0" w:color="auto"/>
        <w:right w:val="none" w:sz="0" w:space="0" w:color="auto"/>
      </w:divBdr>
    </w:div>
    <w:div w:id="639189365">
      <w:bodyDiv w:val="1"/>
      <w:marLeft w:val="0"/>
      <w:marRight w:val="0"/>
      <w:marTop w:val="0"/>
      <w:marBottom w:val="0"/>
      <w:divBdr>
        <w:top w:val="none" w:sz="0" w:space="0" w:color="auto"/>
        <w:left w:val="none" w:sz="0" w:space="0" w:color="auto"/>
        <w:bottom w:val="none" w:sz="0" w:space="0" w:color="auto"/>
        <w:right w:val="none" w:sz="0" w:space="0" w:color="auto"/>
      </w:divBdr>
    </w:div>
    <w:div w:id="647443761">
      <w:bodyDiv w:val="1"/>
      <w:marLeft w:val="0"/>
      <w:marRight w:val="0"/>
      <w:marTop w:val="0"/>
      <w:marBottom w:val="0"/>
      <w:divBdr>
        <w:top w:val="none" w:sz="0" w:space="0" w:color="auto"/>
        <w:left w:val="none" w:sz="0" w:space="0" w:color="auto"/>
        <w:bottom w:val="none" w:sz="0" w:space="0" w:color="auto"/>
        <w:right w:val="none" w:sz="0" w:space="0" w:color="auto"/>
      </w:divBdr>
    </w:div>
    <w:div w:id="648243329">
      <w:bodyDiv w:val="1"/>
      <w:marLeft w:val="0"/>
      <w:marRight w:val="0"/>
      <w:marTop w:val="0"/>
      <w:marBottom w:val="0"/>
      <w:divBdr>
        <w:top w:val="none" w:sz="0" w:space="0" w:color="auto"/>
        <w:left w:val="none" w:sz="0" w:space="0" w:color="auto"/>
        <w:bottom w:val="none" w:sz="0" w:space="0" w:color="auto"/>
        <w:right w:val="none" w:sz="0" w:space="0" w:color="auto"/>
      </w:divBdr>
    </w:div>
    <w:div w:id="654720033">
      <w:bodyDiv w:val="1"/>
      <w:marLeft w:val="0"/>
      <w:marRight w:val="0"/>
      <w:marTop w:val="0"/>
      <w:marBottom w:val="0"/>
      <w:divBdr>
        <w:top w:val="none" w:sz="0" w:space="0" w:color="auto"/>
        <w:left w:val="none" w:sz="0" w:space="0" w:color="auto"/>
        <w:bottom w:val="none" w:sz="0" w:space="0" w:color="auto"/>
        <w:right w:val="none" w:sz="0" w:space="0" w:color="auto"/>
      </w:divBdr>
    </w:div>
    <w:div w:id="664208999">
      <w:bodyDiv w:val="1"/>
      <w:marLeft w:val="0"/>
      <w:marRight w:val="0"/>
      <w:marTop w:val="0"/>
      <w:marBottom w:val="0"/>
      <w:divBdr>
        <w:top w:val="none" w:sz="0" w:space="0" w:color="auto"/>
        <w:left w:val="none" w:sz="0" w:space="0" w:color="auto"/>
        <w:bottom w:val="none" w:sz="0" w:space="0" w:color="auto"/>
        <w:right w:val="none" w:sz="0" w:space="0" w:color="auto"/>
      </w:divBdr>
    </w:div>
    <w:div w:id="677512202">
      <w:bodyDiv w:val="1"/>
      <w:marLeft w:val="0"/>
      <w:marRight w:val="0"/>
      <w:marTop w:val="0"/>
      <w:marBottom w:val="0"/>
      <w:divBdr>
        <w:top w:val="none" w:sz="0" w:space="0" w:color="auto"/>
        <w:left w:val="none" w:sz="0" w:space="0" w:color="auto"/>
        <w:bottom w:val="none" w:sz="0" w:space="0" w:color="auto"/>
        <w:right w:val="none" w:sz="0" w:space="0" w:color="auto"/>
      </w:divBdr>
    </w:div>
    <w:div w:id="682976564">
      <w:bodyDiv w:val="1"/>
      <w:marLeft w:val="0"/>
      <w:marRight w:val="0"/>
      <w:marTop w:val="0"/>
      <w:marBottom w:val="0"/>
      <w:divBdr>
        <w:top w:val="none" w:sz="0" w:space="0" w:color="auto"/>
        <w:left w:val="none" w:sz="0" w:space="0" w:color="auto"/>
        <w:bottom w:val="none" w:sz="0" w:space="0" w:color="auto"/>
        <w:right w:val="none" w:sz="0" w:space="0" w:color="auto"/>
      </w:divBdr>
    </w:div>
    <w:div w:id="688531855">
      <w:bodyDiv w:val="1"/>
      <w:marLeft w:val="0"/>
      <w:marRight w:val="0"/>
      <w:marTop w:val="0"/>
      <w:marBottom w:val="0"/>
      <w:divBdr>
        <w:top w:val="none" w:sz="0" w:space="0" w:color="auto"/>
        <w:left w:val="none" w:sz="0" w:space="0" w:color="auto"/>
        <w:bottom w:val="none" w:sz="0" w:space="0" w:color="auto"/>
        <w:right w:val="none" w:sz="0" w:space="0" w:color="auto"/>
      </w:divBdr>
      <w:divsChild>
        <w:div w:id="1161002557">
          <w:marLeft w:val="1670"/>
          <w:marRight w:val="0"/>
          <w:marTop w:val="120"/>
          <w:marBottom w:val="120"/>
          <w:divBdr>
            <w:top w:val="none" w:sz="0" w:space="0" w:color="auto"/>
            <w:left w:val="none" w:sz="0" w:space="0" w:color="auto"/>
            <w:bottom w:val="none" w:sz="0" w:space="0" w:color="auto"/>
            <w:right w:val="none" w:sz="0" w:space="0" w:color="auto"/>
          </w:divBdr>
        </w:div>
      </w:divsChild>
    </w:div>
    <w:div w:id="690107638">
      <w:bodyDiv w:val="1"/>
      <w:marLeft w:val="0"/>
      <w:marRight w:val="0"/>
      <w:marTop w:val="0"/>
      <w:marBottom w:val="0"/>
      <w:divBdr>
        <w:top w:val="none" w:sz="0" w:space="0" w:color="auto"/>
        <w:left w:val="none" w:sz="0" w:space="0" w:color="auto"/>
        <w:bottom w:val="none" w:sz="0" w:space="0" w:color="auto"/>
        <w:right w:val="none" w:sz="0" w:space="0" w:color="auto"/>
      </w:divBdr>
    </w:div>
    <w:div w:id="690226616">
      <w:bodyDiv w:val="1"/>
      <w:marLeft w:val="0"/>
      <w:marRight w:val="0"/>
      <w:marTop w:val="0"/>
      <w:marBottom w:val="0"/>
      <w:divBdr>
        <w:top w:val="none" w:sz="0" w:space="0" w:color="auto"/>
        <w:left w:val="none" w:sz="0" w:space="0" w:color="auto"/>
        <w:bottom w:val="none" w:sz="0" w:space="0" w:color="auto"/>
        <w:right w:val="none" w:sz="0" w:space="0" w:color="auto"/>
      </w:divBdr>
      <w:divsChild>
        <w:div w:id="400522">
          <w:marLeft w:val="1670"/>
          <w:marRight w:val="0"/>
          <w:marTop w:val="120"/>
          <w:marBottom w:val="120"/>
          <w:divBdr>
            <w:top w:val="none" w:sz="0" w:space="0" w:color="auto"/>
            <w:left w:val="none" w:sz="0" w:space="0" w:color="auto"/>
            <w:bottom w:val="none" w:sz="0" w:space="0" w:color="auto"/>
            <w:right w:val="none" w:sz="0" w:space="0" w:color="auto"/>
          </w:divBdr>
        </w:div>
        <w:div w:id="5251618">
          <w:marLeft w:val="1670"/>
          <w:marRight w:val="0"/>
          <w:marTop w:val="120"/>
          <w:marBottom w:val="120"/>
          <w:divBdr>
            <w:top w:val="none" w:sz="0" w:space="0" w:color="auto"/>
            <w:left w:val="none" w:sz="0" w:space="0" w:color="auto"/>
            <w:bottom w:val="none" w:sz="0" w:space="0" w:color="auto"/>
            <w:right w:val="none" w:sz="0" w:space="0" w:color="auto"/>
          </w:divBdr>
        </w:div>
        <w:div w:id="290017470">
          <w:marLeft w:val="1670"/>
          <w:marRight w:val="0"/>
          <w:marTop w:val="120"/>
          <w:marBottom w:val="120"/>
          <w:divBdr>
            <w:top w:val="none" w:sz="0" w:space="0" w:color="auto"/>
            <w:left w:val="none" w:sz="0" w:space="0" w:color="auto"/>
            <w:bottom w:val="none" w:sz="0" w:space="0" w:color="auto"/>
            <w:right w:val="none" w:sz="0" w:space="0" w:color="auto"/>
          </w:divBdr>
        </w:div>
        <w:div w:id="297688939">
          <w:marLeft w:val="1094"/>
          <w:marRight w:val="0"/>
          <w:marTop w:val="120"/>
          <w:marBottom w:val="120"/>
          <w:divBdr>
            <w:top w:val="none" w:sz="0" w:space="0" w:color="auto"/>
            <w:left w:val="none" w:sz="0" w:space="0" w:color="auto"/>
            <w:bottom w:val="none" w:sz="0" w:space="0" w:color="auto"/>
            <w:right w:val="none" w:sz="0" w:space="0" w:color="auto"/>
          </w:divBdr>
        </w:div>
        <w:div w:id="396242272">
          <w:marLeft w:val="1094"/>
          <w:marRight w:val="0"/>
          <w:marTop w:val="120"/>
          <w:marBottom w:val="120"/>
          <w:divBdr>
            <w:top w:val="none" w:sz="0" w:space="0" w:color="auto"/>
            <w:left w:val="none" w:sz="0" w:space="0" w:color="auto"/>
            <w:bottom w:val="none" w:sz="0" w:space="0" w:color="auto"/>
            <w:right w:val="none" w:sz="0" w:space="0" w:color="auto"/>
          </w:divBdr>
        </w:div>
        <w:div w:id="488864238">
          <w:marLeft w:val="1670"/>
          <w:marRight w:val="0"/>
          <w:marTop w:val="120"/>
          <w:marBottom w:val="120"/>
          <w:divBdr>
            <w:top w:val="none" w:sz="0" w:space="0" w:color="auto"/>
            <w:left w:val="none" w:sz="0" w:space="0" w:color="auto"/>
            <w:bottom w:val="none" w:sz="0" w:space="0" w:color="auto"/>
            <w:right w:val="none" w:sz="0" w:space="0" w:color="auto"/>
          </w:divBdr>
        </w:div>
        <w:div w:id="503520099">
          <w:marLeft w:val="1094"/>
          <w:marRight w:val="0"/>
          <w:marTop w:val="120"/>
          <w:marBottom w:val="120"/>
          <w:divBdr>
            <w:top w:val="none" w:sz="0" w:space="0" w:color="auto"/>
            <w:left w:val="none" w:sz="0" w:space="0" w:color="auto"/>
            <w:bottom w:val="none" w:sz="0" w:space="0" w:color="auto"/>
            <w:right w:val="none" w:sz="0" w:space="0" w:color="auto"/>
          </w:divBdr>
        </w:div>
        <w:div w:id="648753576">
          <w:marLeft w:val="1094"/>
          <w:marRight w:val="0"/>
          <w:marTop w:val="120"/>
          <w:marBottom w:val="120"/>
          <w:divBdr>
            <w:top w:val="none" w:sz="0" w:space="0" w:color="auto"/>
            <w:left w:val="none" w:sz="0" w:space="0" w:color="auto"/>
            <w:bottom w:val="none" w:sz="0" w:space="0" w:color="auto"/>
            <w:right w:val="none" w:sz="0" w:space="0" w:color="auto"/>
          </w:divBdr>
        </w:div>
        <w:div w:id="1473213226">
          <w:marLeft w:val="2390"/>
          <w:marRight w:val="0"/>
          <w:marTop w:val="120"/>
          <w:marBottom w:val="120"/>
          <w:divBdr>
            <w:top w:val="none" w:sz="0" w:space="0" w:color="auto"/>
            <w:left w:val="none" w:sz="0" w:space="0" w:color="auto"/>
            <w:bottom w:val="none" w:sz="0" w:space="0" w:color="auto"/>
            <w:right w:val="none" w:sz="0" w:space="0" w:color="auto"/>
          </w:divBdr>
        </w:div>
        <w:div w:id="1618370071">
          <w:marLeft w:val="1670"/>
          <w:marRight w:val="0"/>
          <w:marTop w:val="120"/>
          <w:marBottom w:val="120"/>
          <w:divBdr>
            <w:top w:val="none" w:sz="0" w:space="0" w:color="auto"/>
            <w:left w:val="none" w:sz="0" w:space="0" w:color="auto"/>
            <w:bottom w:val="none" w:sz="0" w:space="0" w:color="auto"/>
            <w:right w:val="none" w:sz="0" w:space="0" w:color="auto"/>
          </w:divBdr>
        </w:div>
        <w:div w:id="1634212418">
          <w:marLeft w:val="1094"/>
          <w:marRight w:val="0"/>
          <w:marTop w:val="120"/>
          <w:marBottom w:val="120"/>
          <w:divBdr>
            <w:top w:val="none" w:sz="0" w:space="0" w:color="auto"/>
            <w:left w:val="none" w:sz="0" w:space="0" w:color="auto"/>
            <w:bottom w:val="none" w:sz="0" w:space="0" w:color="auto"/>
            <w:right w:val="none" w:sz="0" w:space="0" w:color="auto"/>
          </w:divBdr>
        </w:div>
        <w:div w:id="1808274548">
          <w:marLeft w:val="1670"/>
          <w:marRight w:val="0"/>
          <w:marTop w:val="120"/>
          <w:marBottom w:val="120"/>
          <w:divBdr>
            <w:top w:val="none" w:sz="0" w:space="0" w:color="auto"/>
            <w:left w:val="none" w:sz="0" w:space="0" w:color="auto"/>
            <w:bottom w:val="none" w:sz="0" w:space="0" w:color="auto"/>
            <w:right w:val="none" w:sz="0" w:space="0" w:color="auto"/>
          </w:divBdr>
        </w:div>
        <w:div w:id="2006738352">
          <w:marLeft w:val="1670"/>
          <w:marRight w:val="0"/>
          <w:marTop w:val="120"/>
          <w:marBottom w:val="120"/>
          <w:divBdr>
            <w:top w:val="none" w:sz="0" w:space="0" w:color="auto"/>
            <w:left w:val="none" w:sz="0" w:space="0" w:color="auto"/>
            <w:bottom w:val="none" w:sz="0" w:space="0" w:color="auto"/>
            <w:right w:val="none" w:sz="0" w:space="0" w:color="auto"/>
          </w:divBdr>
        </w:div>
        <w:div w:id="2071347704">
          <w:marLeft w:val="1670"/>
          <w:marRight w:val="0"/>
          <w:marTop w:val="120"/>
          <w:marBottom w:val="120"/>
          <w:divBdr>
            <w:top w:val="none" w:sz="0" w:space="0" w:color="auto"/>
            <w:left w:val="none" w:sz="0" w:space="0" w:color="auto"/>
            <w:bottom w:val="none" w:sz="0" w:space="0" w:color="auto"/>
            <w:right w:val="none" w:sz="0" w:space="0" w:color="auto"/>
          </w:divBdr>
        </w:div>
      </w:divsChild>
    </w:div>
    <w:div w:id="691497700">
      <w:bodyDiv w:val="1"/>
      <w:marLeft w:val="0"/>
      <w:marRight w:val="0"/>
      <w:marTop w:val="0"/>
      <w:marBottom w:val="0"/>
      <w:divBdr>
        <w:top w:val="none" w:sz="0" w:space="0" w:color="auto"/>
        <w:left w:val="none" w:sz="0" w:space="0" w:color="auto"/>
        <w:bottom w:val="none" w:sz="0" w:space="0" w:color="auto"/>
        <w:right w:val="none" w:sz="0" w:space="0" w:color="auto"/>
      </w:divBdr>
    </w:div>
    <w:div w:id="692191568">
      <w:bodyDiv w:val="1"/>
      <w:marLeft w:val="0"/>
      <w:marRight w:val="0"/>
      <w:marTop w:val="0"/>
      <w:marBottom w:val="0"/>
      <w:divBdr>
        <w:top w:val="none" w:sz="0" w:space="0" w:color="auto"/>
        <w:left w:val="none" w:sz="0" w:space="0" w:color="auto"/>
        <w:bottom w:val="none" w:sz="0" w:space="0" w:color="auto"/>
        <w:right w:val="none" w:sz="0" w:space="0" w:color="auto"/>
      </w:divBdr>
    </w:div>
    <w:div w:id="697583362">
      <w:bodyDiv w:val="1"/>
      <w:marLeft w:val="0"/>
      <w:marRight w:val="0"/>
      <w:marTop w:val="0"/>
      <w:marBottom w:val="0"/>
      <w:divBdr>
        <w:top w:val="none" w:sz="0" w:space="0" w:color="auto"/>
        <w:left w:val="none" w:sz="0" w:space="0" w:color="auto"/>
        <w:bottom w:val="none" w:sz="0" w:space="0" w:color="auto"/>
        <w:right w:val="none" w:sz="0" w:space="0" w:color="auto"/>
      </w:divBdr>
    </w:div>
    <w:div w:id="699938986">
      <w:bodyDiv w:val="1"/>
      <w:marLeft w:val="0"/>
      <w:marRight w:val="0"/>
      <w:marTop w:val="0"/>
      <w:marBottom w:val="0"/>
      <w:divBdr>
        <w:top w:val="none" w:sz="0" w:space="0" w:color="auto"/>
        <w:left w:val="none" w:sz="0" w:space="0" w:color="auto"/>
        <w:bottom w:val="none" w:sz="0" w:space="0" w:color="auto"/>
        <w:right w:val="none" w:sz="0" w:space="0" w:color="auto"/>
      </w:divBdr>
    </w:div>
    <w:div w:id="701175721">
      <w:bodyDiv w:val="1"/>
      <w:marLeft w:val="0"/>
      <w:marRight w:val="0"/>
      <w:marTop w:val="0"/>
      <w:marBottom w:val="0"/>
      <w:divBdr>
        <w:top w:val="none" w:sz="0" w:space="0" w:color="auto"/>
        <w:left w:val="none" w:sz="0" w:space="0" w:color="auto"/>
        <w:bottom w:val="none" w:sz="0" w:space="0" w:color="auto"/>
        <w:right w:val="none" w:sz="0" w:space="0" w:color="auto"/>
      </w:divBdr>
    </w:div>
    <w:div w:id="705912788">
      <w:bodyDiv w:val="1"/>
      <w:marLeft w:val="0"/>
      <w:marRight w:val="0"/>
      <w:marTop w:val="0"/>
      <w:marBottom w:val="0"/>
      <w:divBdr>
        <w:top w:val="none" w:sz="0" w:space="0" w:color="auto"/>
        <w:left w:val="none" w:sz="0" w:space="0" w:color="auto"/>
        <w:bottom w:val="none" w:sz="0" w:space="0" w:color="auto"/>
        <w:right w:val="none" w:sz="0" w:space="0" w:color="auto"/>
      </w:divBdr>
    </w:div>
    <w:div w:id="706762290">
      <w:bodyDiv w:val="1"/>
      <w:marLeft w:val="0"/>
      <w:marRight w:val="0"/>
      <w:marTop w:val="0"/>
      <w:marBottom w:val="0"/>
      <w:divBdr>
        <w:top w:val="none" w:sz="0" w:space="0" w:color="auto"/>
        <w:left w:val="none" w:sz="0" w:space="0" w:color="auto"/>
        <w:bottom w:val="none" w:sz="0" w:space="0" w:color="auto"/>
        <w:right w:val="none" w:sz="0" w:space="0" w:color="auto"/>
      </w:divBdr>
    </w:div>
    <w:div w:id="710762194">
      <w:bodyDiv w:val="1"/>
      <w:marLeft w:val="0"/>
      <w:marRight w:val="0"/>
      <w:marTop w:val="0"/>
      <w:marBottom w:val="0"/>
      <w:divBdr>
        <w:top w:val="none" w:sz="0" w:space="0" w:color="auto"/>
        <w:left w:val="none" w:sz="0" w:space="0" w:color="auto"/>
        <w:bottom w:val="none" w:sz="0" w:space="0" w:color="auto"/>
        <w:right w:val="none" w:sz="0" w:space="0" w:color="auto"/>
      </w:divBdr>
    </w:div>
    <w:div w:id="715815223">
      <w:bodyDiv w:val="1"/>
      <w:marLeft w:val="0"/>
      <w:marRight w:val="0"/>
      <w:marTop w:val="0"/>
      <w:marBottom w:val="0"/>
      <w:divBdr>
        <w:top w:val="none" w:sz="0" w:space="0" w:color="auto"/>
        <w:left w:val="none" w:sz="0" w:space="0" w:color="auto"/>
        <w:bottom w:val="none" w:sz="0" w:space="0" w:color="auto"/>
        <w:right w:val="none" w:sz="0" w:space="0" w:color="auto"/>
      </w:divBdr>
    </w:div>
    <w:div w:id="723070015">
      <w:bodyDiv w:val="1"/>
      <w:marLeft w:val="0"/>
      <w:marRight w:val="0"/>
      <w:marTop w:val="0"/>
      <w:marBottom w:val="0"/>
      <w:divBdr>
        <w:top w:val="none" w:sz="0" w:space="0" w:color="auto"/>
        <w:left w:val="none" w:sz="0" w:space="0" w:color="auto"/>
        <w:bottom w:val="none" w:sz="0" w:space="0" w:color="auto"/>
        <w:right w:val="none" w:sz="0" w:space="0" w:color="auto"/>
      </w:divBdr>
    </w:div>
    <w:div w:id="729226893">
      <w:bodyDiv w:val="1"/>
      <w:marLeft w:val="0"/>
      <w:marRight w:val="0"/>
      <w:marTop w:val="0"/>
      <w:marBottom w:val="0"/>
      <w:divBdr>
        <w:top w:val="none" w:sz="0" w:space="0" w:color="auto"/>
        <w:left w:val="none" w:sz="0" w:space="0" w:color="auto"/>
        <w:bottom w:val="none" w:sz="0" w:space="0" w:color="auto"/>
        <w:right w:val="none" w:sz="0" w:space="0" w:color="auto"/>
      </w:divBdr>
    </w:div>
    <w:div w:id="733427332">
      <w:bodyDiv w:val="1"/>
      <w:marLeft w:val="0"/>
      <w:marRight w:val="0"/>
      <w:marTop w:val="0"/>
      <w:marBottom w:val="0"/>
      <w:divBdr>
        <w:top w:val="none" w:sz="0" w:space="0" w:color="auto"/>
        <w:left w:val="none" w:sz="0" w:space="0" w:color="auto"/>
        <w:bottom w:val="none" w:sz="0" w:space="0" w:color="auto"/>
        <w:right w:val="none" w:sz="0" w:space="0" w:color="auto"/>
      </w:divBdr>
    </w:div>
    <w:div w:id="748355768">
      <w:bodyDiv w:val="1"/>
      <w:marLeft w:val="0"/>
      <w:marRight w:val="0"/>
      <w:marTop w:val="0"/>
      <w:marBottom w:val="0"/>
      <w:divBdr>
        <w:top w:val="none" w:sz="0" w:space="0" w:color="auto"/>
        <w:left w:val="none" w:sz="0" w:space="0" w:color="auto"/>
        <w:bottom w:val="none" w:sz="0" w:space="0" w:color="auto"/>
        <w:right w:val="none" w:sz="0" w:space="0" w:color="auto"/>
      </w:divBdr>
    </w:div>
    <w:div w:id="750007261">
      <w:bodyDiv w:val="1"/>
      <w:marLeft w:val="0"/>
      <w:marRight w:val="0"/>
      <w:marTop w:val="0"/>
      <w:marBottom w:val="0"/>
      <w:divBdr>
        <w:top w:val="none" w:sz="0" w:space="0" w:color="auto"/>
        <w:left w:val="none" w:sz="0" w:space="0" w:color="auto"/>
        <w:bottom w:val="none" w:sz="0" w:space="0" w:color="auto"/>
        <w:right w:val="none" w:sz="0" w:space="0" w:color="auto"/>
      </w:divBdr>
    </w:div>
    <w:div w:id="752778981">
      <w:bodyDiv w:val="1"/>
      <w:marLeft w:val="0"/>
      <w:marRight w:val="0"/>
      <w:marTop w:val="0"/>
      <w:marBottom w:val="0"/>
      <w:divBdr>
        <w:top w:val="none" w:sz="0" w:space="0" w:color="auto"/>
        <w:left w:val="none" w:sz="0" w:space="0" w:color="auto"/>
        <w:bottom w:val="none" w:sz="0" w:space="0" w:color="auto"/>
        <w:right w:val="none" w:sz="0" w:space="0" w:color="auto"/>
      </w:divBdr>
    </w:div>
    <w:div w:id="767314945">
      <w:bodyDiv w:val="1"/>
      <w:marLeft w:val="0"/>
      <w:marRight w:val="0"/>
      <w:marTop w:val="0"/>
      <w:marBottom w:val="0"/>
      <w:divBdr>
        <w:top w:val="none" w:sz="0" w:space="0" w:color="auto"/>
        <w:left w:val="none" w:sz="0" w:space="0" w:color="auto"/>
        <w:bottom w:val="none" w:sz="0" w:space="0" w:color="auto"/>
        <w:right w:val="none" w:sz="0" w:space="0" w:color="auto"/>
      </w:divBdr>
    </w:div>
    <w:div w:id="768351246">
      <w:bodyDiv w:val="1"/>
      <w:marLeft w:val="0"/>
      <w:marRight w:val="0"/>
      <w:marTop w:val="0"/>
      <w:marBottom w:val="0"/>
      <w:divBdr>
        <w:top w:val="none" w:sz="0" w:space="0" w:color="auto"/>
        <w:left w:val="none" w:sz="0" w:space="0" w:color="auto"/>
        <w:bottom w:val="none" w:sz="0" w:space="0" w:color="auto"/>
        <w:right w:val="none" w:sz="0" w:space="0" w:color="auto"/>
      </w:divBdr>
    </w:div>
    <w:div w:id="775834640">
      <w:bodyDiv w:val="1"/>
      <w:marLeft w:val="0"/>
      <w:marRight w:val="0"/>
      <w:marTop w:val="0"/>
      <w:marBottom w:val="0"/>
      <w:divBdr>
        <w:top w:val="none" w:sz="0" w:space="0" w:color="auto"/>
        <w:left w:val="none" w:sz="0" w:space="0" w:color="auto"/>
        <w:bottom w:val="none" w:sz="0" w:space="0" w:color="auto"/>
        <w:right w:val="none" w:sz="0" w:space="0" w:color="auto"/>
      </w:divBdr>
    </w:div>
    <w:div w:id="780731609">
      <w:bodyDiv w:val="1"/>
      <w:marLeft w:val="0"/>
      <w:marRight w:val="0"/>
      <w:marTop w:val="0"/>
      <w:marBottom w:val="0"/>
      <w:divBdr>
        <w:top w:val="none" w:sz="0" w:space="0" w:color="auto"/>
        <w:left w:val="none" w:sz="0" w:space="0" w:color="auto"/>
        <w:bottom w:val="none" w:sz="0" w:space="0" w:color="auto"/>
        <w:right w:val="none" w:sz="0" w:space="0" w:color="auto"/>
      </w:divBdr>
    </w:div>
    <w:div w:id="780883136">
      <w:bodyDiv w:val="1"/>
      <w:marLeft w:val="0"/>
      <w:marRight w:val="0"/>
      <w:marTop w:val="0"/>
      <w:marBottom w:val="0"/>
      <w:divBdr>
        <w:top w:val="none" w:sz="0" w:space="0" w:color="auto"/>
        <w:left w:val="none" w:sz="0" w:space="0" w:color="auto"/>
        <w:bottom w:val="none" w:sz="0" w:space="0" w:color="auto"/>
        <w:right w:val="none" w:sz="0" w:space="0" w:color="auto"/>
      </w:divBdr>
    </w:div>
    <w:div w:id="785930777">
      <w:bodyDiv w:val="1"/>
      <w:marLeft w:val="0"/>
      <w:marRight w:val="0"/>
      <w:marTop w:val="0"/>
      <w:marBottom w:val="0"/>
      <w:divBdr>
        <w:top w:val="none" w:sz="0" w:space="0" w:color="auto"/>
        <w:left w:val="none" w:sz="0" w:space="0" w:color="auto"/>
        <w:bottom w:val="none" w:sz="0" w:space="0" w:color="auto"/>
        <w:right w:val="none" w:sz="0" w:space="0" w:color="auto"/>
      </w:divBdr>
    </w:div>
    <w:div w:id="790444402">
      <w:bodyDiv w:val="1"/>
      <w:marLeft w:val="0"/>
      <w:marRight w:val="0"/>
      <w:marTop w:val="0"/>
      <w:marBottom w:val="0"/>
      <w:divBdr>
        <w:top w:val="none" w:sz="0" w:space="0" w:color="auto"/>
        <w:left w:val="none" w:sz="0" w:space="0" w:color="auto"/>
        <w:bottom w:val="none" w:sz="0" w:space="0" w:color="auto"/>
        <w:right w:val="none" w:sz="0" w:space="0" w:color="auto"/>
      </w:divBdr>
    </w:div>
    <w:div w:id="792990517">
      <w:bodyDiv w:val="1"/>
      <w:marLeft w:val="0"/>
      <w:marRight w:val="0"/>
      <w:marTop w:val="0"/>
      <w:marBottom w:val="0"/>
      <w:divBdr>
        <w:top w:val="none" w:sz="0" w:space="0" w:color="auto"/>
        <w:left w:val="none" w:sz="0" w:space="0" w:color="auto"/>
        <w:bottom w:val="none" w:sz="0" w:space="0" w:color="auto"/>
        <w:right w:val="none" w:sz="0" w:space="0" w:color="auto"/>
      </w:divBdr>
    </w:div>
    <w:div w:id="793259176">
      <w:bodyDiv w:val="1"/>
      <w:marLeft w:val="0"/>
      <w:marRight w:val="0"/>
      <w:marTop w:val="0"/>
      <w:marBottom w:val="0"/>
      <w:divBdr>
        <w:top w:val="none" w:sz="0" w:space="0" w:color="auto"/>
        <w:left w:val="none" w:sz="0" w:space="0" w:color="auto"/>
        <w:bottom w:val="none" w:sz="0" w:space="0" w:color="auto"/>
        <w:right w:val="none" w:sz="0" w:space="0" w:color="auto"/>
      </w:divBdr>
    </w:div>
    <w:div w:id="798958871">
      <w:bodyDiv w:val="1"/>
      <w:marLeft w:val="0"/>
      <w:marRight w:val="0"/>
      <w:marTop w:val="0"/>
      <w:marBottom w:val="0"/>
      <w:divBdr>
        <w:top w:val="none" w:sz="0" w:space="0" w:color="auto"/>
        <w:left w:val="none" w:sz="0" w:space="0" w:color="auto"/>
        <w:bottom w:val="none" w:sz="0" w:space="0" w:color="auto"/>
        <w:right w:val="none" w:sz="0" w:space="0" w:color="auto"/>
      </w:divBdr>
    </w:div>
    <w:div w:id="799736149">
      <w:bodyDiv w:val="1"/>
      <w:marLeft w:val="0"/>
      <w:marRight w:val="0"/>
      <w:marTop w:val="0"/>
      <w:marBottom w:val="0"/>
      <w:divBdr>
        <w:top w:val="none" w:sz="0" w:space="0" w:color="auto"/>
        <w:left w:val="none" w:sz="0" w:space="0" w:color="auto"/>
        <w:bottom w:val="none" w:sz="0" w:space="0" w:color="auto"/>
        <w:right w:val="none" w:sz="0" w:space="0" w:color="auto"/>
      </w:divBdr>
    </w:div>
    <w:div w:id="807360142">
      <w:bodyDiv w:val="1"/>
      <w:marLeft w:val="0"/>
      <w:marRight w:val="0"/>
      <w:marTop w:val="0"/>
      <w:marBottom w:val="0"/>
      <w:divBdr>
        <w:top w:val="none" w:sz="0" w:space="0" w:color="auto"/>
        <w:left w:val="none" w:sz="0" w:space="0" w:color="auto"/>
        <w:bottom w:val="none" w:sz="0" w:space="0" w:color="auto"/>
        <w:right w:val="none" w:sz="0" w:space="0" w:color="auto"/>
      </w:divBdr>
    </w:div>
    <w:div w:id="818807850">
      <w:bodyDiv w:val="1"/>
      <w:marLeft w:val="0"/>
      <w:marRight w:val="0"/>
      <w:marTop w:val="0"/>
      <w:marBottom w:val="0"/>
      <w:divBdr>
        <w:top w:val="none" w:sz="0" w:space="0" w:color="auto"/>
        <w:left w:val="none" w:sz="0" w:space="0" w:color="auto"/>
        <w:bottom w:val="none" w:sz="0" w:space="0" w:color="auto"/>
        <w:right w:val="none" w:sz="0" w:space="0" w:color="auto"/>
      </w:divBdr>
    </w:div>
    <w:div w:id="820466992">
      <w:bodyDiv w:val="1"/>
      <w:marLeft w:val="0"/>
      <w:marRight w:val="0"/>
      <w:marTop w:val="0"/>
      <w:marBottom w:val="0"/>
      <w:divBdr>
        <w:top w:val="none" w:sz="0" w:space="0" w:color="auto"/>
        <w:left w:val="none" w:sz="0" w:space="0" w:color="auto"/>
        <w:bottom w:val="none" w:sz="0" w:space="0" w:color="auto"/>
        <w:right w:val="none" w:sz="0" w:space="0" w:color="auto"/>
      </w:divBdr>
    </w:div>
    <w:div w:id="823861033">
      <w:bodyDiv w:val="1"/>
      <w:marLeft w:val="0"/>
      <w:marRight w:val="0"/>
      <w:marTop w:val="0"/>
      <w:marBottom w:val="0"/>
      <w:divBdr>
        <w:top w:val="none" w:sz="0" w:space="0" w:color="auto"/>
        <w:left w:val="none" w:sz="0" w:space="0" w:color="auto"/>
        <w:bottom w:val="none" w:sz="0" w:space="0" w:color="auto"/>
        <w:right w:val="none" w:sz="0" w:space="0" w:color="auto"/>
      </w:divBdr>
    </w:div>
    <w:div w:id="824933453">
      <w:bodyDiv w:val="1"/>
      <w:marLeft w:val="0"/>
      <w:marRight w:val="0"/>
      <w:marTop w:val="0"/>
      <w:marBottom w:val="0"/>
      <w:divBdr>
        <w:top w:val="none" w:sz="0" w:space="0" w:color="auto"/>
        <w:left w:val="none" w:sz="0" w:space="0" w:color="auto"/>
        <w:bottom w:val="none" w:sz="0" w:space="0" w:color="auto"/>
        <w:right w:val="none" w:sz="0" w:space="0" w:color="auto"/>
      </w:divBdr>
    </w:div>
    <w:div w:id="826214465">
      <w:bodyDiv w:val="1"/>
      <w:marLeft w:val="0"/>
      <w:marRight w:val="0"/>
      <w:marTop w:val="0"/>
      <w:marBottom w:val="0"/>
      <w:divBdr>
        <w:top w:val="none" w:sz="0" w:space="0" w:color="auto"/>
        <w:left w:val="none" w:sz="0" w:space="0" w:color="auto"/>
        <w:bottom w:val="none" w:sz="0" w:space="0" w:color="auto"/>
        <w:right w:val="none" w:sz="0" w:space="0" w:color="auto"/>
      </w:divBdr>
    </w:div>
    <w:div w:id="826746077">
      <w:bodyDiv w:val="1"/>
      <w:marLeft w:val="0"/>
      <w:marRight w:val="0"/>
      <w:marTop w:val="0"/>
      <w:marBottom w:val="0"/>
      <w:divBdr>
        <w:top w:val="none" w:sz="0" w:space="0" w:color="auto"/>
        <w:left w:val="none" w:sz="0" w:space="0" w:color="auto"/>
        <w:bottom w:val="none" w:sz="0" w:space="0" w:color="auto"/>
        <w:right w:val="none" w:sz="0" w:space="0" w:color="auto"/>
      </w:divBdr>
    </w:div>
    <w:div w:id="831263122">
      <w:bodyDiv w:val="1"/>
      <w:marLeft w:val="0"/>
      <w:marRight w:val="0"/>
      <w:marTop w:val="0"/>
      <w:marBottom w:val="0"/>
      <w:divBdr>
        <w:top w:val="none" w:sz="0" w:space="0" w:color="auto"/>
        <w:left w:val="none" w:sz="0" w:space="0" w:color="auto"/>
        <w:bottom w:val="none" w:sz="0" w:space="0" w:color="auto"/>
        <w:right w:val="none" w:sz="0" w:space="0" w:color="auto"/>
      </w:divBdr>
    </w:div>
    <w:div w:id="841696949">
      <w:bodyDiv w:val="1"/>
      <w:marLeft w:val="0"/>
      <w:marRight w:val="0"/>
      <w:marTop w:val="0"/>
      <w:marBottom w:val="0"/>
      <w:divBdr>
        <w:top w:val="none" w:sz="0" w:space="0" w:color="auto"/>
        <w:left w:val="none" w:sz="0" w:space="0" w:color="auto"/>
        <w:bottom w:val="none" w:sz="0" w:space="0" w:color="auto"/>
        <w:right w:val="none" w:sz="0" w:space="0" w:color="auto"/>
      </w:divBdr>
    </w:div>
    <w:div w:id="848326056">
      <w:bodyDiv w:val="1"/>
      <w:marLeft w:val="0"/>
      <w:marRight w:val="0"/>
      <w:marTop w:val="0"/>
      <w:marBottom w:val="0"/>
      <w:divBdr>
        <w:top w:val="none" w:sz="0" w:space="0" w:color="auto"/>
        <w:left w:val="none" w:sz="0" w:space="0" w:color="auto"/>
        <w:bottom w:val="none" w:sz="0" w:space="0" w:color="auto"/>
        <w:right w:val="none" w:sz="0" w:space="0" w:color="auto"/>
      </w:divBdr>
    </w:div>
    <w:div w:id="855268119">
      <w:bodyDiv w:val="1"/>
      <w:marLeft w:val="0"/>
      <w:marRight w:val="0"/>
      <w:marTop w:val="0"/>
      <w:marBottom w:val="0"/>
      <w:divBdr>
        <w:top w:val="none" w:sz="0" w:space="0" w:color="auto"/>
        <w:left w:val="none" w:sz="0" w:space="0" w:color="auto"/>
        <w:bottom w:val="none" w:sz="0" w:space="0" w:color="auto"/>
        <w:right w:val="none" w:sz="0" w:space="0" w:color="auto"/>
      </w:divBdr>
      <w:divsChild>
        <w:div w:id="1800343648">
          <w:marLeft w:val="274"/>
          <w:marRight w:val="0"/>
          <w:marTop w:val="0"/>
          <w:marBottom w:val="240"/>
          <w:divBdr>
            <w:top w:val="none" w:sz="0" w:space="0" w:color="auto"/>
            <w:left w:val="none" w:sz="0" w:space="0" w:color="auto"/>
            <w:bottom w:val="none" w:sz="0" w:space="0" w:color="auto"/>
            <w:right w:val="none" w:sz="0" w:space="0" w:color="auto"/>
          </w:divBdr>
        </w:div>
      </w:divsChild>
    </w:div>
    <w:div w:id="859780508">
      <w:bodyDiv w:val="1"/>
      <w:marLeft w:val="0"/>
      <w:marRight w:val="0"/>
      <w:marTop w:val="0"/>
      <w:marBottom w:val="0"/>
      <w:divBdr>
        <w:top w:val="none" w:sz="0" w:space="0" w:color="auto"/>
        <w:left w:val="none" w:sz="0" w:space="0" w:color="auto"/>
        <w:bottom w:val="none" w:sz="0" w:space="0" w:color="auto"/>
        <w:right w:val="none" w:sz="0" w:space="0" w:color="auto"/>
      </w:divBdr>
    </w:div>
    <w:div w:id="862784217">
      <w:bodyDiv w:val="1"/>
      <w:marLeft w:val="0"/>
      <w:marRight w:val="0"/>
      <w:marTop w:val="0"/>
      <w:marBottom w:val="0"/>
      <w:divBdr>
        <w:top w:val="none" w:sz="0" w:space="0" w:color="auto"/>
        <w:left w:val="none" w:sz="0" w:space="0" w:color="auto"/>
        <w:bottom w:val="none" w:sz="0" w:space="0" w:color="auto"/>
        <w:right w:val="none" w:sz="0" w:space="0" w:color="auto"/>
      </w:divBdr>
    </w:div>
    <w:div w:id="866219674">
      <w:bodyDiv w:val="1"/>
      <w:marLeft w:val="0"/>
      <w:marRight w:val="0"/>
      <w:marTop w:val="0"/>
      <w:marBottom w:val="0"/>
      <w:divBdr>
        <w:top w:val="none" w:sz="0" w:space="0" w:color="auto"/>
        <w:left w:val="none" w:sz="0" w:space="0" w:color="auto"/>
        <w:bottom w:val="none" w:sz="0" w:space="0" w:color="auto"/>
        <w:right w:val="none" w:sz="0" w:space="0" w:color="auto"/>
      </w:divBdr>
    </w:div>
    <w:div w:id="873270512">
      <w:bodyDiv w:val="1"/>
      <w:marLeft w:val="0"/>
      <w:marRight w:val="0"/>
      <w:marTop w:val="0"/>
      <w:marBottom w:val="0"/>
      <w:divBdr>
        <w:top w:val="none" w:sz="0" w:space="0" w:color="auto"/>
        <w:left w:val="none" w:sz="0" w:space="0" w:color="auto"/>
        <w:bottom w:val="none" w:sz="0" w:space="0" w:color="auto"/>
        <w:right w:val="none" w:sz="0" w:space="0" w:color="auto"/>
      </w:divBdr>
    </w:div>
    <w:div w:id="873469617">
      <w:bodyDiv w:val="1"/>
      <w:marLeft w:val="0"/>
      <w:marRight w:val="0"/>
      <w:marTop w:val="0"/>
      <w:marBottom w:val="0"/>
      <w:divBdr>
        <w:top w:val="none" w:sz="0" w:space="0" w:color="auto"/>
        <w:left w:val="none" w:sz="0" w:space="0" w:color="auto"/>
        <w:bottom w:val="none" w:sz="0" w:space="0" w:color="auto"/>
        <w:right w:val="none" w:sz="0" w:space="0" w:color="auto"/>
      </w:divBdr>
    </w:div>
    <w:div w:id="880290313">
      <w:bodyDiv w:val="1"/>
      <w:marLeft w:val="0"/>
      <w:marRight w:val="0"/>
      <w:marTop w:val="0"/>
      <w:marBottom w:val="0"/>
      <w:divBdr>
        <w:top w:val="none" w:sz="0" w:space="0" w:color="auto"/>
        <w:left w:val="none" w:sz="0" w:space="0" w:color="auto"/>
        <w:bottom w:val="none" w:sz="0" w:space="0" w:color="auto"/>
        <w:right w:val="none" w:sz="0" w:space="0" w:color="auto"/>
      </w:divBdr>
    </w:div>
    <w:div w:id="884683285">
      <w:bodyDiv w:val="1"/>
      <w:marLeft w:val="0"/>
      <w:marRight w:val="0"/>
      <w:marTop w:val="0"/>
      <w:marBottom w:val="0"/>
      <w:divBdr>
        <w:top w:val="none" w:sz="0" w:space="0" w:color="auto"/>
        <w:left w:val="none" w:sz="0" w:space="0" w:color="auto"/>
        <w:bottom w:val="none" w:sz="0" w:space="0" w:color="auto"/>
        <w:right w:val="none" w:sz="0" w:space="0" w:color="auto"/>
      </w:divBdr>
    </w:div>
    <w:div w:id="886258090">
      <w:bodyDiv w:val="1"/>
      <w:marLeft w:val="0"/>
      <w:marRight w:val="0"/>
      <w:marTop w:val="0"/>
      <w:marBottom w:val="0"/>
      <w:divBdr>
        <w:top w:val="none" w:sz="0" w:space="0" w:color="auto"/>
        <w:left w:val="none" w:sz="0" w:space="0" w:color="auto"/>
        <w:bottom w:val="none" w:sz="0" w:space="0" w:color="auto"/>
        <w:right w:val="none" w:sz="0" w:space="0" w:color="auto"/>
      </w:divBdr>
    </w:div>
    <w:div w:id="888805490">
      <w:bodyDiv w:val="1"/>
      <w:marLeft w:val="0"/>
      <w:marRight w:val="0"/>
      <w:marTop w:val="0"/>
      <w:marBottom w:val="0"/>
      <w:divBdr>
        <w:top w:val="none" w:sz="0" w:space="0" w:color="auto"/>
        <w:left w:val="none" w:sz="0" w:space="0" w:color="auto"/>
        <w:bottom w:val="none" w:sz="0" w:space="0" w:color="auto"/>
        <w:right w:val="none" w:sz="0" w:space="0" w:color="auto"/>
      </w:divBdr>
    </w:div>
    <w:div w:id="903177082">
      <w:bodyDiv w:val="1"/>
      <w:marLeft w:val="0"/>
      <w:marRight w:val="0"/>
      <w:marTop w:val="0"/>
      <w:marBottom w:val="0"/>
      <w:divBdr>
        <w:top w:val="none" w:sz="0" w:space="0" w:color="auto"/>
        <w:left w:val="none" w:sz="0" w:space="0" w:color="auto"/>
        <w:bottom w:val="none" w:sz="0" w:space="0" w:color="auto"/>
        <w:right w:val="none" w:sz="0" w:space="0" w:color="auto"/>
      </w:divBdr>
    </w:div>
    <w:div w:id="910189537">
      <w:bodyDiv w:val="1"/>
      <w:marLeft w:val="0"/>
      <w:marRight w:val="0"/>
      <w:marTop w:val="0"/>
      <w:marBottom w:val="0"/>
      <w:divBdr>
        <w:top w:val="none" w:sz="0" w:space="0" w:color="auto"/>
        <w:left w:val="none" w:sz="0" w:space="0" w:color="auto"/>
        <w:bottom w:val="none" w:sz="0" w:space="0" w:color="auto"/>
        <w:right w:val="none" w:sz="0" w:space="0" w:color="auto"/>
      </w:divBdr>
    </w:div>
    <w:div w:id="913785435">
      <w:bodyDiv w:val="1"/>
      <w:marLeft w:val="0"/>
      <w:marRight w:val="0"/>
      <w:marTop w:val="0"/>
      <w:marBottom w:val="0"/>
      <w:divBdr>
        <w:top w:val="none" w:sz="0" w:space="0" w:color="auto"/>
        <w:left w:val="none" w:sz="0" w:space="0" w:color="auto"/>
        <w:bottom w:val="none" w:sz="0" w:space="0" w:color="auto"/>
        <w:right w:val="none" w:sz="0" w:space="0" w:color="auto"/>
      </w:divBdr>
    </w:div>
    <w:div w:id="914586171">
      <w:bodyDiv w:val="1"/>
      <w:marLeft w:val="0"/>
      <w:marRight w:val="0"/>
      <w:marTop w:val="0"/>
      <w:marBottom w:val="0"/>
      <w:divBdr>
        <w:top w:val="none" w:sz="0" w:space="0" w:color="auto"/>
        <w:left w:val="none" w:sz="0" w:space="0" w:color="auto"/>
        <w:bottom w:val="none" w:sz="0" w:space="0" w:color="auto"/>
        <w:right w:val="none" w:sz="0" w:space="0" w:color="auto"/>
      </w:divBdr>
    </w:div>
    <w:div w:id="917401612">
      <w:bodyDiv w:val="1"/>
      <w:marLeft w:val="0"/>
      <w:marRight w:val="0"/>
      <w:marTop w:val="0"/>
      <w:marBottom w:val="0"/>
      <w:divBdr>
        <w:top w:val="none" w:sz="0" w:space="0" w:color="auto"/>
        <w:left w:val="none" w:sz="0" w:space="0" w:color="auto"/>
        <w:bottom w:val="none" w:sz="0" w:space="0" w:color="auto"/>
        <w:right w:val="none" w:sz="0" w:space="0" w:color="auto"/>
      </w:divBdr>
    </w:div>
    <w:div w:id="918102712">
      <w:bodyDiv w:val="1"/>
      <w:marLeft w:val="0"/>
      <w:marRight w:val="0"/>
      <w:marTop w:val="0"/>
      <w:marBottom w:val="0"/>
      <w:divBdr>
        <w:top w:val="none" w:sz="0" w:space="0" w:color="auto"/>
        <w:left w:val="none" w:sz="0" w:space="0" w:color="auto"/>
        <w:bottom w:val="none" w:sz="0" w:space="0" w:color="auto"/>
        <w:right w:val="none" w:sz="0" w:space="0" w:color="auto"/>
      </w:divBdr>
    </w:div>
    <w:div w:id="922494921">
      <w:bodyDiv w:val="1"/>
      <w:marLeft w:val="0"/>
      <w:marRight w:val="0"/>
      <w:marTop w:val="0"/>
      <w:marBottom w:val="0"/>
      <w:divBdr>
        <w:top w:val="none" w:sz="0" w:space="0" w:color="auto"/>
        <w:left w:val="none" w:sz="0" w:space="0" w:color="auto"/>
        <w:bottom w:val="none" w:sz="0" w:space="0" w:color="auto"/>
        <w:right w:val="none" w:sz="0" w:space="0" w:color="auto"/>
      </w:divBdr>
    </w:div>
    <w:div w:id="923298618">
      <w:bodyDiv w:val="1"/>
      <w:marLeft w:val="0"/>
      <w:marRight w:val="0"/>
      <w:marTop w:val="0"/>
      <w:marBottom w:val="0"/>
      <w:divBdr>
        <w:top w:val="none" w:sz="0" w:space="0" w:color="auto"/>
        <w:left w:val="none" w:sz="0" w:space="0" w:color="auto"/>
        <w:bottom w:val="none" w:sz="0" w:space="0" w:color="auto"/>
        <w:right w:val="none" w:sz="0" w:space="0" w:color="auto"/>
      </w:divBdr>
    </w:div>
    <w:div w:id="924921128">
      <w:bodyDiv w:val="1"/>
      <w:marLeft w:val="0"/>
      <w:marRight w:val="0"/>
      <w:marTop w:val="0"/>
      <w:marBottom w:val="0"/>
      <w:divBdr>
        <w:top w:val="none" w:sz="0" w:space="0" w:color="auto"/>
        <w:left w:val="none" w:sz="0" w:space="0" w:color="auto"/>
        <w:bottom w:val="none" w:sz="0" w:space="0" w:color="auto"/>
        <w:right w:val="none" w:sz="0" w:space="0" w:color="auto"/>
      </w:divBdr>
      <w:divsChild>
        <w:div w:id="415325543">
          <w:marLeft w:val="821"/>
          <w:marRight w:val="0"/>
          <w:marTop w:val="120"/>
          <w:marBottom w:val="120"/>
          <w:divBdr>
            <w:top w:val="none" w:sz="0" w:space="0" w:color="auto"/>
            <w:left w:val="none" w:sz="0" w:space="0" w:color="auto"/>
            <w:bottom w:val="none" w:sz="0" w:space="0" w:color="auto"/>
            <w:right w:val="none" w:sz="0" w:space="0" w:color="auto"/>
          </w:divBdr>
        </w:div>
        <w:div w:id="719786756">
          <w:marLeft w:val="1800"/>
          <w:marRight w:val="0"/>
          <w:marTop w:val="120"/>
          <w:marBottom w:val="120"/>
          <w:divBdr>
            <w:top w:val="none" w:sz="0" w:space="0" w:color="auto"/>
            <w:left w:val="none" w:sz="0" w:space="0" w:color="auto"/>
            <w:bottom w:val="none" w:sz="0" w:space="0" w:color="auto"/>
            <w:right w:val="none" w:sz="0" w:space="0" w:color="auto"/>
          </w:divBdr>
        </w:div>
        <w:div w:id="861433183">
          <w:marLeft w:val="1800"/>
          <w:marRight w:val="0"/>
          <w:marTop w:val="120"/>
          <w:marBottom w:val="120"/>
          <w:divBdr>
            <w:top w:val="none" w:sz="0" w:space="0" w:color="auto"/>
            <w:left w:val="none" w:sz="0" w:space="0" w:color="auto"/>
            <w:bottom w:val="none" w:sz="0" w:space="0" w:color="auto"/>
            <w:right w:val="none" w:sz="0" w:space="0" w:color="auto"/>
          </w:divBdr>
        </w:div>
        <w:div w:id="1128740378">
          <w:marLeft w:val="1800"/>
          <w:marRight w:val="0"/>
          <w:marTop w:val="120"/>
          <w:marBottom w:val="120"/>
          <w:divBdr>
            <w:top w:val="none" w:sz="0" w:space="0" w:color="auto"/>
            <w:left w:val="none" w:sz="0" w:space="0" w:color="auto"/>
            <w:bottom w:val="none" w:sz="0" w:space="0" w:color="auto"/>
            <w:right w:val="none" w:sz="0" w:space="0" w:color="auto"/>
          </w:divBdr>
        </w:div>
        <w:div w:id="1175921288">
          <w:marLeft w:val="1800"/>
          <w:marRight w:val="0"/>
          <w:marTop w:val="120"/>
          <w:marBottom w:val="120"/>
          <w:divBdr>
            <w:top w:val="none" w:sz="0" w:space="0" w:color="auto"/>
            <w:left w:val="none" w:sz="0" w:space="0" w:color="auto"/>
            <w:bottom w:val="none" w:sz="0" w:space="0" w:color="auto"/>
            <w:right w:val="none" w:sz="0" w:space="0" w:color="auto"/>
          </w:divBdr>
        </w:div>
        <w:div w:id="1649046802">
          <w:marLeft w:val="1800"/>
          <w:marRight w:val="0"/>
          <w:marTop w:val="120"/>
          <w:marBottom w:val="120"/>
          <w:divBdr>
            <w:top w:val="none" w:sz="0" w:space="0" w:color="auto"/>
            <w:left w:val="none" w:sz="0" w:space="0" w:color="auto"/>
            <w:bottom w:val="none" w:sz="0" w:space="0" w:color="auto"/>
            <w:right w:val="none" w:sz="0" w:space="0" w:color="auto"/>
          </w:divBdr>
        </w:div>
        <w:div w:id="1678269922">
          <w:marLeft w:val="907"/>
          <w:marRight w:val="0"/>
          <w:marTop w:val="120"/>
          <w:marBottom w:val="120"/>
          <w:divBdr>
            <w:top w:val="none" w:sz="0" w:space="0" w:color="auto"/>
            <w:left w:val="none" w:sz="0" w:space="0" w:color="auto"/>
            <w:bottom w:val="none" w:sz="0" w:space="0" w:color="auto"/>
            <w:right w:val="none" w:sz="0" w:space="0" w:color="auto"/>
          </w:divBdr>
        </w:div>
        <w:div w:id="1696232900">
          <w:marLeft w:val="1627"/>
          <w:marRight w:val="0"/>
          <w:marTop w:val="120"/>
          <w:marBottom w:val="120"/>
          <w:divBdr>
            <w:top w:val="none" w:sz="0" w:space="0" w:color="auto"/>
            <w:left w:val="none" w:sz="0" w:space="0" w:color="auto"/>
            <w:bottom w:val="none" w:sz="0" w:space="0" w:color="auto"/>
            <w:right w:val="none" w:sz="0" w:space="0" w:color="auto"/>
          </w:divBdr>
        </w:div>
        <w:div w:id="1840198446">
          <w:marLeft w:val="907"/>
          <w:marRight w:val="0"/>
          <w:marTop w:val="120"/>
          <w:marBottom w:val="120"/>
          <w:divBdr>
            <w:top w:val="none" w:sz="0" w:space="0" w:color="auto"/>
            <w:left w:val="none" w:sz="0" w:space="0" w:color="auto"/>
            <w:bottom w:val="none" w:sz="0" w:space="0" w:color="auto"/>
            <w:right w:val="none" w:sz="0" w:space="0" w:color="auto"/>
          </w:divBdr>
        </w:div>
        <w:div w:id="2003511560">
          <w:marLeft w:val="1800"/>
          <w:marRight w:val="0"/>
          <w:marTop w:val="120"/>
          <w:marBottom w:val="120"/>
          <w:divBdr>
            <w:top w:val="none" w:sz="0" w:space="0" w:color="auto"/>
            <w:left w:val="none" w:sz="0" w:space="0" w:color="auto"/>
            <w:bottom w:val="none" w:sz="0" w:space="0" w:color="auto"/>
            <w:right w:val="none" w:sz="0" w:space="0" w:color="auto"/>
          </w:divBdr>
        </w:div>
      </w:divsChild>
    </w:div>
    <w:div w:id="925305697">
      <w:bodyDiv w:val="1"/>
      <w:marLeft w:val="0"/>
      <w:marRight w:val="0"/>
      <w:marTop w:val="0"/>
      <w:marBottom w:val="0"/>
      <w:divBdr>
        <w:top w:val="none" w:sz="0" w:space="0" w:color="auto"/>
        <w:left w:val="none" w:sz="0" w:space="0" w:color="auto"/>
        <w:bottom w:val="none" w:sz="0" w:space="0" w:color="auto"/>
        <w:right w:val="none" w:sz="0" w:space="0" w:color="auto"/>
      </w:divBdr>
    </w:div>
    <w:div w:id="929049569">
      <w:bodyDiv w:val="1"/>
      <w:marLeft w:val="0"/>
      <w:marRight w:val="0"/>
      <w:marTop w:val="0"/>
      <w:marBottom w:val="0"/>
      <w:divBdr>
        <w:top w:val="none" w:sz="0" w:space="0" w:color="auto"/>
        <w:left w:val="none" w:sz="0" w:space="0" w:color="auto"/>
        <w:bottom w:val="none" w:sz="0" w:space="0" w:color="auto"/>
        <w:right w:val="none" w:sz="0" w:space="0" w:color="auto"/>
      </w:divBdr>
    </w:div>
    <w:div w:id="930087787">
      <w:bodyDiv w:val="1"/>
      <w:marLeft w:val="0"/>
      <w:marRight w:val="0"/>
      <w:marTop w:val="0"/>
      <w:marBottom w:val="0"/>
      <w:divBdr>
        <w:top w:val="none" w:sz="0" w:space="0" w:color="auto"/>
        <w:left w:val="none" w:sz="0" w:space="0" w:color="auto"/>
        <w:bottom w:val="none" w:sz="0" w:space="0" w:color="auto"/>
        <w:right w:val="none" w:sz="0" w:space="0" w:color="auto"/>
      </w:divBdr>
    </w:div>
    <w:div w:id="935750921">
      <w:bodyDiv w:val="1"/>
      <w:marLeft w:val="0"/>
      <w:marRight w:val="0"/>
      <w:marTop w:val="0"/>
      <w:marBottom w:val="0"/>
      <w:divBdr>
        <w:top w:val="none" w:sz="0" w:space="0" w:color="auto"/>
        <w:left w:val="none" w:sz="0" w:space="0" w:color="auto"/>
        <w:bottom w:val="none" w:sz="0" w:space="0" w:color="auto"/>
        <w:right w:val="none" w:sz="0" w:space="0" w:color="auto"/>
      </w:divBdr>
    </w:div>
    <w:div w:id="938679662">
      <w:bodyDiv w:val="1"/>
      <w:marLeft w:val="0"/>
      <w:marRight w:val="0"/>
      <w:marTop w:val="0"/>
      <w:marBottom w:val="0"/>
      <w:divBdr>
        <w:top w:val="none" w:sz="0" w:space="0" w:color="auto"/>
        <w:left w:val="none" w:sz="0" w:space="0" w:color="auto"/>
        <w:bottom w:val="none" w:sz="0" w:space="0" w:color="auto"/>
        <w:right w:val="none" w:sz="0" w:space="0" w:color="auto"/>
      </w:divBdr>
    </w:div>
    <w:div w:id="943802634">
      <w:bodyDiv w:val="1"/>
      <w:marLeft w:val="0"/>
      <w:marRight w:val="0"/>
      <w:marTop w:val="0"/>
      <w:marBottom w:val="0"/>
      <w:divBdr>
        <w:top w:val="none" w:sz="0" w:space="0" w:color="auto"/>
        <w:left w:val="none" w:sz="0" w:space="0" w:color="auto"/>
        <w:bottom w:val="none" w:sz="0" w:space="0" w:color="auto"/>
        <w:right w:val="none" w:sz="0" w:space="0" w:color="auto"/>
      </w:divBdr>
    </w:div>
    <w:div w:id="950167024">
      <w:bodyDiv w:val="1"/>
      <w:marLeft w:val="0"/>
      <w:marRight w:val="0"/>
      <w:marTop w:val="0"/>
      <w:marBottom w:val="0"/>
      <w:divBdr>
        <w:top w:val="none" w:sz="0" w:space="0" w:color="auto"/>
        <w:left w:val="none" w:sz="0" w:space="0" w:color="auto"/>
        <w:bottom w:val="none" w:sz="0" w:space="0" w:color="auto"/>
        <w:right w:val="none" w:sz="0" w:space="0" w:color="auto"/>
      </w:divBdr>
    </w:div>
    <w:div w:id="952174762">
      <w:bodyDiv w:val="1"/>
      <w:marLeft w:val="0"/>
      <w:marRight w:val="0"/>
      <w:marTop w:val="0"/>
      <w:marBottom w:val="0"/>
      <w:divBdr>
        <w:top w:val="none" w:sz="0" w:space="0" w:color="auto"/>
        <w:left w:val="none" w:sz="0" w:space="0" w:color="auto"/>
        <w:bottom w:val="none" w:sz="0" w:space="0" w:color="auto"/>
        <w:right w:val="none" w:sz="0" w:space="0" w:color="auto"/>
      </w:divBdr>
    </w:div>
    <w:div w:id="952632794">
      <w:bodyDiv w:val="1"/>
      <w:marLeft w:val="0"/>
      <w:marRight w:val="0"/>
      <w:marTop w:val="0"/>
      <w:marBottom w:val="0"/>
      <w:divBdr>
        <w:top w:val="none" w:sz="0" w:space="0" w:color="auto"/>
        <w:left w:val="none" w:sz="0" w:space="0" w:color="auto"/>
        <w:bottom w:val="none" w:sz="0" w:space="0" w:color="auto"/>
        <w:right w:val="none" w:sz="0" w:space="0" w:color="auto"/>
      </w:divBdr>
    </w:div>
    <w:div w:id="954677227">
      <w:bodyDiv w:val="1"/>
      <w:marLeft w:val="0"/>
      <w:marRight w:val="0"/>
      <w:marTop w:val="0"/>
      <w:marBottom w:val="0"/>
      <w:divBdr>
        <w:top w:val="none" w:sz="0" w:space="0" w:color="auto"/>
        <w:left w:val="none" w:sz="0" w:space="0" w:color="auto"/>
        <w:bottom w:val="none" w:sz="0" w:space="0" w:color="auto"/>
        <w:right w:val="none" w:sz="0" w:space="0" w:color="auto"/>
      </w:divBdr>
      <w:divsChild>
        <w:div w:id="1170801499">
          <w:marLeft w:val="0"/>
          <w:marRight w:val="0"/>
          <w:marTop w:val="0"/>
          <w:marBottom w:val="0"/>
          <w:divBdr>
            <w:top w:val="none" w:sz="0" w:space="0" w:color="auto"/>
            <w:left w:val="none" w:sz="0" w:space="0" w:color="auto"/>
            <w:bottom w:val="none" w:sz="0" w:space="0" w:color="auto"/>
            <w:right w:val="none" w:sz="0" w:space="0" w:color="auto"/>
          </w:divBdr>
          <w:divsChild>
            <w:div w:id="744566332">
              <w:marLeft w:val="0"/>
              <w:marRight w:val="0"/>
              <w:marTop w:val="0"/>
              <w:marBottom w:val="0"/>
              <w:divBdr>
                <w:top w:val="none" w:sz="0" w:space="0" w:color="auto"/>
                <w:left w:val="none" w:sz="0" w:space="0" w:color="auto"/>
                <w:bottom w:val="none" w:sz="0" w:space="0" w:color="auto"/>
                <w:right w:val="none" w:sz="0" w:space="0" w:color="auto"/>
              </w:divBdr>
              <w:divsChild>
                <w:div w:id="454373137">
                  <w:marLeft w:val="-300"/>
                  <w:marRight w:val="-300"/>
                  <w:marTop w:val="0"/>
                  <w:marBottom w:val="0"/>
                  <w:divBdr>
                    <w:top w:val="none" w:sz="0" w:space="0" w:color="auto"/>
                    <w:left w:val="none" w:sz="0" w:space="0" w:color="auto"/>
                    <w:bottom w:val="none" w:sz="0" w:space="0" w:color="auto"/>
                    <w:right w:val="none" w:sz="0" w:space="0" w:color="auto"/>
                  </w:divBdr>
                  <w:divsChild>
                    <w:div w:id="439109521">
                      <w:marLeft w:val="0"/>
                      <w:marRight w:val="0"/>
                      <w:marTop w:val="0"/>
                      <w:marBottom w:val="0"/>
                      <w:divBdr>
                        <w:top w:val="none" w:sz="0" w:space="0" w:color="auto"/>
                        <w:left w:val="none" w:sz="0" w:space="0" w:color="auto"/>
                        <w:bottom w:val="none" w:sz="0" w:space="0" w:color="auto"/>
                        <w:right w:val="none" w:sz="0" w:space="0" w:color="auto"/>
                      </w:divBdr>
                      <w:divsChild>
                        <w:div w:id="1387725945">
                          <w:marLeft w:val="-300"/>
                          <w:marRight w:val="-300"/>
                          <w:marTop w:val="0"/>
                          <w:marBottom w:val="0"/>
                          <w:divBdr>
                            <w:top w:val="none" w:sz="0" w:space="0" w:color="auto"/>
                            <w:left w:val="none" w:sz="0" w:space="0" w:color="auto"/>
                            <w:bottom w:val="none" w:sz="0" w:space="0" w:color="auto"/>
                            <w:right w:val="none" w:sz="0" w:space="0" w:color="auto"/>
                          </w:divBdr>
                          <w:divsChild>
                            <w:div w:id="150490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794619">
      <w:bodyDiv w:val="1"/>
      <w:marLeft w:val="0"/>
      <w:marRight w:val="0"/>
      <w:marTop w:val="0"/>
      <w:marBottom w:val="0"/>
      <w:divBdr>
        <w:top w:val="none" w:sz="0" w:space="0" w:color="auto"/>
        <w:left w:val="none" w:sz="0" w:space="0" w:color="auto"/>
        <w:bottom w:val="none" w:sz="0" w:space="0" w:color="auto"/>
        <w:right w:val="none" w:sz="0" w:space="0" w:color="auto"/>
      </w:divBdr>
    </w:div>
    <w:div w:id="960262036">
      <w:bodyDiv w:val="1"/>
      <w:marLeft w:val="0"/>
      <w:marRight w:val="0"/>
      <w:marTop w:val="0"/>
      <w:marBottom w:val="0"/>
      <w:divBdr>
        <w:top w:val="none" w:sz="0" w:space="0" w:color="auto"/>
        <w:left w:val="none" w:sz="0" w:space="0" w:color="auto"/>
        <w:bottom w:val="none" w:sz="0" w:space="0" w:color="auto"/>
        <w:right w:val="none" w:sz="0" w:space="0" w:color="auto"/>
      </w:divBdr>
    </w:div>
    <w:div w:id="969290482">
      <w:bodyDiv w:val="1"/>
      <w:marLeft w:val="0"/>
      <w:marRight w:val="0"/>
      <w:marTop w:val="0"/>
      <w:marBottom w:val="0"/>
      <w:divBdr>
        <w:top w:val="none" w:sz="0" w:space="0" w:color="auto"/>
        <w:left w:val="none" w:sz="0" w:space="0" w:color="auto"/>
        <w:bottom w:val="none" w:sz="0" w:space="0" w:color="auto"/>
        <w:right w:val="none" w:sz="0" w:space="0" w:color="auto"/>
      </w:divBdr>
    </w:div>
    <w:div w:id="988485569">
      <w:bodyDiv w:val="1"/>
      <w:marLeft w:val="0"/>
      <w:marRight w:val="0"/>
      <w:marTop w:val="0"/>
      <w:marBottom w:val="0"/>
      <w:divBdr>
        <w:top w:val="none" w:sz="0" w:space="0" w:color="auto"/>
        <w:left w:val="none" w:sz="0" w:space="0" w:color="auto"/>
        <w:bottom w:val="none" w:sz="0" w:space="0" w:color="auto"/>
        <w:right w:val="none" w:sz="0" w:space="0" w:color="auto"/>
      </w:divBdr>
    </w:div>
    <w:div w:id="991524064">
      <w:bodyDiv w:val="1"/>
      <w:marLeft w:val="0"/>
      <w:marRight w:val="0"/>
      <w:marTop w:val="0"/>
      <w:marBottom w:val="0"/>
      <w:divBdr>
        <w:top w:val="none" w:sz="0" w:space="0" w:color="auto"/>
        <w:left w:val="none" w:sz="0" w:space="0" w:color="auto"/>
        <w:bottom w:val="none" w:sz="0" w:space="0" w:color="auto"/>
        <w:right w:val="none" w:sz="0" w:space="0" w:color="auto"/>
      </w:divBdr>
    </w:div>
    <w:div w:id="1016151107">
      <w:bodyDiv w:val="1"/>
      <w:marLeft w:val="0"/>
      <w:marRight w:val="0"/>
      <w:marTop w:val="0"/>
      <w:marBottom w:val="0"/>
      <w:divBdr>
        <w:top w:val="none" w:sz="0" w:space="0" w:color="auto"/>
        <w:left w:val="none" w:sz="0" w:space="0" w:color="auto"/>
        <w:bottom w:val="none" w:sz="0" w:space="0" w:color="auto"/>
        <w:right w:val="none" w:sz="0" w:space="0" w:color="auto"/>
      </w:divBdr>
    </w:div>
    <w:div w:id="1018121679">
      <w:bodyDiv w:val="1"/>
      <w:marLeft w:val="0"/>
      <w:marRight w:val="0"/>
      <w:marTop w:val="0"/>
      <w:marBottom w:val="0"/>
      <w:divBdr>
        <w:top w:val="none" w:sz="0" w:space="0" w:color="auto"/>
        <w:left w:val="none" w:sz="0" w:space="0" w:color="auto"/>
        <w:bottom w:val="none" w:sz="0" w:space="0" w:color="auto"/>
        <w:right w:val="none" w:sz="0" w:space="0" w:color="auto"/>
      </w:divBdr>
    </w:div>
    <w:div w:id="1019352644">
      <w:bodyDiv w:val="1"/>
      <w:marLeft w:val="0"/>
      <w:marRight w:val="0"/>
      <w:marTop w:val="0"/>
      <w:marBottom w:val="0"/>
      <w:divBdr>
        <w:top w:val="none" w:sz="0" w:space="0" w:color="auto"/>
        <w:left w:val="none" w:sz="0" w:space="0" w:color="auto"/>
        <w:bottom w:val="none" w:sz="0" w:space="0" w:color="auto"/>
        <w:right w:val="none" w:sz="0" w:space="0" w:color="auto"/>
      </w:divBdr>
    </w:div>
    <w:div w:id="1027826676">
      <w:bodyDiv w:val="1"/>
      <w:marLeft w:val="0"/>
      <w:marRight w:val="0"/>
      <w:marTop w:val="0"/>
      <w:marBottom w:val="0"/>
      <w:divBdr>
        <w:top w:val="none" w:sz="0" w:space="0" w:color="auto"/>
        <w:left w:val="none" w:sz="0" w:space="0" w:color="auto"/>
        <w:bottom w:val="none" w:sz="0" w:space="0" w:color="auto"/>
        <w:right w:val="none" w:sz="0" w:space="0" w:color="auto"/>
      </w:divBdr>
    </w:div>
    <w:div w:id="1030030602">
      <w:bodyDiv w:val="1"/>
      <w:marLeft w:val="0"/>
      <w:marRight w:val="0"/>
      <w:marTop w:val="0"/>
      <w:marBottom w:val="0"/>
      <w:divBdr>
        <w:top w:val="none" w:sz="0" w:space="0" w:color="auto"/>
        <w:left w:val="none" w:sz="0" w:space="0" w:color="auto"/>
        <w:bottom w:val="none" w:sz="0" w:space="0" w:color="auto"/>
        <w:right w:val="none" w:sz="0" w:space="0" w:color="auto"/>
      </w:divBdr>
    </w:div>
    <w:div w:id="1032993664">
      <w:bodyDiv w:val="1"/>
      <w:marLeft w:val="0"/>
      <w:marRight w:val="0"/>
      <w:marTop w:val="0"/>
      <w:marBottom w:val="0"/>
      <w:divBdr>
        <w:top w:val="none" w:sz="0" w:space="0" w:color="auto"/>
        <w:left w:val="none" w:sz="0" w:space="0" w:color="auto"/>
        <w:bottom w:val="none" w:sz="0" w:space="0" w:color="auto"/>
        <w:right w:val="none" w:sz="0" w:space="0" w:color="auto"/>
      </w:divBdr>
    </w:div>
    <w:div w:id="1036660178">
      <w:bodyDiv w:val="1"/>
      <w:marLeft w:val="0"/>
      <w:marRight w:val="0"/>
      <w:marTop w:val="0"/>
      <w:marBottom w:val="0"/>
      <w:divBdr>
        <w:top w:val="none" w:sz="0" w:space="0" w:color="auto"/>
        <w:left w:val="none" w:sz="0" w:space="0" w:color="auto"/>
        <w:bottom w:val="none" w:sz="0" w:space="0" w:color="auto"/>
        <w:right w:val="none" w:sz="0" w:space="0" w:color="auto"/>
      </w:divBdr>
    </w:div>
    <w:div w:id="1062097829">
      <w:bodyDiv w:val="1"/>
      <w:marLeft w:val="0"/>
      <w:marRight w:val="0"/>
      <w:marTop w:val="0"/>
      <w:marBottom w:val="0"/>
      <w:divBdr>
        <w:top w:val="none" w:sz="0" w:space="0" w:color="auto"/>
        <w:left w:val="none" w:sz="0" w:space="0" w:color="auto"/>
        <w:bottom w:val="none" w:sz="0" w:space="0" w:color="auto"/>
        <w:right w:val="none" w:sz="0" w:space="0" w:color="auto"/>
      </w:divBdr>
    </w:div>
    <w:div w:id="1076316123">
      <w:bodyDiv w:val="1"/>
      <w:marLeft w:val="0"/>
      <w:marRight w:val="0"/>
      <w:marTop w:val="0"/>
      <w:marBottom w:val="0"/>
      <w:divBdr>
        <w:top w:val="none" w:sz="0" w:space="0" w:color="auto"/>
        <w:left w:val="none" w:sz="0" w:space="0" w:color="auto"/>
        <w:bottom w:val="none" w:sz="0" w:space="0" w:color="auto"/>
        <w:right w:val="none" w:sz="0" w:space="0" w:color="auto"/>
      </w:divBdr>
    </w:div>
    <w:div w:id="1078749087">
      <w:bodyDiv w:val="1"/>
      <w:marLeft w:val="0"/>
      <w:marRight w:val="0"/>
      <w:marTop w:val="0"/>
      <w:marBottom w:val="0"/>
      <w:divBdr>
        <w:top w:val="none" w:sz="0" w:space="0" w:color="auto"/>
        <w:left w:val="none" w:sz="0" w:space="0" w:color="auto"/>
        <w:bottom w:val="none" w:sz="0" w:space="0" w:color="auto"/>
        <w:right w:val="none" w:sz="0" w:space="0" w:color="auto"/>
      </w:divBdr>
    </w:div>
    <w:div w:id="1086611085">
      <w:bodyDiv w:val="1"/>
      <w:marLeft w:val="0"/>
      <w:marRight w:val="0"/>
      <w:marTop w:val="0"/>
      <w:marBottom w:val="0"/>
      <w:divBdr>
        <w:top w:val="none" w:sz="0" w:space="0" w:color="auto"/>
        <w:left w:val="none" w:sz="0" w:space="0" w:color="auto"/>
        <w:bottom w:val="none" w:sz="0" w:space="0" w:color="auto"/>
        <w:right w:val="none" w:sz="0" w:space="0" w:color="auto"/>
      </w:divBdr>
    </w:div>
    <w:div w:id="1087506213">
      <w:bodyDiv w:val="1"/>
      <w:marLeft w:val="0"/>
      <w:marRight w:val="0"/>
      <w:marTop w:val="0"/>
      <w:marBottom w:val="0"/>
      <w:divBdr>
        <w:top w:val="none" w:sz="0" w:space="0" w:color="auto"/>
        <w:left w:val="none" w:sz="0" w:space="0" w:color="auto"/>
        <w:bottom w:val="none" w:sz="0" w:space="0" w:color="auto"/>
        <w:right w:val="none" w:sz="0" w:space="0" w:color="auto"/>
      </w:divBdr>
    </w:div>
    <w:div w:id="1087581782">
      <w:bodyDiv w:val="1"/>
      <w:marLeft w:val="0"/>
      <w:marRight w:val="0"/>
      <w:marTop w:val="0"/>
      <w:marBottom w:val="0"/>
      <w:divBdr>
        <w:top w:val="none" w:sz="0" w:space="0" w:color="auto"/>
        <w:left w:val="none" w:sz="0" w:space="0" w:color="auto"/>
        <w:bottom w:val="none" w:sz="0" w:space="0" w:color="auto"/>
        <w:right w:val="none" w:sz="0" w:space="0" w:color="auto"/>
      </w:divBdr>
    </w:div>
    <w:div w:id="1090469523">
      <w:bodyDiv w:val="1"/>
      <w:marLeft w:val="0"/>
      <w:marRight w:val="0"/>
      <w:marTop w:val="0"/>
      <w:marBottom w:val="0"/>
      <w:divBdr>
        <w:top w:val="none" w:sz="0" w:space="0" w:color="auto"/>
        <w:left w:val="none" w:sz="0" w:space="0" w:color="auto"/>
        <w:bottom w:val="none" w:sz="0" w:space="0" w:color="auto"/>
        <w:right w:val="none" w:sz="0" w:space="0" w:color="auto"/>
      </w:divBdr>
    </w:div>
    <w:div w:id="1098138964">
      <w:bodyDiv w:val="1"/>
      <w:marLeft w:val="0"/>
      <w:marRight w:val="0"/>
      <w:marTop w:val="0"/>
      <w:marBottom w:val="0"/>
      <w:divBdr>
        <w:top w:val="none" w:sz="0" w:space="0" w:color="auto"/>
        <w:left w:val="none" w:sz="0" w:space="0" w:color="auto"/>
        <w:bottom w:val="none" w:sz="0" w:space="0" w:color="auto"/>
        <w:right w:val="none" w:sz="0" w:space="0" w:color="auto"/>
      </w:divBdr>
    </w:div>
    <w:div w:id="1101993793">
      <w:bodyDiv w:val="1"/>
      <w:marLeft w:val="0"/>
      <w:marRight w:val="0"/>
      <w:marTop w:val="0"/>
      <w:marBottom w:val="0"/>
      <w:divBdr>
        <w:top w:val="none" w:sz="0" w:space="0" w:color="auto"/>
        <w:left w:val="none" w:sz="0" w:space="0" w:color="auto"/>
        <w:bottom w:val="none" w:sz="0" w:space="0" w:color="auto"/>
        <w:right w:val="none" w:sz="0" w:space="0" w:color="auto"/>
      </w:divBdr>
    </w:div>
    <w:div w:id="1105461840">
      <w:bodyDiv w:val="1"/>
      <w:marLeft w:val="0"/>
      <w:marRight w:val="0"/>
      <w:marTop w:val="0"/>
      <w:marBottom w:val="0"/>
      <w:divBdr>
        <w:top w:val="none" w:sz="0" w:space="0" w:color="auto"/>
        <w:left w:val="none" w:sz="0" w:space="0" w:color="auto"/>
        <w:bottom w:val="none" w:sz="0" w:space="0" w:color="auto"/>
        <w:right w:val="none" w:sz="0" w:space="0" w:color="auto"/>
      </w:divBdr>
    </w:div>
    <w:div w:id="1105689584">
      <w:bodyDiv w:val="1"/>
      <w:marLeft w:val="0"/>
      <w:marRight w:val="0"/>
      <w:marTop w:val="0"/>
      <w:marBottom w:val="0"/>
      <w:divBdr>
        <w:top w:val="none" w:sz="0" w:space="0" w:color="auto"/>
        <w:left w:val="none" w:sz="0" w:space="0" w:color="auto"/>
        <w:bottom w:val="none" w:sz="0" w:space="0" w:color="auto"/>
        <w:right w:val="none" w:sz="0" w:space="0" w:color="auto"/>
      </w:divBdr>
    </w:div>
    <w:div w:id="1109473287">
      <w:bodyDiv w:val="1"/>
      <w:marLeft w:val="0"/>
      <w:marRight w:val="0"/>
      <w:marTop w:val="0"/>
      <w:marBottom w:val="0"/>
      <w:divBdr>
        <w:top w:val="none" w:sz="0" w:space="0" w:color="auto"/>
        <w:left w:val="none" w:sz="0" w:space="0" w:color="auto"/>
        <w:bottom w:val="none" w:sz="0" w:space="0" w:color="auto"/>
        <w:right w:val="none" w:sz="0" w:space="0" w:color="auto"/>
      </w:divBdr>
    </w:div>
    <w:div w:id="1124806324">
      <w:bodyDiv w:val="1"/>
      <w:marLeft w:val="0"/>
      <w:marRight w:val="0"/>
      <w:marTop w:val="0"/>
      <w:marBottom w:val="0"/>
      <w:divBdr>
        <w:top w:val="none" w:sz="0" w:space="0" w:color="auto"/>
        <w:left w:val="none" w:sz="0" w:space="0" w:color="auto"/>
        <w:bottom w:val="none" w:sz="0" w:space="0" w:color="auto"/>
        <w:right w:val="none" w:sz="0" w:space="0" w:color="auto"/>
      </w:divBdr>
    </w:div>
    <w:div w:id="1142307404">
      <w:bodyDiv w:val="1"/>
      <w:marLeft w:val="0"/>
      <w:marRight w:val="0"/>
      <w:marTop w:val="0"/>
      <w:marBottom w:val="0"/>
      <w:divBdr>
        <w:top w:val="none" w:sz="0" w:space="0" w:color="auto"/>
        <w:left w:val="none" w:sz="0" w:space="0" w:color="auto"/>
        <w:bottom w:val="none" w:sz="0" w:space="0" w:color="auto"/>
        <w:right w:val="none" w:sz="0" w:space="0" w:color="auto"/>
      </w:divBdr>
    </w:div>
    <w:div w:id="1142387342">
      <w:bodyDiv w:val="1"/>
      <w:marLeft w:val="0"/>
      <w:marRight w:val="0"/>
      <w:marTop w:val="0"/>
      <w:marBottom w:val="0"/>
      <w:divBdr>
        <w:top w:val="none" w:sz="0" w:space="0" w:color="auto"/>
        <w:left w:val="none" w:sz="0" w:space="0" w:color="auto"/>
        <w:bottom w:val="none" w:sz="0" w:space="0" w:color="auto"/>
        <w:right w:val="none" w:sz="0" w:space="0" w:color="auto"/>
      </w:divBdr>
    </w:div>
    <w:div w:id="1144351360">
      <w:bodyDiv w:val="1"/>
      <w:marLeft w:val="0"/>
      <w:marRight w:val="0"/>
      <w:marTop w:val="0"/>
      <w:marBottom w:val="0"/>
      <w:divBdr>
        <w:top w:val="none" w:sz="0" w:space="0" w:color="auto"/>
        <w:left w:val="none" w:sz="0" w:space="0" w:color="auto"/>
        <w:bottom w:val="none" w:sz="0" w:space="0" w:color="auto"/>
        <w:right w:val="none" w:sz="0" w:space="0" w:color="auto"/>
      </w:divBdr>
    </w:div>
    <w:div w:id="1144742143">
      <w:bodyDiv w:val="1"/>
      <w:marLeft w:val="0"/>
      <w:marRight w:val="0"/>
      <w:marTop w:val="0"/>
      <w:marBottom w:val="0"/>
      <w:divBdr>
        <w:top w:val="none" w:sz="0" w:space="0" w:color="auto"/>
        <w:left w:val="none" w:sz="0" w:space="0" w:color="auto"/>
        <w:bottom w:val="none" w:sz="0" w:space="0" w:color="auto"/>
        <w:right w:val="none" w:sz="0" w:space="0" w:color="auto"/>
      </w:divBdr>
    </w:div>
    <w:div w:id="1148060543">
      <w:bodyDiv w:val="1"/>
      <w:marLeft w:val="0"/>
      <w:marRight w:val="0"/>
      <w:marTop w:val="0"/>
      <w:marBottom w:val="0"/>
      <w:divBdr>
        <w:top w:val="none" w:sz="0" w:space="0" w:color="auto"/>
        <w:left w:val="none" w:sz="0" w:space="0" w:color="auto"/>
        <w:bottom w:val="none" w:sz="0" w:space="0" w:color="auto"/>
        <w:right w:val="none" w:sz="0" w:space="0" w:color="auto"/>
      </w:divBdr>
    </w:div>
    <w:div w:id="1151556951">
      <w:bodyDiv w:val="1"/>
      <w:marLeft w:val="0"/>
      <w:marRight w:val="0"/>
      <w:marTop w:val="0"/>
      <w:marBottom w:val="0"/>
      <w:divBdr>
        <w:top w:val="none" w:sz="0" w:space="0" w:color="auto"/>
        <w:left w:val="none" w:sz="0" w:space="0" w:color="auto"/>
        <w:bottom w:val="none" w:sz="0" w:space="0" w:color="auto"/>
        <w:right w:val="none" w:sz="0" w:space="0" w:color="auto"/>
      </w:divBdr>
    </w:div>
    <w:div w:id="1154443978">
      <w:bodyDiv w:val="1"/>
      <w:marLeft w:val="0"/>
      <w:marRight w:val="0"/>
      <w:marTop w:val="0"/>
      <w:marBottom w:val="0"/>
      <w:divBdr>
        <w:top w:val="none" w:sz="0" w:space="0" w:color="auto"/>
        <w:left w:val="none" w:sz="0" w:space="0" w:color="auto"/>
        <w:bottom w:val="none" w:sz="0" w:space="0" w:color="auto"/>
        <w:right w:val="none" w:sz="0" w:space="0" w:color="auto"/>
      </w:divBdr>
    </w:div>
    <w:div w:id="1156414699">
      <w:bodyDiv w:val="1"/>
      <w:marLeft w:val="0"/>
      <w:marRight w:val="0"/>
      <w:marTop w:val="0"/>
      <w:marBottom w:val="0"/>
      <w:divBdr>
        <w:top w:val="none" w:sz="0" w:space="0" w:color="auto"/>
        <w:left w:val="none" w:sz="0" w:space="0" w:color="auto"/>
        <w:bottom w:val="none" w:sz="0" w:space="0" w:color="auto"/>
        <w:right w:val="none" w:sz="0" w:space="0" w:color="auto"/>
      </w:divBdr>
    </w:div>
    <w:div w:id="1163395950">
      <w:bodyDiv w:val="1"/>
      <w:marLeft w:val="0"/>
      <w:marRight w:val="0"/>
      <w:marTop w:val="0"/>
      <w:marBottom w:val="0"/>
      <w:divBdr>
        <w:top w:val="none" w:sz="0" w:space="0" w:color="auto"/>
        <w:left w:val="none" w:sz="0" w:space="0" w:color="auto"/>
        <w:bottom w:val="none" w:sz="0" w:space="0" w:color="auto"/>
        <w:right w:val="none" w:sz="0" w:space="0" w:color="auto"/>
      </w:divBdr>
    </w:div>
    <w:div w:id="1169372227">
      <w:bodyDiv w:val="1"/>
      <w:marLeft w:val="0"/>
      <w:marRight w:val="0"/>
      <w:marTop w:val="0"/>
      <w:marBottom w:val="0"/>
      <w:divBdr>
        <w:top w:val="none" w:sz="0" w:space="0" w:color="auto"/>
        <w:left w:val="none" w:sz="0" w:space="0" w:color="auto"/>
        <w:bottom w:val="none" w:sz="0" w:space="0" w:color="auto"/>
        <w:right w:val="none" w:sz="0" w:space="0" w:color="auto"/>
      </w:divBdr>
    </w:div>
    <w:div w:id="1171024521">
      <w:bodyDiv w:val="1"/>
      <w:marLeft w:val="0"/>
      <w:marRight w:val="0"/>
      <w:marTop w:val="0"/>
      <w:marBottom w:val="0"/>
      <w:divBdr>
        <w:top w:val="none" w:sz="0" w:space="0" w:color="auto"/>
        <w:left w:val="none" w:sz="0" w:space="0" w:color="auto"/>
        <w:bottom w:val="none" w:sz="0" w:space="0" w:color="auto"/>
        <w:right w:val="none" w:sz="0" w:space="0" w:color="auto"/>
      </w:divBdr>
    </w:div>
    <w:div w:id="1173690756">
      <w:bodyDiv w:val="1"/>
      <w:marLeft w:val="0"/>
      <w:marRight w:val="0"/>
      <w:marTop w:val="0"/>
      <w:marBottom w:val="0"/>
      <w:divBdr>
        <w:top w:val="none" w:sz="0" w:space="0" w:color="auto"/>
        <w:left w:val="none" w:sz="0" w:space="0" w:color="auto"/>
        <w:bottom w:val="none" w:sz="0" w:space="0" w:color="auto"/>
        <w:right w:val="none" w:sz="0" w:space="0" w:color="auto"/>
      </w:divBdr>
    </w:div>
    <w:div w:id="1175724808">
      <w:bodyDiv w:val="1"/>
      <w:marLeft w:val="0"/>
      <w:marRight w:val="0"/>
      <w:marTop w:val="0"/>
      <w:marBottom w:val="0"/>
      <w:divBdr>
        <w:top w:val="none" w:sz="0" w:space="0" w:color="auto"/>
        <w:left w:val="none" w:sz="0" w:space="0" w:color="auto"/>
        <w:bottom w:val="none" w:sz="0" w:space="0" w:color="auto"/>
        <w:right w:val="none" w:sz="0" w:space="0" w:color="auto"/>
      </w:divBdr>
    </w:div>
    <w:div w:id="1179153398">
      <w:bodyDiv w:val="1"/>
      <w:marLeft w:val="0"/>
      <w:marRight w:val="0"/>
      <w:marTop w:val="0"/>
      <w:marBottom w:val="0"/>
      <w:divBdr>
        <w:top w:val="none" w:sz="0" w:space="0" w:color="auto"/>
        <w:left w:val="none" w:sz="0" w:space="0" w:color="auto"/>
        <w:bottom w:val="none" w:sz="0" w:space="0" w:color="auto"/>
        <w:right w:val="none" w:sz="0" w:space="0" w:color="auto"/>
      </w:divBdr>
    </w:div>
    <w:div w:id="1181237534">
      <w:bodyDiv w:val="1"/>
      <w:marLeft w:val="0"/>
      <w:marRight w:val="0"/>
      <w:marTop w:val="0"/>
      <w:marBottom w:val="0"/>
      <w:divBdr>
        <w:top w:val="none" w:sz="0" w:space="0" w:color="auto"/>
        <w:left w:val="none" w:sz="0" w:space="0" w:color="auto"/>
        <w:bottom w:val="none" w:sz="0" w:space="0" w:color="auto"/>
        <w:right w:val="none" w:sz="0" w:space="0" w:color="auto"/>
      </w:divBdr>
    </w:div>
    <w:div w:id="1191917370">
      <w:bodyDiv w:val="1"/>
      <w:marLeft w:val="0"/>
      <w:marRight w:val="0"/>
      <w:marTop w:val="0"/>
      <w:marBottom w:val="0"/>
      <w:divBdr>
        <w:top w:val="none" w:sz="0" w:space="0" w:color="auto"/>
        <w:left w:val="none" w:sz="0" w:space="0" w:color="auto"/>
        <w:bottom w:val="none" w:sz="0" w:space="0" w:color="auto"/>
        <w:right w:val="none" w:sz="0" w:space="0" w:color="auto"/>
      </w:divBdr>
    </w:div>
    <w:div w:id="1197352849">
      <w:bodyDiv w:val="1"/>
      <w:marLeft w:val="0"/>
      <w:marRight w:val="0"/>
      <w:marTop w:val="0"/>
      <w:marBottom w:val="0"/>
      <w:divBdr>
        <w:top w:val="none" w:sz="0" w:space="0" w:color="auto"/>
        <w:left w:val="none" w:sz="0" w:space="0" w:color="auto"/>
        <w:bottom w:val="none" w:sz="0" w:space="0" w:color="auto"/>
        <w:right w:val="none" w:sz="0" w:space="0" w:color="auto"/>
      </w:divBdr>
    </w:div>
    <w:div w:id="1198078098">
      <w:bodyDiv w:val="1"/>
      <w:marLeft w:val="0"/>
      <w:marRight w:val="0"/>
      <w:marTop w:val="0"/>
      <w:marBottom w:val="0"/>
      <w:divBdr>
        <w:top w:val="none" w:sz="0" w:space="0" w:color="auto"/>
        <w:left w:val="none" w:sz="0" w:space="0" w:color="auto"/>
        <w:bottom w:val="none" w:sz="0" w:space="0" w:color="auto"/>
        <w:right w:val="none" w:sz="0" w:space="0" w:color="auto"/>
      </w:divBdr>
    </w:div>
    <w:div w:id="1199204429">
      <w:bodyDiv w:val="1"/>
      <w:marLeft w:val="0"/>
      <w:marRight w:val="0"/>
      <w:marTop w:val="0"/>
      <w:marBottom w:val="0"/>
      <w:divBdr>
        <w:top w:val="none" w:sz="0" w:space="0" w:color="auto"/>
        <w:left w:val="none" w:sz="0" w:space="0" w:color="auto"/>
        <w:bottom w:val="none" w:sz="0" w:space="0" w:color="auto"/>
        <w:right w:val="none" w:sz="0" w:space="0" w:color="auto"/>
      </w:divBdr>
    </w:div>
    <w:div w:id="1199707291">
      <w:bodyDiv w:val="1"/>
      <w:marLeft w:val="0"/>
      <w:marRight w:val="0"/>
      <w:marTop w:val="0"/>
      <w:marBottom w:val="0"/>
      <w:divBdr>
        <w:top w:val="none" w:sz="0" w:space="0" w:color="auto"/>
        <w:left w:val="none" w:sz="0" w:space="0" w:color="auto"/>
        <w:bottom w:val="none" w:sz="0" w:space="0" w:color="auto"/>
        <w:right w:val="none" w:sz="0" w:space="0" w:color="auto"/>
      </w:divBdr>
    </w:div>
    <w:div w:id="1202205984">
      <w:bodyDiv w:val="1"/>
      <w:marLeft w:val="0"/>
      <w:marRight w:val="0"/>
      <w:marTop w:val="0"/>
      <w:marBottom w:val="0"/>
      <w:divBdr>
        <w:top w:val="none" w:sz="0" w:space="0" w:color="auto"/>
        <w:left w:val="none" w:sz="0" w:space="0" w:color="auto"/>
        <w:bottom w:val="none" w:sz="0" w:space="0" w:color="auto"/>
        <w:right w:val="none" w:sz="0" w:space="0" w:color="auto"/>
      </w:divBdr>
    </w:div>
    <w:div w:id="1203710603">
      <w:bodyDiv w:val="1"/>
      <w:marLeft w:val="0"/>
      <w:marRight w:val="0"/>
      <w:marTop w:val="0"/>
      <w:marBottom w:val="0"/>
      <w:divBdr>
        <w:top w:val="none" w:sz="0" w:space="0" w:color="auto"/>
        <w:left w:val="none" w:sz="0" w:space="0" w:color="auto"/>
        <w:bottom w:val="none" w:sz="0" w:space="0" w:color="auto"/>
        <w:right w:val="none" w:sz="0" w:space="0" w:color="auto"/>
      </w:divBdr>
    </w:div>
    <w:div w:id="1204102200">
      <w:bodyDiv w:val="1"/>
      <w:marLeft w:val="0"/>
      <w:marRight w:val="0"/>
      <w:marTop w:val="0"/>
      <w:marBottom w:val="0"/>
      <w:divBdr>
        <w:top w:val="none" w:sz="0" w:space="0" w:color="auto"/>
        <w:left w:val="none" w:sz="0" w:space="0" w:color="auto"/>
        <w:bottom w:val="none" w:sz="0" w:space="0" w:color="auto"/>
        <w:right w:val="none" w:sz="0" w:space="0" w:color="auto"/>
      </w:divBdr>
    </w:div>
    <w:div w:id="1209996619">
      <w:bodyDiv w:val="1"/>
      <w:marLeft w:val="0"/>
      <w:marRight w:val="0"/>
      <w:marTop w:val="0"/>
      <w:marBottom w:val="0"/>
      <w:divBdr>
        <w:top w:val="none" w:sz="0" w:space="0" w:color="auto"/>
        <w:left w:val="none" w:sz="0" w:space="0" w:color="auto"/>
        <w:bottom w:val="none" w:sz="0" w:space="0" w:color="auto"/>
        <w:right w:val="none" w:sz="0" w:space="0" w:color="auto"/>
      </w:divBdr>
    </w:div>
    <w:div w:id="1210655560">
      <w:bodyDiv w:val="1"/>
      <w:marLeft w:val="0"/>
      <w:marRight w:val="0"/>
      <w:marTop w:val="0"/>
      <w:marBottom w:val="0"/>
      <w:divBdr>
        <w:top w:val="none" w:sz="0" w:space="0" w:color="auto"/>
        <w:left w:val="none" w:sz="0" w:space="0" w:color="auto"/>
        <w:bottom w:val="none" w:sz="0" w:space="0" w:color="auto"/>
        <w:right w:val="none" w:sz="0" w:space="0" w:color="auto"/>
      </w:divBdr>
    </w:div>
    <w:div w:id="1212764029">
      <w:bodyDiv w:val="1"/>
      <w:marLeft w:val="0"/>
      <w:marRight w:val="0"/>
      <w:marTop w:val="0"/>
      <w:marBottom w:val="0"/>
      <w:divBdr>
        <w:top w:val="none" w:sz="0" w:space="0" w:color="auto"/>
        <w:left w:val="none" w:sz="0" w:space="0" w:color="auto"/>
        <w:bottom w:val="none" w:sz="0" w:space="0" w:color="auto"/>
        <w:right w:val="none" w:sz="0" w:space="0" w:color="auto"/>
      </w:divBdr>
    </w:div>
    <w:div w:id="1212766197">
      <w:bodyDiv w:val="1"/>
      <w:marLeft w:val="0"/>
      <w:marRight w:val="0"/>
      <w:marTop w:val="0"/>
      <w:marBottom w:val="0"/>
      <w:divBdr>
        <w:top w:val="none" w:sz="0" w:space="0" w:color="auto"/>
        <w:left w:val="none" w:sz="0" w:space="0" w:color="auto"/>
        <w:bottom w:val="none" w:sz="0" w:space="0" w:color="auto"/>
        <w:right w:val="none" w:sz="0" w:space="0" w:color="auto"/>
      </w:divBdr>
    </w:div>
    <w:div w:id="1215583865">
      <w:bodyDiv w:val="1"/>
      <w:marLeft w:val="0"/>
      <w:marRight w:val="0"/>
      <w:marTop w:val="0"/>
      <w:marBottom w:val="0"/>
      <w:divBdr>
        <w:top w:val="none" w:sz="0" w:space="0" w:color="auto"/>
        <w:left w:val="none" w:sz="0" w:space="0" w:color="auto"/>
        <w:bottom w:val="none" w:sz="0" w:space="0" w:color="auto"/>
        <w:right w:val="none" w:sz="0" w:space="0" w:color="auto"/>
      </w:divBdr>
    </w:div>
    <w:div w:id="1216895924">
      <w:bodyDiv w:val="1"/>
      <w:marLeft w:val="0"/>
      <w:marRight w:val="0"/>
      <w:marTop w:val="0"/>
      <w:marBottom w:val="0"/>
      <w:divBdr>
        <w:top w:val="none" w:sz="0" w:space="0" w:color="auto"/>
        <w:left w:val="none" w:sz="0" w:space="0" w:color="auto"/>
        <w:bottom w:val="none" w:sz="0" w:space="0" w:color="auto"/>
        <w:right w:val="none" w:sz="0" w:space="0" w:color="auto"/>
      </w:divBdr>
    </w:div>
    <w:div w:id="1222133842">
      <w:bodyDiv w:val="1"/>
      <w:marLeft w:val="0"/>
      <w:marRight w:val="0"/>
      <w:marTop w:val="0"/>
      <w:marBottom w:val="0"/>
      <w:divBdr>
        <w:top w:val="none" w:sz="0" w:space="0" w:color="auto"/>
        <w:left w:val="none" w:sz="0" w:space="0" w:color="auto"/>
        <w:bottom w:val="none" w:sz="0" w:space="0" w:color="auto"/>
        <w:right w:val="none" w:sz="0" w:space="0" w:color="auto"/>
      </w:divBdr>
      <w:divsChild>
        <w:div w:id="1538735420">
          <w:marLeft w:val="446"/>
          <w:marRight w:val="0"/>
          <w:marTop w:val="0"/>
          <w:marBottom w:val="120"/>
          <w:divBdr>
            <w:top w:val="none" w:sz="0" w:space="0" w:color="auto"/>
            <w:left w:val="none" w:sz="0" w:space="0" w:color="auto"/>
            <w:bottom w:val="none" w:sz="0" w:space="0" w:color="auto"/>
            <w:right w:val="none" w:sz="0" w:space="0" w:color="auto"/>
          </w:divBdr>
        </w:div>
        <w:div w:id="1654025551">
          <w:marLeft w:val="446"/>
          <w:marRight w:val="0"/>
          <w:marTop w:val="0"/>
          <w:marBottom w:val="120"/>
          <w:divBdr>
            <w:top w:val="none" w:sz="0" w:space="0" w:color="auto"/>
            <w:left w:val="none" w:sz="0" w:space="0" w:color="auto"/>
            <w:bottom w:val="none" w:sz="0" w:space="0" w:color="auto"/>
            <w:right w:val="none" w:sz="0" w:space="0" w:color="auto"/>
          </w:divBdr>
        </w:div>
        <w:div w:id="1698459290">
          <w:marLeft w:val="446"/>
          <w:marRight w:val="0"/>
          <w:marTop w:val="0"/>
          <w:marBottom w:val="120"/>
          <w:divBdr>
            <w:top w:val="none" w:sz="0" w:space="0" w:color="auto"/>
            <w:left w:val="none" w:sz="0" w:space="0" w:color="auto"/>
            <w:bottom w:val="none" w:sz="0" w:space="0" w:color="auto"/>
            <w:right w:val="none" w:sz="0" w:space="0" w:color="auto"/>
          </w:divBdr>
        </w:div>
      </w:divsChild>
    </w:div>
    <w:div w:id="1226334890">
      <w:bodyDiv w:val="1"/>
      <w:marLeft w:val="0"/>
      <w:marRight w:val="0"/>
      <w:marTop w:val="0"/>
      <w:marBottom w:val="0"/>
      <w:divBdr>
        <w:top w:val="none" w:sz="0" w:space="0" w:color="auto"/>
        <w:left w:val="none" w:sz="0" w:space="0" w:color="auto"/>
        <w:bottom w:val="none" w:sz="0" w:space="0" w:color="auto"/>
        <w:right w:val="none" w:sz="0" w:space="0" w:color="auto"/>
      </w:divBdr>
    </w:div>
    <w:div w:id="1226793547">
      <w:bodyDiv w:val="1"/>
      <w:marLeft w:val="0"/>
      <w:marRight w:val="0"/>
      <w:marTop w:val="0"/>
      <w:marBottom w:val="0"/>
      <w:divBdr>
        <w:top w:val="none" w:sz="0" w:space="0" w:color="auto"/>
        <w:left w:val="none" w:sz="0" w:space="0" w:color="auto"/>
        <w:bottom w:val="none" w:sz="0" w:space="0" w:color="auto"/>
        <w:right w:val="none" w:sz="0" w:space="0" w:color="auto"/>
      </w:divBdr>
    </w:div>
    <w:div w:id="1232617572">
      <w:bodyDiv w:val="1"/>
      <w:marLeft w:val="0"/>
      <w:marRight w:val="0"/>
      <w:marTop w:val="0"/>
      <w:marBottom w:val="0"/>
      <w:divBdr>
        <w:top w:val="none" w:sz="0" w:space="0" w:color="auto"/>
        <w:left w:val="none" w:sz="0" w:space="0" w:color="auto"/>
        <w:bottom w:val="none" w:sz="0" w:space="0" w:color="auto"/>
        <w:right w:val="none" w:sz="0" w:space="0" w:color="auto"/>
      </w:divBdr>
    </w:div>
    <w:div w:id="1238831703">
      <w:bodyDiv w:val="1"/>
      <w:marLeft w:val="0"/>
      <w:marRight w:val="0"/>
      <w:marTop w:val="0"/>
      <w:marBottom w:val="0"/>
      <w:divBdr>
        <w:top w:val="none" w:sz="0" w:space="0" w:color="auto"/>
        <w:left w:val="none" w:sz="0" w:space="0" w:color="auto"/>
        <w:bottom w:val="none" w:sz="0" w:space="0" w:color="auto"/>
        <w:right w:val="none" w:sz="0" w:space="0" w:color="auto"/>
      </w:divBdr>
    </w:div>
    <w:div w:id="1241253047">
      <w:bodyDiv w:val="1"/>
      <w:marLeft w:val="0"/>
      <w:marRight w:val="0"/>
      <w:marTop w:val="0"/>
      <w:marBottom w:val="0"/>
      <w:divBdr>
        <w:top w:val="none" w:sz="0" w:space="0" w:color="auto"/>
        <w:left w:val="none" w:sz="0" w:space="0" w:color="auto"/>
        <w:bottom w:val="none" w:sz="0" w:space="0" w:color="auto"/>
        <w:right w:val="none" w:sz="0" w:space="0" w:color="auto"/>
      </w:divBdr>
    </w:div>
    <w:div w:id="1241407836">
      <w:bodyDiv w:val="1"/>
      <w:marLeft w:val="0"/>
      <w:marRight w:val="0"/>
      <w:marTop w:val="0"/>
      <w:marBottom w:val="0"/>
      <w:divBdr>
        <w:top w:val="none" w:sz="0" w:space="0" w:color="auto"/>
        <w:left w:val="none" w:sz="0" w:space="0" w:color="auto"/>
        <w:bottom w:val="none" w:sz="0" w:space="0" w:color="auto"/>
        <w:right w:val="none" w:sz="0" w:space="0" w:color="auto"/>
      </w:divBdr>
      <w:divsChild>
        <w:div w:id="870344233">
          <w:marLeft w:val="274"/>
          <w:marRight w:val="0"/>
          <w:marTop w:val="0"/>
          <w:marBottom w:val="240"/>
          <w:divBdr>
            <w:top w:val="none" w:sz="0" w:space="0" w:color="auto"/>
            <w:left w:val="none" w:sz="0" w:space="0" w:color="auto"/>
            <w:bottom w:val="none" w:sz="0" w:space="0" w:color="auto"/>
            <w:right w:val="none" w:sz="0" w:space="0" w:color="auto"/>
          </w:divBdr>
        </w:div>
      </w:divsChild>
    </w:div>
    <w:div w:id="1243098407">
      <w:bodyDiv w:val="1"/>
      <w:marLeft w:val="0"/>
      <w:marRight w:val="0"/>
      <w:marTop w:val="0"/>
      <w:marBottom w:val="0"/>
      <w:divBdr>
        <w:top w:val="none" w:sz="0" w:space="0" w:color="auto"/>
        <w:left w:val="none" w:sz="0" w:space="0" w:color="auto"/>
        <w:bottom w:val="none" w:sz="0" w:space="0" w:color="auto"/>
        <w:right w:val="none" w:sz="0" w:space="0" w:color="auto"/>
      </w:divBdr>
    </w:div>
    <w:div w:id="1243375091">
      <w:bodyDiv w:val="1"/>
      <w:marLeft w:val="0"/>
      <w:marRight w:val="0"/>
      <w:marTop w:val="0"/>
      <w:marBottom w:val="0"/>
      <w:divBdr>
        <w:top w:val="none" w:sz="0" w:space="0" w:color="auto"/>
        <w:left w:val="none" w:sz="0" w:space="0" w:color="auto"/>
        <w:bottom w:val="none" w:sz="0" w:space="0" w:color="auto"/>
        <w:right w:val="none" w:sz="0" w:space="0" w:color="auto"/>
      </w:divBdr>
    </w:div>
    <w:div w:id="1248466950">
      <w:bodyDiv w:val="1"/>
      <w:marLeft w:val="0"/>
      <w:marRight w:val="0"/>
      <w:marTop w:val="0"/>
      <w:marBottom w:val="0"/>
      <w:divBdr>
        <w:top w:val="none" w:sz="0" w:space="0" w:color="auto"/>
        <w:left w:val="none" w:sz="0" w:space="0" w:color="auto"/>
        <w:bottom w:val="none" w:sz="0" w:space="0" w:color="auto"/>
        <w:right w:val="none" w:sz="0" w:space="0" w:color="auto"/>
      </w:divBdr>
    </w:div>
    <w:div w:id="1256866202">
      <w:bodyDiv w:val="1"/>
      <w:marLeft w:val="0"/>
      <w:marRight w:val="0"/>
      <w:marTop w:val="0"/>
      <w:marBottom w:val="0"/>
      <w:divBdr>
        <w:top w:val="none" w:sz="0" w:space="0" w:color="auto"/>
        <w:left w:val="none" w:sz="0" w:space="0" w:color="auto"/>
        <w:bottom w:val="none" w:sz="0" w:space="0" w:color="auto"/>
        <w:right w:val="none" w:sz="0" w:space="0" w:color="auto"/>
      </w:divBdr>
    </w:div>
    <w:div w:id="1270698058">
      <w:bodyDiv w:val="1"/>
      <w:marLeft w:val="0"/>
      <w:marRight w:val="0"/>
      <w:marTop w:val="0"/>
      <w:marBottom w:val="0"/>
      <w:divBdr>
        <w:top w:val="none" w:sz="0" w:space="0" w:color="auto"/>
        <w:left w:val="none" w:sz="0" w:space="0" w:color="auto"/>
        <w:bottom w:val="none" w:sz="0" w:space="0" w:color="auto"/>
        <w:right w:val="none" w:sz="0" w:space="0" w:color="auto"/>
      </w:divBdr>
    </w:div>
    <w:div w:id="1277105436">
      <w:bodyDiv w:val="1"/>
      <w:marLeft w:val="0"/>
      <w:marRight w:val="0"/>
      <w:marTop w:val="0"/>
      <w:marBottom w:val="0"/>
      <w:divBdr>
        <w:top w:val="none" w:sz="0" w:space="0" w:color="auto"/>
        <w:left w:val="none" w:sz="0" w:space="0" w:color="auto"/>
        <w:bottom w:val="none" w:sz="0" w:space="0" w:color="auto"/>
        <w:right w:val="none" w:sz="0" w:space="0" w:color="auto"/>
      </w:divBdr>
    </w:div>
    <w:div w:id="1288001864">
      <w:bodyDiv w:val="1"/>
      <w:marLeft w:val="0"/>
      <w:marRight w:val="0"/>
      <w:marTop w:val="0"/>
      <w:marBottom w:val="0"/>
      <w:divBdr>
        <w:top w:val="none" w:sz="0" w:space="0" w:color="auto"/>
        <w:left w:val="none" w:sz="0" w:space="0" w:color="auto"/>
        <w:bottom w:val="none" w:sz="0" w:space="0" w:color="auto"/>
        <w:right w:val="none" w:sz="0" w:space="0" w:color="auto"/>
      </w:divBdr>
    </w:div>
    <w:div w:id="1300184086">
      <w:bodyDiv w:val="1"/>
      <w:marLeft w:val="0"/>
      <w:marRight w:val="0"/>
      <w:marTop w:val="0"/>
      <w:marBottom w:val="0"/>
      <w:divBdr>
        <w:top w:val="none" w:sz="0" w:space="0" w:color="auto"/>
        <w:left w:val="none" w:sz="0" w:space="0" w:color="auto"/>
        <w:bottom w:val="none" w:sz="0" w:space="0" w:color="auto"/>
        <w:right w:val="none" w:sz="0" w:space="0" w:color="auto"/>
      </w:divBdr>
    </w:div>
    <w:div w:id="1302732281">
      <w:bodyDiv w:val="1"/>
      <w:marLeft w:val="0"/>
      <w:marRight w:val="0"/>
      <w:marTop w:val="0"/>
      <w:marBottom w:val="0"/>
      <w:divBdr>
        <w:top w:val="none" w:sz="0" w:space="0" w:color="auto"/>
        <w:left w:val="none" w:sz="0" w:space="0" w:color="auto"/>
        <w:bottom w:val="none" w:sz="0" w:space="0" w:color="auto"/>
        <w:right w:val="none" w:sz="0" w:space="0" w:color="auto"/>
      </w:divBdr>
    </w:div>
    <w:div w:id="1306423475">
      <w:bodyDiv w:val="1"/>
      <w:marLeft w:val="0"/>
      <w:marRight w:val="0"/>
      <w:marTop w:val="0"/>
      <w:marBottom w:val="0"/>
      <w:divBdr>
        <w:top w:val="none" w:sz="0" w:space="0" w:color="auto"/>
        <w:left w:val="none" w:sz="0" w:space="0" w:color="auto"/>
        <w:bottom w:val="none" w:sz="0" w:space="0" w:color="auto"/>
        <w:right w:val="none" w:sz="0" w:space="0" w:color="auto"/>
      </w:divBdr>
    </w:div>
    <w:div w:id="1307122239">
      <w:bodyDiv w:val="1"/>
      <w:marLeft w:val="0"/>
      <w:marRight w:val="0"/>
      <w:marTop w:val="0"/>
      <w:marBottom w:val="0"/>
      <w:divBdr>
        <w:top w:val="none" w:sz="0" w:space="0" w:color="auto"/>
        <w:left w:val="none" w:sz="0" w:space="0" w:color="auto"/>
        <w:bottom w:val="none" w:sz="0" w:space="0" w:color="auto"/>
        <w:right w:val="none" w:sz="0" w:space="0" w:color="auto"/>
      </w:divBdr>
    </w:div>
    <w:div w:id="1310982467">
      <w:bodyDiv w:val="1"/>
      <w:marLeft w:val="0"/>
      <w:marRight w:val="0"/>
      <w:marTop w:val="0"/>
      <w:marBottom w:val="0"/>
      <w:divBdr>
        <w:top w:val="none" w:sz="0" w:space="0" w:color="auto"/>
        <w:left w:val="none" w:sz="0" w:space="0" w:color="auto"/>
        <w:bottom w:val="none" w:sz="0" w:space="0" w:color="auto"/>
        <w:right w:val="none" w:sz="0" w:space="0" w:color="auto"/>
      </w:divBdr>
    </w:div>
    <w:div w:id="1319961736">
      <w:bodyDiv w:val="1"/>
      <w:marLeft w:val="0"/>
      <w:marRight w:val="0"/>
      <w:marTop w:val="0"/>
      <w:marBottom w:val="0"/>
      <w:divBdr>
        <w:top w:val="none" w:sz="0" w:space="0" w:color="auto"/>
        <w:left w:val="none" w:sz="0" w:space="0" w:color="auto"/>
        <w:bottom w:val="none" w:sz="0" w:space="0" w:color="auto"/>
        <w:right w:val="none" w:sz="0" w:space="0" w:color="auto"/>
      </w:divBdr>
    </w:div>
    <w:div w:id="1320111345">
      <w:bodyDiv w:val="1"/>
      <w:marLeft w:val="0"/>
      <w:marRight w:val="0"/>
      <w:marTop w:val="0"/>
      <w:marBottom w:val="0"/>
      <w:divBdr>
        <w:top w:val="none" w:sz="0" w:space="0" w:color="auto"/>
        <w:left w:val="none" w:sz="0" w:space="0" w:color="auto"/>
        <w:bottom w:val="none" w:sz="0" w:space="0" w:color="auto"/>
        <w:right w:val="none" w:sz="0" w:space="0" w:color="auto"/>
      </w:divBdr>
    </w:div>
    <w:div w:id="1326472907">
      <w:bodyDiv w:val="1"/>
      <w:marLeft w:val="0"/>
      <w:marRight w:val="0"/>
      <w:marTop w:val="0"/>
      <w:marBottom w:val="0"/>
      <w:divBdr>
        <w:top w:val="none" w:sz="0" w:space="0" w:color="auto"/>
        <w:left w:val="none" w:sz="0" w:space="0" w:color="auto"/>
        <w:bottom w:val="none" w:sz="0" w:space="0" w:color="auto"/>
        <w:right w:val="none" w:sz="0" w:space="0" w:color="auto"/>
      </w:divBdr>
    </w:div>
    <w:div w:id="1329747359">
      <w:bodyDiv w:val="1"/>
      <w:marLeft w:val="0"/>
      <w:marRight w:val="0"/>
      <w:marTop w:val="0"/>
      <w:marBottom w:val="0"/>
      <w:divBdr>
        <w:top w:val="none" w:sz="0" w:space="0" w:color="auto"/>
        <w:left w:val="none" w:sz="0" w:space="0" w:color="auto"/>
        <w:bottom w:val="none" w:sz="0" w:space="0" w:color="auto"/>
        <w:right w:val="none" w:sz="0" w:space="0" w:color="auto"/>
      </w:divBdr>
    </w:div>
    <w:div w:id="1333218928">
      <w:bodyDiv w:val="1"/>
      <w:marLeft w:val="0"/>
      <w:marRight w:val="0"/>
      <w:marTop w:val="0"/>
      <w:marBottom w:val="0"/>
      <w:divBdr>
        <w:top w:val="none" w:sz="0" w:space="0" w:color="auto"/>
        <w:left w:val="none" w:sz="0" w:space="0" w:color="auto"/>
        <w:bottom w:val="none" w:sz="0" w:space="0" w:color="auto"/>
        <w:right w:val="none" w:sz="0" w:space="0" w:color="auto"/>
      </w:divBdr>
      <w:divsChild>
        <w:div w:id="1790126435">
          <w:marLeft w:val="274"/>
          <w:marRight w:val="0"/>
          <w:marTop w:val="0"/>
          <w:marBottom w:val="240"/>
          <w:divBdr>
            <w:top w:val="none" w:sz="0" w:space="0" w:color="auto"/>
            <w:left w:val="none" w:sz="0" w:space="0" w:color="auto"/>
            <w:bottom w:val="none" w:sz="0" w:space="0" w:color="auto"/>
            <w:right w:val="none" w:sz="0" w:space="0" w:color="auto"/>
          </w:divBdr>
        </w:div>
      </w:divsChild>
    </w:div>
    <w:div w:id="1338532208">
      <w:bodyDiv w:val="1"/>
      <w:marLeft w:val="0"/>
      <w:marRight w:val="0"/>
      <w:marTop w:val="0"/>
      <w:marBottom w:val="0"/>
      <w:divBdr>
        <w:top w:val="none" w:sz="0" w:space="0" w:color="auto"/>
        <w:left w:val="none" w:sz="0" w:space="0" w:color="auto"/>
        <w:bottom w:val="none" w:sz="0" w:space="0" w:color="auto"/>
        <w:right w:val="none" w:sz="0" w:space="0" w:color="auto"/>
      </w:divBdr>
    </w:div>
    <w:div w:id="1340356150">
      <w:bodyDiv w:val="1"/>
      <w:marLeft w:val="0"/>
      <w:marRight w:val="0"/>
      <w:marTop w:val="0"/>
      <w:marBottom w:val="0"/>
      <w:divBdr>
        <w:top w:val="none" w:sz="0" w:space="0" w:color="auto"/>
        <w:left w:val="none" w:sz="0" w:space="0" w:color="auto"/>
        <w:bottom w:val="none" w:sz="0" w:space="0" w:color="auto"/>
        <w:right w:val="none" w:sz="0" w:space="0" w:color="auto"/>
      </w:divBdr>
    </w:div>
    <w:div w:id="1343123256">
      <w:bodyDiv w:val="1"/>
      <w:marLeft w:val="0"/>
      <w:marRight w:val="0"/>
      <w:marTop w:val="0"/>
      <w:marBottom w:val="0"/>
      <w:divBdr>
        <w:top w:val="none" w:sz="0" w:space="0" w:color="auto"/>
        <w:left w:val="none" w:sz="0" w:space="0" w:color="auto"/>
        <w:bottom w:val="none" w:sz="0" w:space="0" w:color="auto"/>
        <w:right w:val="none" w:sz="0" w:space="0" w:color="auto"/>
      </w:divBdr>
      <w:divsChild>
        <w:div w:id="187912289">
          <w:marLeft w:val="360"/>
          <w:marRight w:val="0"/>
          <w:marTop w:val="200"/>
          <w:marBottom w:val="240"/>
          <w:divBdr>
            <w:top w:val="none" w:sz="0" w:space="0" w:color="auto"/>
            <w:left w:val="none" w:sz="0" w:space="0" w:color="auto"/>
            <w:bottom w:val="none" w:sz="0" w:space="0" w:color="auto"/>
            <w:right w:val="none" w:sz="0" w:space="0" w:color="auto"/>
          </w:divBdr>
        </w:div>
        <w:div w:id="260719902">
          <w:marLeft w:val="360"/>
          <w:marRight w:val="0"/>
          <w:marTop w:val="200"/>
          <w:marBottom w:val="240"/>
          <w:divBdr>
            <w:top w:val="none" w:sz="0" w:space="0" w:color="auto"/>
            <w:left w:val="none" w:sz="0" w:space="0" w:color="auto"/>
            <w:bottom w:val="none" w:sz="0" w:space="0" w:color="auto"/>
            <w:right w:val="none" w:sz="0" w:space="0" w:color="auto"/>
          </w:divBdr>
        </w:div>
        <w:div w:id="714086676">
          <w:marLeft w:val="360"/>
          <w:marRight w:val="0"/>
          <w:marTop w:val="200"/>
          <w:marBottom w:val="240"/>
          <w:divBdr>
            <w:top w:val="none" w:sz="0" w:space="0" w:color="auto"/>
            <w:left w:val="none" w:sz="0" w:space="0" w:color="auto"/>
            <w:bottom w:val="none" w:sz="0" w:space="0" w:color="auto"/>
            <w:right w:val="none" w:sz="0" w:space="0" w:color="auto"/>
          </w:divBdr>
        </w:div>
        <w:div w:id="1221941460">
          <w:marLeft w:val="360"/>
          <w:marRight w:val="0"/>
          <w:marTop w:val="200"/>
          <w:marBottom w:val="240"/>
          <w:divBdr>
            <w:top w:val="none" w:sz="0" w:space="0" w:color="auto"/>
            <w:left w:val="none" w:sz="0" w:space="0" w:color="auto"/>
            <w:bottom w:val="none" w:sz="0" w:space="0" w:color="auto"/>
            <w:right w:val="none" w:sz="0" w:space="0" w:color="auto"/>
          </w:divBdr>
        </w:div>
        <w:div w:id="1820220368">
          <w:marLeft w:val="360"/>
          <w:marRight w:val="0"/>
          <w:marTop w:val="200"/>
          <w:marBottom w:val="240"/>
          <w:divBdr>
            <w:top w:val="none" w:sz="0" w:space="0" w:color="auto"/>
            <w:left w:val="none" w:sz="0" w:space="0" w:color="auto"/>
            <w:bottom w:val="none" w:sz="0" w:space="0" w:color="auto"/>
            <w:right w:val="none" w:sz="0" w:space="0" w:color="auto"/>
          </w:divBdr>
        </w:div>
      </w:divsChild>
    </w:div>
    <w:div w:id="1344480340">
      <w:bodyDiv w:val="1"/>
      <w:marLeft w:val="0"/>
      <w:marRight w:val="0"/>
      <w:marTop w:val="0"/>
      <w:marBottom w:val="0"/>
      <w:divBdr>
        <w:top w:val="none" w:sz="0" w:space="0" w:color="auto"/>
        <w:left w:val="none" w:sz="0" w:space="0" w:color="auto"/>
        <w:bottom w:val="none" w:sz="0" w:space="0" w:color="auto"/>
        <w:right w:val="none" w:sz="0" w:space="0" w:color="auto"/>
      </w:divBdr>
    </w:div>
    <w:div w:id="1346446708">
      <w:bodyDiv w:val="1"/>
      <w:marLeft w:val="0"/>
      <w:marRight w:val="0"/>
      <w:marTop w:val="0"/>
      <w:marBottom w:val="0"/>
      <w:divBdr>
        <w:top w:val="none" w:sz="0" w:space="0" w:color="auto"/>
        <w:left w:val="none" w:sz="0" w:space="0" w:color="auto"/>
        <w:bottom w:val="none" w:sz="0" w:space="0" w:color="auto"/>
        <w:right w:val="none" w:sz="0" w:space="0" w:color="auto"/>
      </w:divBdr>
    </w:div>
    <w:div w:id="1353142632">
      <w:bodyDiv w:val="1"/>
      <w:marLeft w:val="0"/>
      <w:marRight w:val="0"/>
      <w:marTop w:val="0"/>
      <w:marBottom w:val="0"/>
      <w:divBdr>
        <w:top w:val="none" w:sz="0" w:space="0" w:color="auto"/>
        <w:left w:val="none" w:sz="0" w:space="0" w:color="auto"/>
        <w:bottom w:val="none" w:sz="0" w:space="0" w:color="auto"/>
        <w:right w:val="none" w:sz="0" w:space="0" w:color="auto"/>
      </w:divBdr>
    </w:div>
    <w:div w:id="1360930605">
      <w:bodyDiv w:val="1"/>
      <w:marLeft w:val="0"/>
      <w:marRight w:val="0"/>
      <w:marTop w:val="0"/>
      <w:marBottom w:val="0"/>
      <w:divBdr>
        <w:top w:val="none" w:sz="0" w:space="0" w:color="auto"/>
        <w:left w:val="none" w:sz="0" w:space="0" w:color="auto"/>
        <w:bottom w:val="none" w:sz="0" w:space="0" w:color="auto"/>
        <w:right w:val="none" w:sz="0" w:space="0" w:color="auto"/>
      </w:divBdr>
    </w:div>
    <w:div w:id="1362047064">
      <w:bodyDiv w:val="1"/>
      <w:marLeft w:val="0"/>
      <w:marRight w:val="0"/>
      <w:marTop w:val="0"/>
      <w:marBottom w:val="0"/>
      <w:divBdr>
        <w:top w:val="none" w:sz="0" w:space="0" w:color="auto"/>
        <w:left w:val="none" w:sz="0" w:space="0" w:color="auto"/>
        <w:bottom w:val="none" w:sz="0" w:space="0" w:color="auto"/>
        <w:right w:val="none" w:sz="0" w:space="0" w:color="auto"/>
      </w:divBdr>
    </w:div>
    <w:div w:id="1372614391">
      <w:bodyDiv w:val="1"/>
      <w:marLeft w:val="0"/>
      <w:marRight w:val="0"/>
      <w:marTop w:val="0"/>
      <w:marBottom w:val="0"/>
      <w:divBdr>
        <w:top w:val="none" w:sz="0" w:space="0" w:color="auto"/>
        <w:left w:val="none" w:sz="0" w:space="0" w:color="auto"/>
        <w:bottom w:val="none" w:sz="0" w:space="0" w:color="auto"/>
        <w:right w:val="none" w:sz="0" w:space="0" w:color="auto"/>
      </w:divBdr>
    </w:div>
    <w:div w:id="1379041025">
      <w:bodyDiv w:val="1"/>
      <w:marLeft w:val="0"/>
      <w:marRight w:val="0"/>
      <w:marTop w:val="0"/>
      <w:marBottom w:val="0"/>
      <w:divBdr>
        <w:top w:val="none" w:sz="0" w:space="0" w:color="auto"/>
        <w:left w:val="none" w:sz="0" w:space="0" w:color="auto"/>
        <w:bottom w:val="none" w:sz="0" w:space="0" w:color="auto"/>
        <w:right w:val="none" w:sz="0" w:space="0" w:color="auto"/>
      </w:divBdr>
    </w:div>
    <w:div w:id="1381049548">
      <w:bodyDiv w:val="1"/>
      <w:marLeft w:val="0"/>
      <w:marRight w:val="0"/>
      <w:marTop w:val="0"/>
      <w:marBottom w:val="0"/>
      <w:divBdr>
        <w:top w:val="none" w:sz="0" w:space="0" w:color="auto"/>
        <w:left w:val="none" w:sz="0" w:space="0" w:color="auto"/>
        <w:bottom w:val="none" w:sz="0" w:space="0" w:color="auto"/>
        <w:right w:val="none" w:sz="0" w:space="0" w:color="auto"/>
      </w:divBdr>
    </w:div>
    <w:div w:id="1390111253">
      <w:bodyDiv w:val="1"/>
      <w:marLeft w:val="0"/>
      <w:marRight w:val="0"/>
      <w:marTop w:val="0"/>
      <w:marBottom w:val="0"/>
      <w:divBdr>
        <w:top w:val="none" w:sz="0" w:space="0" w:color="auto"/>
        <w:left w:val="none" w:sz="0" w:space="0" w:color="auto"/>
        <w:bottom w:val="none" w:sz="0" w:space="0" w:color="auto"/>
        <w:right w:val="none" w:sz="0" w:space="0" w:color="auto"/>
      </w:divBdr>
    </w:div>
    <w:div w:id="1395197181">
      <w:bodyDiv w:val="1"/>
      <w:marLeft w:val="0"/>
      <w:marRight w:val="0"/>
      <w:marTop w:val="0"/>
      <w:marBottom w:val="0"/>
      <w:divBdr>
        <w:top w:val="none" w:sz="0" w:space="0" w:color="auto"/>
        <w:left w:val="none" w:sz="0" w:space="0" w:color="auto"/>
        <w:bottom w:val="none" w:sz="0" w:space="0" w:color="auto"/>
        <w:right w:val="none" w:sz="0" w:space="0" w:color="auto"/>
      </w:divBdr>
    </w:div>
    <w:div w:id="1399326050">
      <w:bodyDiv w:val="1"/>
      <w:marLeft w:val="0"/>
      <w:marRight w:val="0"/>
      <w:marTop w:val="0"/>
      <w:marBottom w:val="0"/>
      <w:divBdr>
        <w:top w:val="none" w:sz="0" w:space="0" w:color="auto"/>
        <w:left w:val="none" w:sz="0" w:space="0" w:color="auto"/>
        <w:bottom w:val="none" w:sz="0" w:space="0" w:color="auto"/>
        <w:right w:val="none" w:sz="0" w:space="0" w:color="auto"/>
      </w:divBdr>
    </w:div>
    <w:div w:id="1416125881">
      <w:bodyDiv w:val="1"/>
      <w:marLeft w:val="0"/>
      <w:marRight w:val="0"/>
      <w:marTop w:val="0"/>
      <w:marBottom w:val="0"/>
      <w:divBdr>
        <w:top w:val="none" w:sz="0" w:space="0" w:color="auto"/>
        <w:left w:val="none" w:sz="0" w:space="0" w:color="auto"/>
        <w:bottom w:val="none" w:sz="0" w:space="0" w:color="auto"/>
        <w:right w:val="none" w:sz="0" w:space="0" w:color="auto"/>
      </w:divBdr>
    </w:div>
    <w:div w:id="1417751555">
      <w:bodyDiv w:val="1"/>
      <w:marLeft w:val="0"/>
      <w:marRight w:val="0"/>
      <w:marTop w:val="0"/>
      <w:marBottom w:val="0"/>
      <w:divBdr>
        <w:top w:val="none" w:sz="0" w:space="0" w:color="auto"/>
        <w:left w:val="none" w:sz="0" w:space="0" w:color="auto"/>
        <w:bottom w:val="none" w:sz="0" w:space="0" w:color="auto"/>
        <w:right w:val="none" w:sz="0" w:space="0" w:color="auto"/>
      </w:divBdr>
    </w:div>
    <w:div w:id="1428117731">
      <w:bodyDiv w:val="1"/>
      <w:marLeft w:val="0"/>
      <w:marRight w:val="0"/>
      <w:marTop w:val="0"/>
      <w:marBottom w:val="0"/>
      <w:divBdr>
        <w:top w:val="none" w:sz="0" w:space="0" w:color="auto"/>
        <w:left w:val="none" w:sz="0" w:space="0" w:color="auto"/>
        <w:bottom w:val="none" w:sz="0" w:space="0" w:color="auto"/>
        <w:right w:val="none" w:sz="0" w:space="0" w:color="auto"/>
      </w:divBdr>
    </w:div>
    <w:div w:id="1429543011">
      <w:bodyDiv w:val="1"/>
      <w:marLeft w:val="0"/>
      <w:marRight w:val="0"/>
      <w:marTop w:val="0"/>
      <w:marBottom w:val="0"/>
      <w:divBdr>
        <w:top w:val="none" w:sz="0" w:space="0" w:color="auto"/>
        <w:left w:val="none" w:sz="0" w:space="0" w:color="auto"/>
        <w:bottom w:val="none" w:sz="0" w:space="0" w:color="auto"/>
        <w:right w:val="none" w:sz="0" w:space="0" w:color="auto"/>
      </w:divBdr>
    </w:div>
    <w:div w:id="1435515707">
      <w:bodyDiv w:val="1"/>
      <w:marLeft w:val="0"/>
      <w:marRight w:val="0"/>
      <w:marTop w:val="0"/>
      <w:marBottom w:val="0"/>
      <w:divBdr>
        <w:top w:val="none" w:sz="0" w:space="0" w:color="auto"/>
        <w:left w:val="none" w:sz="0" w:space="0" w:color="auto"/>
        <w:bottom w:val="none" w:sz="0" w:space="0" w:color="auto"/>
        <w:right w:val="none" w:sz="0" w:space="0" w:color="auto"/>
      </w:divBdr>
    </w:div>
    <w:div w:id="1435587814">
      <w:bodyDiv w:val="1"/>
      <w:marLeft w:val="0"/>
      <w:marRight w:val="0"/>
      <w:marTop w:val="0"/>
      <w:marBottom w:val="0"/>
      <w:divBdr>
        <w:top w:val="none" w:sz="0" w:space="0" w:color="auto"/>
        <w:left w:val="none" w:sz="0" w:space="0" w:color="auto"/>
        <w:bottom w:val="none" w:sz="0" w:space="0" w:color="auto"/>
        <w:right w:val="none" w:sz="0" w:space="0" w:color="auto"/>
      </w:divBdr>
    </w:div>
    <w:div w:id="1435595784">
      <w:bodyDiv w:val="1"/>
      <w:marLeft w:val="0"/>
      <w:marRight w:val="0"/>
      <w:marTop w:val="0"/>
      <w:marBottom w:val="0"/>
      <w:divBdr>
        <w:top w:val="none" w:sz="0" w:space="0" w:color="auto"/>
        <w:left w:val="none" w:sz="0" w:space="0" w:color="auto"/>
        <w:bottom w:val="none" w:sz="0" w:space="0" w:color="auto"/>
        <w:right w:val="none" w:sz="0" w:space="0" w:color="auto"/>
      </w:divBdr>
    </w:div>
    <w:div w:id="1448428011">
      <w:bodyDiv w:val="1"/>
      <w:marLeft w:val="0"/>
      <w:marRight w:val="0"/>
      <w:marTop w:val="0"/>
      <w:marBottom w:val="0"/>
      <w:divBdr>
        <w:top w:val="none" w:sz="0" w:space="0" w:color="auto"/>
        <w:left w:val="none" w:sz="0" w:space="0" w:color="auto"/>
        <w:bottom w:val="none" w:sz="0" w:space="0" w:color="auto"/>
        <w:right w:val="none" w:sz="0" w:space="0" w:color="auto"/>
      </w:divBdr>
    </w:div>
    <w:div w:id="1459756260">
      <w:bodyDiv w:val="1"/>
      <w:marLeft w:val="0"/>
      <w:marRight w:val="0"/>
      <w:marTop w:val="0"/>
      <w:marBottom w:val="0"/>
      <w:divBdr>
        <w:top w:val="none" w:sz="0" w:space="0" w:color="auto"/>
        <w:left w:val="none" w:sz="0" w:space="0" w:color="auto"/>
        <w:bottom w:val="none" w:sz="0" w:space="0" w:color="auto"/>
        <w:right w:val="none" w:sz="0" w:space="0" w:color="auto"/>
      </w:divBdr>
    </w:div>
    <w:div w:id="1467312538">
      <w:bodyDiv w:val="1"/>
      <w:marLeft w:val="0"/>
      <w:marRight w:val="0"/>
      <w:marTop w:val="0"/>
      <w:marBottom w:val="0"/>
      <w:divBdr>
        <w:top w:val="none" w:sz="0" w:space="0" w:color="auto"/>
        <w:left w:val="none" w:sz="0" w:space="0" w:color="auto"/>
        <w:bottom w:val="none" w:sz="0" w:space="0" w:color="auto"/>
        <w:right w:val="none" w:sz="0" w:space="0" w:color="auto"/>
      </w:divBdr>
    </w:div>
    <w:div w:id="1477382402">
      <w:bodyDiv w:val="1"/>
      <w:marLeft w:val="0"/>
      <w:marRight w:val="0"/>
      <w:marTop w:val="0"/>
      <w:marBottom w:val="0"/>
      <w:divBdr>
        <w:top w:val="none" w:sz="0" w:space="0" w:color="auto"/>
        <w:left w:val="none" w:sz="0" w:space="0" w:color="auto"/>
        <w:bottom w:val="none" w:sz="0" w:space="0" w:color="auto"/>
        <w:right w:val="none" w:sz="0" w:space="0" w:color="auto"/>
      </w:divBdr>
    </w:div>
    <w:div w:id="1479608936">
      <w:bodyDiv w:val="1"/>
      <w:marLeft w:val="0"/>
      <w:marRight w:val="0"/>
      <w:marTop w:val="0"/>
      <w:marBottom w:val="0"/>
      <w:divBdr>
        <w:top w:val="none" w:sz="0" w:space="0" w:color="auto"/>
        <w:left w:val="none" w:sz="0" w:space="0" w:color="auto"/>
        <w:bottom w:val="none" w:sz="0" w:space="0" w:color="auto"/>
        <w:right w:val="none" w:sz="0" w:space="0" w:color="auto"/>
      </w:divBdr>
    </w:div>
    <w:div w:id="1480418417">
      <w:bodyDiv w:val="1"/>
      <w:marLeft w:val="0"/>
      <w:marRight w:val="0"/>
      <w:marTop w:val="0"/>
      <w:marBottom w:val="0"/>
      <w:divBdr>
        <w:top w:val="none" w:sz="0" w:space="0" w:color="auto"/>
        <w:left w:val="none" w:sz="0" w:space="0" w:color="auto"/>
        <w:bottom w:val="none" w:sz="0" w:space="0" w:color="auto"/>
        <w:right w:val="none" w:sz="0" w:space="0" w:color="auto"/>
      </w:divBdr>
    </w:div>
    <w:div w:id="1480540434">
      <w:bodyDiv w:val="1"/>
      <w:marLeft w:val="0"/>
      <w:marRight w:val="0"/>
      <w:marTop w:val="0"/>
      <w:marBottom w:val="0"/>
      <w:divBdr>
        <w:top w:val="none" w:sz="0" w:space="0" w:color="auto"/>
        <w:left w:val="none" w:sz="0" w:space="0" w:color="auto"/>
        <w:bottom w:val="none" w:sz="0" w:space="0" w:color="auto"/>
        <w:right w:val="none" w:sz="0" w:space="0" w:color="auto"/>
      </w:divBdr>
      <w:divsChild>
        <w:div w:id="96022931">
          <w:marLeft w:val="0"/>
          <w:marRight w:val="0"/>
          <w:marTop w:val="0"/>
          <w:marBottom w:val="0"/>
          <w:divBdr>
            <w:top w:val="none" w:sz="0" w:space="0" w:color="auto"/>
            <w:left w:val="none" w:sz="0" w:space="0" w:color="auto"/>
            <w:bottom w:val="none" w:sz="0" w:space="0" w:color="auto"/>
            <w:right w:val="none" w:sz="0" w:space="0" w:color="auto"/>
          </w:divBdr>
          <w:divsChild>
            <w:div w:id="1766225094">
              <w:marLeft w:val="0"/>
              <w:marRight w:val="0"/>
              <w:marTop w:val="0"/>
              <w:marBottom w:val="0"/>
              <w:divBdr>
                <w:top w:val="none" w:sz="0" w:space="0" w:color="auto"/>
                <w:left w:val="none" w:sz="0" w:space="0" w:color="auto"/>
                <w:bottom w:val="none" w:sz="0" w:space="0" w:color="auto"/>
                <w:right w:val="none" w:sz="0" w:space="0" w:color="auto"/>
              </w:divBdr>
              <w:divsChild>
                <w:div w:id="1397624305">
                  <w:marLeft w:val="-300"/>
                  <w:marRight w:val="-300"/>
                  <w:marTop w:val="0"/>
                  <w:marBottom w:val="0"/>
                  <w:divBdr>
                    <w:top w:val="none" w:sz="0" w:space="0" w:color="auto"/>
                    <w:left w:val="none" w:sz="0" w:space="0" w:color="auto"/>
                    <w:bottom w:val="none" w:sz="0" w:space="0" w:color="auto"/>
                    <w:right w:val="none" w:sz="0" w:space="0" w:color="auto"/>
                  </w:divBdr>
                  <w:divsChild>
                    <w:div w:id="2012296561">
                      <w:marLeft w:val="0"/>
                      <w:marRight w:val="0"/>
                      <w:marTop w:val="0"/>
                      <w:marBottom w:val="0"/>
                      <w:divBdr>
                        <w:top w:val="none" w:sz="0" w:space="0" w:color="auto"/>
                        <w:left w:val="none" w:sz="0" w:space="0" w:color="auto"/>
                        <w:bottom w:val="none" w:sz="0" w:space="0" w:color="auto"/>
                        <w:right w:val="none" w:sz="0" w:space="0" w:color="auto"/>
                      </w:divBdr>
                      <w:divsChild>
                        <w:div w:id="259263629">
                          <w:marLeft w:val="-300"/>
                          <w:marRight w:val="-300"/>
                          <w:marTop w:val="0"/>
                          <w:marBottom w:val="0"/>
                          <w:divBdr>
                            <w:top w:val="none" w:sz="0" w:space="0" w:color="auto"/>
                            <w:left w:val="none" w:sz="0" w:space="0" w:color="auto"/>
                            <w:bottom w:val="none" w:sz="0" w:space="0" w:color="auto"/>
                            <w:right w:val="none" w:sz="0" w:space="0" w:color="auto"/>
                          </w:divBdr>
                          <w:divsChild>
                            <w:div w:id="12151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361661">
      <w:bodyDiv w:val="1"/>
      <w:marLeft w:val="0"/>
      <w:marRight w:val="0"/>
      <w:marTop w:val="0"/>
      <w:marBottom w:val="0"/>
      <w:divBdr>
        <w:top w:val="none" w:sz="0" w:space="0" w:color="auto"/>
        <w:left w:val="none" w:sz="0" w:space="0" w:color="auto"/>
        <w:bottom w:val="none" w:sz="0" w:space="0" w:color="auto"/>
        <w:right w:val="none" w:sz="0" w:space="0" w:color="auto"/>
      </w:divBdr>
    </w:div>
    <w:div w:id="1496262593">
      <w:bodyDiv w:val="1"/>
      <w:marLeft w:val="0"/>
      <w:marRight w:val="0"/>
      <w:marTop w:val="0"/>
      <w:marBottom w:val="0"/>
      <w:divBdr>
        <w:top w:val="none" w:sz="0" w:space="0" w:color="auto"/>
        <w:left w:val="none" w:sz="0" w:space="0" w:color="auto"/>
        <w:bottom w:val="none" w:sz="0" w:space="0" w:color="auto"/>
        <w:right w:val="none" w:sz="0" w:space="0" w:color="auto"/>
      </w:divBdr>
    </w:div>
    <w:div w:id="1498110687">
      <w:bodyDiv w:val="1"/>
      <w:marLeft w:val="0"/>
      <w:marRight w:val="0"/>
      <w:marTop w:val="0"/>
      <w:marBottom w:val="0"/>
      <w:divBdr>
        <w:top w:val="none" w:sz="0" w:space="0" w:color="auto"/>
        <w:left w:val="none" w:sz="0" w:space="0" w:color="auto"/>
        <w:bottom w:val="none" w:sz="0" w:space="0" w:color="auto"/>
        <w:right w:val="none" w:sz="0" w:space="0" w:color="auto"/>
      </w:divBdr>
    </w:div>
    <w:div w:id="1500123004">
      <w:bodyDiv w:val="1"/>
      <w:marLeft w:val="0"/>
      <w:marRight w:val="0"/>
      <w:marTop w:val="0"/>
      <w:marBottom w:val="0"/>
      <w:divBdr>
        <w:top w:val="none" w:sz="0" w:space="0" w:color="auto"/>
        <w:left w:val="none" w:sz="0" w:space="0" w:color="auto"/>
        <w:bottom w:val="none" w:sz="0" w:space="0" w:color="auto"/>
        <w:right w:val="none" w:sz="0" w:space="0" w:color="auto"/>
      </w:divBdr>
      <w:divsChild>
        <w:div w:id="1808668042">
          <w:marLeft w:val="0"/>
          <w:marRight w:val="0"/>
          <w:marTop w:val="0"/>
          <w:marBottom w:val="0"/>
          <w:divBdr>
            <w:top w:val="none" w:sz="0" w:space="0" w:color="auto"/>
            <w:left w:val="none" w:sz="0" w:space="0" w:color="auto"/>
            <w:bottom w:val="none" w:sz="0" w:space="0" w:color="auto"/>
            <w:right w:val="none" w:sz="0" w:space="0" w:color="auto"/>
          </w:divBdr>
        </w:div>
      </w:divsChild>
    </w:div>
    <w:div w:id="1501895913">
      <w:bodyDiv w:val="1"/>
      <w:marLeft w:val="0"/>
      <w:marRight w:val="0"/>
      <w:marTop w:val="0"/>
      <w:marBottom w:val="0"/>
      <w:divBdr>
        <w:top w:val="none" w:sz="0" w:space="0" w:color="auto"/>
        <w:left w:val="none" w:sz="0" w:space="0" w:color="auto"/>
        <w:bottom w:val="none" w:sz="0" w:space="0" w:color="auto"/>
        <w:right w:val="none" w:sz="0" w:space="0" w:color="auto"/>
      </w:divBdr>
    </w:div>
    <w:div w:id="1505050621">
      <w:bodyDiv w:val="1"/>
      <w:marLeft w:val="0"/>
      <w:marRight w:val="0"/>
      <w:marTop w:val="0"/>
      <w:marBottom w:val="0"/>
      <w:divBdr>
        <w:top w:val="none" w:sz="0" w:space="0" w:color="auto"/>
        <w:left w:val="none" w:sz="0" w:space="0" w:color="auto"/>
        <w:bottom w:val="none" w:sz="0" w:space="0" w:color="auto"/>
        <w:right w:val="none" w:sz="0" w:space="0" w:color="auto"/>
      </w:divBdr>
    </w:div>
    <w:div w:id="1508060586">
      <w:bodyDiv w:val="1"/>
      <w:marLeft w:val="0"/>
      <w:marRight w:val="0"/>
      <w:marTop w:val="0"/>
      <w:marBottom w:val="0"/>
      <w:divBdr>
        <w:top w:val="none" w:sz="0" w:space="0" w:color="auto"/>
        <w:left w:val="none" w:sz="0" w:space="0" w:color="auto"/>
        <w:bottom w:val="none" w:sz="0" w:space="0" w:color="auto"/>
        <w:right w:val="none" w:sz="0" w:space="0" w:color="auto"/>
      </w:divBdr>
    </w:div>
    <w:div w:id="1510024347">
      <w:bodyDiv w:val="1"/>
      <w:marLeft w:val="0"/>
      <w:marRight w:val="0"/>
      <w:marTop w:val="0"/>
      <w:marBottom w:val="0"/>
      <w:divBdr>
        <w:top w:val="none" w:sz="0" w:space="0" w:color="auto"/>
        <w:left w:val="none" w:sz="0" w:space="0" w:color="auto"/>
        <w:bottom w:val="none" w:sz="0" w:space="0" w:color="auto"/>
        <w:right w:val="none" w:sz="0" w:space="0" w:color="auto"/>
      </w:divBdr>
    </w:div>
    <w:div w:id="1515001637">
      <w:bodyDiv w:val="1"/>
      <w:marLeft w:val="0"/>
      <w:marRight w:val="0"/>
      <w:marTop w:val="0"/>
      <w:marBottom w:val="0"/>
      <w:divBdr>
        <w:top w:val="none" w:sz="0" w:space="0" w:color="auto"/>
        <w:left w:val="none" w:sz="0" w:space="0" w:color="auto"/>
        <w:bottom w:val="none" w:sz="0" w:space="0" w:color="auto"/>
        <w:right w:val="none" w:sz="0" w:space="0" w:color="auto"/>
      </w:divBdr>
    </w:div>
    <w:div w:id="1515879749">
      <w:bodyDiv w:val="1"/>
      <w:marLeft w:val="0"/>
      <w:marRight w:val="0"/>
      <w:marTop w:val="0"/>
      <w:marBottom w:val="0"/>
      <w:divBdr>
        <w:top w:val="none" w:sz="0" w:space="0" w:color="auto"/>
        <w:left w:val="none" w:sz="0" w:space="0" w:color="auto"/>
        <w:bottom w:val="none" w:sz="0" w:space="0" w:color="auto"/>
        <w:right w:val="none" w:sz="0" w:space="0" w:color="auto"/>
      </w:divBdr>
    </w:div>
    <w:div w:id="1519730982">
      <w:bodyDiv w:val="1"/>
      <w:marLeft w:val="0"/>
      <w:marRight w:val="0"/>
      <w:marTop w:val="0"/>
      <w:marBottom w:val="0"/>
      <w:divBdr>
        <w:top w:val="none" w:sz="0" w:space="0" w:color="auto"/>
        <w:left w:val="none" w:sz="0" w:space="0" w:color="auto"/>
        <w:bottom w:val="none" w:sz="0" w:space="0" w:color="auto"/>
        <w:right w:val="none" w:sz="0" w:space="0" w:color="auto"/>
      </w:divBdr>
    </w:div>
    <w:div w:id="1520045657">
      <w:bodyDiv w:val="1"/>
      <w:marLeft w:val="0"/>
      <w:marRight w:val="0"/>
      <w:marTop w:val="0"/>
      <w:marBottom w:val="0"/>
      <w:divBdr>
        <w:top w:val="none" w:sz="0" w:space="0" w:color="auto"/>
        <w:left w:val="none" w:sz="0" w:space="0" w:color="auto"/>
        <w:bottom w:val="none" w:sz="0" w:space="0" w:color="auto"/>
        <w:right w:val="none" w:sz="0" w:space="0" w:color="auto"/>
      </w:divBdr>
    </w:div>
    <w:div w:id="1521167669">
      <w:bodyDiv w:val="1"/>
      <w:marLeft w:val="0"/>
      <w:marRight w:val="0"/>
      <w:marTop w:val="0"/>
      <w:marBottom w:val="0"/>
      <w:divBdr>
        <w:top w:val="none" w:sz="0" w:space="0" w:color="auto"/>
        <w:left w:val="none" w:sz="0" w:space="0" w:color="auto"/>
        <w:bottom w:val="none" w:sz="0" w:space="0" w:color="auto"/>
        <w:right w:val="none" w:sz="0" w:space="0" w:color="auto"/>
      </w:divBdr>
    </w:div>
    <w:div w:id="1523209027">
      <w:bodyDiv w:val="1"/>
      <w:marLeft w:val="0"/>
      <w:marRight w:val="0"/>
      <w:marTop w:val="0"/>
      <w:marBottom w:val="0"/>
      <w:divBdr>
        <w:top w:val="none" w:sz="0" w:space="0" w:color="auto"/>
        <w:left w:val="none" w:sz="0" w:space="0" w:color="auto"/>
        <w:bottom w:val="none" w:sz="0" w:space="0" w:color="auto"/>
        <w:right w:val="none" w:sz="0" w:space="0" w:color="auto"/>
      </w:divBdr>
    </w:div>
    <w:div w:id="1524630673">
      <w:bodyDiv w:val="1"/>
      <w:marLeft w:val="0"/>
      <w:marRight w:val="0"/>
      <w:marTop w:val="0"/>
      <w:marBottom w:val="0"/>
      <w:divBdr>
        <w:top w:val="none" w:sz="0" w:space="0" w:color="auto"/>
        <w:left w:val="none" w:sz="0" w:space="0" w:color="auto"/>
        <w:bottom w:val="none" w:sz="0" w:space="0" w:color="auto"/>
        <w:right w:val="none" w:sz="0" w:space="0" w:color="auto"/>
      </w:divBdr>
      <w:divsChild>
        <w:div w:id="757169433">
          <w:marLeft w:val="0"/>
          <w:marRight w:val="0"/>
          <w:marTop w:val="0"/>
          <w:marBottom w:val="0"/>
          <w:divBdr>
            <w:top w:val="none" w:sz="0" w:space="0" w:color="auto"/>
            <w:left w:val="none" w:sz="0" w:space="0" w:color="auto"/>
            <w:bottom w:val="none" w:sz="0" w:space="0" w:color="auto"/>
            <w:right w:val="none" w:sz="0" w:space="0" w:color="auto"/>
          </w:divBdr>
          <w:divsChild>
            <w:div w:id="385645931">
              <w:marLeft w:val="0"/>
              <w:marRight w:val="0"/>
              <w:marTop w:val="0"/>
              <w:marBottom w:val="0"/>
              <w:divBdr>
                <w:top w:val="none" w:sz="0" w:space="0" w:color="auto"/>
                <w:left w:val="none" w:sz="0" w:space="0" w:color="auto"/>
                <w:bottom w:val="none" w:sz="0" w:space="0" w:color="auto"/>
                <w:right w:val="none" w:sz="0" w:space="0" w:color="auto"/>
              </w:divBdr>
              <w:divsChild>
                <w:div w:id="61225235">
                  <w:marLeft w:val="-300"/>
                  <w:marRight w:val="-300"/>
                  <w:marTop w:val="0"/>
                  <w:marBottom w:val="0"/>
                  <w:divBdr>
                    <w:top w:val="none" w:sz="0" w:space="0" w:color="auto"/>
                    <w:left w:val="none" w:sz="0" w:space="0" w:color="auto"/>
                    <w:bottom w:val="none" w:sz="0" w:space="0" w:color="auto"/>
                    <w:right w:val="none" w:sz="0" w:space="0" w:color="auto"/>
                  </w:divBdr>
                  <w:divsChild>
                    <w:div w:id="1108768506">
                      <w:marLeft w:val="0"/>
                      <w:marRight w:val="0"/>
                      <w:marTop w:val="0"/>
                      <w:marBottom w:val="0"/>
                      <w:divBdr>
                        <w:top w:val="none" w:sz="0" w:space="0" w:color="auto"/>
                        <w:left w:val="none" w:sz="0" w:space="0" w:color="auto"/>
                        <w:bottom w:val="none" w:sz="0" w:space="0" w:color="auto"/>
                        <w:right w:val="none" w:sz="0" w:space="0" w:color="auto"/>
                      </w:divBdr>
                      <w:divsChild>
                        <w:div w:id="1235628260">
                          <w:marLeft w:val="-300"/>
                          <w:marRight w:val="-300"/>
                          <w:marTop w:val="0"/>
                          <w:marBottom w:val="0"/>
                          <w:divBdr>
                            <w:top w:val="none" w:sz="0" w:space="0" w:color="auto"/>
                            <w:left w:val="none" w:sz="0" w:space="0" w:color="auto"/>
                            <w:bottom w:val="none" w:sz="0" w:space="0" w:color="auto"/>
                            <w:right w:val="none" w:sz="0" w:space="0" w:color="auto"/>
                          </w:divBdr>
                          <w:divsChild>
                            <w:div w:id="175685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05577">
      <w:bodyDiv w:val="1"/>
      <w:marLeft w:val="0"/>
      <w:marRight w:val="0"/>
      <w:marTop w:val="0"/>
      <w:marBottom w:val="0"/>
      <w:divBdr>
        <w:top w:val="none" w:sz="0" w:space="0" w:color="auto"/>
        <w:left w:val="none" w:sz="0" w:space="0" w:color="auto"/>
        <w:bottom w:val="none" w:sz="0" w:space="0" w:color="auto"/>
        <w:right w:val="none" w:sz="0" w:space="0" w:color="auto"/>
      </w:divBdr>
    </w:div>
    <w:div w:id="1532456978">
      <w:bodyDiv w:val="1"/>
      <w:marLeft w:val="0"/>
      <w:marRight w:val="0"/>
      <w:marTop w:val="0"/>
      <w:marBottom w:val="0"/>
      <w:divBdr>
        <w:top w:val="none" w:sz="0" w:space="0" w:color="auto"/>
        <w:left w:val="none" w:sz="0" w:space="0" w:color="auto"/>
        <w:bottom w:val="none" w:sz="0" w:space="0" w:color="auto"/>
        <w:right w:val="none" w:sz="0" w:space="0" w:color="auto"/>
      </w:divBdr>
    </w:div>
    <w:div w:id="1552502107">
      <w:bodyDiv w:val="1"/>
      <w:marLeft w:val="0"/>
      <w:marRight w:val="0"/>
      <w:marTop w:val="0"/>
      <w:marBottom w:val="0"/>
      <w:divBdr>
        <w:top w:val="none" w:sz="0" w:space="0" w:color="auto"/>
        <w:left w:val="none" w:sz="0" w:space="0" w:color="auto"/>
        <w:bottom w:val="none" w:sz="0" w:space="0" w:color="auto"/>
        <w:right w:val="none" w:sz="0" w:space="0" w:color="auto"/>
      </w:divBdr>
    </w:div>
    <w:div w:id="1562447722">
      <w:bodyDiv w:val="1"/>
      <w:marLeft w:val="0"/>
      <w:marRight w:val="0"/>
      <w:marTop w:val="0"/>
      <w:marBottom w:val="0"/>
      <w:divBdr>
        <w:top w:val="none" w:sz="0" w:space="0" w:color="auto"/>
        <w:left w:val="none" w:sz="0" w:space="0" w:color="auto"/>
        <w:bottom w:val="none" w:sz="0" w:space="0" w:color="auto"/>
        <w:right w:val="none" w:sz="0" w:space="0" w:color="auto"/>
      </w:divBdr>
    </w:div>
    <w:div w:id="1563324475">
      <w:bodyDiv w:val="1"/>
      <w:marLeft w:val="0"/>
      <w:marRight w:val="0"/>
      <w:marTop w:val="0"/>
      <w:marBottom w:val="0"/>
      <w:divBdr>
        <w:top w:val="none" w:sz="0" w:space="0" w:color="auto"/>
        <w:left w:val="none" w:sz="0" w:space="0" w:color="auto"/>
        <w:bottom w:val="none" w:sz="0" w:space="0" w:color="auto"/>
        <w:right w:val="none" w:sz="0" w:space="0" w:color="auto"/>
      </w:divBdr>
    </w:div>
    <w:div w:id="1567648184">
      <w:bodyDiv w:val="1"/>
      <w:marLeft w:val="0"/>
      <w:marRight w:val="0"/>
      <w:marTop w:val="0"/>
      <w:marBottom w:val="0"/>
      <w:divBdr>
        <w:top w:val="none" w:sz="0" w:space="0" w:color="auto"/>
        <w:left w:val="none" w:sz="0" w:space="0" w:color="auto"/>
        <w:bottom w:val="none" w:sz="0" w:space="0" w:color="auto"/>
        <w:right w:val="none" w:sz="0" w:space="0" w:color="auto"/>
      </w:divBdr>
    </w:div>
    <w:div w:id="1572882779">
      <w:bodyDiv w:val="1"/>
      <w:marLeft w:val="0"/>
      <w:marRight w:val="0"/>
      <w:marTop w:val="0"/>
      <w:marBottom w:val="0"/>
      <w:divBdr>
        <w:top w:val="none" w:sz="0" w:space="0" w:color="auto"/>
        <w:left w:val="none" w:sz="0" w:space="0" w:color="auto"/>
        <w:bottom w:val="none" w:sz="0" w:space="0" w:color="auto"/>
        <w:right w:val="none" w:sz="0" w:space="0" w:color="auto"/>
      </w:divBdr>
    </w:div>
    <w:div w:id="1574511102">
      <w:bodyDiv w:val="1"/>
      <w:marLeft w:val="0"/>
      <w:marRight w:val="0"/>
      <w:marTop w:val="0"/>
      <w:marBottom w:val="0"/>
      <w:divBdr>
        <w:top w:val="none" w:sz="0" w:space="0" w:color="auto"/>
        <w:left w:val="none" w:sz="0" w:space="0" w:color="auto"/>
        <w:bottom w:val="none" w:sz="0" w:space="0" w:color="auto"/>
        <w:right w:val="none" w:sz="0" w:space="0" w:color="auto"/>
      </w:divBdr>
    </w:div>
    <w:div w:id="1586113169">
      <w:bodyDiv w:val="1"/>
      <w:marLeft w:val="0"/>
      <w:marRight w:val="0"/>
      <w:marTop w:val="0"/>
      <w:marBottom w:val="0"/>
      <w:divBdr>
        <w:top w:val="none" w:sz="0" w:space="0" w:color="auto"/>
        <w:left w:val="none" w:sz="0" w:space="0" w:color="auto"/>
        <w:bottom w:val="none" w:sz="0" w:space="0" w:color="auto"/>
        <w:right w:val="none" w:sz="0" w:space="0" w:color="auto"/>
      </w:divBdr>
    </w:div>
    <w:div w:id="1587880910">
      <w:bodyDiv w:val="1"/>
      <w:marLeft w:val="0"/>
      <w:marRight w:val="0"/>
      <w:marTop w:val="0"/>
      <w:marBottom w:val="0"/>
      <w:divBdr>
        <w:top w:val="none" w:sz="0" w:space="0" w:color="auto"/>
        <w:left w:val="none" w:sz="0" w:space="0" w:color="auto"/>
        <w:bottom w:val="none" w:sz="0" w:space="0" w:color="auto"/>
        <w:right w:val="none" w:sz="0" w:space="0" w:color="auto"/>
      </w:divBdr>
    </w:div>
    <w:div w:id="1588879484">
      <w:bodyDiv w:val="1"/>
      <w:marLeft w:val="0"/>
      <w:marRight w:val="0"/>
      <w:marTop w:val="0"/>
      <w:marBottom w:val="0"/>
      <w:divBdr>
        <w:top w:val="none" w:sz="0" w:space="0" w:color="auto"/>
        <w:left w:val="none" w:sz="0" w:space="0" w:color="auto"/>
        <w:bottom w:val="none" w:sz="0" w:space="0" w:color="auto"/>
        <w:right w:val="none" w:sz="0" w:space="0" w:color="auto"/>
      </w:divBdr>
    </w:div>
    <w:div w:id="1593540103">
      <w:bodyDiv w:val="1"/>
      <w:marLeft w:val="0"/>
      <w:marRight w:val="0"/>
      <w:marTop w:val="0"/>
      <w:marBottom w:val="0"/>
      <w:divBdr>
        <w:top w:val="none" w:sz="0" w:space="0" w:color="auto"/>
        <w:left w:val="none" w:sz="0" w:space="0" w:color="auto"/>
        <w:bottom w:val="none" w:sz="0" w:space="0" w:color="auto"/>
        <w:right w:val="none" w:sz="0" w:space="0" w:color="auto"/>
      </w:divBdr>
    </w:div>
    <w:div w:id="1605726178">
      <w:bodyDiv w:val="1"/>
      <w:marLeft w:val="0"/>
      <w:marRight w:val="0"/>
      <w:marTop w:val="0"/>
      <w:marBottom w:val="0"/>
      <w:divBdr>
        <w:top w:val="none" w:sz="0" w:space="0" w:color="auto"/>
        <w:left w:val="none" w:sz="0" w:space="0" w:color="auto"/>
        <w:bottom w:val="none" w:sz="0" w:space="0" w:color="auto"/>
        <w:right w:val="none" w:sz="0" w:space="0" w:color="auto"/>
      </w:divBdr>
    </w:div>
    <w:div w:id="1614246183">
      <w:bodyDiv w:val="1"/>
      <w:marLeft w:val="0"/>
      <w:marRight w:val="0"/>
      <w:marTop w:val="0"/>
      <w:marBottom w:val="0"/>
      <w:divBdr>
        <w:top w:val="none" w:sz="0" w:space="0" w:color="auto"/>
        <w:left w:val="none" w:sz="0" w:space="0" w:color="auto"/>
        <w:bottom w:val="none" w:sz="0" w:space="0" w:color="auto"/>
        <w:right w:val="none" w:sz="0" w:space="0" w:color="auto"/>
      </w:divBdr>
    </w:div>
    <w:div w:id="1616983792">
      <w:bodyDiv w:val="1"/>
      <w:marLeft w:val="0"/>
      <w:marRight w:val="0"/>
      <w:marTop w:val="0"/>
      <w:marBottom w:val="0"/>
      <w:divBdr>
        <w:top w:val="none" w:sz="0" w:space="0" w:color="auto"/>
        <w:left w:val="none" w:sz="0" w:space="0" w:color="auto"/>
        <w:bottom w:val="none" w:sz="0" w:space="0" w:color="auto"/>
        <w:right w:val="none" w:sz="0" w:space="0" w:color="auto"/>
      </w:divBdr>
      <w:divsChild>
        <w:div w:id="158270852">
          <w:marLeft w:val="0"/>
          <w:marRight w:val="0"/>
          <w:marTop w:val="0"/>
          <w:marBottom w:val="0"/>
          <w:divBdr>
            <w:top w:val="none" w:sz="0" w:space="0" w:color="auto"/>
            <w:left w:val="none" w:sz="0" w:space="0" w:color="auto"/>
            <w:bottom w:val="none" w:sz="0" w:space="0" w:color="auto"/>
            <w:right w:val="none" w:sz="0" w:space="0" w:color="auto"/>
          </w:divBdr>
          <w:divsChild>
            <w:div w:id="1734696139">
              <w:marLeft w:val="0"/>
              <w:marRight w:val="0"/>
              <w:marTop w:val="0"/>
              <w:marBottom w:val="0"/>
              <w:divBdr>
                <w:top w:val="single" w:sz="6" w:space="0" w:color="5B616B"/>
                <w:left w:val="single" w:sz="6" w:space="0" w:color="5B616B"/>
                <w:bottom w:val="single" w:sz="24" w:space="0" w:color="5B616B"/>
                <w:right w:val="single" w:sz="6" w:space="0" w:color="5B616B"/>
              </w:divBdr>
            </w:div>
          </w:divsChild>
        </w:div>
        <w:div w:id="762192681">
          <w:marLeft w:val="0"/>
          <w:marRight w:val="0"/>
          <w:marTop w:val="0"/>
          <w:marBottom w:val="0"/>
          <w:divBdr>
            <w:top w:val="none" w:sz="0" w:space="0" w:color="auto"/>
            <w:left w:val="none" w:sz="0" w:space="0" w:color="auto"/>
            <w:bottom w:val="none" w:sz="0" w:space="0" w:color="auto"/>
            <w:right w:val="none" w:sz="0" w:space="0" w:color="auto"/>
          </w:divBdr>
        </w:div>
        <w:div w:id="1140418496">
          <w:marLeft w:val="0"/>
          <w:marRight w:val="0"/>
          <w:marTop w:val="0"/>
          <w:marBottom w:val="0"/>
          <w:divBdr>
            <w:top w:val="none" w:sz="0" w:space="0" w:color="auto"/>
            <w:left w:val="none" w:sz="0" w:space="0" w:color="auto"/>
            <w:bottom w:val="none" w:sz="0" w:space="0" w:color="auto"/>
            <w:right w:val="none" w:sz="0" w:space="0" w:color="auto"/>
          </w:divBdr>
        </w:div>
      </w:divsChild>
    </w:div>
    <w:div w:id="1619337345">
      <w:bodyDiv w:val="1"/>
      <w:marLeft w:val="0"/>
      <w:marRight w:val="0"/>
      <w:marTop w:val="0"/>
      <w:marBottom w:val="0"/>
      <w:divBdr>
        <w:top w:val="none" w:sz="0" w:space="0" w:color="auto"/>
        <w:left w:val="none" w:sz="0" w:space="0" w:color="auto"/>
        <w:bottom w:val="none" w:sz="0" w:space="0" w:color="auto"/>
        <w:right w:val="none" w:sz="0" w:space="0" w:color="auto"/>
      </w:divBdr>
    </w:div>
    <w:div w:id="1625039357">
      <w:bodyDiv w:val="1"/>
      <w:marLeft w:val="0"/>
      <w:marRight w:val="0"/>
      <w:marTop w:val="0"/>
      <w:marBottom w:val="0"/>
      <w:divBdr>
        <w:top w:val="none" w:sz="0" w:space="0" w:color="auto"/>
        <w:left w:val="none" w:sz="0" w:space="0" w:color="auto"/>
        <w:bottom w:val="none" w:sz="0" w:space="0" w:color="auto"/>
        <w:right w:val="none" w:sz="0" w:space="0" w:color="auto"/>
      </w:divBdr>
    </w:div>
    <w:div w:id="1626548188">
      <w:bodyDiv w:val="1"/>
      <w:marLeft w:val="0"/>
      <w:marRight w:val="0"/>
      <w:marTop w:val="0"/>
      <w:marBottom w:val="0"/>
      <w:divBdr>
        <w:top w:val="none" w:sz="0" w:space="0" w:color="auto"/>
        <w:left w:val="none" w:sz="0" w:space="0" w:color="auto"/>
        <w:bottom w:val="none" w:sz="0" w:space="0" w:color="auto"/>
        <w:right w:val="none" w:sz="0" w:space="0" w:color="auto"/>
      </w:divBdr>
    </w:div>
    <w:div w:id="1627928705">
      <w:bodyDiv w:val="1"/>
      <w:marLeft w:val="0"/>
      <w:marRight w:val="0"/>
      <w:marTop w:val="0"/>
      <w:marBottom w:val="0"/>
      <w:divBdr>
        <w:top w:val="none" w:sz="0" w:space="0" w:color="auto"/>
        <w:left w:val="none" w:sz="0" w:space="0" w:color="auto"/>
        <w:bottom w:val="none" w:sz="0" w:space="0" w:color="auto"/>
        <w:right w:val="none" w:sz="0" w:space="0" w:color="auto"/>
      </w:divBdr>
    </w:div>
    <w:div w:id="1632520152">
      <w:bodyDiv w:val="1"/>
      <w:marLeft w:val="0"/>
      <w:marRight w:val="0"/>
      <w:marTop w:val="0"/>
      <w:marBottom w:val="0"/>
      <w:divBdr>
        <w:top w:val="none" w:sz="0" w:space="0" w:color="auto"/>
        <w:left w:val="none" w:sz="0" w:space="0" w:color="auto"/>
        <w:bottom w:val="none" w:sz="0" w:space="0" w:color="auto"/>
        <w:right w:val="none" w:sz="0" w:space="0" w:color="auto"/>
      </w:divBdr>
    </w:div>
    <w:div w:id="1635981816">
      <w:bodyDiv w:val="1"/>
      <w:marLeft w:val="0"/>
      <w:marRight w:val="0"/>
      <w:marTop w:val="0"/>
      <w:marBottom w:val="0"/>
      <w:divBdr>
        <w:top w:val="none" w:sz="0" w:space="0" w:color="auto"/>
        <w:left w:val="none" w:sz="0" w:space="0" w:color="auto"/>
        <w:bottom w:val="none" w:sz="0" w:space="0" w:color="auto"/>
        <w:right w:val="none" w:sz="0" w:space="0" w:color="auto"/>
      </w:divBdr>
    </w:div>
    <w:div w:id="1636253217">
      <w:bodyDiv w:val="1"/>
      <w:marLeft w:val="0"/>
      <w:marRight w:val="0"/>
      <w:marTop w:val="0"/>
      <w:marBottom w:val="0"/>
      <w:divBdr>
        <w:top w:val="none" w:sz="0" w:space="0" w:color="auto"/>
        <w:left w:val="none" w:sz="0" w:space="0" w:color="auto"/>
        <w:bottom w:val="none" w:sz="0" w:space="0" w:color="auto"/>
        <w:right w:val="none" w:sz="0" w:space="0" w:color="auto"/>
      </w:divBdr>
    </w:div>
    <w:div w:id="1645893982">
      <w:bodyDiv w:val="1"/>
      <w:marLeft w:val="0"/>
      <w:marRight w:val="0"/>
      <w:marTop w:val="0"/>
      <w:marBottom w:val="0"/>
      <w:divBdr>
        <w:top w:val="none" w:sz="0" w:space="0" w:color="auto"/>
        <w:left w:val="none" w:sz="0" w:space="0" w:color="auto"/>
        <w:bottom w:val="none" w:sz="0" w:space="0" w:color="auto"/>
        <w:right w:val="none" w:sz="0" w:space="0" w:color="auto"/>
      </w:divBdr>
    </w:div>
    <w:div w:id="1647125520">
      <w:bodyDiv w:val="1"/>
      <w:marLeft w:val="0"/>
      <w:marRight w:val="0"/>
      <w:marTop w:val="0"/>
      <w:marBottom w:val="0"/>
      <w:divBdr>
        <w:top w:val="none" w:sz="0" w:space="0" w:color="auto"/>
        <w:left w:val="none" w:sz="0" w:space="0" w:color="auto"/>
        <w:bottom w:val="none" w:sz="0" w:space="0" w:color="auto"/>
        <w:right w:val="none" w:sz="0" w:space="0" w:color="auto"/>
      </w:divBdr>
    </w:div>
    <w:div w:id="1651444474">
      <w:bodyDiv w:val="1"/>
      <w:marLeft w:val="0"/>
      <w:marRight w:val="0"/>
      <w:marTop w:val="0"/>
      <w:marBottom w:val="0"/>
      <w:divBdr>
        <w:top w:val="none" w:sz="0" w:space="0" w:color="auto"/>
        <w:left w:val="none" w:sz="0" w:space="0" w:color="auto"/>
        <w:bottom w:val="none" w:sz="0" w:space="0" w:color="auto"/>
        <w:right w:val="none" w:sz="0" w:space="0" w:color="auto"/>
      </w:divBdr>
    </w:div>
    <w:div w:id="1656256711">
      <w:bodyDiv w:val="1"/>
      <w:marLeft w:val="0"/>
      <w:marRight w:val="0"/>
      <w:marTop w:val="0"/>
      <w:marBottom w:val="0"/>
      <w:divBdr>
        <w:top w:val="none" w:sz="0" w:space="0" w:color="auto"/>
        <w:left w:val="none" w:sz="0" w:space="0" w:color="auto"/>
        <w:bottom w:val="none" w:sz="0" w:space="0" w:color="auto"/>
        <w:right w:val="none" w:sz="0" w:space="0" w:color="auto"/>
      </w:divBdr>
    </w:div>
    <w:div w:id="1684433548">
      <w:bodyDiv w:val="1"/>
      <w:marLeft w:val="0"/>
      <w:marRight w:val="0"/>
      <w:marTop w:val="0"/>
      <w:marBottom w:val="0"/>
      <w:divBdr>
        <w:top w:val="none" w:sz="0" w:space="0" w:color="auto"/>
        <w:left w:val="none" w:sz="0" w:space="0" w:color="auto"/>
        <w:bottom w:val="none" w:sz="0" w:space="0" w:color="auto"/>
        <w:right w:val="none" w:sz="0" w:space="0" w:color="auto"/>
      </w:divBdr>
    </w:div>
    <w:div w:id="1685012092">
      <w:bodyDiv w:val="1"/>
      <w:marLeft w:val="0"/>
      <w:marRight w:val="0"/>
      <w:marTop w:val="0"/>
      <w:marBottom w:val="0"/>
      <w:divBdr>
        <w:top w:val="none" w:sz="0" w:space="0" w:color="auto"/>
        <w:left w:val="none" w:sz="0" w:space="0" w:color="auto"/>
        <w:bottom w:val="none" w:sz="0" w:space="0" w:color="auto"/>
        <w:right w:val="none" w:sz="0" w:space="0" w:color="auto"/>
      </w:divBdr>
    </w:div>
    <w:div w:id="1700815807">
      <w:bodyDiv w:val="1"/>
      <w:marLeft w:val="0"/>
      <w:marRight w:val="0"/>
      <w:marTop w:val="0"/>
      <w:marBottom w:val="0"/>
      <w:divBdr>
        <w:top w:val="none" w:sz="0" w:space="0" w:color="auto"/>
        <w:left w:val="none" w:sz="0" w:space="0" w:color="auto"/>
        <w:bottom w:val="none" w:sz="0" w:space="0" w:color="auto"/>
        <w:right w:val="none" w:sz="0" w:space="0" w:color="auto"/>
      </w:divBdr>
    </w:div>
    <w:div w:id="1703360061">
      <w:bodyDiv w:val="1"/>
      <w:marLeft w:val="0"/>
      <w:marRight w:val="0"/>
      <w:marTop w:val="0"/>
      <w:marBottom w:val="0"/>
      <w:divBdr>
        <w:top w:val="none" w:sz="0" w:space="0" w:color="auto"/>
        <w:left w:val="none" w:sz="0" w:space="0" w:color="auto"/>
        <w:bottom w:val="none" w:sz="0" w:space="0" w:color="auto"/>
        <w:right w:val="none" w:sz="0" w:space="0" w:color="auto"/>
      </w:divBdr>
    </w:div>
    <w:div w:id="1705787273">
      <w:bodyDiv w:val="1"/>
      <w:marLeft w:val="0"/>
      <w:marRight w:val="0"/>
      <w:marTop w:val="0"/>
      <w:marBottom w:val="0"/>
      <w:divBdr>
        <w:top w:val="none" w:sz="0" w:space="0" w:color="auto"/>
        <w:left w:val="none" w:sz="0" w:space="0" w:color="auto"/>
        <w:bottom w:val="none" w:sz="0" w:space="0" w:color="auto"/>
        <w:right w:val="none" w:sz="0" w:space="0" w:color="auto"/>
      </w:divBdr>
    </w:div>
    <w:div w:id="1708602784">
      <w:bodyDiv w:val="1"/>
      <w:marLeft w:val="0"/>
      <w:marRight w:val="0"/>
      <w:marTop w:val="0"/>
      <w:marBottom w:val="0"/>
      <w:divBdr>
        <w:top w:val="none" w:sz="0" w:space="0" w:color="auto"/>
        <w:left w:val="none" w:sz="0" w:space="0" w:color="auto"/>
        <w:bottom w:val="none" w:sz="0" w:space="0" w:color="auto"/>
        <w:right w:val="none" w:sz="0" w:space="0" w:color="auto"/>
      </w:divBdr>
    </w:div>
    <w:div w:id="1711421531">
      <w:bodyDiv w:val="1"/>
      <w:marLeft w:val="0"/>
      <w:marRight w:val="0"/>
      <w:marTop w:val="0"/>
      <w:marBottom w:val="0"/>
      <w:divBdr>
        <w:top w:val="none" w:sz="0" w:space="0" w:color="auto"/>
        <w:left w:val="none" w:sz="0" w:space="0" w:color="auto"/>
        <w:bottom w:val="none" w:sz="0" w:space="0" w:color="auto"/>
        <w:right w:val="none" w:sz="0" w:space="0" w:color="auto"/>
      </w:divBdr>
    </w:div>
    <w:div w:id="1716809506">
      <w:bodyDiv w:val="1"/>
      <w:marLeft w:val="0"/>
      <w:marRight w:val="0"/>
      <w:marTop w:val="0"/>
      <w:marBottom w:val="0"/>
      <w:divBdr>
        <w:top w:val="none" w:sz="0" w:space="0" w:color="auto"/>
        <w:left w:val="none" w:sz="0" w:space="0" w:color="auto"/>
        <w:bottom w:val="none" w:sz="0" w:space="0" w:color="auto"/>
        <w:right w:val="none" w:sz="0" w:space="0" w:color="auto"/>
      </w:divBdr>
    </w:div>
    <w:div w:id="1718043373">
      <w:bodyDiv w:val="1"/>
      <w:marLeft w:val="0"/>
      <w:marRight w:val="0"/>
      <w:marTop w:val="0"/>
      <w:marBottom w:val="0"/>
      <w:divBdr>
        <w:top w:val="none" w:sz="0" w:space="0" w:color="auto"/>
        <w:left w:val="none" w:sz="0" w:space="0" w:color="auto"/>
        <w:bottom w:val="none" w:sz="0" w:space="0" w:color="auto"/>
        <w:right w:val="none" w:sz="0" w:space="0" w:color="auto"/>
      </w:divBdr>
    </w:div>
    <w:div w:id="1724211294">
      <w:bodyDiv w:val="1"/>
      <w:marLeft w:val="0"/>
      <w:marRight w:val="0"/>
      <w:marTop w:val="0"/>
      <w:marBottom w:val="0"/>
      <w:divBdr>
        <w:top w:val="none" w:sz="0" w:space="0" w:color="auto"/>
        <w:left w:val="none" w:sz="0" w:space="0" w:color="auto"/>
        <w:bottom w:val="none" w:sz="0" w:space="0" w:color="auto"/>
        <w:right w:val="none" w:sz="0" w:space="0" w:color="auto"/>
      </w:divBdr>
    </w:div>
    <w:div w:id="1730494400">
      <w:bodyDiv w:val="1"/>
      <w:marLeft w:val="0"/>
      <w:marRight w:val="0"/>
      <w:marTop w:val="0"/>
      <w:marBottom w:val="0"/>
      <w:divBdr>
        <w:top w:val="none" w:sz="0" w:space="0" w:color="auto"/>
        <w:left w:val="none" w:sz="0" w:space="0" w:color="auto"/>
        <w:bottom w:val="none" w:sz="0" w:space="0" w:color="auto"/>
        <w:right w:val="none" w:sz="0" w:space="0" w:color="auto"/>
      </w:divBdr>
    </w:div>
    <w:div w:id="1733111897">
      <w:bodyDiv w:val="1"/>
      <w:marLeft w:val="0"/>
      <w:marRight w:val="0"/>
      <w:marTop w:val="0"/>
      <w:marBottom w:val="0"/>
      <w:divBdr>
        <w:top w:val="none" w:sz="0" w:space="0" w:color="auto"/>
        <w:left w:val="none" w:sz="0" w:space="0" w:color="auto"/>
        <w:bottom w:val="none" w:sz="0" w:space="0" w:color="auto"/>
        <w:right w:val="none" w:sz="0" w:space="0" w:color="auto"/>
      </w:divBdr>
    </w:div>
    <w:div w:id="1745755780">
      <w:bodyDiv w:val="1"/>
      <w:marLeft w:val="0"/>
      <w:marRight w:val="0"/>
      <w:marTop w:val="0"/>
      <w:marBottom w:val="0"/>
      <w:divBdr>
        <w:top w:val="none" w:sz="0" w:space="0" w:color="auto"/>
        <w:left w:val="none" w:sz="0" w:space="0" w:color="auto"/>
        <w:bottom w:val="none" w:sz="0" w:space="0" w:color="auto"/>
        <w:right w:val="none" w:sz="0" w:space="0" w:color="auto"/>
      </w:divBdr>
    </w:div>
    <w:div w:id="1751386190">
      <w:bodyDiv w:val="1"/>
      <w:marLeft w:val="0"/>
      <w:marRight w:val="0"/>
      <w:marTop w:val="0"/>
      <w:marBottom w:val="0"/>
      <w:divBdr>
        <w:top w:val="none" w:sz="0" w:space="0" w:color="auto"/>
        <w:left w:val="none" w:sz="0" w:space="0" w:color="auto"/>
        <w:bottom w:val="none" w:sz="0" w:space="0" w:color="auto"/>
        <w:right w:val="none" w:sz="0" w:space="0" w:color="auto"/>
      </w:divBdr>
    </w:div>
    <w:div w:id="1758361057">
      <w:bodyDiv w:val="1"/>
      <w:marLeft w:val="0"/>
      <w:marRight w:val="0"/>
      <w:marTop w:val="0"/>
      <w:marBottom w:val="0"/>
      <w:divBdr>
        <w:top w:val="none" w:sz="0" w:space="0" w:color="auto"/>
        <w:left w:val="none" w:sz="0" w:space="0" w:color="auto"/>
        <w:bottom w:val="none" w:sz="0" w:space="0" w:color="auto"/>
        <w:right w:val="none" w:sz="0" w:space="0" w:color="auto"/>
      </w:divBdr>
    </w:div>
    <w:div w:id="1763336901">
      <w:bodyDiv w:val="1"/>
      <w:marLeft w:val="0"/>
      <w:marRight w:val="0"/>
      <w:marTop w:val="0"/>
      <w:marBottom w:val="0"/>
      <w:divBdr>
        <w:top w:val="none" w:sz="0" w:space="0" w:color="auto"/>
        <w:left w:val="none" w:sz="0" w:space="0" w:color="auto"/>
        <w:bottom w:val="none" w:sz="0" w:space="0" w:color="auto"/>
        <w:right w:val="none" w:sz="0" w:space="0" w:color="auto"/>
      </w:divBdr>
      <w:divsChild>
        <w:div w:id="993022954">
          <w:marLeft w:val="0"/>
          <w:marRight w:val="0"/>
          <w:marTop w:val="0"/>
          <w:marBottom w:val="0"/>
          <w:divBdr>
            <w:top w:val="none" w:sz="0" w:space="0" w:color="auto"/>
            <w:left w:val="none" w:sz="0" w:space="0" w:color="auto"/>
            <w:bottom w:val="none" w:sz="0" w:space="0" w:color="auto"/>
            <w:right w:val="none" w:sz="0" w:space="0" w:color="auto"/>
          </w:divBdr>
        </w:div>
      </w:divsChild>
    </w:div>
    <w:div w:id="1763799542">
      <w:bodyDiv w:val="1"/>
      <w:marLeft w:val="0"/>
      <w:marRight w:val="0"/>
      <w:marTop w:val="0"/>
      <w:marBottom w:val="0"/>
      <w:divBdr>
        <w:top w:val="none" w:sz="0" w:space="0" w:color="auto"/>
        <w:left w:val="none" w:sz="0" w:space="0" w:color="auto"/>
        <w:bottom w:val="none" w:sz="0" w:space="0" w:color="auto"/>
        <w:right w:val="none" w:sz="0" w:space="0" w:color="auto"/>
      </w:divBdr>
    </w:div>
    <w:div w:id="1764229626">
      <w:bodyDiv w:val="1"/>
      <w:marLeft w:val="0"/>
      <w:marRight w:val="0"/>
      <w:marTop w:val="0"/>
      <w:marBottom w:val="0"/>
      <w:divBdr>
        <w:top w:val="none" w:sz="0" w:space="0" w:color="auto"/>
        <w:left w:val="none" w:sz="0" w:space="0" w:color="auto"/>
        <w:bottom w:val="none" w:sz="0" w:space="0" w:color="auto"/>
        <w:right w:val="none" w:sz="0" w:space="0" w:color="auto"/>
      </w:divBdr>
    </w:div>
    <w:div w:id="1774129968">
      <w:bodyDiv w:val="1"/>
      <w:marLeft w:val="0"/>
      <w:marRight w:val="0"/>
      <w:marTop w:val="0"/>
      <w:marBottom w:val="0"/>
      <w:divBdr>
        <w:top w:val="none" w:sz="0" w:space="0" w:color="auto"/>
        <w:left w:val="none" w:sz="0" w:space="0" w:color="auto"/>
        <w:bottom w:val="none" w:sz="0" w:space="0" w:color="auto"/>
        <w:right w:val="none" w:sz="0" w:space="0" w:color="auto"/>
      </w:divBdr>
    </w:div>
    <w:div w:id="1775633588">
      <w:bodyDiv w:val="1"/>
      <w:marLeft w:val="0"/>
      <w:marRight w:val="0"/>
      <w:marTop w:val="0"/>
      <w:marBottom w:val="0"/>
      <w:divBdr>
        <w:top w:val="none" w:sz="0" w:space="0" w:color="auto"/>
        <w:left w:val="none" w:sz="0" w:space="0" w:color="auto"/>
        <w:bottom w:val="none" w:sz="0" w:space="0" w:color="auto"/>
        <w:right w:val="none" w:sz="0" w:space="0" w:color="auto"/>
      </w:divBdr>
    </w:div>
    <w:div w:id="1781098638">
      <w:bodyDiv w:val="1"/>
      <w:marLeft w:val="0"/>
      <w:marRight w:val="0"/>
      <w:marTop w:val="0"/>
      <w:marBottom w:val="0"/>
      <w:divBdr>
        <w:top w:val="none" w:sz="0" w:space="0" w:color="auto"/>
        <w:left w:val="none" w:sz="0" w:space="0" w:color="auto"/>
        <w:bottom w:val="none" w:sz="0" w:space="0" w:color="auto"/>
        <w:right w:val="none" w:sz="0" w:space="0" w:color="auto"/>
      </w:divBdr>
    </w:div>
    <w:div w:id="1785422736">
      <w:bodyDiv w:val="1"/>
      <w:marLeft w:val="0"/>
      <w:marRight w:val="0"/>
      <w:marTop w:val="0"/>
      <w:marBottom w:val="0"/>
      <w:divBdr>
        <w:top w:val="none" w:sz="0" w:space="0" w:color="auto"/>
        <w:left w:val="none" w:sz="0" w:space="0" w:color="auto"/>
        <w:bottom w:val="none" w:sz="0" w:space="0" w:color="auto"/>
        <w:right w:val="none" w:sz="0" w:space="0" w:color="auto"/>
      </w:divBdr>
    </w:div>
    <w:div w:id="1787314696">
      <w:bodyDiv w:val="1"/>
      <w:marLeft w:val="0"/>
      <w:marRight w:val="0"/>
      <w:marTop w:val="0"/>
      <w:marBottom w:val="0"/>
      <w:divBdr>
        <w:top w:val="none" w:sz="0" w:space="0" w:color="auto"/>
        <w:left w:val="none" w:sz="0" w:space="0" w:color="auto"/>
        <w:bottom w:val="none" w:sz="0" w:space="0" w:color="auto"/>
        <w:right w:val="none" w:sz="0" w:space="0" w:color="auto"/>
      </w:divBdr>
    </w:div>
    <w:div w:id="1790663119">
      <w:bodyDiv w:val="1"/>
      <w:marLeft w:val="0"/>
      <w:marRight w:val="0"/>
      <w:marTop w:val="0"/>
      <w:marBottom w:val="0"/>
      <w:divBdr>
        <w:top w:val="none" w:sz="0" w:space="0" w:color="auto"/>
        <w:left w:val="none" w:sz="0" w:space="0" w:color="auto"/>
        <w:bottom w:val="none" w:sz="0" w:space="0" w:color="auto"/>
        <w:right w:val="none" w:sz="0" w:space="0" w:color="auto"/>
      </w:divBdr>
    </w:div>
    <w:div w:id="1790709545">
      <w:bodyDiv w:val="1"/>
      <w:marLeft w:val="0"/>
      <w:marRight w:val="0"/>
      <w:marTop w:val="0"/>
      <w:marBottom w:val="0"/>
      <w:divBdr>
        <w:top w:val="none" w:sz="0" w:space="0" w:color="auto"/>
        <w:left w:val="none" w:sz="0" w:space="0" w:color="auto"/>
        <w:bottom w:val="none" w:sz="0" w:space="0" w:color="auto"/>
        <w:right w:val="none" w:sz="0" w:space="0" w:color="auto"/>
      </w:divBdr>
    </w:div>
    <w:div w:id="1798837217">
      <w:bodyDiv w:val="1"/>
      <w:marLeft w:val="0"/>
      <w:marRight w:val="0"/>
      <w:marTop w:val="0"/>
      <w:marBottom w:val="0"/>
      <w:divBdr>
        <w:top w:val="none" w:sz="0" w:space="0" w:color="auto"/>
        <w:left w:val="none" w:sz="0" w:space="0" w:color="auto"/>
        <w:bottom w:val="none" w:sz="0" w:space="0" w:color="auto"/>
        <w:right w:val="none" w:sz="0" w:space="0" w:color="auto"/>
      </w:divBdr>
    </w:div>
    <w:div w:id="1804419542">
      <w:bodyDiv w:val="1"/>
      <w:marLeft w:val="0"/>
      <w:marRight w:val="0"/>
      <w:marTop w:val="0"/>
      <w:marBottom w:val="0"/>
      <w:divBdr>
        <w:top w:val="none" w:sz="0" w:space="0" w:color="auto"/>
        <w:left w:val="none" w:sz="0" w:space="0" w:color="auto"/>
        <w:bottom w:val="none" w:sz="0" w:space="0" w:color="auto"/>
        <w:right w:val="none" w:sz="0" w:space="0" w:color="auto"/>
      </w:divBdr>
    </w:div>
    <w:div w:id="1808736475">
      <w:bodyDiv w:val="1"/>
      <w:marLeft w:val="0"/>
      <w:marRight w:val="0"/>
      <w:marTop w:val="0"/>
      <w:marBottom w:val="0"/>
      <w:divBdr>
        <w:top w:val="none" w:sz="0" w:space="0" w:color="auto"/>
        <w:left w:val="none" w:sz="0" w:space="0" w:color="auto"/>
        <w:bottom w:val="none" w:sz="0" w:space="0" w:color="auto"/>
        <w:right w:val="none" w:sz="0" w:space="0" w:color="auto"/>
      </w:divBdr>
    </w:div>
    <w:div w:id="1809660685">
      <w:bodyDiv w:val="1"/>
      <w:marLeft w:val="0"/>
      <w:marRight w:val="0"/>
      <w:marTop w:val="0"/>
      <w:marBottom w:val="0"/>
      <w:divBdr>
        <w:top w:val="none" w:sz="0" w:space="0" w:color="auto"/>
        <w:left w:val="none" w:sz="0" w:space="0" w:color="auto"/>
        <w:bottom w:val="none" w:sz="0" w:space="0" w:color="auto"/>
        <w:right w:val="none" w:sz="0" w:space="0" w:color="auto"/>
      </w:divBdr>
    </w:div>
    <w:div w:id="1812139967">
      <w:bodyDiv w:val="1"/>
      <w:marLeft w:val="0"/>
      <w:marRight w:val="0"/>
      <w:marTop w:val="0"/>
      <w:marBottom w:val="0"/>
      <w:divBdr>
        <w:top w:val="none" w:sz="0" w:space="0" w:color="auto"/>
        <w:left w:val="none" w:sz="0" w:space="0" w:color="auto"/>
        <w:bottom w:val="none" w:sz="0" w:space="0" w:color="auto"/>
        <w:right w:val="none" w:sz="0" w:space="0" w:color="auto"/>
      </w:divBdr>
    </w:div>
    <w:div w:id="1816986428">
      <w:bodyDiv w:val="1"/>
      <w:marLeft w:val="0"/>
      <w:marRight w:val="0"/>
      <w:marTop w:val="0"/>
      <w:marBottom w:val="0"/>
      <w:divBdr>
        <w:top w:val="none" w:sz="0" w:space="0" w:color="auto"/>
        <w:left w:val="none" w:sz="0" w:space="0" w:color="auto"/>
        <w:bottom w:val="none" w:sz="0" w:space="0" w:color="auto"/>
        <w:right w:val="none" w:sz="0" w:space="0" w:color="auto"/>
      </w:divBdr>
    </w:div>
    <w:div w:id="1819804121">
      <w:bodyDiv w:val="1"/>
      <w:marLeft w:val="0"/>
      <w:marRight w:val="0"/>
      <w:marTop w:val="0"/>
      <w:marBottom w:val="0"/>
      <w:divBdr>
        <w:top w:val="none" w:sz="0" w:space="0" w:color="auto"/>
        <w:left w:val="none" w:sz="0" w:space="0" w:color="auto"/>
        <w:bottom w:val="none" w:sz="0" w:space="0" w:color="auto"/>
        <w:right w:val="none" w:sz="0" w:space="0" w:color="auto"/>
      </w:divBdr>
    </w:div>
    <w:div w:id="1823740503">
      <w:bodyDiv w:val="1"/>
      <w:marLeft w:val="0"/>
      <w:marRight w:val="0"/>
      <w:marTop w:val="0"/>
      <w:marBottom w:val="0"/>
      <w:divBdr>
        <w:top w:val="none" w:sz="0" w:space="0" w:color="auto"/>
        <w:left w:val="none" w:sz="0" w:space="0" w:color="auto"/>
        <w:bottom w:val="none" w:sz="0" w:space="0" w:color="auto"/>
        <w:right w:val="none" w:sz="0" w:space="0" w:color="auto"/>
      </w:divBdr>
    </w:div>
    <w:div w:id="1843620847">
      <w:bodyDiv w:val="1"/>
      <w:marLeft w:val="0"/>
      <w:marRight w:val="0"/>
      <w:marTop w:val="0"/>
      <w:marBottom w:val="0"/>
      <w:divBdr>
        <w:top w:val="none" w:sz="0" w:space="0" w:color="auto"/>
        <w:left w:val="none" w:sz="0" w:space="0" w:color="auto"/>
        <w:bottom w:val="none" w:sz="0" w:space="0" w:color="auto"/>
        <w:right w:val="none" w:sz="0" w:space="0" w:color="auto"/>
      </w:divBdr>
    </w:div>
    <w:div w:id="1844277553">
      <w:bodyDiv w:val="1"/>
      <w:marLeft w:val="0"/>
      <w:marRight w:val="0"/>
      <w:marTop w:val="0"/>
      <w:marBottom w:val="0"/>
      <w:divBdr>
        <w:top w:val="none" w:sz="0" w:space="0" w:color="auto"/>
        <w:left w:val="none" w:sz="0" w:space="0" w:color="auto"/>
        <w:bottom w:val="none" w:sz="0" w:space="0" w:color="auto"/>
        <w:right w:val="none" w:sz="0" w:space="0" w:color="auto"/>
      </w:divBdr>
    </w:div>
    <w:div w:id="1849522377">
      <w:bodyDiv w:val="1"/>
      <w:marLeft w:val="0"/>
      <w:marRight w:val="0"/>
      <w:marTop w:val="0"/>
      <w:marBottom w:val="0"/>
      <w:divBdr>
        <w:top w:val="none" w:sz="0" w:space="0" w:color="auto"/>
        <w:left w:val="none" w:sz="0" w:space="0" w:color="auto"/>
        <w:bottom w:val="none" w:sz="0" w:space="0" w:color="auto"/>
        <w:right w:val="none" w:sz="0" w:space="0" w:color="auto"/>
      </w:divBdr>
    </w:div>
    <w:div w:id="1854613887">
      <w:bodyDiv w:val="1"/>
      <w:marLeft w:val="0"/>
      <w:marRight w:val="0"/>
      <w:marTop w:val="0"/>
      <w:marBottom w:val="0"/>
      <w:divBdr>
        <w:top w:val="none" w:sz="0" w:space="0" w:color="auto"/>
        <w:left w:val="none" w:sz="0" w:space="0" w:color="auto"/>
        <w:bottom w:val="none" w:sz="0" w:space="0" w:color="auto"/>
        <w:right w:val="none" w:sz="0" w:space="0" w:color="auto"/>
      </w:divBdr>
    </w:div>
    <w:div w:id="1867063500">
      <w:bodyDiv w:val="1"/>
      <w:marLeft w:val="0"/>
      <w:marRight w:val="0"/>
      <w:marTop w:val="0"/>
      <w:marBottom w:val="0"/>
      <w:divBdr>
        <w:top w:val="none" w:sz="0" w:space="0" w:color="auto"/>
        <w:left w:val="none" w:sz="0" w:space="0" w:color="auto"/>
        <w:bottom w:val="none" w:sz="0" w:space="0" w:color="auto"/>
        <w:right w:val="none" w:sz="0" w:space="0" w:color="auto"/>
      </w:divBdr>
      <w:divsChild>
        <w:div w:id="442967769">
          <w:marLeft w:val="274"/>
          <w:marRight w:val="0"/>
          <w:marTop w:val="0"/>
          <w:marBottom w:val="240"/>
          <w:divBdr>
            <w:top w:val="none" w:sz="0" w:space="0" w:color="auto"/>
            <w:left w:val="none" w:sz="0" w:space="0" w:color="auto"/>
            <w:bottom w:val="none" w:sz="0" w:space="0" w:color="auto"/>
            <w:right w:val="none" w:sz="0" w:space="0" w:color="auto"/>
          </w:divBdr>
        </w:div>
      </w:divsChild>
    </w:div>
    <w:div w:id="1872374754">
      <w:bodyDiv w:val="1"/>
      <w:marLeft w:val="0"/>
      <w:marRight w:val="0"/>
      <w:marTop w:val="0"/>
      <w:marBottom w:val="0"/>
      <w:divBdr>
        <w:top w:val="none" w:sz="0" w:space="0" w:color="auto"/>
        <w:left w:val="none" w:sz="0" w:space="0" w:color="auto"/>
        <w:bottom w:val="none" w:sz="0" w:space="0" w:color="auto"/>
        <w:right w:val="none" w:sz="0" w:space="0" w:color="auto"/>
      </w:divBdr>
    </w:div>
    <w:div w:id="1874222519">
      <w:bodyDiv w:val="1"/>
      <w:marLeft w:val="0"/>
      <w:marRight w:val="0"/>
      <w:marTop w:val="0"/>
      <w:marBottom w:val="0"/>
      <w:divBdr>
        <w:top w:val="none" w:sz="0" w:space="0" w:color="auto"/>
        <w:left w:val="none" w:sz="0" w:space="0" w:color="auto"/>
        <w:bottom w:val="none" w:sz="0" w:space="0" w:color="auto"/>
        <w:right w:val="none" w:sz="0" w:space="0" w:color="auto"/>
      </w:divBdr>
    </w:div>
    <w:div w:id="1883518329">
      <w:bodyDiv w:val="1"/>
      <w:marLeft w:val="0"/>
      <w:marRight w:val="0"/>
      <w:marTop w:val="0"/>
      <w:marBottom w:val="0"/>
      <w:divBdr>
        <w:top w:val="none" w:sz="0" w:space="0" w:color="auto"/>
        <w:left w:val="none" w:sz="0" w:space="0" w:color="auto"/>
        <w:bottom w:val="none" w:sz="0" w:space="0" w:color="auto"/>
        <w:right w:val="none" w:sz="0" w:space="0" w:color="auto"/>
      </w:divBdr>
    </w:div>
    <w:div w:id="1908570227">
      <w:bodyDiv w:val="1"/>
      <w:marLeft w:val="0"/>
      <w:marRight w:val="0"/>
      <w:marTop w:val="0"/>
      <w:marBottom w:val="0"/>
      <w:divBdr>
        <w:top w:val="none" w:sz="0" w:space="0" w:color="auto"/>
        <w:left w:val="none" w:sz="0" w:space="0" w:color="auto"/>
        <w:bottom w:val="none" w:sz="0" w:space="0" w:color="auto"/>
        <w:right w:val="none" w:sz="0" w:space="0" w:color="auto"/>
      </w:divBdr>
    </w:div>
    <w:div w:id="1909337841">
      <w:bodyDiv w:val="1"/>
      <w:marLeft w:val="0"/>
      <w:marRight w:val="0"/>
      <w:marTop w:val="0"/>
      <w:marBottom w:val="0"/>
      <w:divBdr>
        <w:top w:val="none" w:sz="0" w:space="0" w:color="auto"/>
        <w:left w:val="none" w:sz="0" w:space="0" w:color="auto"/>
        <w:bottom w:val="none" w:sz="0" w:space="0" w:color="auto"/>
        <w:right w:val="none" w:sz="0" w:space="0" w:color="auto"/>
      </w:divBdr>
    </w:div>
    <w:div w:id="1909999681">
      <w:bodyDiv w:val="1"/>
      <w:marLeft w:val="0"/>
      <w:marRight w:val="0"/>
      <w:marTop w:val="0"/>
      <w:marBottom w:val="0"/>
      <w:divBdr>
        <w:top w:val="none" w:sz="0" w:space="0" w:color="auto"/>
        <w:left w:val="none" w:sz="0" w:space="0" w:color="auto"/>
        <w:bottom w:val="none" w:sz="0" w:space="0" w:color="auto"/>
        <w:right w:val="none" w:sz="0" w:space="0" w:color="auto"/>
      </w:divBdr>
    </w:div>
    <w:div w:id="1914315106">
      <w:bodyDiv w:val="1"/>
      <w:marLeft w:val="0"/>
      <w:marRight w:val="0"/>
      <w:marTop w:val="0"/>
      <w:marBottom w:val="0"/>
      <w:divBdr>
        <w:top w:val="none" w:sz="0" w:space="0" w:color="auto"/>
        <w:left w:val="none" w:sz="0" w:space="0" w:color="auto"/>
        <w:bottom w:val="none" w:sz="0" w:space="0" w:color="auto"/>
        <w:right w:val="none" w:sz="0" w:space="0" w:color="auto"/>
      </w:divBdr>
    </w:div>
    <w:div w:id="1924294841">
      <w:bodyDiv w:val="1"/>
      <w:marLeft w:val="0"/>
      <w:marRight w:val="0"/>
      <w:marTop w:val="0"/>
      <w:marBottom w:val="0"/>
      <w:divBdr>
        <w:top w:val="none" w:sz="0" w:space="0" w:color="auto"/>
        <w:left w:val="none" w:sz="0" w:space="0" w:color="auto"/>
        <w:bottom w:val="none" w:sz="0" w:space="0" w:color="auto"/>
        <w:right w:val="none" w:sz="0" w:space="0" w:color="auto"/>
      </w:divBdr>
    </w:div>
    <w:div w:id="1927378539">
      <w:bodyDiv w:val="1"/>
      <w:marLeft w:val="0"/>
      <w:marRight w:val="0"/>
      <w:marTop w:val="0"/>
      <w:marBottom w:val="0"/>
      <w:divBdr>
        <w:top w:val="none" w:sz="0" w:space="0" w:color="auto"/>
        <w:left w:val="none" w:sz="0" w:space="0" w:color="auto"/>
        <w:bottom w:val="none" w:sz="0" w:space="0" w:color="auto"/>
        <w:right w:val="none" w:sz="0" w:space="0" w:color="auto"/>
      </w:divBdr>
    </w:div>
    <w:div w:id="1933512759">
      <w:bodyDiv w:val="1"/>
      <w:marLeft w:val="0"/>
      <w:marRight w:val="0"/>
      <w:marTop w:val="0"/>
      <w:marBottom w:val="0"/>
      <w:divBdr>
        <w:top w:val="none" w:sz="0" w:space="0" w:color="auto"/>
        <w:left w:val="none" w:sz="0" w:space="0" w:color="auto"/>
        <w:bottom w:val="none" w:sz="0" w:space="0" w:color="auto"/>
        <w:right w:val="none" w:sz="0" w:space="0" w:color="auto"/>
      </w:divBdr>
    </w:div>
    <w:div w:id="1936133912">
      <w:bodyDiv w:val="1"/>
      <w:marLeft w:val="0"/>
      <w:marRight w:val="0"/>
      <w:marTop w:val="0"/>
      <w:marBottom w:val="0"/>
      <w:divBdr>
        <w:top w:val="none" w:sz="0" w:space="0" w:color="auto"/>
        <w:left w:val="none" w:sz="0" w:space="0" w:color="auto"/>
        <w:bottom w:val="none" w:sz="0" w:space="0" w:color="auto"/>
        <w:right w:val="none" w:sz="0" w:space="0" w:color="auto"/>
      </w:divBdr>
      <w:divsChild>
        <w:div w:id="1209032770">
          <w:marLeft w:val="821"/>
          <w:marRight w:val="0"/>
          <w:marTop w:val="120"/>
          <w:marBottom w:val="120"/>
          <w:divBdr>
            <w:top w:val="none" w:sz="0" w:space="0" w:color="auto"/>
            <w:left w:val="none" w:sz="0" w:space="0" w:color="auto"/>
            <w:bottom w:val="none" w:sz="0" w:space="0" w:color="auto"/>
            <w:right w:val="none" w:sz="0" w:space="0" w:color="auto"/>
          </w:divBdr>
        </w:div>
      </w:divsChild>
    </w:div>
    <w:div w:id="1943804173">
      <w:bodyDiv w:val="1"/>
      <w:marLeft w:val="0"/>
      <w:marRight w:val="0"/>
      <w:marTop w:val="0"/>
      <w:marBottom w:val="0"/>
      <w:divBdr>
        <w:top w:val="none" w:sz="0" w:space="0" w:color="auto"/>
        <w:left w:val="none" w:sz="0" w:space="0" w:color="auto"/>
        <w:bottom w:val="none" w:sz="0" w:space="0" w:color="auto"/>
        <w:right w:val="none" w:sz="0" w:space="0" w:color="auto"/>
      </w:divBdr>
    </w:div>
    <w:div w:id="1944916931">
      <w:bodyDiv w:val="1"/>
      <w:marLeft w:val="0"/>
      <w:marRight w:val="0"/>
      <w:marTop w:val="0"/>
      <w:marBottom w:val="0"/>
      <w:divBdr>
        <w:top w:val="none" w:sz="0" w:space="0" w:color="auto"/>
        <w:left w:val="none" w:sz="0" w:space="0" w:color="auto"/>
        <w:bottom w:val="none" w:sz="0" w:space="0" w:color="auto"/>
        <w:right w:val="none" w:sz="0" w:space="0" w:color="auto"/>
      </w:divBdr>
    </w:div>
    <w:div w:id="1949920951">
      <w:bodyDiv w:val="1"/>
      <w:marLeft w:val="0"/>
      <w:marRight w:val="0"/>
      <w:marTop w:val="0"/>
      <w:marBottom w:val="0"/>
      <w:divBdr>
        <w:top w:val="none" w:sz="0" w:space="0" w:color="auto"/>
        <w:left w:val="none" w:sz="0" w:space="0" w:color="auto"/>
        <w:bottom w:val="none" w:sz="0" w:space="0" w:color="auto"/>
        <w:right w:val="none" w:sz="0" w:space="0" w:color="auto"/>
      </w:divBdr>
    </w:div>
    <w:div w:id="1950356536">
      <w:bodyDiv w:val="1"/>
      <w:marLeft w:val="0"/>
      <w:marRight w:val="0"/>
      <w:marTop w:val="0"/>
      <w:marBottom w:val="0"/>
      <w:divBdr>
        <w:top w:val="none" w:sz="0" w:space="0" w:color="auto"/>
        <w:left w:val="none" w:sz="0" w:space="0" w:color="auto"/>
        <w:bottom w:val="none" w:sz="0" w:space="0" w:color="auto"/>
        <w:right w:val="none" w:sz="0" w:space="0" w:color="auto"/>
      </w:divBdr>
    </w:div>
    <w:div w:id="1951088205">
      <w:bodyDiv w:val="1"/>
      <w:marLeft w:val="0"/>
      <w:marRight w:val="0"/>
      <w:marTop w:val="0"/>
      <w:marBottom w:val="0"/>
      <w:divBdr>
        <w:top w:val="none" w:sz="0" w:space="0" w:color="auto"/>
        <w:left w:val="none" w:sz="0" w:space="0" w:color="auto"/>
        <w:bottom w:val="none" w:sz="0" w:space="0" w:color="auto"/>
        <w:right w:val="none" w:sz="0" w:space="0" w:color="auto"/>
      </w:divBdr>
    </w:div>
    <w:div w:id="1953314912">
      <w:bodyDiv w:val="1"/>
      <w:marLeft w:val="0"/>
      <w:marRight w:val="0"/>
      <w:marTop w:val="0"/>
      <w:marBottom w:val="0"/>
      <w:divBdr>
        <w:top w:val="none" w:sz="0" w:space="0" w:color="auto"/>
        <w:left w:val="none" w:sz="0" w:space="0" w:color="auto"/>
        <w:bottom w:val="none" w:sz="0" w:space="0" w:color="auto"/>
        <w:right w:val="none" w:sz="0" w:space="0" w:color="auto"/>
      </w:divBdr>
    </w:div>
    <w:div w:id="1953439226">
      <w:bodyDiv w:val="1"/>
      <w:marLeft w:val="0"/>
      <w:marRight w:val="0"/>
      <w:marTop w:val="0"/>
      <w:marBottom w:val="0"/>
      <w:divBdr>
        <w:top w:val="none" w:sz="0" w:space="0" w:color="auto"/>
        <w:left w:val="none" w:sz="0" w:space="0" w:color="auto"/>
        <w:bottom w:val="none" w:sz="0" w:space="0" w:color="auto"/>
        <w:right w:val="none" w:sz="0" w:space="0" w:color="auto"/>
      </w:divBdr>
    </w:div>
    <w:div w:id="1965310585">
      <w:bodyDiv w:val="1"/>
      <w:marLeft w:val="0"/>
      <w:marRight w:val="0"/>
      <w:marTop w:val="0"/>
      <w:marBottom w:val="0"/>
      <w:divBdr>
        <w:top w:val="none" w:sz="0" w:space="0" w:color="auto"/>
        <w:left w:val="none" w:sz="0" w:space="0" w:color="auto"/>
        <w:bottom w:val="none" w:sz="0" w:space="0" w:color="auto"/>
        <w:right w:val="none" w:sz="0" w:space="0" w:color="auto"/>
      </w:divBdr>
    </w:div>
    <w:div w:id="1978143285">
      <w:bodyDiv w:val="1"/>
      <w:marLeft w:val="0"/>
      <w:marRight w:val="0"/>
      <w:marTop w:val="0"/>
      <w:marBottom w:val="0"/>
      <w:divBdr>
        <w:top w:val="none" w:sz="0" w:space="0" w:color="auto"/>
        <w:left w:val="none" w:sz="0" w:space="0" w:color="auto"/>
        <w:bottom w:val="none" w:sz="0" w:space="0" w:color="auto"/>
        <w:right w:val="none" w:sz="0" w:space="0" w:color="auto"/>
      </w:divBdr>
    </w:div>
    <w:div w:id="1988391008">
      <w:bodyDiv w:val="1"/>
      <w:marLeft w:val="0"/>
      <w:marRight w:val="0"/>
      <w:marTop w:val="0"/>
      <w:marBottom w:val="0"/>
      <w:divBdr>
        <w:top w:val="none" w:sz="0" w:space="0" w:color="auto"/>
        <w:left w:val="none" w:sz="0" w:space="0" w:color="auto"/>
        <w:bottom w:val="none" w:sz="0" w:space="0" w:color="auto"/>
        <w:right w:val="none" w:sz="0" w:space="0" w:color="auto"/>
      </w:divBdr>
    </w:div>
    <w:div w:id="1989935423">
      <w:bodyDiv w:val="1"/>
      <w:marLeft w:val="0"/>
      <w:marRight w:val="0"/>
      <w:marTop w:val="0"/>
      <w:marBottom w:val="0"/>
      <w:divBdr>
        <w:top w:val="none" w:sz="0" w:space="0" w:color="auto"/>
        <w:left w:val="none" w:sz="0" w:space="0" w:color="auto"/>
        <w:bottom w:val="none" w:sz="0" w:space="0" w:color="auto"/>
        <w:right w:val="none" w:sz="0" w:space="0" w:color="auto"/>
      </w:divBdr>
    </w:div>
    <w:div w:id="1990086513">
      <w:bodyDiv w:val="1"/>
      <w:marLeft w:val="0"/>
      <w:marRight w:val="0"/>
      <w:marTop w:val="0"/>
      <w:marBottom w:val="0"/>
      <w:divBdr>
        <w:top w:val="none" w:sz="0" w:space="0" w:color="auto"/>
        <w:left w:val="none" w:sz="0" w:space="0" w:color="auto"/>
        <w:bottom w:val="none" w:sz="0" w:space="0" w:color="auto"/>
        <w:right w:val="none" w:sz="0" w:space="0" w:color="auto"/>
      </w:divBdr>
    </w:div>
    <w:div w:id="1994411901">
      <w:bodyDiv w:val="1"/>
      <w:marLeft w:val="0"/>
      <w:marRight w:val="0"/>
      <w:marTop w:val="0"/>
      <w:marBottom w:val="0"/>
      <w:divBdr>
        <w:top w:val="none" w:sz="0" w:space="0" w:color="auto"/>
        <w:left w:val="none" w:sz="0" w:space="0" w:color="auto"/>
        <w:bottom w:val="none" w:sz="0" w:space="0" w:color="auto"/>
        <w:right w:val="none" w:sz="0" w:space="0" w:color="auto"/>
      </w:divBdr>
    </w:div>
    <w:div w:id="1997874730">
      <w:bodyDiv w:val="1"/>
      <w:marLeft w:val="0"/>
      <w:marRight w:val="0"/>
      <w:marTop w:val="0"/>
      <w:marBottom w:val="0"/>
      <w:divBdr>
        <w:top w:val="none" w:sz="0" w:space="0" w:color="auto"/>
        <w:left w:val="none" w:sz="0" w:space="0" w:color="auto"/>
        <w:bottom w:val="none" w:sz="0" w:space="0" w:color="auto"/>
        <w:right w:val="none" w:sz="0" w:space="0" w:color="auto"/>
      </w:divBdr>
    </w:div>
    <w:div w:id="1998995763">
      <w:bodyDiv w:val="1"/>
      <w:marLeft w:val="0"/>
      <w:marRight w:val="0"/>
      <w:marTop w:val="0"/>
      <w:marBottom w:val="0"/>
      <w:divBdr>
        <w:top w:val="none" w:sz="0" w:space="0" w:color="auto"/>
        <w:left w:val="none" w:sz="0" w:space="0" w:color="auto"/>
        <w:bottom w:val="none" w:sz="0" w:space="0" w:color="auto"/>
        <w:right w:val="none" w:sz="0" w:space="0" w:color="auto"/>
      </w:divBdr>
    </w:div>
    <w:div w:id="2014407037">
      <w:bodyDiv w:val="1"/>
      <w:marLeft w:val="0"/>
      <w:marRight w:val="0"/>
      <w:marTop w:val="0"/>
      <w:marBottom w:val="0"/>
      <w:divBdr>
        <w:top w:val="none" w:sz="0" w:space="0" w:color="auto"/>
        <w:left w:val="none" w:sz="0" w:space="0" w:color="auto"/>
        <w:bottom w:val="none" w:sz="0" w:space="0" w:color="auto"/>
        <w:right w:val="none" w:sz="0" w:space="0" w:color="auto"/>
      </w:divBdr>
    </w:div>
    <w:div w:id="2016764002">
      <w:bodyDiv w:val="1"/>
      <w:marLeft w:val="0"/>
      <w:marRight w:val="0"/>
      <w:marTop w:val="0"/>
      <w:marBottom w:val="0"/>
      <w:divBdr>
        <w:top w:val="none" w:sz="0" w:space="0" w:color="auto"/>
        <w:left w:val="none" w:sz="0" w:space="0" w:color="auto"/>
        <w:bottom w:val="none" w:sz="0" w:space="0" w:color="auto"/>
        <w:right w:val="none" w:sz="0" w:space="0" w:color="auto"/>
      </w:divBdr>
    </w:div>
    <w:div w:id="2021546909">
      <w:bodyDiv w:val="1"/>
      <w:marLeft w:val="0"/>
      <w:marRight w:val="0"/>
      <w:marTop w:val="0"/>
      <w:marBottom w:val="0"/>
      <w:divBdr>
        <w:top w:val="none" w:sz="0" w:space="0" w:color="auto"/>
        <w:left w:val="none" w:sz="0" w:space="0" w:color="auto"/>
        <w:bottom w:val="none" w:sz="0" w:space="0" w:color="auto"/>
        <w:right w:val="none" w:sz="0" w:space="0" w:color="auto"/>
      </w:divBdr>
    </w:div>
    <w:div w:id="2026128988">
      <w:bodyDiv w:val="1"/>
      <w:marLeft w:val="0"/>
      <w:marRight w:val="0"/>
      <w:marTop w:val="0"/>
      <w:marBottom w:val="0"/>
      <w:divBdr>
        <w:top w:val="none" w:sz="0" w:space="0" w:color="auto"/>
        <w:left w:val="none" w:sz="0" w:space="0" w:color="auto"/>
        <w:bottom w:val="none" w:sz="0" w:space="0" w:color="auto"/>
        <w:right w:val="none" w:sz="0" w:space="0" w:color="auto"/>
      </w:divBdr>
    </w:div>
    <w:div w:id="2032680217">
      <w:bodyDiv w:val="1"/>
      <w:marLeft w:val="0"/>
      <w:marRight w:val="0"/>
      <w:marTop w:val="0"/>
      <w:marBottom w:val="0"/>
      <w:divBdr>
        <w:top w:val="none" w:sz="0" w:space="0" w:color="auto"/>
        <w:left w:val="none" w:sz="0" w:space="0" w:color="auto"/>
        <w:bottom w:val="none" w:sz="0" w:space="0" w:color="auto"/>
        <w:right w:val="none" w:sz="0" w:space="0" w:color="auto"/>
      </w:divBdr>
    </w:div>
    <w:div w:id="2047483578">
      <w:bodyDiv w:val="1"/>
      <w:marLeft w:val="0"/>
      <w:marRight w:val="0"/>
      <w:marTop w:val="0"/>
      <w:marBottom w:val="0"/>
      <w:divBdr>
        <w:top w:val="none" w:sz="0" w:space="0" w:color="auto"/>
        <w:left w:val="none" w:sz="0" w:space="0" w:color="auto"/>
        <w:bottom w:val="none" w:sz="0" w:space="0" w:color="auto"/>
        <w:right w:val="none" w:sz="0" w:space="0" w:color="auto"/>
      </w:divBdr>
    </w:div>
    <w:div w:id="2050301373">
      <w:bodyDiv w:val="1"/>
      <w:marLeft w:val="0"/>
      <w:marRight w:val="0"/>
      <w:marTop w:val="0"/>
      <w:marBottom w:val="0"/>
      <w:divBdr>
        <w:top w:val="none" w:sz="0" w:space="0" w:color="auto"/>
        <w:left w:val="none" w:sz="0" w:space="0" w:color="auto"/>
        <w:bottom w:val="none" w:sz="0" w:space="0" w:color="auto"/>
        <w:right w:val="none" w:sz="0" w:space="0" w:color="auto"/>
      </w:divBdr>
    </w:div>
    <w:div w:id="2054578309">
      <w:bodyDiv w:val="1"/>
      <w:marLeft w:val="0"/>
      <w:marRight w:val="0"/>
      <w:marTop w:val="0"/>
      <w:marBottom w:val="0"/>
      <w:divBdr>
        <w:top w:val="none" w:sz="0" w:space="0" w:color="auto"/>
        <w:left w:val="none" w:sz="0" w:space="0" w:color="auto"/>
        <w:bottom w:val="none" w:sz="0" w:space="0" w:color="auto"/>
        <w:right w:val="none" w:sz="0" w:space="0" w:color="auto"/>
      </w:divBdr>
    </w:div>
    <w:div w:id="2068870100">
      <w:bodyDiv w:val="1"/>
      <w:marLeft w:val="0"/>
      <w:marRight w:val="0"/>
      <w:marTop w:val="0"/>
      <w:marBottom w:val="0"/>
      <w:divBdr>
        <w:top w:val="none" w:sz="0" w:space="0" w:color="auto"/>
        <w:left w:val="none" w:sz="0" w:space="0" w:color="auto"/>
        <w:bottom w:val="none" w:sz="0" w:space="0" w:color="auto"/>
        <w:right w:val="none" w:sz="0" w:space="0" w:color="auto"/>
      </w:divBdr>
    </w:div>
    <w:div w:id="2082174550">
      <w:bodyDiv w:val="1"/>
      <w:marLeft w:val="0"/>
      <w:marRight w:val="0"/>
      <w:marTop w:val="0"/>
      <w:marBottom w:val="0"/>
      <w:divBdr>
        <w:top w:val="none" w:sz="0" w:space="0" w:color="auto"/>
        <w:left w:val="none" w:sz="0" w:space="0" w:color="auto"/>
        <w:bottom w:val="none" w:sz="0" w:space="0" w:color="auto"/>
        <w:right w:val="none" w:sz="0" w:space="0" w:color="auto"/>
      </w:divBdr>
    </w:div>
    <w:div w:id="2089886729">
      <w:bodyDiv w:val="1"/>
      <w:marLeft w:val="0"/>
      <w:marRight w:val="0"/>
      <w:marTop w:val="0"/>
      <w:marBottom w:val="0"/>
      <w:divBdr>
        <w:top w:val="none" w:sz="0" w:space="0" w:color="auto"/>
        <w:left w:val="none" w:sz="0" w:space="0" w:color="auto"/>
        <w:bottom w:val="none" w:sz="0" w:space="0" w:color="auto"/>
        <w:right w:val="none" w:sz="0" w:space="0" w:color="auto"/>
      </w:divBdr>
    </w:div>
    <w:div w:id="2092653026">
      <w:bodyDiv w:val="1"/>
      <w:marLeft w:val="0"/>
      <w:marRight w:val="0"/>
      <w:marTop w:val="0"/>
      <w:marBottom w:val="0"/>
      <w:divBdr>
        <w:top w:val="none" w:sz="0" w:space="0" w:color="auto"/>
        <w:left w:val="none" w:sz="0" w:space="0" w:color="auto"/>
        <w:bottom w:val="none" w:sz="0" w:space="0" w:color="auto"/>
        <w:right w:val="none" w:sz="0" w:space="0" w:color="auto"/>
      </w:divBdr>
    </w:div>
    <w:div w:id="2092655811">
      <w:bodyDiv w:val="1"/>
      <w:marLeft w:val="0"/>
      <w:marRight w:val="0"/>
      <w:marTop w:val="0"/>
      <w:marBottom w:val="0"/>
      <w:divBdr>
        <w:top w:val="none" w:sz="0" w:space="0" w:color="auto"/>
        <w:left w:val="none" w:sz="0" w:space="0" w:color="auto"/>
        <w:bottom w:val="none" w:sz="0" w:space="0" w:color="auto"/>
        <w:right w:val="none" w:sz="0" w:space="0" w:color="auto"/>
      </w:divBdr>
    </w:div>
    <w:div w:id="2097944921">
      <w:bodyDiv w:val="1"/>
      <w:marLeft w:val="0"/>
      <w:marRight w:val="0"/>
      <w:marTop w:val="0"/>
      <w:marBottom w:val="0"/>
      <w:divBdr>
        <w:top w:val="none" w:sz="0" w:space="0" w:color="auto"/>
        <w:left w:val="none" w:sz="0" w:space="0" w:color="auto"/>
        <w:bottom w:val="none" w:sz="0" w:space="0" w:color="auto"/>
        <w:right w:val="none" w:sz="0" w:space="0" w:color="auto"/>
      </w:divBdr>
    </w:div>
    <w:div w:id="2097945497">
      <w:bodyDiv w:val="1"/>
      <w:marLeft w:val="0"/>
      <w:marRight w:val="0"/>
      <w:marTop w:val="0"/>
      <w:marBottom w:val="0"/>
      <w:divBdr>
        <w:top w:val="none" w:sz="0" w:space="0" w:color="auto"/>
        <w:left w:val="none" w:sz="0" w:space="0" w:color="auto"/>
        <w:bottom w:val="none" w:sz="0" w:space="0" w:color="auto"/>
        <w:right w:val="none" w:sz="0" w:space="0" w:color="auto"/>
      </w:divBdr>
    </w:div>
    <w:div w:id="2128888278">
      <w:bodyDiv w:val="1"/>
      <w:marLeft w:val="0"/>
      <w:marRight w:val="0"/>
      <w:marTop w:val="0"/>
      <w:marBottom w:val="0"/>
      <w:divBdr>
        <w:top w:val="none" w:sz="0" w:space="0" w:color="auto"/>
        <w:left w:val="none" w:sz="0" w:space="0" w:color="auto"/>
        <w:bottom w:val="none" w:sz="0" w:space="0" w:color="auto"/>
        <w:right w:val="none" w:sz="0" w:space="0" w:color="auto"/>
      </w:divBdr>
    </w:div>
    <w:div w:id="2134470875">
      <w:bodyDiv w:val="1"/>
      <w:marLeft w:val="0"/>
      <w:marRight w:val="0"/>
      <w:marTop w:val="0"/>
      <w:marBottom w:val="0"/>
      <w:divBdr>
        <w:top w:val="none" w:sz="0" w:space="0" w:color="auto"/>
        <w:left w:val="none" w:sz="0" w:space="0" w:color="auto"/>
        <w:bottom w:val="none" w:sz="0" w:space="0" w:color="auto"/>
        <w:right w:val="none" w:sz="0" w:space="0" w:color="auto"/>
      </w:divBdr>
    </w:div>
    <w:div w:id="2137292337">
      <w:bodyDiv w:val="1"/>
      <w:marLeft w:val="0"/>
      <w:marRight w:val="0"/>
      <w:marTop w:val="0"/>
      <w:marBottom w:val="0"/>
      <w:divBdr>
        <w:top w:val="none" w:sz="0" w:space="0" w:color="auto"/>
        <w:left w:val="none" w:sz="0" w:space="0" w:color="auto"/>
        <w:bottom w:val="none" w:sz="0" w:space="0" w:color="auto"/>
        <w:right w:val="none" w:sz="0" w:space="0" w:color="auto"/>
      </w:divBdr>
    </w:div>
    <w:div w:id="2137336208">
      <w:bodyDiv w:val="1"/>
      <w:marLeft w:val="0"/>
      <w:marRight w:val="0"/>
      <w:marTop w:val="0"/>
      <w:marBottom w:val="0"/>
      <w:divBdr>
        <w:top w:val="none" w:sz="0" w:space="0" w:color="auto"/>
        <w:left w:val="none" w:sz="0" w:space="0" w:color="auto"/>
        <w:bottom w:val="none" w:sz="0" w:space="0" w:color="auto"/>
        <w:right w:val="none" w:sz="0" w:space="0" w:color="auto"/>
      </w:divBdr>
    </w:div>
    <w:div w:id="214473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emf"/><Relationship Id="rId26" Type="http://schemas.openxmlformats.org/officeDocument/2006/relationships/image" Target="media/image14.png"/><Relationship Id="rId39" Type="http://schemas.openxmlformats.org/officeDocument/2006/relationships/hyperlink" Target="https://kingcounty.gov/en/dept/dnrp/waste-services/wastewater-treatment/programs/protecting-our-waters/regulations-requirements" TargetMode="External"/><Relationship Id="rId21" Type="http://schemas.openxmlformats.org/officeDocument/2006/relationships/image" Target="media/image10.emf"/><Relationship Id="rId34" Type="http://schemas.openxmlformats.org/officeDocument/2006/relationships/image" Target="media/image22.emf"/><Relationship Id="rId42" Type="http://schemas.openxmlformats.org/officeDocument/2006/relationships/image" Target="media/image29.png"/><Relationship Id="rId47" Type="http://schemas.openxmlformats.org/officeDocument/2006/relationships/hyperlink" Target="https://www.investopedia.com/terms/f/full-faith-credit.asp" TargetMode="External"/><Relationship Id="rId50"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emf"/><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8.emf"/><Relationship Id="rId31" Type="http://schemas.openxmlformats.org/officeDocument/2006/relationships/image" Target="media/image19.png"/><Relationship Id="rId44" Type="http://schemas.openxmlformats.org/officeDocument/2006/relationships/image" Target="media/image31.emf"/><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image" Target="media/image15.emf"/><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0.emf"/><Relationship Id="rId48" Type="http://schemas.openxmlformats.org/officeDocument/2006/relationships/image" Target="media/image34.emf"/><Relationship Id="rId8" Type="http://schemas.openxmlformats.org/officeDocument/2006/relationships/settings" Target="settings.xml"/><Relationship Id="rId51" Type="http://schemas.openxmlformats.org/officeDocument/2006/relationships/image" Target="media/image36.emf"/><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emf"/><Relationship Id="rId46" Type="http://schemas.openxmlformats.org/officeDocument/2006/relationships/image" Target="media/image33.emf"/><Relationship Id="rId20" Type="http://schemas.openxmlformats.org/officeDocument/2006/relationships/image" Target="media/image9.png"/><Relationship Id="rId41" Type="http://schemas.openxmlformats.org/officeDocument/2006/relationships/image" Target="media/image28.emf"/><Relationship Id="rId54" Type="http://schemas.microsoft.com/office/2020/10/relationships/intelligence" Target="intelligence2.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image" Target="media/image35.emf"/></Relationships>
</file>

<file path=word/_rels/endnotes.xml.rels><?xml version="1.0" encoding="UTF-8" standalone="yes"?>
<Relationships xmlns="http://schemas.openxmlformats.org/package/2006/relationships"><Relationship Id="rId13" Type="http://schemas.openxmlformats.org/officeDocument/2006/relationships/hyperlink" Target="https://mkcclegisearch.kingcounty.gov/LegislationDetail.aspx?ID=6435628&amp;GUID=B9E60FAD-79C9-4BC9-90A1-86B5C56FF585&amp;Options=ID|Text|&amp;Search=ecology+loan+agreement" TargetMode="External"/><Relationship Id="rId18" Type="http://schemas.openxmlformats.org/officeDocument/2006/relationships/hyperlink" Target="https://mkcclegisearch.kingcounty.gov/LegislationDetail.aspx?ID=7360599&amp;GUID=CEDE471F-B124-45D4-AD51-C83AD583421E&amp;Options=Advanced&amp;Search=" TargetMode="External"/><Relationship Id="rId26" Type="http://schemas.openxmlformats.org/officeDocument/2006/relationships/hyperlink" Target="https://mkcclegisearch.kingcounty.gov/LegislationDetail.aspx?ID=6655414&amp;GUID=E58760D8-34B5-4388-90BF-5712B9FE9561&amp;Options=ID|Text|&amp;Search=parity+bond+ordinance" TargetMode="External"/><Relationship Id="rId39" Type="http://schemas.openxmlformats.org/officeDocument/2006/relationships/hyperlink" Target="https://kingcounty.gov/independent/forecasting.aspx" TargetMode="External"/><Relationship Id="rId21" Type="http://schemas.openxmlformats.org/officeDocument/2006/relationships/hyperlink" Target="https://www.congress.gov/bill/117th-congress/senate-bill/4295/text" TargetMode="External"/><Relationship Id="rId34" Type="http://schemas.openxmlformats.org/officeDocument/2006/relationships/hyperlink" Target="https://app.leg.wa.gov/RCW/default.aspx?cite=57.08.005" TargetMode="External"/><Relationship Id="rId42" Type="http://schemas.openxmlformats.org/officeDocument/2006/relationships/hyperlink" Target="https://www.commerce.wa.gov/building-infrastructure/pwb-home-page/" TargetMode="External"/><Relationship Id="rId7" Type="http://schemas.openxmlformats.org/officeDocument/2006/relationships/hyperlink" Target="https://kingcounty.gov/en/dept/dnrp/waste-services/wastewater-treatment/sewer-system-services/industrial-waste/forms-fees-resources/fees" TargetMode="External"/><Relationship Id="rId2" Type="http://schemas.openxmlformats.org/officeDocument/2006/relationships/hyperlink" Target="https://cdn.kingcounty.gov/-/media/king-county/depts/dnrp/waste-services/wastewater-treatment/program/protecting-our-waters/docs/2025_0522_dn15-first-material-modification-to-consent-decree.pdf?rev=16c9949e88014709a5f2cc6c733590a6&amp;hash=CA9372D42B09B8FC8C764C0848772603" TargetMode="External"/><Relationship Id="rId16" Type="http://schemas.openxmlformats.org/officeDocument/2006/relationships/hyperlink" Target="https://mkcclegisearch.kingcounty.gov/LegislationDetail.aspx?ID=7003897&amp;GUID=88B4AF20-7940-4B58-B313-8AA170A2624D&amp;Options=ID|Text|&amp;Search=ecology+loan+agreement" TargetMode="External"/><Relationship Id="rId20" Type="http://schemas.openxmlformats.org/officeDocument/2006/relationships/hyperlink" Target="https://www.congress.gov/bill/117th-congress/senate-bill/479/all-info" TargetMode="External"/><Relationship Id="rId29" Type="http://schemas.openxmlformats.org/officeDocument/2006/relationships/hyperlink" Target="https://www.kingcounty.gov/depts/dnrp/wtd/about/history.aspx" TargetMode="External"/><Relationship Id="rId41" Type="http://schemas.openxmlformats.org/officeDocument/2006/relationships/hyperlink" Target="https://aqua.kingcounty.gov/council/clerk/code/38_Title_28.htm" TargetMode="External"/><Relationship Id="rId1" Type="http://schemas.openxmlformats.org/officeDocument/2006/relationships/hyperlink" Target="ttps://mkcclegisearch.kingcounty.gov/LegislationDetail.aspx?ID=6329354&amp;GUID=7D4E9A30-8C8C-40D7-965E-B8DED196CDE3&amp;FullText=1" TargetMode="External"/><Relationship Id="rId6" Type="http://schemas.openxmlformats.org/officeDocument/2006/relationships/hyperlink" Target="https://kingcounty.gov/services/environment/wastewater/capacity-charge.aspx" TargetMode="External"/><Relationship Id="rId11" Type="http://schemas.openxmlformats.org/officeDocument/2006/relationships/hyperlink" Target="https://www.treasurydirect.gov/government/slgs/" TargetMode="External"/><Relationship Id="rId24" Type="http://schemas.openxmlformats.org/officeDocument/2006/relationships/hyperlink" Target="https://mkcclegisearch.kingcounty.gov/LegislationDetail.aspx?ID=6655414&amp;GUID=E58760D8-34B5-4388-90BF-5712B9FE9561&amp;Options=Advanced&amp;Search=" TargetMode="External"/><Relationship Id="rId32" Type="http://schemas.openxmlformats.org/officeDocument/2006/relationships/hyperlink" Target="https://app.leg.wa.gov/RCW/default.aspx?cite=35.58.570" TargetMode="External"/><Relationship Id="rId37" Type="http://schemas.openxmlformats.org/officeDocument/2006/relationships/hyperlink" Target="https://aqua.kingcounty.gov/council/clerk/code/38_Title_28.htm" TargetMode="External"/><Relationship Id="rId40" Type="http://schemas.openxmlformats.org/officeDocument/2006/relationships/hyperlink" Target="https://en.wikipedia.org/wiki/Biofuel" TargetMode="External"/><Relationship Id="rId5" Type="http://schemas.openxmlformats.org/officeDocument/2006/relationships/hyperlink" Target="https://eluho2022.my.site.com/casemanager/s/case/50082000001BFQ6/detail" TargetMode="External"/><Relationship Id="rId15" Type="http://schemas.openxmlformats.org/officeDocument/2006/relationships/hyperlink" Target="https://mkcclegisearch.kingcounty.gov/LegislationDetail.aspx?ID=6837642&amp;GUID=FBA265A3-C0D7-483D-917F-913ADFF43E75&amp;Options=ID|Text|&amp;Search=ecology+loan+agreement" TargetMode="External"/><Relationship Id="rId23" Type="http://schemas.openxmlformats.org/officeDocument/2006/relationships/hyperlink" Target="https://aqua.kingcounty.gov/council/clerk/OldOrdsMotions/Ordinance%2013680.pdf" TargetMode="External"/><Relationship Id="rId28" Type="http://schemas.openxmlformats.org/officeDocument/2006/relationships/hyperlink" Target="https://kingcounty.gov/services/environment/wastewater/capacity-charge.aspx" TargetMode="External"/><Relationship Id="rId36" Type="http://schemas.openxmlformats.org/officeDocument/2006/relationships/hyperlink" Target="https://aqua.kingcounty.gov/council/clerk/code/38_Title_28.htm" TargetMode="External"/><Relationship Id="rId10" Type="http://schemas.openxmlformats.org/officeDocument/2006/relationships/hyperlink" Target="https://kingcounty.gov/en/dept/dnrp/waste-services/wastewater-treatment/programs/protecting-our-waters/regulations-requirements" TargetMode="External"/><Relationship Id="rId19" Type="http://schemas.openxmlformats.org/officeDocument/2006/relationships/hyperlink" Target="https://www.congress.gov/115/bills/hr1/BILLS-115hr1enr.pdf" TargetMode="External"/><Relationship Id="rId31" Type="http://schemas.openxmlformats.org/officeDocument/2006/relationships/hyperlink" Target="https://app.leg.wa.gov/RCW/default.aspx?cite=35.58.350" TargetMode="External"/><Relationship Id="rId44" Type="http://schemas.openxmlformats.org/officeDocument/2006/relationships/hyperlink" Target="https://mkcclegisearch.kingcounty.gov/LegislationDetail.aspx?ID=5990125&amp;GUID=993A6CAC-603D-4340-83FF-7024C6C89DC2&amp;Options=Advanced&amp;Search=" TargetMode="External"/><Relationship Id="rId4" Type="http://schemas.openxmlformats.org/officeDocument/2006/relationships/hyperlink" Target="https://cdn.kingcounty.gov/-/media/king-county/depts/executive/performance-strategy-budget/budget/2026-2027/2026-2027-proposed-budget-book/08_dnrp-complete.pdf?rev=9519a9b56f6a48b481bc1a2f3dfc77c6&amp;hash=351504774B42F807C33E09926BC069B0" TargetMode="External"/><Relationship Id="rId9" Type="http://schemas.openxmlformats.org/officeDocument/2006/relationships/hyperlink" Target="https://kingcounty.gov/en/dept/dnrp/waste-services/wastewater-treatment/programs/protecting-our-waters/controlling-cso" TargetMode="External"/><Relationship Id="rId14" Type="http://schemas.openxmlformats.org/officeDocument/2006/relationships/hyperlink" Target="https://mkcclegisearch.kingcounty.gov/LegislationDetail.aspx?ID=6837627&amp;GUID=0311A677-1C2F-49FA-9B43-D6D121020C27&amp;Options=ID|Text|&amp;Search=ecology+loan+agreement" TargetMode="External"/><Relationship Id="rId22" Type="http://schemas.openxmlformats.org/officeDocument/2006/relationships/hyperlink" Target="https://aqua.kingcounty.gov/council/clerk/OldOrdsMotions/Motion%2013798.pdf" TargetMode="External"/><Relationship Id="rId27" Type="http://schemas.openxmlformats.org/officeDocument/2006/relationships/hyperlink" Target="https://aqua.kingcounty.gov/council/clerk/code/38_Title_28.htm" TargetMode="External"/><Relationship Id="rId30" Type="http://schemas.openxmlformats.org/officeDocument/2006/relationships/hyperlink" Target="https://www.kingcounty.gov/depts/dnrp/wtd/about/history.aspx" TargetMode="External"/><Relationship Id="rId35" Type="http://schemas.openxmlformats.org/officeDocument/2006/relationships/hyperlink" Target="https://kingcounty.gov/services/environment/wastewater/capacity-charge/review-studies.aspx" TargetMode="External"/><Relationship Id="rId43" Type="http://schemas.openxmlformats.org/officeDocument/2006/relationships/hyperlink" Target="https://www.atsdr.cdc.gov/pfas/pfas/about/environmental-sampling.html" TargetMode="External"/><Relationship Id="rId8" Type="http://schemas.openxmlformats.org/officeDocument/2006/relationships/hyperlink" Target="https://ofm.wa.gov/sites/default/files/public/legacy/policy/80.20.pdf" TargetMode="External"/><Relationship Id="rId3" Type="http://schemas.openxmlformats.org/officeDocument/2006/relationships/hyperlink" Target="https://kingcounty.gov/en/dept/dnrp/waste-services/wastewater-treatment/facilities/cso-treatment-facilities" TargetMode="External"/><Relationship Id="rId12" Type="http://schemas.openxmlformats.org/officeDocument/2006/relationships/hyperlink" Target="https://mkcclegisearch.kingcounty.gov/LegislationDetail.aspx?ID=5982888&amp;GUID=013EF2F7-6DBB-4283-8992-889688B31E70&amp;Options=Advanced&amp;Search=" TargetMode="External"/><Relationship Id="rId17" Type="http://schemas.openxmlformats.org/officeDocument/2006/relationships/hyperlink" Target="https://mkcclegisearch.kingcounty.gov/LegislationDetail.aspx?ID=7003751&amp;GUID=6CDDCD61-FB6E-4344-A6B6-F163C36E7358&amp;Options=ID|Text|&amp;Search=ecology+loan+agreement" TargetMode="External"/><Relationship Id="rId25" Type="http://schemas.openxmlformats.org/officeDocument/2006/relationships/hyperlink" Target="https://mkcclegisearch.kingcounty.gov/LegislationDetail.aspx?ID=6653663&amp;GUID=CD213220-5072-489E-8D7C-C6D8BA7C47FF&amp;Options=Advanced&amp;Search=&amp;FullText=1" TargetMode="External"/><Relationship Id="rId33" Type="http://schemas.openxmlformats.org/officeDocument/2006/relationships/hyperlink" Target="https://app.leg.wa.gov/RCW/default.aspx?cite=35.92.025" TargetMode="External"/><Relationship Id="rId38" Type="http://schemas.openxmlformats.org/officeDocument/2006/relationships/hyperlink" Target="https://kingcounty.gov/depts/dnrp/wtd/capital-projects/system-planning/regional-wastewater-services-plan.aspx" TargetMode="External"/></Relationships>
</file>

<file path=word/theme/theme1.xml><?xml version="1.0" encoding="utf-8"?>
<a:theme xmlns:a="http://schemas.openxmlformats.org/drawingml/2006/main" name="Office Theme">
  <a:themeElements>
    <a:clrScheme name="Custom 1">
      <a:dk1>
        <a:srgbClr val="000000"/>
      </a:dk1>
      <a:lt1>
        <a:srgbClr val="FFFFFF"/>
      </a:lt1>
      <a:dk2>
        <a:srgbClr val="696A6C"/>
      </a:dk2>
      <a:lt2>
        <a:srgbClr val="00447C"/>
      </a:lt2>
      <a:accent1>
        <a:srgbClr val="C9CBCC"/>
      </a:accent1>
      <a:accent2>
        <a:srgbClr val="002B55"/>
      </a:accent2>
      <a:accent3>
        <a:srgbClr val="FFFFFF"/>
      </a:accent3>
      <a:accent4>
        <a:srgbClr val="000000"/>
      </a:accent4>
      <a:accent5>
        <a:srgbClr val="E1E2E2"/>
      </a:accent5>
      <a:accent6>
        <a:srgbClr val="00264C"/>
      </a:accent6>
      <a:hlink>
        <a:srgbClr val="7A822E"/>
      </a:hlink>
      <a:folHlink>
        <a:srgbClr val="EC64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D35557-9AA9-4579-94D0-227584CCA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92C64D-ECE0-4FD6-9EBE-DD694D840C67}">
  <ds:schemaRefs>
    <ds:schemaRef ds:uri="http://schemas.microsoft.com/sharepoint/v3/contenttype/forms"/>
  </ds:schemaRefs>
</ds:datastoreItem>
</file>

<file path=customXml/itemProps3.xml><?xml version="1.0" encoding="utf-8"?>
<ds:datastoreItem xmlns:ds="http://schemas.openxmlformats.org/officeDocument/2006/customXml" ds:itemID="{9990B257-0B51-48BD-826C-E0C70768C7E9}">
  <ds:schemaRefs>
    <ds:schemaRef ds:uri="308dc21f-8940-46b7-9ee9-f86b439897b1"/>
    <ds:schemaRef ds:uri="http://purl.org/dc/terms/"/>
    <ds:schemaRef ds:uri="http://schemas.microsoft.com/sharepoint/v3"/>
    <ds:schemaRef ds:uri="http://schemas.microsoft.com/office/infopath/2007/PartnerControls"/>
    <ds:schemaRef ds:uri="b9cca5e6-54e4-4595-9738-f1be90b3e4c2"/>
    <ds:schemaRef ds:uri="cc811197-5a73-4d86-a206-c117da05ddaa"/>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4029674C-8755-4727-B27E-20F317F06484}">
  <ds:schemaRefs>
    <ds:schemaRef ds:uri="http://schemas.openxmlformats.org/officeDocument/2006/bibliography"/>
  </ds:schemaRefs>
</ds:datastoreItem>
</file>

<file path=customXml/itemProps5.xml><?xml version="1.0" encoding="utf-8"?>
<ds:datastoreItem xmlns:ds="http://schemas.openxmlformats.org/officeDocument/2006/customXml" ds:itemID="{4FDA0D6B-4ABB-4786-AB95-9B5D82AC3616}"/>
</file>

<file path=docProps/app.xml><?xml version="1.0" encoding="utf-8"?>
<Properties xmlns="http://schemas.openxmlformats.org/officeDocument/2006/extended-properties" xmlns:vt="http://schemas.openxmlformats.org/officeDocument/2006/docPropsVTypes">
  <Template>Normal.dotm</Template>
  <TotalTime>7</TotalTime>
  <Pages>46</Pages>
  <Words>13443</Words>
  <Characters>76626</Characters>
  <Application>Microsoft Office Word</Application>
  <DocSecurity>2</DocSecurity>
  <Lines>638</Lines>
  <Paragraphs>179</Paragraphs>
  <ScaleCrop>false</ScaleCrop>
  <Company/>
  <LinksUpToDate>false</LinksUpToDate>
  <CharactersWithSpaces>89890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tech memo</dc:title>
  <dc:subject/>
  <dc:creator>Black, Courtney</dc:creator>
  <cp:keywords/>
  <dc:description/>
  <cp:lastModifiedBy>Pena, Carly</cp:lastModifiedBy>
  <cp:revision>90</cp:revision>
  <cp:lastPrinted>2021-02-26T22:28:00Z</cp:lastPrinted>
  <dcterms:created xsi:type="dcterms:W3CDTF">2026-04-10T15:58:00Z</dcterms:created>
  <dcterms:modified xsi:type="dcterms:W3CDTF">2026-04-23T15:45:00Z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Order">
    <vt:r8>4587500</vt:r8>
  </property>
  <property fmtid="{D5CDD505-2E9C-101B-9397-08002B2CF9AE}" pid="11" name="SharedWithUsers">
    <vt:lpwstr>335;#Peze, Juliette;#336;#Borjeson, Elaine ;#337;#Cowles, Vicki;#338;#Vaupel, Kurt (KCIT);#339;#Peze, Juliette;#340;#Pyle, Patricia;#341;#McCann, Mike;#342;#Johnson, Dan;#343;#Arai, Leslie;#28;#Gurol, Kamuron</vt:lpwstr>
  </property>
</Properties>
</file>