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D36D3" w14:textId="77777777" w:rsidR="00EB5A13" w:rsidRPr="00A46A5D" w:rsidRDefault="00EB5A13" w:rsidP="00EB5A13">
      <w:pPr>
        <w:pStyle w:val="Heading2"/>
        <w:rPr>
          <w:b w:val="0"/>
          <w:sz w:val="24"/>
          <w:u w:val="none"/>
        </w:rPr>
      </w:pPr>
    </w:p>
    <w:p w14:paraId="17CD221C"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33A23D67"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2C703C54"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21A58DB"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77CFAB7D" w14:textId="6FE38015" w:rsidR="00EB5A13" w:rsidRPr="009349D6" w:rsidRDefault="007C0F21" w:rsidP="00074A56">
            <w:pPr>
              <w:spacing w:before="40" w:after="40"/>
              <w:rPr>
                <w:rFonts w:ascii="Arial" w:hAnsi="Arial" w:cs="Arial"/>
              </w:rPr>
            </w:pPr>
            <w:r>
              <w:rPr>
                <w:rFonts w:ascii="Arial" w:hAnsi="Arial" w:cs="Arial"/>
              </w:rPr>
              <w:t>10</w:t>
            </w:r>
          </w:p>
        </w:tc>
        <w:tc>
          <w:tcPr>
            <w:tcW w:w="1170" w:type="dxa"/>
            <w:tcBorders>
              <w:top w:val="single" w:sz="4" w:space="0" w:color="auto"/>
              <w:left w:val="single" w:sz="4" w:space="0" w:color="auto"/>
              <w:bottom w:val="single" w:sz="4" w:space="0" w:color="auto"/>
              <w:right w:val="single" w:sz="4" w:space="0" w:color="auto"/>
            </w:tcBorders>
            <w:vAlign w:val="center"/>
          </w:tcPr>
          <w:p w14:paraId="74F2C3D5"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04FB219" w14:textId="4DB36CCD" w:rsidR="00EB5A13" w:rsidRPr="009349D6" w:rsidRDefault="005514B2" w:rsidP="00074A56">
            <w:pPr>
              <w:spacing w:before="40" w:after="40"/>
              <w:rPr>
                <w:rFonts w:ascii="Arial" w:hAnsi="Arial" w:cs="Arial"/>
              </w:rPr>
            </w:pPr>
            <w:r>
              <w:rPr>
                <w:rFonts w:ascii="Arial" w:hAnsi="Arial" w:cs="Arial"/>
              </w:rPr>
              <w:t>Jake Tracy</w:t>
            </w:r>
          </w:p>
        </w:tc>
      </w:tr>
      <w:tr w:rsidR="00EB5A13" w:rsidRPr="009349D6" w14:paraId="77B039CB"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8C734C9"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3D40EDCB" w14:textId="225EC25D" w:rsidR="00EB5A13" w:rsidRPr="009349D6" w:rsidRDefault="005514B2" w:rsidP="00074A56">
            <w:pPr>
              <w:spacing w:before="40" w:after="40"/>
              <w:rPr>
                <w:rFonts w:ascii="Arial" w:hAnsi="Arial" w:cs="Arial"/>
              </w:rPr>
            </w:pPr>
            <w:r>
              <w:rPr>
                <w:rFonts w:ascii="Arial" w:hAnsi="Arial" w:cs="Arial"/>
              </w:rPr>
              <w:t>2026-0023</w:t>
            </w:r>
          </w:p>
        </w:tc>
        <w:tc>
          <w:tcPr>
            <w:tcW w:w="1170" w:type="dxa"/>
            <w:tcBorders>
              <w:top w:val="single" w:sz="4" w:space="0" w:color="auto"/>
              <w:left w:val="single" w:sz="4" w:space="0" w:color="auto"/>
              <w:bottom w:val="single" w:sz="4" w:space="0" w:color="auto"/>
              <w:right w:val="single" w:sz="4" w:space="0" w:color="auto"/>
            </w:tcBorders>
            <w:vAlign w:val="center"/>
          </w:tcPr>
          <w:p w14:paraId="7EEF585D"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F1DDCE6" w14:textId="1DBF853C" w:rsidR="00EB5A13" w:rsidRPr="009349D6" w:rsidRDefault="00DB3903" w:rsidP="00074A56">
            <w:pPr>
              <w:spacing w:before="40" w:after="40"/>
              <w:rPr>
                <w:rFonts w:ascii="Arial" w:hAnsi="Arial" w:cs="Arial"/>
              </w:rPr>
            </w:pPr>
            <w:r>
              <w:rPr>
                <w:rFonts w:ascii="Arial" w:hAnsi="Arial" w:cs="Arial"/>
              </w:rPr>
              <w:t>June 17, 2026</w:t>
            </w:r>
          </w:p>
        </w:tc>
      </w:tr>
    </w:tbl>
    <w:p w14:paraId="3EA62392" w14:textId="77777777" w:rsidR="004349B7" w:rsidRDefault="004349B7" w:rsidP="00F31CDD">
      <w:pPr>
        <w:rPr>
          <w:rFonts w:ascii="Arial" w:hAnsi="Arial" w:cs="Arial"/>
          <w:b/>
          <w:smallCaps/>
          <w:szCs w:val="24"/>
          <w:u w:val="single"/>
        </w:rPr>
      </w:pPr>
    </w:p>
    <w:p w14:paraId="06AF7794"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148B0C96" w14:textId="77777777" w:rsidR="00074A56" w:rsidRDefault="00074A56" w:rsidP="005B478C">
      <w:pPr>
        <w:jc w:val="both"/>
        <w:rPr>
          <w:rFonts w:ascii="Arial" w:hAnsi="Arial" w:cs="Arial"/>
        </w:rPr>
      </w:pPr>
    </w:p>
    <w:p w14:paraId="179B6CE2" w14:textId="6986A5AE" w:rsidR="00067D3F" w:rsidRPr="00C75025" w:rsidRDefault="000005A8" w:rsidP="00067D3F">
      <w:pPr>
        <w:jc w:val="both"/>
        <w:rPr>
          <w:rFonts w:ascii="Arial" w:hAnsi="Arial" w:cs="Arial"/>
          <w:b/>
          <w:u w:val="single"/>
        </w:rPr>
      </w:pPr>
      <w:r>
        <w:rPr>
          <w:rFonts w:ascii="Arial" w:hAnsi="Arial" w:cs="Arial"/>
        </w:rPr>
        <w:t xml:space="preserve">Proposed Ordinance 2026-0023 would adopt and ratify amendments to the 2021 King County Countywide Planning Policies to modify growth targets for </w:t>
      </w:r>
      <w:r w:rsidR="00D232DC">
        <w:rPr>
          <w:rFonts w:ascii="Arial" w:hAnsi="Arial" w:cs="Arial"/>
        </w:rPr>
        <w:t xml:space="preserve">the Black Diamond Potential Annexation Area and </w:t>
      </w:r>
      <w:r w:rsidR="00BA3225">
        <w:rPr>
          <w:rFonts w:ascii="Arial" w:hAnsi="Arial" w:cs="Arial"/>
        </w:rPr>
        <w:t xml:space="preserve">the Unaffiliated Urban Unincorporated </w:t>
      </w:r>
      <w:r w:rsidR="00D86E59">
        <w:rPr>
          <w:rFonts w:ascii="Arial" w:hAnsi="Arial" w:cs="Arial"/>
        </w:rPr>
        <w:t>area</w:t>
      </w:r>
      <w:r w:rsidR="00AF512E">
        <w:rPr>
          <w:rFonts w:ascii="Arial" w:hAnsi="Arial" w:cs="Arial"/>
        </w:rPr>
        <w:t>.</w:t>
      </w:r>
    </w:p>
    <w:p w14:paraId="6BAD0C67" w14:textId="77777777" w:rsidR="00C75025" w:rsidRDefault="00C75025" w:rsidP="005B478C">
      <w:pPr>
        <w:jc w:val="both"/>
        <w:rPr>
          <w:rFonts w:ascii="Arial" w:hAnsi="Arial" w:cs="Arial"/>
          <w:b/>
          <w:smallCaps/>
          <w:szCs w:val="24"/>
          <w:u w:val="single"/>
        </w:rPr>
      </w:pPr>
    </w:p>
    <w:p w14:paraId="68C1BE6E"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630D2F65" w14:textId="77777777" w:rsidR="00646425" w:rsidRDefault="00646425" w:rsidP="005B478C">
      <w:pPr>
        <w:jc w:val="both"/>
        <w:rPr>
          <w:rFonts w:ascii="Arial" w:hAnsi="Arial" w:cs="Arial"/>
          <w:b/>
          <w:smallCaps/>
          <w:szCs w:val="24"/>
          <w:u w:val="single"/>
        </w:rPr>
      </w:pPr>
    </w:p>
    <w:p w14:paraId="1B23484A" w14:textId="613E5937" w:rsidR="00E2039A" w:rsidRDefault="00E2039A" w:rsidP="00E2039A">
      <w:pPr>
        <w:jc w:val="both"/>
        <w:rPr>
          <w:rFonts w:ascii="Arial" w:hAnsi="Arial" w:cs="Arial"/>
        </w:rPr>
      </w:pPr>
      <w:r w:rsidRPr="00E2039A">
        <w:rPr>
          <w:rFonts w:ascii="Arial" w:hAnsi="Arial" w:cs="Arial"/>
        </w:rPr>
        <w:t xml:space="preserve">Proposed Ordinance 2026-0023 </w:t>
      </w:r>
      <w:r w:rsidR="00DF5CDF">
        <w:rPr>
          <w:rFonts w:ascii="Arial" w:hAnsi="Arial" w:cs="Arial"/>
        </w:rPr>
        <w:t>would amend</w:t>
      </w:r>
      <w:r w:rsidRPr="00E2039A">
        <w:rPr>
          <w:rFonts w:ascii="Arial" w:hAnsi="Arial" w:cs="Arial"/>
        </w:rPr>
        <w:t xml:space="preserve"> the 2021 King County Countywide Planning Policies (CPPs) to address a mismatch in housing unit allocation within urban unincorporated King County. Specifically, the </w:t>
      </w:r>
      <w:r w:rsidR="000F2806">
        <w:rPr>
          <w:rFonts w:ascii="Arial" w:hAnsi="Arial" w:cs="Arial"/>
        </w:rPr>
        <w:t>proposed o</w:t>
      </w:r>
      <w:r w:rsidRPr="00E2039A">
        <w:rPr>
          <w:rFonts w:ascii="Arial" w:hAnsi="Arial" w:cs="Arial"/>
        </w:rPr>
        <w:t xml:space="preserve">rdinance </w:t>
      </w:r>
      <w:r w:rsidR="003C4C44">
        <w:rPr>
          <w:rFonts w:ascii="Arial" w:hAnsi="Arial" w:cs="Arial"/>
        </w:rPr>
        <w:t>would</w:t>
      </w:r>
      <w:r w:rsidRPr="00E2039A">
        <w:rPr>
          <w:rFonts w:ascii="Arial" w:hAnsi="Arial" w:cs="Arial"/>
        </w:rPr>
        <w:t xml:space="preserve"> modify growth targets for the Black Diamond Potential Annexation Area (PAA)</w:t>
      </w:r>
      <w:r w:rsidR="003C4C44">
        <w:rPr>
          <w:rStyle w:val="FootnoteReference"/>
          <w:rFonts w:ascii="Arial" w:hAnsi="Arial" w:cs="Arial"/>
        </w:rPr>
        <w:footnoteReference w:id="1"/>
      </w:r>
      <w:r w:rsidRPr="00E2039A">
        <w:rPr>
          <w:rFonts w:ascii="Arial" w:hAnsi="Arial" w:cs="Arial"/>
        </w:rPr>
        <w:t xml:space="preserve"> and the Unaffiliated Urban Unincorporated area. </w:t>
      </w:r>
    </w:p>
    <w:p w14:paraId="09F96140" w14:textId="77777777" w:rsidR="0070005E" w:rsidRPr="00E2039A" w:rsidRDefault="0070005E" w:rsidP="00E2039A">
      <w:pPr>
        <w:jc w:val="both"/>
        <w:rPr>
          <w:rFonts w:ascii="Arial" w:hAnsi="Arial" w:cs="Arial"/>
        </w:rPr>
      </w:pPr>
    </w:p>
    <w:p w14:paraId="3398ED57" w14:textId="7B74719F" w:rsidR="00E2039A" w:rsidRDefault="0070005E" w:rsidP="00E2039A">
      <w:pPr>
        <w:jc w:val="both"/>
        <w:rPr>
          <w:rFonts w:ascii="Arial" w:hAnsi="Arial" w:cs="Arial"/>
        </w:rPr>
      </w:pPr>
      <w:r>
        <w:rPr>
          <w:rFonts w:ascii="Arial" w:hAnsi="Arial" w:cs="Arial"/>
        </w:rPr>
        <w:t>The CPPs were adopted in 2021. Subsequent analysis</w:t>
      </w:r>
      <w:r w:rsidR="00E2039A" w:rsidRPr="00E2039A">
        <w:rPr>
          <w:rFonts w:ascii="Arial" w:hAnsi="Arial" w:cs="Arial"/>
        </w:rPr>
        <w:t xml:space="preserve"> supporting the 2024 King County Comprehensive Plan (KCCP) </w:t>
      </w:r>
      <w:r w:rsidR="005F3CF1">
        <w:rPr>
          <w:rFonts w:ascii="Arial" w:hAnsi="Arial" w:cs="Arial"/>
        </w:rPr>
        <w:t>found</w:t>
      </w:r>
      <w:r w:rsidR="00E2039A" w:rsidRPr="00E2039A">
        <w:rPr>
          <w:rFonts w:ascii="Arial" w:hAnsi="Arial" w:cs="Arial"/>
        </w:rPr>
        <w:t xml:space="preserve"> that</w:t>
      </w:r>
      <w:r w:rsidR="005F3CF1">
        <w:rPr>
          <w:rFonts w:ascii="Arial" w:hAnsi="Arial" w:cs="Arial"/>
        </w:rPr>
        <w:t>,</w:t>
      </w:r>
      <w:r w:rsidR="00E2039A" w:rsidRPr="00E2039A">
        <w:rPr>
          <w:rFonts w:ascii="Arial" w:hAnsi="Arial" w:cs="Arial"/>
        </w:rPr>
        <w:t xml:space="preserve"> while urban unincorporated King County had sufficient overall </w:t>
      </w:r>
      <w:r w:rsidR="005F3CF1">
        <w:rPr>
          <w:rFonts w:ascii="Arial" w:hAnsi="Arial" w:cs="Arial"/>
        </w:rPr>
        <w:t xml:space="preserve">housing </w:t>
      </w:r>
      <w:r w:rsidR="00E2039A" w:rsidRPr="00E2039A">
        <w:rPr>
          <w:rFonts w:ascii="Arial" w:hAnsi="Arial" w:cs="Arial"/>
        </w:rPr>
        <w:t xml:space="preserve">capacity, the capacity of the Black Diamond PAA specifically </w:t>
      </w:r>
      <w:r>
        <w:rPr>
          <w:rFonts w:ascii="Arial" w:hAnsi="Arial" w:cs="Arial"/>
        </w:rPr>
        <w:t xml:space="preserve">was </w:t>
      </w:r>
      <w:r w:rsidR="00E2039A" w:rsidRPr="00E2039A">
        <w:rPr>
          <w:rFonts w:ascii="Arial" w:hAnsi="Arial" w:cs="Arial"/>
        </w:rPr>
        <w:t xml:space="preserve">limited to 200 housing units, creating a 128-unit deficit from its originally allocated target of 328 units in CPP Table DP-1. In response to this identified capacity mismatch, the King County Executive's Office committed to working with the </w:t>
      </w:r>
      <w:r w:rsidR="008F2563">
        <w:rPr>
          <w:rFonts w:ascii="Arial" w:hAnsi="Arial" w:cs="Arial"/>
        </w:rPr>
        <w:t>Growth Management Planning Co</w:t>
      </w:r>
      <w:r w:rsidR="00704741">
        <w:rPr>
          <w:rFonts w:ascii="Arial" w:hAnsi="Arial" w:cs="Arial"/>
        </w:rPr>
        <w:t xml:space="preserve">uncil </w:t>
      </w:r>
      <w:r w:rsidR="008F2563">
        <w:rPr>
          <w:rFonts w:ascii="Arial" w:hAnsi="Arial" w:cs="Arial"/>
        </w:rPr>
        <w:t>(GMPC</w:t>
      </w:r>
      <w:r w:rsidR="00704741">
        <w:rPr>
          <w:rFonts w:ascii="Arial" w:hAnsi="Arial" w:cs="Arial"/>
        </w:rPr>
        <w:t>)</w:t>
      </w:r>
      <w:r w:rsidR="00E2039A" w:rsidRPr="00E2039A">
        <w:rPr>
          <w:rFonts w:ascii="Arial" w:hAnsi="Arial" w:cs="Arial"/>
        </w:rPr>
        <w:t xml:space="preserve"> to reallocate the targets. The GMPC</w:t>
      </w:r>
      <w:r w:rsidR="003C4C44">
        <w:rPr>
          <w:rFonts w:ascii="Arial" w:hAnsi="Arial" w:cs="Arial"/>
        </w:rPr>
        <w:t xml:space="preserve"> subsequently</w:t>
      </w:r>
      <w:r w:rsidR="00E2039A" w:rsidRPr="00E2039A">
        <w:rPr>
          <w:rFonts w:ascii="Arial" w:hAnsi="Arial" w:cs="Arial"/>
        </w:rPr>
        <w:t xml:space="preserve"> passed Motion 25-3, recommending the redistribution of the 128 housing units from the Black Diamond PAA to the Unaffiliated Urban Unincorporated area, which </w:t>
      </w:r>
      <w:r w:rsidR="00F72E4C">
        <w:rPr>
          <w:rFonts w:ascii="Arial" w:hAnsi="Arial" w:cs="Arial"/>
        </w:rPr>
        <w:t>was found to have</w:t>
      </w:r>
      <w:r w:rsidR="00E2039A" w:rsidRPr="00E2039A">
        <w:rPr>
          <w:rFonts w:ascii="Arial" w:hAnsi="Arial" w:cs="Arial"/>
        </w:rPr>
        <w:t xml:space="preserve"> the necessary residential capacity</w:t>
      </w:r>
      <w:r w:rsidR="00F72E4C">
        <w:rPr>
          <w:rFonts w:ascii="Arial" w:hAnsi="Arial" w:cs="Arial"/>
        </w:rPr>
        <w:t xml:space="preserve"> under current zoning</w:t>
      </w:r>
      <w:r w:rsidR="00E2039A" w:rsidRPr="00E2039A">
        <w:rPr>
          <w:rFonts w:ascii="Arial" w:hAnsi="Arial" w:cs="Arial"/>
        </w:rPr>
        <w:t>.</w:t>
      </w:r>
    </w:p>
    <w:p w14:paraId="4059923E" w14:textId="77777777" w:rsidR="00704741" w:rsidRPr="00E2039A" w:rsidRDefault="00704741" w:rsidP="00E2039A">
      <w:pPr>
        <w:jc w:val="both"/>
        <w:rPr>
          <w:rFonts w:ascii="Arial" w:hAnsi="Arial" w:cs="Arial"/>
        </w:rPr>
      </w:pPr>
    </w:p>
    <w:p w14:paraId="07C1E5FA" w14:textId="6A48BA70" w:rsidR="00586F14" w:rsidRDefault="00F72E4C" w:rsidP="00E2039A">
      <w:pPr>
        <w:jc w:val="both"/>
        <w:rPr>
          <w:rFonts w:ascii="Arial" w:hAnsi="Arial" w:cs="Arial"/>
        </w:rPr>
      </w:pPr>
      <w:r>
        <w:rPr>
          <w:rFonts w:ascii="Arial" w:hAnsi="Arial" w:cs="Arial"/>
        </w:rPr>
        <w:t xml:space="preserve">Proposed </w:t>
      </w:r>
      <w:r w:rsidR="00E2039A" w:rsidRPr="00E2039A">
        <w:rPr>
          <w:rFonts w:ascii="Arial" w:hAnsi="Arial" w:cs="Arial"/>
        </w:rPr>
        <w:t>Ordinance 2026-0023 would implement this recommendation by formally approving amendments to CPP Table DP-1</w:t>
      </w:r>
      <w:r w:rsidR="00DD006D">
        <w:rPr>
          <w:rFonts w:ascii="Arial" w:hAnsi="Arial" w:cs="Arial"/>
        </w:rPr>
        <w:t>, reducing the Black Diamond PAA's target by 128 units and increasing the Unaffiliated Urban Unincorporated area's target by the same amount</w:t>
      </w:r>
      <w:r w:rsidR="00E2039A" w:rsidRPr="00E2039A">
        <w:rPr>
          <w:rFonts w:ascii="Arial" w:hAnsi="Arial" w:cs="Arial"/>
        </w:rPr>
        <w:t xml:space="preserve">. </w:t>
      </w:r>
      <w:r w:rsidR="00DD006D">
        <w:rPr>
          <w:rFonts w:ascii="Arial" w:hAnsi="Arial" w:cs="Arial"/>
        </w:rPr>
        <w:t>If adopted</w:t>
      </w:r>
      <w:r w:rsidR="00E2039A" w:rsidRPr="00E2039A">
        <w:rPr>
          <w:rFonts w:ascii="Arial" w:hAnsi="Arial" w:cs="Arial"/>
        </w:rPr>
        <w:t xml:space="preserve"> by the Council, </w:t>
      </w:r>
      <w:r w:rsidR="006B31F8">
        <w:rPr>
          <w:rFonts w:ascii="Arial" w:hAnsi="Arial" w:cs="Arial"/>
        </w:rPr>
        <w:t>the a</w:t>
      </w:r>
      <w:r w:rsidR="006B31F8" w:rsidRPr="006B31F8">
        <w:rPr>
          <w:rFonts w:ascii="Arial" w:hAnsi="Arial" w:cs="Arial"/>
        </w:rPr>
        <w:t>mendments to the CPPs become effective when the Ordinance is ratified by at least 30% of the city and county governments representing at least 70% of the population of King County. A city is deemed to have ratified an amendment to the CPPs unless the city disapproves it by legislative action within 90 days of adoption by King County.</w:t>
      </w:r>
    </w:p>
    <w:p w14:paraId="09CF4246" w14:textId="77777777" w:rsidR="00586F14" w:rsidRDefault="00586F14" w:rsidP="00E2039A">
      <w:pPr>
        <w:jc w:val="both"/>
        <w:rPr>
          <w:rFonts w:ascii="Arial" w:hAnsi="Arial" w:cs="Arial"/>
        </w:rPr>
      </w:pPr>
    </w:p>
    <w:p w14:paraId="2DA0BA1D" w14:textId="77777777" w:rsidR="00CE6406" w:rsidRPr="00CE6406" w:rsidRDefault="00CE6406" w:rsidP="005B478C">
      <w:pPr>
        <w:jc w:val="both"/>
        <w:rPr>
          <w:rFonts w:ascii="Arial" w:hAnsi="Arial" w:cs="Arial"/>
        </w:rPr>
      </w:pPr>
    </w:p>
    <w:p w14:paraId="0A86E2E7" w14:textId="77777777" w:rsidR="00E15C29" w:rsidRPr="00716F37"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73BB7EDF" w14:textId="51B0214B" w:rsidR="00074A56" w:rsidRDefault="00074A56" w:rsidP="005B478C">
      <w:pPr>
        <w:jc w:val="both"/>
        <w:rPr>
          <w:rFonts w:ascii="Arial" w:hAnsi="Arial" w:cs="Arial"/>
        </w:rPr>
      </w:pPr>
    </w:p>
    <w:p w14:paraId="08A5EDC7" w14:textId="2757ACA3" w:rsidR="00B72F33" w:rsidRPr="00ED71BC" w:rsidRDefault="00B72F33" w:rsidP="00B72F33">
      <w:pPr>
        <w:jc w:val="both"/>
        <w:rPr>
          <w:rFonts w:ascii="Arial" w:hAnsi="Arial" w:cs="Arial"/>
          <w:i/>
          <w:iCs/>
        </w:rPr>
      </w:pPr>
      <w:r w:rsidRPr="00ED71BC">
        <w:rPr>
          <w:rFonts w:ascii="Arial" w:hAnsi="Arial" w:cs="Arial"/>
          <w:b/>
          <w:bCs/>
        </w:rPr>
        <w:t>Growth Management Planning Council (GMPC).</w:t>
      </w:r>
      <w:r>
        <w:rPr>
          <w:rFonts w:ascii="Arial" w:hAnsi="Arial" w:cs="Arial"/>
          <w:i/>
          <w:iCs/>
        </w:rPr>
        <w:t xml:space="preserve"> </w:t>
      </w:r>
      <w:r w:rsidRPr="008C1DE5">
        <w:rPr>
          <w:rFonts w:ascii="Arial" w:hAnsi="Arial" w:cs="Arial"/>
        </w:rPr>
        <w:t xml:space="preserve">The GMPC is a formal body comprised of elected officials from King County, Seattle, Bellevue, other cities and towns in King County, and special purpose districts. The GMPC was created in 1992 by an interlocal agreement in response to a provision in the Washington State Growth Management Act (GMA) requiring cities and counties to work together to adopt </w:t>
      </w:r>
      <w:r w:rsidR="003C4C44">
        <w:rPr>
          <w:rFonts w:ascii="Arial" w:hAnsi="Arial" w:cs="Arial"/>
        </w:rPr>
        <w:t>CPPs</w:t>
      </w:r>
      <w:r w:rsidRPr="008C1DE5">
        <w:rPr>
          <w:rFonts w:ascii="Arial" w:hAnsi="Arial" w:cs="Arial"/>
        </w:rPr>
        <w:t>.</w:t>
      </w:r>
      <w:r>
        <w:rPr>
          <w:rFonts w:ascii="Arial" w:hAnsi="Arial" w:cs="Arial"/>
        </w:rPr>
        <w:t xml:space="preserve"> </w:t>
      </w:r>
    </w:p>
    <w:p w14:paraId="609F95DA" w14:textId="77777777" w:rsidR="00B72F33" w:rsidRDefault="00B72F33" w:rsidP="00B72F33">
      <w:pPr>
        <w:jc w:val="both"/>
        <w:rPr>
          <w:rFonts w:ascii="Arial" w:hAnsi="Arial" w:cs="Arial"/>
        </w:rPr>
      </w:pPr>
    </w:p>
    <w:p w14:paraId="6544ACA0" w14:textId="23DF32B3" w:rsidR="00B72F33" w:rsidRDefault="00B72F33" w:rsidP="00B72F33">
      <w:pPr>
        <w:jc w:val="both"/>
        <w:rPr>
          <w:rFonts w:ascii="Arial" w:hAnsi="Arial" w:cs="Arial"/>
        </w:rPr>
      </w:pPr>
      <w:r w:rsidRPr="0083306D">
        <w:rPr>
          <w:rFonts w:ascii="Arial" w:hAnsi="Arial" w:cs="Arial"/>
        </w:rPr>
        <w:t>The CPPs are a series of policies that address growth management issues in King County. The CPPs present the shared vision of King County and the 39 cities within King County to guide jurisdictions as they develop and amend their comprehensive plans. For King County</w:t>
      </w:r>
      <w:r w:rsidR="00DB3903">
        <w:rPr>
          <w:rFonts w:ascii="Arial" w:hAnsi="Arial" w:cs="Arial"/>
        </w:rPr>
        <w:t xml:space="preserve"> government</w:t>
      </w:r>
      <w:r w:rsidRPr="0083306D">
        <w:rPr>
          <w:rFonts w:ascii="Arial" w:hAnsi="Arial" w:cs="Arial"/>
        </w:rPr>
        <w:t xml:space="preserve"> specifically, the CPPs relate to the </w:t>
      </w:r>
      <w:r w:rsidR="003C4C44">
        <w:rPr>
          <w:rFonts w:ascii="Arial" w:hAnsi="Arial" w:cs="Arial"/>
        </w:rPr>
        <w:t>KCCP</w:t>
      </w:r>
      <w:r w:rsidRPr="0083306D">
        <w:rPr>
          <w:rFonts w:ascii="Arial" w:hAnsi="Arial" w:cs="Arial"/>
        </w:rPr>
        <w:t xml:space="preserve"> and its implementing development regulations</w:t>
      </w:r>
      <w:r>
        <w:rPr>
          <w:rFonts w:ascii="Arial" w:hAnsi="Arial" w:cs="Arial"/>
        </w:rPr>
        <w:t>.</w:t>
      </w:r>
    </w:p>
    <w:p w14:paraId="169F6D90" w14:textId="77777777" w:rsidR="00B72F33" w:rsidRDefault="00B72F33" w:rsidP="00B72F33">
      <w:pPr>
        <w:jc w:val="both"/>
        <w:rPr>
          <w:rFonts w:ascii="Arial" w:hAnsi="Arial" w:cs="Arial"/>
        </w:rPr>
      </w:pPr>
    </w:p>
    <w:p w14:paraId="05F6E484" w14:textId="77777777" w:rsidR="004619D1" w:rsidRDefault="00B72F33" w:rsidP="004619D1">
      <w:pPr>
        <w:jc w:val="both"/>
        <w:rPr>
          <w:rFonts w:ascii="Arial" w:hAnsi="Arial" w:cs="Arial"/>
        </w:rPr>
      </w:pPr>
      <w:r w:rsidRPr="008C1DE5">
        <w:rPr>
          <w:rFonts w:ascii="Arial" w:hAnsi="Arial" w:cs="Arial"/>
        </w:rPr>
        <w:t>As provided for in the</w:t>
      </w:r>
      <w:r>
        <w:rPr>
          <w:rFonts w:ascii="Arial" w:hAnsi="Arial" w:cs="Arial"/>
        </w:rPr>
        <w:t xml:space="preserve"> GMPC</w:t>
      </w:r>
      <w:r w:rsidRPr="008C1DE5">
        <w:rPr>
          <w:rFonts w:ascii="Arial" w:hAnsi="Arial" w:cs="Arial"/>
        </w:rPr>
        <w:t xml:space="preserve"> interlocal agreement, the GMPC developed and recommended the original CPPs, which were adopted by the King County Council and ratified by the cities in 1992. </w:t>
      </w:r>
    </w:p>
    <w:p w14:paraId="59A69D24" w14:textId="77777777" w:rsidR="004619D1" w:rsidRDefault="004619D1" w:rsidP="004619D1">
      <w:pPr>
        <w:jc w:val="both"/>
        <w:rPr>
          <w:rFonts w:ascii="Arial" w:hAnsi="Arial" w:cs="Arial"/>
        </w:rPr>
      </w:pPr>
    </w:p>
    <w:p w14:paraId="42B21509" w14:textId="77777777" w:rsidR="004619D1" w:rsidRDefault="00B72F33" w:rsidP="004619D1">
      <w:pPr>
        <w:jc w:val="both"/>
        <w:rPr>
          <w:rFonts w:ascii="Arial" w:hAnsi="Arial" w:cs="Arial"/>
        </w:rPr>
      </w:pPr>
      <w:r w:rsidRPr="000D072D">
        <w:rPr>
          <w:rFonts w:ascii="Arial" w:hAnsi="Arial" w:cs="Arial"/>
          <w:b/>
          <w:bCs/>
        </w:rPr>
        <w:t>2021 Countywide Planning Polic</w:t>
      </w:r>
      <w:r w:rsidR="00C0610A">
        <w:rPr>
          <w:rFonts w:ascii="Arial" w:hAnsi="Arial" w:cs="Arial"/>
          <w:b/>
          <w:bCs/>
        </w:rPr>
        <w:t xml:space="preserve">ies </w:t>
      </w:r>
      <w:r w:rsidR="00CC08B7">
        <w:rPr>
          <w:rFonts w:ascii="Arial" w:hAnsi="Arial" w:cs="Arial"/>
          <w:b/>
          <w:bCs/>
        </w:rPr>
        <w:t>and Growth Allocation Process</w:t>
      </w:r>
      <w:r>
        <w:rPr>
          <w:rFonts w:ascii="Arial" w:hAnsi="Arial" w:cs="Arial"/>
          <w:b/>
          <w:bCs/>
        </w:rPr>
        <w:t xml:space="preserve">. </w:t>
      </w:r>
      <w:r w:rsidRPr="006B0882">
        <w:rPr>
          <w:rFonts w:ascii="Arial" w:hAnsi="Arial" w:cs="Arial"/>
        </w:rPr>
        <w:t>The CPPs</w:t>
      </w:r>
      <w:r>
        <w:rPr>
          <w:rFonts w:ascii="Arial" w:hAnsi="Arial" w:cs="Arial"/>
        </w:rPr>
        <w:t xml:space="preserve"> </w:t>
      </w:r>
      <w:r w:rsidRPr="006B0882">
        <w:rPr>
          <w:rFonts w:ascii="Arial" w:hAnsi="Arial" w:cs="Arial"/>
        </w:rPr>
        <w:t>were comprehensively reviewed and updated in 2021</w:t>
      </w:r>
      <w:r>
        <w:rPr>
          <w:rFonts w:ascii="Arial" w:hAnsi="Arial" w:cs="Arial"/>
        </w:rPr>
        <w:t xml:space="preserve"> in Ordinance 19384. The 2021 CPPs </w:t>
      </w:r>
      <w:r w:rsidRPr="002A691B">
        <w:rPr>
          <w:rFonts w:ascii="Arial" w:hAnsi="Arial" w:cs="Arial"/>
        </w:rPr>
        <w:t>established 2019-2044 growth targets for King County jurisdictions in Table DP-1</w:t>
      </w:r>
      <w:r>
        <w:rPr>
          <w:rFonts w:ascii="Arial" w:hAnsi="Arial" w:cs="Arial"/>
        </w:rPr>
        <w:t xml:space="preserve">.  The growth targets were amended in 2023 in </w:t>
      </w:r>
      <w:r w:rsidRPr="00454A0D">
        <w:rPr>
          <w:rFonts w:ascii="Arial" w:hAnsi="Arial" w:cs="Arial"/>
        </w:rPr>
        <w:t>Ordinance 19660</w:t>
      </w:r>
      <w:r>
        <w:rPr>
          <w:rFonts w:ascii="Arial" w:hAnsi="Arial" w:cs="Arial"/>
        </w:rPr>
        <w:t xml:space="preserve"> to</w:t>
      </w:r>
      <w:r w:rsidRPr="00454A0D">
        <w:rPr>
          <w:rFonts w:ascii="Arial" w:hAnsi="Arial" w:cs="Arial"/>
        </w:rPr>
        <w:t xml:space="preserve"> establish jurisdictional housing need values commensurate to growth targets.</w:t>
      </w:r>
      <w:r w:rsidR="00974B19">
        <w:rPr>
          <w:rFonts w:ascii="Arial" w:hAnsi="Arial" w:cs="Arial"/>
        </w:rPr>
        <w:t xml:space="preserve"> Policy DP-13 of the CPPs tasks GMPC with u</w:t>
      </w:r>
      <w:r w:rsidR="00974B19" w:rsidRPr="00974B19">
        <w:rPr>
          <w:rFonts w:ascii="Arial" w:hAnsi="Arial" w:cs="Arial"/>
        </w:rPr>
        <w:t>pdat</w:t>
      </w:r>
      <w:r w:rsidR="00974B19">
        <w:rPr>
          <w:rFonts w:ascii="Arial" w:hAnsi="Arial" w:cs="Arial"/>
        </w:rPr>
        <w:t>ing</w:t>
      </w:r>
      <w:r w:rsidR="00974B19" w:rsidRPr="00974B19">
        <w:rPr>
          <w:rFonts w:ascii="Arial" w:hAnsi="Arial" w:cs="Arial"/>
        </w:rPr>
        <w:t xml:space="preserve"> housing and employment growth targets and housing needs periodically to provide jurisdictions with up-to-date growth allocations to be used as the land use assumption in state-mandated comprehensive plan updates</w:t>
      </w:r>
      <w:r w:rsidR="00974B19">
        <w:rPr>
          <w:rFonts w:ascii="Arial" w:hAnsi="Arial" w:cs="Arial"/>
        </w:rPr>
        <w:t>.</w:t>
      </w:r>
    </w:p>
    <w:p w14:paraId="0F3B6F89" w14:textId="77777777" w:rsidR="004619D1" w:rsidRDefault="004619D1" w:rsidP="004619D1">
      <w:pPr>
        <w:jc w:val="both"/>
        <w:rPr>
          <w:rFonts w:ascii="Arial" w:hAnsi="Arial" w:cs="Arial"/>
        </w:rPr>
      </w:pPr>
    </w:p>
    <w:p w14:paraId="69D93E48" w14:textId="19794025" w:rsidR="004619D1" w:rsidRDefault="00C6496A" w:rsidP="004619D1">
      <w:pPr>
        <w:jc w:val="both"/>
        <w:rPr>
          <w:rFonts w:ascii="Arial" w:hAnsi="Arial" w:cs="Arial"/>
        </w:rPr>
      </w:pPr>
      <w:r>
        <w:rPr>
          <w:rFonts w:ascii="Arial" w:hAnsi="Arial" w:cs="Arial"/>
        </w:rPr>
        <w:t>Allocations are made to both cities and u</w:t>
      </w:r>
      <w:r w:rsidR="00CC08B7">
        <w:rPr>
          <w:rFonts w:ascii="Arial" w:hAnsi="Arial" w:cs="Arial"/>
        </w:rPr>
        <w:t>rban u</w:t>
      </w:r>
      <w:r>
        <w:rPr>
          <w:rFonts w:ascii="Arial" w:hAnsi="Arial" w:cs="Arial"/>
        </w:rPr>
        <w:t xml:space="preserve">nincorporated areas. In </w:t>
      </w:r>
      <w:r w:rsidR="00CC08B7">
        <w:rPr>
          <w:rFonts w:ascii="Arial" w:hAnsi="Arial" w:cs="Arial"/>
        </w:rPr>
        <w:t xml:space="preserve">urban </w:t>
      </w:r>
      <w:r>
        <w:rPr>
          <w:rFonts w:ascii="Arial" w:hAnsi="Arial" w:cs="Arial"/>
        </w:rPr>
        <w:t xml:space="preserve">unincorporated areas, </w:t>
      </w:r>
      <w:r w:rsidR="00A35C88">
        <w:rPr>
          <w:rFonts w:ascii="Arial" w:hAnsi="Arial" w:cs="Arial"/>
        </w:rPr>
        <w:t xml:space="preserve">growth is allocated to specific </w:t>
      </w:r>
      <w:r w:rsidR="003572B5">
        <w:rPr>
          <w:rFonts w:ascii="Arial" w:hAnsi="Arial" w:cs="Arial"/>
        </w:rPr>
        <w:t xml:space="preserve">cities' </w:t>
      </w:r>
      <w:r w:rsidR="00ED3202">
        <w:rPr>
          <w:rFonts w:ascii="Arial" w:hAnsi="Arial" w:cs="Arial"/>
        </w:rPr>
        <w:t>PAAs</w:t>
      </w:r>
      <w:r w:rsidR="00E23BE3">
        <w:rPr>
          <w:rFonts w:ascii="Arial" w:hAnsi="Arial" w:cs="Arial"/>
        </w:rPr>
        <w:t>,</w:t>
      </w:r>
      <w:r w:rsidR="0042200C">
        <w:rPr>
          <w:rFonts w:ascii="Arial" w:hAnsi="Arial" w:cs="Arial"/>
        </w:rPr>
        <w:t xml:space="preserve"> as well as to the</w:t>
      </w:r>
      <w:r w:rsidR="00C57504">
        <w:rPr>
          <w:rFonts w:ascii="Arial" w:hAnsi="Arial" w:cs="Arial"/>
        </w:rPr>
        <w:t xml:space="preserve"> "Unaffiliated </w:t>
      </w:r>
      <w:r w:rsidR="00102361">
        <w:rPr>
          <w:rFonts w:ascii="Arial" w:hAnsi="Arial" w:cs="Arial"/>
        </w:rPr>
        <w:t xml:space="preserve"> Urban </w:t>
      </w:r>
      <w:r w:rsidR="00C57504">
        <w:rPr>
          <w:rFonts w:ascii="Arial" w:hAnsi="Arial" w:cs="Arial"/>
        </w:rPr>
        <w:t>Unincorporated</w:t>
      </w:r>
      <w:r w:rsidR="00102361">
        <w:rPr>
          <w:rFonts w:ascii="Arial" w:hAnsi="Arial" w:cs="Arial"/>
        </w:rPr>
        <w:t>"</w:t>
      </w:r>
      <w:r w:rsidR="00C57504">
        <w:rPr>
          <w:rFonts w:ascii="Arial" w:hAnsi="Arial" w:cs="Arial"/>
        </w:rPr>
        <w:t xml:space="preserve"> </w:t>
      </w:r>
      <w:r w:rsidR="00102361">
        <w:rPr>
          <w:rFonts w:ascii="Arial" w:hAnsi="Arial" w:cs="Arial"/>
        </w:rPr>
        <w:t>area</w:t>
      </w:r>
      <w:r w:rsidR="0042200C">
        <w:rPr>
          <w:rFonts w:ascii="Arial" w:hAnsi="Arial" w:cs="Arial"/>
        </w:rPr>
        <w:t xml:space="preserve"> – that is,</w:t>
      </w:r>
      <w:r w:rsidR="00102361">
        <w:rPr>
          <w:rFonts w:ascii="Arial" w:hAnsi="Arial" w:cs="Arial"/>
        </w:rPr>
        <w:t xml:space="preserve"> urban unincorporated areas that have not been identified for future annexation.</w:t>
      </w:r>
      <w:r w:rsidR="00114FD6">
        <w:rPr>
          <w:rFonts w:ascii="Arial" w:hAnsi="Arial" w:cs="Arial"/>
        </w:rPr>
        <w:t xml:space="preserve"> These areas are shown in </w:t>
      </w:r>
      <w:r w:rsidR="003C32E0">
        <w:rPr>
          <w:rFonts w:ascii="Arial" w:hAnsi="Arial" w:cs="Arial"/>
        </w:rPr>
        <w:t xml:space="preserve">Attachment </w:t>
      </w:r>
      <w:r w:rsidR="00760EE4">
        <w:rPr>
          <w:rFonts w:ascii="Arial" w:hAnsi="Arial" w:cs="Arial"/>
        </w:rPr>
        <w:t>4</w:t>
      </w:r>
      <w:r w:rsidR="00DE3194">
        <w:rPr>
          <w:rFonts w:ascii="Arial" w:hAnsi="Arial" w:cs="Arial"/>
        </w:rPr>
        <w:t xml:space="preserve"> to this staff report, with teal areas representing </w:t>
      </w:r>
      <w:r w:rsidR="009A1DAF">
        <w:rPr>
          <w:rFonts w:ascii="Arial" w:hAnsi="Arial" w:cs="Arial"/>
        </w:rPr>
        <w:t xml:space="preserve">cities' </w:t>
      </w:r>
      <w:r w:rsidR="00DE3194">
        <w:rPr>
          <w:rFonts w:ascii="Arial" w:hAnsi="Arial" w:cs="Arial"/>
        </w:rPr>
        <w:t xml:space="preserve">PAAs and orange areas representing </w:t>
      </w:r>
      <w:r w:rsidR="00D86E59">
        <w:rPr>
          <w:rFonts w:ascii="Arial" w:hAnsi="Arial" w:cs="Arial"/>
        </w:rPr>
        <w:t>Unaffiliated Urban Unincorporated</w:t>
      </w:r>
      <w:r w:rsidR="00114FD6">
        <w:rPr>
          <w:rFonts w:ascii="Arial" w:hAnsi="Arial" w:cs="Arial"/>
        </w:rPr>
        <w:t xml:space="preserve">. </w:t>
      </w:r>
    </w:p>
    <w:p w14:paraId="38EAC3ED" w14:textId="77777777" w:rsidR="004619D1" w:rsidRDefault="004619D1" w:rsidP="004619D1">
      <w:pPr>
        <w:jc w:val="both"/>
        <w:rPr>
          <w:rFonts w:ascii="Arial" w:hAnsi="Arial" w:cs="Arial"/>
        </w:rPr>
      </w:pPr>
    </w:p>
    <w:p w14:paraId="123838D2" w14:textId="20D3F67D" w:rsidR="00AB5DB0" w:rsidRDefault="005C43E4" w:rsidP="004619D1">
      <w:pPr>
        <w:jc w:val="both"/>
        <w:rPr>
          <w:rFonts w:ascii="Arial" w:hAnsi="Arial" w:cs="Arial"/>
        </w:rPr>
      </w:pPr>
      <w:r>
        <w:rPr>
          <w:rFonts w:ascii="Arial" w:hAnsi="Arial" w:cs="Arial"/>
          <w:b/>
          <w:bCs/>
        </w:rPr>
        <w:t xml:space="preserve">Updated </w:t>
      </w:r>
      <w:r w:rsidR="00E65C15">
        <w:rPr>
          <w:rFonts w:ascii="Arial" w:hAnsi="Arial" w:cs="Arial"/>
          <w:b/>
          <w:bCs/>
        </w:rPr>
        <w:t>Growth Targets</w:t>
      </w:r>
      <w:r w:rsidR="00C12312">
        <w:rPr>
          <w:rFonts w:ascii="Arial" w:hAnsi="Arial" w:cs="Arial"/>
          <w:b/>
          <w:bCs/>
        </w:rPr>
        <w:t xml:space="preserve"> and Identification of Capacity Mismatch</w:t>
      </w:r>
      <w:r w:rsidR="00E65C15">
        <w:rPr>
          <w:rFonts w:ascii="Arial" w:hAnsi="Arial" w:cs="Arial"/>
          <w:b/>
          <w:bCs/>
        </w:rPr>
        <w:t xml:space="preserve">. </w:t>
      </w:r>
      <w:r w:rsidR="00355303">
        <w:rPr>
          <w:rFonts w:ascii="Arial" w:hAnsi="Arial" w:cs="Arial"/>
        </w:rPr>
        <w:t xml:space="preserve">The growth targets in the CPPs were informed by the </w:t>
      </w:r>
      <w:r w:rsidR="00114FD6">
        <w:rPr>
          <w:rFonts w:ascii="Arial" w:hAnsi="Arial" w:cs="Arial"/>
        </w:rPr>
        <w:t xml:space="preserve">2021 Urban Growth Capacity Report (Attachment </w:t>
      </w:r>
      <w:r w:rsidR="00760EE4">
        <w:rPr>
          <w:rFonts w:ascii="Arial" w:hAnsi="Arial" w:cs="Arial"/>
        </w:rPr>
        <w:t>5</w:t>
      </w:r>
      <w:r w:rsidR="00114FD6">
        <w:rPr>
          <w:rFonts w:ascii="Arial" w:hAnsi="Arial" w:cs="Arial"/>
        </w:rPr>
        <w:t>)</w:t>
      </w:r>
      <w:r w:rsidR="00E009F6">
        <w:rPr>
          <w:rFonts w:ascii="Arial" w:hAnsi="Arial" w:cs="Arial"/>
        </w:rPr>
        <w:t xml:space="preserve">. </w:t>
      </w:r>
      <w:r w:rsidR="00117AF3">
        <w:rPr>
          <w:rFonts w:ascii="Arial" w:hAnsi="Arial" w:cs="Arial"/>
        </w:rPr>
        <w:t xml:space="preserve">A </w:t>
      </w:r>
      <w:r w:rsidR="00361E57">
        <w:rPr>
          <w:rFonts w:ascii="Arial" w:hAnsi="Arial" w:cs="Arial"/>
        </w:rPr>
        <w:t>subsequent</w:t>
      </w:r>
      <w:r w:rsidR="00117AF3">
        <w:rPr>
          <w:rFonts w:ascii="Arial" w:hAnsi="Arial" w:cs="Arial"/>
        </w:rPr>
        <w:t xml:space="preserve"> report (Attachment </w:t>
      </w:r>
      <w:r w:rsidR="00760EE4">
        <w:rPr>
          <w:rFonts w:ascii="Arial" w:hAnsi="Arial" w:cs="Arial"/>
        </w:rPr>
        <w:t>6</w:t>
      </w:r>
      <w:r w:rsidR="00117AF3">
        <w:rPr>
          <w:rFonts w:ascii="Arial" w:hAnsi="Arial" w:cs="Arial"/>
        </w:rPr>
        <w:t>) developed in support of the 2024 KCCP</w:t>
      </w:r>
      <w:r w:rsidR="006A54A7">
        <w:rPr>
          <w:rFonts w:ascii="Arial" w:hAnsi="Arial" w:cs="Arial"/>
        </w:rPr>
        <w:t xml:space="preserve"> confirmed that </w:t>
      </w:r>
      <w:r w:rsidR="00B83773">
        <w:rPr>
          <w:rFonts w:ascii="Arial" w:hAnsi="Arial" w:cs="Arial"/>
        </w:rPr>
        <w:t xml:space="preserve">urban </w:t>
      </w:r>
      <w:r w:rsidR="007D315B">
        <w:rPr>
          <w:rFonts w:ascii="Arial" w:hAnsi="Arial" w:cs="Arial"/>
        </w:rPr>
        <w:t>unincorporated</w:t>
      </w:r>
      <w:r w:rsidR="00B83773">
        <w:rPr>
          <w:rFonts w:ascii="Arial" w:hAnsi="Arial" w:cs="Arial"/>
        </w:rPr>
        <w:t xml:space="preserve"> </w:t>
      </w:r>
      <w:r w:rsidR="006A54A7">
        <w:rPr>
          <w:rFonts w:ascii="Arial" w:hAnsi="Arial" w:cs="Arial"/>
        </w:rPr>
        <w:t xml:space="preserve">King County had sufficient residential capacity </w:t>
      </w:r>
      <w:r w:rsidR="00B83773">
        <w:rPr>
          <w:rFonts w:ascii="Arial" w:hAnsi="Arial" w:cs="Arial"/>
        </w:rPr>
        <w:t>between the PAAs and Unaffiliated Urban Unincorporated areas to accommodate its growth</w:t>
      </w:r>
      <w:r w:rsidR="00FD1661">
        <w:rPr>
          <w:rFonts w:ascii="Arial" w:hAnsi="Arial" w:cs="Arial"/>
        </w:rPr>
        <w:t xml:space="preserve"> targets. However, further analysis undertaken by the Executive into</w:t>
      </w:r>
      <w:r w:rsidR="00361E57">
        <w:rPr>
          <w:rFonts w:ascii="Arial" w:hAnsi="Arial" w:cs="Arial"/>
        </w:rPr>
        <w:t xml:space="preserve"> the capacity of</w:t>
      </w:r>
      <w:r w:rsidR="00FD1661">
        <w:rPr>
          <w:rFonts w:ascii="Arial" w:hAnsi="Arial" w:cs="Arial"/>
        </w:rPr>
        <w:t xml:space="preserve"> each individual PAA indicated that the Black </w:t>
      </w:r>
      <w:r w:rsidR="007D315B">
        <w:rPr>
          <w:rFonts w:ascii="Arial" w:hAnsi="Arial" w:cs="Arial"/>
        </w:rPr>
        <w:t>Diamond PAA only ha</w:t>
      </w:r>
      <w:r w:rsidR="00361E57">
        <w:rPr>
          <w:rFonts w:ascii="Arial" w:hAnsi="Arial" w:cs="Arial"/>
        </w:rPr>
        <w:t>d capacity for 200 units,</w:t>
      </w:r>
      <w:r w:rsidR="00EA45E9">
        <w:rPr>
          <w:rFonts w:ascii="Arial" w:hAnsi="Arial" w:cs="Arial"/>
        </w:rPr>
        <w:t xml:space="preserve"> not 328 as identified in Table DP-1 of the CPPs.</w:t>
      </w:r>
      <w:r w:rsidR="00E65C15">
        <w:rPr>
          <w:rFonts w:ascii="Arial" w:hAnsi="Arial" w:cs="Arial"/>
        </w:rPr>
        <w:t xml:space="preserve"> The 2024 KCCP identified this issue and stated that "</w:t>
      </w:r>
      <w:r w:rsidR="00DD7325" w:rsidRPr="00DD7325">
        <w:rPr>
          <w:rFonts w:ascii="Arial" w:hAnsi="Arial" w:cs="Arial"/>
        </w:rPr>
        <w:t>King County continues to</w:t>
      </w:r>
      <w:r w:rsidR="00DD7325">
        <w:rPr>
          <w:rFonts w:ascii="Arial" w:hAnsi="Arial" w:cs="Arial"/>
        </w:rPr>
        <w:t xml:space="preserve"> </w:t>
      </w:r>
      <w:r w:rsidR="00DD7325" w:rsidRPr="00DD7325">
        <w:rPr>
          <w:rFonts w:ascii="Arial" w:hAnsi="Arial" w:cs="Arial"/>
        </w:rPr>
        <w:t>work with the Growth Management Planning Council to reallocate targets within urban</w:t>
      </w:r>
      <w:r w:rsidR="00DD7325">
        <w:rPr>
          <w:rFonts w:ascii="Arial" w:hAnsi="Arial" w:cs="Arial"/>
        </w:rPr>
        <w:t xml:space="preserve"> </w:t>
      </w:r>
      <w:r w:rsidR="00DD7325" w:rsidRPr="00DD7325">
        <w:rPr>
          <w:rFonts w:ascii="Arial" w:hAnsi="Arial" w:cs="Arial"/>
        </w:rPr>
        <w:t>unincorporated King County to address this</w:t>
      </w:r>
      <w:r w:rsidR="00DD7325">
        <w:rPr>
          <w:rFonts w:ascii="Arial" w:hAnsi="Arial" w:cs="Arial"/>
        </w:rPr>
        <w:t xml:space="preserve"> </w:t>
      </w:r>
      <w:r w:rsidR="00DD7325" w:rsidRPr="00DD7325">
        <w:rPr>
          <w:rFonts w:ascii="Arial" w:hAnsi="Arial" w:cs="Arial"/>
        </w:rPr>
        <w:t>deficit, in a manner consistent with</w:t>
      </w:r>
      <w:r w:rsidR="00DD7325">
        <w:rPr>
          <w:rFonts w:ascii="Arial" w:hAnsi="Arial" w:cs="Arial"/>
        </w:rPr>
        <w:t xml:space="preserve"> </w:t>
      </w:r>
      <w:r w:rsidR="00DD7325" w:rsidRPr="00DD7325">
        <w:rPr>
          <w:rFonts w:ascii="Arial" w:hAnsi="Arial" w:cs="Arial"/>
        </w:rPr>
        <w:t xml:space="preserve">planning goals and the </w:t>
      </w:r>
      <w:r w:rsidR="00DD7325" w:rsidRPr="00DD7325">
        <w:rPr>
          <w:rFonts w:ascii="Arial" w:hAnsi="Arial" w:cs="Arial"/>
        </w:rPr>
        <w:lastRenderedPageBreak/>
        <w:t>VISION 2050 Regional Growth Strategy.</w:t>
      </w:r>
      <w:r w:rsidR="00DD7325">
        <w:rPr>
          <w:rFonts w:ascii="Arial" w:hAnsi="Arial" w:cs="Arial"/>
        </w:rPr>
        <w:t>"</w:t>
      </w:r>
      <w:r w:rsidR="006E2ABB">
        <w:rPr>
          <w:rFonts w:ascii="Arial" w:hAnsi="Arial" w:cs="Arial"/>
        </w:rPr>
        <w:t xml:space="preserve"> PSRC, in its certification report, encouraged King County to </w:t>
      </w:r>
      <w:r w:rsidR="003B679E">
        <w:rPr>
          <w:rFonts w:ascii="Arial" w:hAnsi="Arial" w:cs="Arial"/>
        </w:rPr>
        <w:t>"promptly follow through with this commitment."</w:t>
      </w:r>
      <w:r w:rsidR="003B679E" w:rsidRPr="003B679E">
        <w:rPr>
          <w:rStyle w:val="FootnoteReference"/>
          <w:rFonts w:ascii="Arial" w:hAnsi="Arial" w:cs="Arial"/>
        </w:rPr>
        <w:t xml:space="preserve"> </w:t>
      </w:r>
      <w:r w:rsidR="003B679E">
        <w:rPr>
          <w:rStyle w:val="FootnoteReference"/>
          <w:rFonts w:ascii="Arial" w:hAnsi="Arial" w:cs="Arial"/>
        </w:rPr>
        <w:footnoteReference w:id="2"/>
      </w:r>
    </w:p>
    <w:p w14:paraId="0E1D471B" w14:textId="77777777" w:rsidR="00B72F33" w:rsidRDefault="00B72F33" w:rsidP="00B72F33">
      <w:pPr>
        <w:jc w:val="both"/>
        <w:rPr>
          <w:rFonts w:ascii="Arial" w:hAnsi="Arial" w:cs="Arial"/>
        </w:rPr>
      </w:pPr>
    </w:p>
    <w:p w14:paraId="338E653B" w14:textId="751BDE2D" w:rsidR="00517043" w:rsidRDefault="00517043" w:rsidP="00B72F33">
      <w:pPr>
        <w:jc w:val="both"/>
        <w:rPr>
          <w:rFonts w:ascii="Arial" w:hAnsi="Arial" w:cs="Arial"/>
        </w:rPr>
      </w:pPr>
      <w:r>
        <w:rPr>
          <w:rFonts w:ascii="Arial" w:hAnsi="Arial" w:cs="Arial"/>
          <w:b/>
          <w:bCs/>
        </w:rPr>
        <w:t xml:space="preserve">GMPC Recommendation. </w:t>
      </w:r>
      <w:r w:rsidR="0085098E">
        <w:rPr>
          <w:rFonts w:ascii="Arial" w:hAnsi="Arial" w:cs="Arial"/>
        </w:rPr>
        <w:t xml:space="preserve">In 2025, </w:t>
      </w:r>
      <w:r w:rsidR="008A71F3">
        <w:rPr>
          <w:rFonts w:ascii="Arial" w:hAnsi="Arial" w:cs="Arial"/>
        </w:rPr>
        <w:t>The King County Interjurisdictional Team</w:t>
      </w:r>
      <w:r w:rsidR="005A1A7B">
        <w:rPr>
          <w:rFonts w:ascii="Arial" w:hAnsi="Arial" w:cs="Arial"/>
        </w:rPr>
        <w:t xml:space="preserve">, which advises the GMPC, </w:t>
      </w:r>
      <w:r w:rsidR="000F6A39">
        <w:rPr>
          <w:rFonts w:ascii="Arial" w:hAnsi="Arial" w:cs="Arial"/>
        </w:rPr>
        <w:t>analyzed this issue and recommended that the GMPC resolve the capacity mismatch by redistributing 12</w:t>
      </w:r>
      <w:r w:rsidR="00C110B9">
        <w:rPr>
          <w:rFonts w:ascii="Arial" w:hAnsi="Arial" w:cs="Arial"/>
        </w:rPr>
        <w:t>8</w:t>
      </w:r>
      <w:r w:rsidR="000F6A39">
        <w:rPr>
          <w:rFonts w:ascii="Arial" w:hAnsi="Arial" w:cs="Arial"/>
        </w:rPr>
        <w:t xml:space="preserve"> housing units of urban unincorporated King County growth from the Black Diamond PAA to the </w:t>
      </w:r>
      <w:r w:rsidR="00622301">
        <w:rPr>
          <w:rFonts w:ascii="Arial" w:hAnsi="Arial" w:cs="Arial"/>
        </w:rPr>
        <w:t>Unaffiliated Urban Unincorporated area</w:t>
      </w:r>
      <w:r w:rsidR="001D730B">
        <w:rPr>
          <w:rFonts w:ascii="Arial" w:hAnsi="Arial" w:cs="Arial"/>
        </w:rPr>
        <w:t xml:space="preserve">, noting that the </w:t>
      </w:r>
      <w:r w:rsidR="00B40E2E">
        <w:rPr>
          <w:rFonts w:ascii="Arial" w:hAnsi="Arial" w:cs="Arial"/>
        </w:rPr>
        <w:t>Unaffiliated</w:t>
      </w:r>
      <w:r w:rsidR="001D730B">
        <w:rPr>
          <w:rFonts w:ascii="Arial" w:hAnsi="Arial" w:cs="Arial"/>
        </w:rPr>
        <w:t xml:space="preserve"> Urban Unincorporated area has "</w:t>
      </w:r>
      <w:r w:rsidR="001D730B" w:rsidRPr="001D730B">
        <w:rPr>
          <w:rFonts w:ascii="Arial" w:hAnsi="Arial" w:cs="Arial"/>
        </w:rPr>
        <w:t>the greatest share of residential capacity within urban unincorporated King County and have capacity to accommodate the target increase, particularly in southern King County, maintaining 45 growth allocated to that portion of the Urban Growth Area in the growth targets</w:t>
      </w:r>
      <w:r w:rsidR="001D730B">
        <w:rPr>
          <w:rFonts w:ascii="Arial" w:hAnsi="Arial" w:cs="Arial"/>
        </w:rPr>
        <w:t>."</w:t>
      </w:r>
      <w:r w:rsidR="001D730B">
        <w:rPr>
          <w:rStyle w:val="FootnoteReference"/>
          <w:rFonts w:ascii="Arial" w:hAnsi="Arial" w:cs="Arial"/>
        </w:rPr>
        <w:footnoteReference w:id="3"/>
      </w:r>
      <w:r w:rsidR="001D730B">
        <w:rPr>
          <w:rFonts w:ascii="Arial" w:hAnsi="Arial" w:cs="Arial"/>
        </w:rPr>
        <w:t xml:space="preserve"> GMPC Passed Motion 25-3</w:t>
      </w:r>
      <w:r w:rsidR="00623AC4">
        <w:rPr>
          <w:rFonts w:ascii="Arial" w:hAnsi="Arial" w:cs="Arial"/>
        </w:rPr>
        <w:t xml:space="preserve"> (Attachment A</w:t>
      </w:r>
      <w:r w:rsidR="009805DC">
        <w:rPr>
          <w:rFonts w:ascii="Arial" w:hAnsi="Arial" w:cs="Arial"/>
        </w:rPr>
        <w:t xml:space="preserve"> to the proposed ordinance)</w:t>
      </w:r>
      <w:r w:rsidR="00700A63">
        <w:rPr>
          <w:rFonts w:ascii="Arial" w:hAnsi="Arial" w:cs="Arial"/>
        </w:rPr>
        <w:t>, which recommended th</w:t>
      </w:r>
      <w:r w:rsidR="00B40E2E">
        <w:rPr>
          <w:rFonts w:ascii="Arial" w:hAnsi="Arial" w:cs="Arial"/>
        </w:rPr>
        <w:t xml:space="preserve">is redistribution, </w:t>
      </w:r>
      <w:r w:rsidR="00623AC4">
        <w:rPr>
          <w:rFonts w:ascii="Arial" w:hAnsi="Arial" w:cs="Arial"/>
        </w:rPr>
        <w:t>in its November 19, 2025 meeting.</w:t>
      </w:r>
      <w:r w:rsidR="00DA4576">
        <w:rPr>
          <w:rFonts w:ascii="Arial" w:hAnsi="Arial" w:cs="Arial"/>
        </w:rPr>
        <w:t xml:space="preserve"> </w:t>
      </w:r>
      <w:r w:rsidR="00DE4123">
        <w:rPr>
          <w:rFonts w:ascii="Arial" w:hAnsi="Arial" w:cs="Arial"/>
        </w:rPr>
        <w:t xml:space="preserve">GMPC Motions </w:t>
      </w:r>
      <w:r w:rsidR="00DA4576">
        <w:rPr>
          <w:rFonts w:ascii="Arial" w:hAnsi="Arial" w:cs="Arial"/>
        </w:rPr>
        <w:t>are a recommendation to the King County Council.</w:t>
      </w:r>
    </w:p>
    <w:p w14:paraId="7F47662A" w14:textId="77777777" w:rsidR="00DE4123" w:rsidRDefault="00DE4123" w:rsidP="00B72F33">
      <w:pPr>
        <w:jc w:val="both"/>
        <w:rPr>
          <w:rFonts w:ascii="Arial" w:hAnsi="Arial" w:cs="Arial"/>
        </w:rPr>
      </w:pPr>
    </w:p>
    <w:p w14:paraId="39E41A9E" w14:textId="77777777" w:rsidR="00DE4123" w:rsidRDefault="00DE4123" w:rsidP="00DE4123">
      <w:pPr>
        <w:jc w:val="both"/>
        <w:rPr>
          <w:rFonts w:ascii="Arial" w:hAnsi="Arial" w:cs="Arial"/>
        </w:rPr>
      </w:pPr>
      <w:r w:rsidRPr="008C1DE5">
        <w:rPr>
          <w:rFonts w:ascii="Arial" w:hAnsi="Arial" w:cs="Arial"/>
        </w:rPr>
        <w:t xml:space="preserve">Amendments to the CPPs become effective </w:t>
      </w:r>
      <w:r>
        <w:rPr>
          <w:rFonts w:ascii="Arial" w:hAnsi="Arial" w:cs="Arial"/>
        </w:rPr>
        <w:t xml:space="preserve">when the County adopts an Ordinance and </w:t>
      </w:r>
      <w:r w:rsidRPr="008C1DE5">
        <w:rPr>
          <w:rFonts w:ascii="Arial" w:hAnsi="Arial" w:cs="Arial"/>
        </w:rPr>
        <w:t xml:space="preserve">when </w:t>
      </w:r>
      <w:r>
        <w:rPr>
          <w:rFonts w:ascii="Arial" w:hAnsi="Arial" w:cs="Arial"/>
        </w:rPr>
        <w:t xml:space="preserve">the Ordinance is </w:t>
      </w:r>
      <w:r w:rsidRPr="008C1DE5">
        <w:rPr>
          <w:rFonts w:ascii="Arial" w:hAnsi="Arial" w:cs="Arial"/>
        </w:rPr>
        <w:t xml:space="preserve">ratified by at least 30% of the city and county governments representing at least 70% of the population of King County. A city </w:t>
      </w:r>
      <w:r>
        <w:rPr>
          <w:rFonts w:ascii="Arial" w:hAnsi="Arial" w:cs="Arial"/>
        </w:rPr>
        <w:t>is</w:t>
      </w:r>
      <w:r w:rsidRPr="008C1DE5">
        <w:rPr>
          <w:rFonts w:ascii="Arial" w:hAnsi="Arial" w:cs="Arial"/>
        </w:rPr>
        <w:t xml:space="preserve"> deemed to have ratified an amendment to the CPPs unless the city disapproves it by legislative action within 90 days of adoption by King County.</w:t>
      </w:r>
    </w:p>
    <w:p w14:paraId="2B23FBE6" w14:textId="77777777" w:rsidR="00575B03" w:rsidRDefault="00575B03" w:rsidP="005B478C">
      <w:pPr>
        <w:jc w:val="both"/>
        <w:rPr>
          <w:rFonts w:ascii="Arial" w:hAnsi="Arial" w:cs="Arial"/>
        </w:rPr>
      </w:pPr>
    </w:p>
    <w:p w14:paraId="1E83711C"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33970EBF" w14:textId="77777777" w:rsidR="00074A56" w:rsidRDefault="00074A56" w:rsidP="005B478C">
      <w:pPr>
        <w:jc w:val="both"/>
        <w:rPr>
          <w:rFonts w:ascii="Arial" w:hAnsi="Arial" w:cs="Arial"/>
        </w:rPr>
      </w:pPr>
    </w:p>
    <w:p w14:paraId="0BFC9B1C" w14:textId="0279730A" w:rsidR="00D1641D" w:rsidRDefault="007970A0" w:rsidP="00067D3F">
      <w:pPr>
        <w:pStyle w:val="BodyText"/>
        <w:jc w:val="both"/>
        <w:rPr>
          <w:rFonts w:ascii="Arial" w:hAnsi="Arial" w:cs="Arial"/>
          <w:bCs/>
          <w:i w:val="0"/>
          <w:szCs w:val="24"/>
        </w:rPr>
      </w:pPr>
      <w:r w:rsidRPr="007970A0">
        <w:rPr>
          <w:rFonts w:ascii="Arial" w:hAnsi="Arial" w:cs="Arial"/>
          <w:bCs/>
          <w:i w:val="0"/>
          <w:szCs w:val="24"/>
        </w:rPr>
        <w:t>Proposed Ordinance 202</w:t>
      </w:r>
      <w:r>
        <w:rPr>
          <w:rFonts w:ascii="Arial" w:hAnsi="Arial" w:cs="Arial"/>
          <w:bCs/>
          <w:i w:val="0"/>
          <w:szCs w:val="24"/>
        </w:rPr>
        <w:t>6-0023</w:t>
      </w:r>
      <w:r w:rsidRPr="007970A0">
        <w:rPr>
          <w:rFonts w:ascii="Arial" w:hAnsi="Arial" w:cs="Arial"/>
          <w:bCs/>
          <w:i w:val="0"/>
          <w:szCs w:val="24"/>
        </w:rPr>
        <w:t xml:space="preserve"> would approve amendments to the King County Countywide Planning Policies to</w:t>
      </w:r>
      <w:r>
        <w:rPr>
          <w:rFonts w:ascii="Arial" w:hAnsi="Arial" w:cs="Arial"/>
          <w:bCs/>
          <w:i w:val="0"/>
          <w:szCs w:val="24"/>
        </w:rPr>
        <w:t xml:space="preserve"> </w:t>
      </w:r>
      <w:r w:rsidR="00EE6396">
        <w:rPr>
          <w:rFonts w:ascii="Arial" w:hAnsi="Arial" w:cs="Arial"/>
          <w:bCs/>
          <w:i w:val="0"/>
          <w:szCs w:val="24"/>
        </w:rPr>
        <w:t>redistribute 12</w:t>
      </w:r>
      <w:r w:rsidR="00C110B9">
        <w:rPr>
          <w:rFonts w:ascii="Arial" w:hAnsi="Arial" w:cs="Arial"/>
          <w:bCs/>
          <w:i w:val="0"/>
          <w:szCs w:val="24"/>
        </w:rPr>
        <w:t>8</w:t>
      </w:r>
      <w:r w:rsidR="00EE6396">
        <w:rPr>
          <w:rFonts w:ascii="Arial" w:hAnsi="Arial" w:cs="Arial"/>
          <w:bCs/>
          <w:i w:val="0"/>
          <w:szCs w:val="24"/>
        </w:rPr>
        <w:t xml:space="preserve"> housing units of urban unincorporated King County growth from the Black Diamond PAA to the Unaffiliated </w:t>
      </w:r>
      <w:r w:rsidR="00CB44E4">
        <w:rPr>
          <w:rFonts w:ascii="Arial" w:hAnsi="Arial" w:cs="Arial"/>
          <w:bCs/>
          <w:i w:val="0"/>
          <w:szCs w:val="24"/>
        </w:rPr>
        <w:t xml:space="preserve">Urban Unincorporated area. </w:t>
      </w:r>
      <w:r w:rsidR="00D1641D">
        <w:rPr>
          <w:rFonts w:ascii="Arial" w:hAnsi="Arial" w:cs="Arial"/>
          <w:bCs/>
          <w:i w:val="0"/>
          <w:szCs w:val="24"/>
        </w:rPr>
        <w:t>To achieve this, Table DP-1 of the CPPs would be changed as follows:</w:t>
      </w:r>
    </w:p>
    <w:p w14:paraId="624CFCCE" w14:textId="77777777" w:rsidR="005B28F2" w:rsidRDefault="005B28F2" w:rsidP="00067D3F">
      <w:pPr>
        <w:pStyle w:val="BodyText"/>
        <w:jc w:val="both"/>
        <w:rPr>
          <w:rFonts w:ascii="Arial" w:hAnsi="Arial" w:cs="Arial"/>
          <w:bCs/>
          <w:i w:val="0"/>
          <w:szCs w:val="24"/>
        </w:rPr>
      </w:pPr>
    </w:p>
    <w:p w14:paraId="26A18678" w14:textId="77777777" w:rsidR="004619D1" w:rsidRDefault="004619D1" w:rsidP="00067D3F">
      <w:pPr>
        <w:pStyle w:val="BodyText"/>
        <w:jc w:val="both"/>
        <w:rPr>
          <w:rFonts w:ascii="Arial" w:hAnsi="Arial" w:cs="Arial"/>
          <w:bCs/>
          <w:i w:val="0"/>
          <w:szCs w:val="24"/>
        </w:rPr>
      </w:pPr>
    </w:p>
    <w:p w14:paraId="136ABC25" w14:textId="77777777" w:rsidR="004619D1" w:rsidRDefault="004619D1" w:rsidP="00067D3F">
      <w:pPr>
        <w:pStyle w:val="BodyText"/>
        <w:jc w:val="both"/>
        <w:rPr>
          <w:rFonts w:ascii="Arial" w:hAnsi="Arial" w:cs="Arial"/>
          <w:bCs/>
          <w:i w:val="0"/>
          <w:szCs w:val="24"/>
        </w:rPr>
      </w:pPr>
    </w:p>
    <w:p w14:paraId="748477B7" w14:textId="77777777" w:rsidR="004619D1" w:rsidRDefault="004619D1" w:rsidP="00067D3F">
      <w:pPr>
        <w:pStyle w:val="BodyText"/>
        <w:jc w:val="both"/>
        <w:rPr>
          <w:rFonts w:ascii="Arial" w:hAnsi="Arial" w:cs="Arial"/>
          <w:bCs/>
          <w:i w:val="0"/>
          <w:szCs w:val="24"/>
        </w:rPr>
      </w:pPr>
    </w:p>
    <w:p w14:paraId="06F1E1F0" w14:textId="77777777" w:rsidR="004619D1" w:rsidRDefault="004619D1" w:rsidP="00067D3F">
      <w:pPr>
        <w:pStyle w:val="BodyText"/>
        <w:jc w:val="both"/>
        <w:rPr>
          <w:rFonts w:ascii="Arial" w:hAnsi="Arial" w:cs="Arial"/>
          <w:bCs/>
          <w:i w:val="0"/>
          <w:szCs w:val="24"/>
        </w:rPr>
      </w:pPr>
    </w:p>
    <w:p w14:paraId="19D7A4CA" w14:textId="77777777" w:rsidR="004619D1" w:rsidRDefault="004619D1" w:rsidP="00067D3F">
      <w:pPr>
        <w:pStyle w:val="BodyText"/>
        <w:jc w:val="both"/>
        <w:rPr>
          <w:rFonts w:ascii="Arial" w:hAnsi="Arial" w:cs="Arial"/>
          <w:bCs/>
          <w:i w:val="0"/>
          <w:szCs w:val="24"/>
        </w:rPr>
      </w:pPr>
    </w:p>
    <w:p w14:paraId="347C4B6A" w14:textId="77777777" w:rsidR="004619D1" w:rsidRDefault="004619D1" w:rsidP="00067D3F">
      <w:pPr>
        <w:pStyle w:val="BodyText"/>
        <w:jc w:val="both"/>
        <w:rPr>
          <w:rFonts w:ascii="Arial" w:hAnsi="Arial" w:cs="Arial"/>
          <w:bCs/>
          <w:i w:val="0"/>
          <w:szCs w:val="24"/>
        </w:rPr>
      </w:pPr>
    </w:p>
    <w:p w14:paraId="2562CE47" w14:textId="77777777" w:rsidR="004619D1" w:rsidRDefault="004619D1" w:rsidP="00067D3F">
      <w:pPr>
        <w:pStyle w:val="BodyText"/>
        <w:jc w:val="both"/>
        <w:rPr>
          <w:rFonts w:ascii="Arial" w:hAnsi="Arial" w:cs="Arial"/>
          <w:bCs/>
          <w:i w:val="0"/>
          <w:szCs w:val="24"/>
        </w:rPr>
      </w:pPr>
    </w:p>
    <w:p w14:paraId="68FBA81A" w14:textId="77777777" w:rsidR="004619D1" w:rsidRDefault="004619D1" w:rsidP="00067D3F">
      <w:pPr>
        <w:pStyle w:val="BodyText"/>
        <w:jc w:val="both"/>
        <w:rPr>
          <w:rFonts w:ascii="Arial" w:hAnsi="Arial" w:cs="Arial"/>
          <w:bCs/>
          <w:i w:val="0"/>
          <w:szCs w:val="24"/>
        </w:rPr>
      </w:pPr>
    </w:p>
    <w:p w14:paraId="7FF1CCFC" w14:textId="77777777" w:rsidR="004619D1" w:rsidRDefault="004619D1" w:rsidP="00067D3F">
      <w:pPr>
        <w:pStyle w:val="BodyText"/>
        <w:jc w:val="both"/>
        <w:rPr>
          <w:rFonts w:ascii="Arial" w:hAnsi="Arial" w:cs="Arial"/>
          <w:bCs/>
          <w:i w:val="0"/>
          <w:szCs w:val="24"/>
        </w:rPr>
      </w:pPr>
    </w:p>
    <w:p w14:paraId="33632AAA" w14:textId="77777777" w:rsidR="004619D1" w:rsidRDefault="004619D1" w:rsidP="00067D3F">
      <w:pPr>
        <w:pStyle w:val="BodyText"/>
        <w:jc w:val="both"/>
        <w:rPr>
          <w:rFonts w:ascii="Arial" w:hAnsi="Arial" w:cs="Arial"/>
          <w:bCs/>
          <w:i w:val="0"/>
          <w:szCs w:val="24"/>
        </w:rPr>
      </w:pPr>
    </w:p>
    <w:p w14:paraId="0E0ED6F2" w14:textId="77777777" w:rsidR="004619D1" w:rsidRDefault="004619D1" w:rsidP="00067D3F">
      <w:pPr>
        <w:pStyle w:val="BodyText"/>
        <w:jc w:val="both"/>
        <w:rPr>
          <w:rFonts w:ascii="Arial" w:hAnsi="Arial" w:cs="Arial"/>
          <w:bCs/>
          <w:i w:val="0"/>
          <w:szCs w:val="24"/>
        </w:rPr>
      </w:pPr>
    </w:p>
    <w:p w14:paraId="69AEFDED" w14:textId="77777777" w:rsidR="004619D1" w:rsidRDefault="004619D1" w:rsidP="00067D3F">
      <w:pPr>
        <w:pStyle w:val="BodyText"/>
        <w:jc w:val="both"/>
        <w:rPr>
          <w:rFonts w:ascii="Arial" w:hAnsi="Arial" w:cs="Arial"/>
          <w:bCs/>
          <w:i w:val="0"/>
          <w:szCs w:val="24"/>
        </w:rPr>
      </w:pPr>
    </w:p>
    <w:p w14:paraId="1C644152" w14:textId="77777777" w:rsidR="004619D1" w:rsidRDefault="004619D1" w:rsidP="00067D3F">
      <w:pPr>
        <w:pStyle w:val="BodyText"/>
        <w:jc w:val="both"/>
        <w:rPr>
          <w:rFonts w:ascii="Arial" w:hAnsi="Arial" w:cs="Arial"/>
          <w:bCs/>
          <w:i w:val="0"/>
          <w:szCs w:val="24"/>
        </w:rPr>
      </w:pPr>
    </w:p>
    <w:p w14:paraId="7963D23B" w14:textId="77777777" w:rsidR="004619D1" w:rsidRDefault="004619D1" w:rsidP="00067D3F">
      <w:pPr>
        <w:pStyle w:val="BodyText"/>
        <w:jc w:val="both"/>
        <w:rPr>
          <w:rFonts w:ascii="Arial" w:hAnsi="Arial" w:cs="Arial"/>
          <w:bCs/>
          <w:i w:val="0"/>
          <w:szCs w:val="24"/>
        </w:rPr>
      </w:pPr>
    </w:p>
    <w:p w14:paraId="5D461488" w14:textId="77777777" w:rsidR="004619D1" w:rsidRDefault="004619D1" w:rsidP="00067D3F">
      <w:pPr>
        <w:pStyle w:val="BodyText"/>
        <w:jc w:val="both"/>
        <w:rPr>
          <w:rFonts w:ascii="Arial" w:hAnsi="Arial" w:cs="Arial"/>
          <w:bCs/>
          <w:i w:val="0"/>
          <w:szCs w:val="24"/>
        </w:rPr>
      </w:pPr>
    </w:p>
    <w:p w14:paraId="4D0A1F26" w14:textId="77777777" w:rsidR="004619D1" w:rsidRDefault="004619D1" w:rsidP="00067D3F">
      <w:pPr>
        <w:pStyle w:val="BodyText"/>
        <w:jc w:val="both"/>
        <w:rPr>
          <w:rFonts w:ascii="Arial" w:hAnsi="Arial" w:cs="Arial"/>
          <w:bCs/>
          <w:i w:val="0"/>
          <w:szCs w:val="24"/>
        </w:rPr>
      </w:pPr>
    </w:p>
    <w:p w14:paraId="48D4FC0D" w14:textId="77777777" w:rsidR="004619D1" w:rsidRDefault="004619D1" w:rsidP="00067D3F">
      <w:pPr>
        <w:pStyle w:val="BodyText"/>
        <w:jc w:val="both"/>
        <w:rPr>
          <w:rFonts w:ascii="Arial" w:hAnsi="Arial" w:cs="Arial"/>
          <w:bCs/>
          <w:i w:val="0"/>
          <w:szCs w:val="24"/>
        </w:rPr>
      </w:pPr>
    </w:p>
    <w:p w14:paraId="152FA58B" w14:textId="77777777" w:rsidR="004619D1" w:rsidRDefault="004619D1" w:rsidP="00067D3F">
      <w:pPr>
        <w:pStyle w:val="BodyText"/>
        <w:jc w:val="both"/>
        <w:rPr>
          <w:rFonts w:ascii="Arial" w:hAnsi="Arial" w:cs="Arial"/>
          <w:bCs/>
          <w:i w:val="0"/>
          <w:szCs w:val="24"/>
        </w:rPr>
      </w:pPr>
    </w:p>
    <w:p w14:paraId="7FDC3242" w14:textId="30558F0A" w:rsidR="005B28F2" w:rsidRPr="005B28F2" w:rsidRDefault="005B28F2" w:rsidP="005B28F2">
      <w:pPr>
        <w:pStyle w:val="BodyText"/>
        <w:jc w:val="center"/>
        <w:rPr>
          <w:rFonts w:ascii="Arial" w:hAnsi="Arial" w:cs="Arial"/>
          <w:b/>
          <w:i w:val="0"/>
          <w:szCs w:val="24"/>
        </w:rPr>
      </w:pPr>
      <w:r>
        <w:rPr>
          <w:rFonts w:ascii="Arial" w:hAnsi="Arial" w:cs="Arial"/>
          <w:b/>
          <w:i w:val="0"/>
          <w:szCs w:val="24"/>
        </w:rPr>
        <w:lastRenderedPageBreak/>
        <w:t>Table 1. Proposed Changes to CPP Table DP-1</w:t>
      </w:r>
    </w:p>
    <w:p w14:paraId="025E6FB3" w14:textId="3DDB8F28" w:rsidR="00D1641D" w:rsidRPr="006A4202" w:rsidRDefault="00F53CBE" w:rsidP="00067D3F">
      <w:pPr>
        <w:pStyle w:val="BodyText"/>
        <w:jc w:val="both"/>
        <w:rPr>
          <w:rFonts w:ascii="Arial" w:hAnsi="Arial" w:cs="Arial"/>
          <w:b/>
          <w:i w:val="0"/>
          <w:szCs w:val="24"/>
        </w:rPr>
      </w:pPr>
      <w:r w:rsidRPr="006A4202">
        <w:rPr>
          <w:rFonts w:ascii="Arial" w:hAnsi="Arial" w:cs="Arial"/>
          <w:b/>
          <w:i w:val="0"/>
          <w:noProof/>
          <w:szCs w:val="24"/>
        </w:rPr>
        <w:drawing>
          <wp:inline distT="0" distB="0" distL="0" distR="0" wp14:anchorId="2B0FCEF8" wp14:editId="41138B77">
            <wp:extent cx="5943600" cy="792480"/>
            <wp:effectExtent l="0" t="0" r="0" b="7620"/>
            <wp:docPr id="447547763"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47763" name="Picture 1" descr="Chart&#10;&#10;AI-generated content may be incorrect."/>
                    <pic:cNvPicPr/>
                  </pic:nvPicPr>
                  <pic:blipFill>
                    <a:blip r:embed="rId11"/>
                    <a:stretch>
                      <a:fillRect/>
                    </a:stretch>
                  </pic:blipFill>
                  <pic:spPr>
                    <a:xfrm>
                      <a:off x="0" y="0"/>
                      <a:ext cx="5943600" cy="792480"/>
                    </a:xfrm>
                    <a:prstGeom prst="rect">
                      <a:avLst/>
                    </a:prstGeom>
                  </pic:spPr>
                </pic:pic>
              </a:graphicData>
            </a:graphic>
          </wp:inline>
        </w:drawing>
      </w:r>
    </w:p>
    <w:p w14:paraId="3B6E9982" w14:textId="61E9A6C2" w:rsidR="00F53CBE" w:rsidRPr="006A4202" w:rsidRDefault="00F53CBE" w:rsidP="00F53CBE">
      <w:pPr>
        <w:pStyle w:val="BodyText"/>
        <w:jc w:val="center"/>
        <w:rPr>
          <w:rFonts w:ascii="Arial" w:hAnsi="Arial" w:cs="Arial"/>
          <w:b/>
          <w:i w:val="0"/>
          <w:szCs w:val="24"/>
        </w:rPr>
      </w:pPr>
      <w:r w:rsidRPr="006A4202">
        <w:rPr>
          <w:rFonts w:ascii="Arial" w:hAnsi="Arial" w:cs="Arial"/>
          <w:b/>
          <w:i w:val="0"/>
          <w:szCs w:val="24"/>
        </w:rPr>
        <w:t>…</w:t>
      </w:r>
    </w:p>
    <w:p w14:paraId="6FAA2113" w14:textId="77777777" w:rsidR="00F53CBE" w:rsidRDefault="00F53CBE" w:rsidP="00067D3F">
      <w:pPr>
        <w:pStyle w:val="BodyText"/>
        <w:jc w:val="both"/>
        <w:rPr>
          <w:rFonts w:ascii="Arial" w:hAnsi="Arial" w:cs="Arial"/>
          <w:bCs/>
          <w:i w:val="0"/>
          <w:szCs w:val="24"/>
        </w:rPr>
      </w:pPr>
    </w:p>
    <w:p w14:paraId="2E2C2879" w14:textId="16675994" w:rsidR="00067D3F" w:rsidRDefault="008B57EB" w:rsidP="00067D3F">
      <w:pPr>
        <w:pStyle w:val="BodyText"/>
        <w:jc w:val="both"/>
        <w:rPr>
          <w:rFonts w:ascii="Arial" w:hAnsi="Arial" w:cs="Arial"/>
          <w:bCs/>
          <w:i w:val="0"/>
          <w:szCs w:val="24"/>
        </w:rPr>
      </w:pPr>
      <w:r w:rsidRPr="008B57EB">
        <w:rPr>
          <w:rFonts w:ascii="Arial" w:hAnsi="Arial" w:cs="Arial"/>
          <w:bCs/>
          <w:i w:val="0"/>
          <w:noProof/>
          <w:szCs w:val="24"/>
        </w:rPr>
        <w:drawing>
          <wp:inline distT="0" distB="0" distL="0" distR="0" wp14:anchorId="15E43798" wp14:editId="17F16E0D">
            <wp:extent cx="5943600" cy="2184703"/>
            <wp:effectExtent l="0" t="0" r="0" b="6350"/>
            <wp:docPr id="1547355539"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55539" name="Picture 1" descr="Table&#10;&#10;AI-generated content may be incorrect."/>
                    <pic:cNvPicPr/>
                  </pic:nvPicPr>
                  <pic:blipFill rotWithShape="1">
                    <a:blip r:embed="rId12"/>
                    <a:srcRect t="8034"/>
                    <a:stretch>
                      <a:fillRect/>
                    </a:stretch>
                  </pic:blipFill>
                  <pic:spPr bwMode="auto">
                    <a:xfrm>
                      <a:off x="0" y="0"/>
                      <a:ext cx="5943600" cy="2184703"/>
                    </a:xfrm>
                    <a:prstGeom prst="rect">
                      <a:avLst/>
                    </a:prstGeom>
                    <a:ln>
                      <a:noFill/>
                    </a:ln>
                    <a:extLst>
                      <a:ext uri="{53640926-AAD7-44D8-BBD7-CCE9431645EC}">
                        <a14:shadowObscured xmlns:a14="http://schemas.microsoft.com/office/drawing/2010/main"/>
                      </a:ext>
                    </a:extLst>
                  </pic:spPr>
                </pic:pic>
              </a:graphicData>
            </a:graphic>
          </wp:inline>
        </w:drawing>
      </w:r>
      <w:r w:rsidR="00D1641D">
        <w:rPr>
          <w:rFonts w:ascii="Arial" w:hAnsi="Arial" w:cs="Arial"/>
          <w:bCs/>
          <w:i w:val="0"/>
          <w:szCs w:val="24"/>
        </w:rPr>
        <w:t xml:space="preserve"> </w:t>
      </w:r>
    </w:p>
    <w:p w14:paraId="6E61978C" w14:textId="77777777" w:rsidR="007970A0" w:rsidRDefault="007970A0" w:rsidP="00067D3F">
      <w:pPr>
        <w:pStyle w:val="BodyText"/>
        <w:jc w:val="both"/>
        <w:rPr>
          <w:rFonts w:ascii="Arial" w:hAnsi="Arial" w:cs="Arial"/>
          <w:bCs/>
          <w:i w:val="0"/>
          <w:szCs w:val="24"/>
        </w:rPr>
      </w:pPr>
    </w:p>
    <w:p w14:paraId="0F79E80B" w14:textId="16EACBE3" w:rsidR="00F24867" w:rsidRDefault="00F24867" w:rsidP="00067D3F">
      <w:pPr>
        <w:pStyle w:val="BodyText"/>
        <w:jc w:val="both"/>
        <w:rPr>
          <w:rFonts w:ascii="Arial" w:hAnsi="Arial" w:cs="Arial"/>
          <w:bCs/>
          <w:i w:val="0"/>
          <w:szCs w:val="24"/>
        </w:rPr>
      </w:pPr>
      <w:r>
        <w:rPr>
          <w:rFonts w:ascii="Arial" w:hAnsi="Arial" w:cs="Arial"/>
          <w:bCs/>
          <w:i w:val="0"/>
          <w:szCs w:val="24"/>
        </w:rPr>
        <w:t>As</w:t>
      </w:r>
      <w:r w:rsidR="009A1DAF">
        <w:rPr>
          <w:rFonts w:ascii="Arial" w:hAnsi="Arial" w:cs="Arial"/>
          <w:bCs/>
          <w:i w:val="0"/>
          <w:szCs w:val="24"/>
        </w:rPr>
        <w:t xml:space="preserve"> the </w:t>
      </w:r>
      <w:r w:rsidR="001B05C7">
        <w:rPr>
          <w:rFonts w:ascii="Arial" w:hAnsi="Arial" w:cs="Arial"/>
          <w:bCs/>
          <w:i w:val="0"/>
          <w:szCs w:val="24"/>
        </w:rPr>
        <w:t>Executive's analysis has determined that</w:t>
      </w:r>
      <w:r w:rsidR="008662AA">
        <w:rPr>
          <w:rFonts w:ascii="Arial" w:hAnsi="Arial" w:cs="Arial"/>
          <w:bCs/>
          <w:i w:val="0"/>
          <w:szCs w:val="24"/>
        </w:rPr>
        <w:t xml:space="preserve"> </w:t>
      </w:r>
      <w:r w:rsidR="00695CF4">
        <w:rPr>
          <w:rFonts w:ascii="Arial" w:hAnsi="Arial" w:cs="Arial"/>
          <w:bCs/>
          <w:i w:val="0"/>
          <w:szCs w:val="24"/>
        </w:rPr>
        <w:t xml:space="preserve">the </w:t>
      </w:r>
      <w:r w:rsidR="008662AA">
        <w:rPr>
          <w:rFonts w:ascii="Arial" w:hAnsi="Arial" w:cs="Arial"/>
          <w:bCs/>
          <w:i w:val="0"/>
          <w:szCs w:val="24"/>
        </w:rPr>
        <w:t>extra 128</w:t>
      </w:r>
      <w:r w:rsidR="00695CF4">
        <w:rPr>
          <w:rFonts w:ascii="Arial" w:hAnsi="Arial" w:cs="Arial"/>
          <w:bCs/>
          <w:i w:val="0"/>
          <w:szCs w:val="24"/>
        </w:rPr>
        <w:t>-</w:t>
      </w:r>
      <w:r w:rsidR="008662AA">
        <w:rPr>
          <w:rFonts w:ascii="Arial" w:hAnsi="Arial" w:cs="Arial"/>
          <w:bCs/>
          <w:i w:val="0"/>
          <w:szCs w:val="24"/>
        </w:rPr>
        <w:t xml:space="preserve">unit capacity already exists in the Unaffiliated Urban Unincorporated area under current zoning, </w:t>
      </w:r>
      <w:r w:rsidR="00695CF4">
        <w:rPr>
          <w:rFonts w:ascii="Arial" w:hAnsi="Arial" w:cs="Arial"/>
          <w:bCs/>
          <w:i w:val="0"/>
          <w:szCs w:val="24"/>
        </w:rPr>
        <w:t>this change would not require any zoning changes</w:t>
      </w:r>
      <w:r w:rsidR="009E68C2">
        <w:rPr>
          <w:rFonts w:ascii="Arial" w:hAnsi="Arial" w:cs="Arial"/>
          <w:bCs/>
          <w:i w:val="0"/>
          <w:szCs w:val="24"/>
        </w:rPr>
        <w:t>;</w:t>
      </w:r>
      <w:r w:rsidR="00695CF4">
        <w:rPr>
          <w:rFonts w:ascii="Arial" w:hAnsi="Arial" w:cs="Arial"/>
          <w:bCs/>
          <w:i w:val="0"/>
          <w:szCs w:val="24"/>
        </w:rPr>
        <w:t xml:space="preserve"> it would simply bring </w:t>
      </w:r>
      <w:r w:rsidR="00145E60">
        <w:rPr>
          <w:rFonts w:ascii="Arial" w:hAnsi="Arial" w:cs="Arial"/>
          <w:bCs/>
          <w:i w:val="0"/>
          <w:szCs w:val="24"/>
        </w:rPr>
        <w:t xml:space="preserve">Table DP-1 into alignment with the capacity </w:t>
      </w:r>
      <w:r w:rsidR="009E68C2">
        <w:rPr>
          <w:rFonts w:ascii="Arial" w:hAnsi="Arial" w:cs="Arial"/>
          <w:bCs/>
          <w:i w:val="0"/>
          <w:szCs w:val="24"/>
        </w:rPr>
        <w:t xml:space="preserve">of the area as it exists today. </w:t>
      </w:r>
    </w:p>
    <w:p w14:paraId="7E5B1460" w14:textId="77777777" w:rsidR="00575B03" w:rsidRPr="001C4B19" w:rsidRDefault="00575B03" w:rsidP="005B478C">
      <w:pPr>
        <w:pStyle w:val="BodyText"/>
        <w:jc w:val="both"/>
        <w:rPr>
          <w:rFonts w:ascii="Arial" w:hAnsi="Arial" w:cs="Arial"/>
          <w:i w:val="0"/>
          <w:szCs w:val="24"/>
        </w:rPr>
      </w:pPr>
    </w:p>
    <w:p w14:paraId="07299D31" w14:textId="77777777" w:rsidR="00716F37" w:rsidRPr="001C4B19" w:rsidRDefault="003C064E" w:rsidP="00716F37">
      <w:pPr>
        <w:jc w:val="both"/>
        <w:rPr>
          <w:rFonts w:ascii="Arial" w:hAnsi="Arial" w:cs="Arial"/>
          <w:b/>
          <w:szCs w:val="24"/>
          <w:u w:val="single"/>
        </w:rPr>
      </w:pPr>
      <w:r>
        <w:rPr>
          <w:rFonts w:ascii="Arial" w:hAnsi="Arial" w:cs="Arial"/>
          <w:b/>
          <w:szCs w:val="24"/>
          <w:u w:val="single"/>
        </w:rPr>
        <w:t>INVITE</w:t>
      </w:r>
      <w:r w:rsidR="00134579">
        <w:rPr>
          <w:rFonts w:ascii="Arial" w:hAnsi="Arial" w:cs="Arial"/>
          <w:b/>
          <w:szCs w:val="24"/>
          <w:u w:val="single"/>
        </w:rPr>
        <w:t>D</w:t>
      </w:r>
    </w:p>
    <w:p w14:paraId="62800D15" w14:textId="77777777" w:rsidR="00716F37" w:rsidRPr="001C4B19" w:rsidRDefault="00716F37" w:rsidP="00716F37">
      <w:pPr>
        <w:jc w:val="both"/>
        <w:rPr>
          <w:rFonts w:ascii="Arial" w:hAnsi="Arial" w:cs="Arial"/>
          <w:szCs w:val="24"/>
        </w:rPr>
      </w:pPr>
    </w:p>
    <w:p w14:paraId="6582C5E1" w14:textId="0DCEE5DD" w:rsidR="00716F37" w:rsidRPr="00D97318" w:rsidRDefault="009E68C2" w:rsidP="00716F37">
      <w:pPr>
        <w:pStyle w:val="ListParagraph0"/>
        <w:numPr>
          <w:ilvl w:val="0"/>
          <w:numId w:val="44"/>
        </w:numPr>
        <w:jc w:val="both"/>
        <w:rPr>
          <w:rFonts w:ascii="Arial" w:hAnsi="Arial" w:cs="Arial"/>
        </w:rPr>
      </w:pPr>
      <w:r>
        <w:rPr>
          <w:rFonts w:ascii="Arial" w:hAnsi="Arial" w:cs="Arial"/>
        </w:rPr>
        <w:t xml:space="preserve">Erin Auzins, </w:t>
      </w:r>
      <w:r w:rsidR="00586F14">
        <w:rPr>
          <w:rFonts w:ascii="Arial" w:hAnsi="Arial" w:cs="Arial"/>
        </w:rPr>
        <w:t>Regional Planning Lead</w:t>
      </w:r>
      <w:r>
        <w:rPr>
          <w:rFonts w:ascii="Arial" w:hAnsi="Arial" w:cs="Arial"/>
        </w:rPr>
        <w:t>, King County Executive's Office</w:t>
      </w:r>
    </w:p>
    <w:p w14:paraId="64EE2E1D" w14:textId="77777777" w:rsidR="00716F37" w:rsidRDefault="00716F37" w:rsidP="005B478C">
      <w:pPr>
        <w:pStyle w:val="BodyText"/>
        <w:jc w:val="both"/>
        <w:rPr>
          <w:rFonts w:ascii="Arial" w:hAnsi="Arial" w:cs="Arial"/>
          <w:b/>
          <w:i w:val="0"/>
          <w:szCs w:val="24"/>
          <w:u w:val="single"/>
        </w:rPr>
      </w:pPr>
    </w:p>
    <w:p w14:paraId="6B1CAA3D" w14:textId="310D23C4" w:rsidR="00B24961"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6021DCC9" w14:textId="77777777" w:rsidR="0022171D" w:rsidRPr="001C4B19" w:rsidRDefault="0022171D" w:rsidP="005B478C">
      <w:pPr>
        <w:pStyle w:val="BodyText"/>
        <w:jc w:val="both"/>
        <w:rPr>
          <w:rFonts w:ascii="Arial" w:hAnsi="Arial" w:cs="Arial"/>
          <w:i w:val="0"/>
          <w:szCs w:val="24"/>
        </w:rPr>
      </w:pPr>
    </w:p>
    <w:p w14:paraId="34CD151F" w14:textId="65F104DD" w:rsidR="00067D3F" w:rsidRPr="001C4B19" w:rsidRDefault="00067D3F" w:rsidP="00067D3F">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Motion</w:t>
      </w:r>
      <w:r w:rsidRPr="001C4B19">
        <w:rPr>
          <w:rFonts w:ascii="Arial" w:hAnsi="Arial" w:cs="Arial"/>
          <w:i w:val="0"/>
          <w:szCs w:val="24"/>
        </w:rPr>
        <w:t xml:space="preserve"> 20</w:t>
      </w:r>
      <w:r>
        <w:rPr>
          <w:rFonts w:ascii="Arial" w:hAnsi="Arial" w:cs="Arial"/>
          <w:i w:val="0"/>
          <w:szCs w:val="24"/>
        </w:rPr>
        <w:t>2</w:t>
      </w:r>
      <w:r w:rsidR="009E68C2">
        <w:rPr>
          <w:rFonts w:ascii="Arial" w:hAnsi="Arial" w:cs="Arial"/>
          <w:i w:val="0"/>
          <w:szCs w:val="24"/>
        </w:rPr>
        <w:t>6-0023</w:t>
      </w:r>
      <w:r w:rsidRPr="001C4B19">
        <w:rPr>
          <w:rFonts w:ascii="Arial" w:hAnsi="Arial" w:cs="Arial"/>
          <w:i w:val="0"/>
          <w:szCs w:val="24"/>
        </w:rPr>
        <w:t xml:space="preserve"> (and its attachment)</w:t>
      </w:r>
    </w:p>
    <w:p w14:paraId="104B2873" w14:textId="77777777" w:rsidR="00067D3F" w:rsidRPr="001C4B19" w:rsidRDefault="00067D3F" w:rsidP="00067D3F">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2E5B85F1" w14:textId="77777777" w:rsidR="00067D3F" w:rsidRDefault="00067D3F" w:rsidP="00067D3F">
      <w:pPr>
        <w:pStyle w:val="BodyText"/>
        <w:numPr>
          <w:ilvl w:val="0"/>
          <w:numId w:val="35"/>
        </w:numPr>
        <w:jc w:val="both"/>
        <w:rPr>
          <w:rFonts w:ascii="Arial" w:hAnsi="Arial" w:cs="Arial"/>
          <w:i w:val="0"/>
          <w:szCs w:val="24"/>
        </w:rPr>
      </w:pPr>
      <w:r w:rsidRPr="001C4B19">
        <w:rPr>
          <w:rFonts w:ascii="Arial" w:hAnsi="Arial" w:cs="Arial"/>
          <w:i w:val="0"/>
          <w:szCs w:val="24"/>
        </w:rPr>
        <w:t>Fiscal Note</w:t>
      </w:r>
    </w:p>
    <w:p w14:paraId="0C3CFFE4" w14:textId="5C0122AA" w:rsidR="00414B23" w:rsidRDefault="00414B23" w:rsidP="00067D3F">
      <w:pPr>
        <w:pStyle w:val="BodyText"/>
        <w:numPr>
          <w:ilvl w:val="0"/>
          <w:numId w:val="35"/>
        </w:numPr>
        <w:jc w:val="both"/>
        <w:rPr>
          <w:rFonts w:ascii="Arial" w:hAnsi="Arial" w:cs="Arial"/>
          <w:i w:val="0"/>
          <w:szCs w:val="24"/>
        </w:rPr>
      </w:pPr>
      <w:r>
        <w:rPr>
          <w:rFonts w:ascii="Arial" w:hAnsi="Arial" w:cs="Arial"/>
          <w:i w:val="0"/>
          <w:szCs w:val="24"/>
        </w:rPr>
        <w:t>Potential Annexation Areas Map</w:t>
      </w:r>
    </w:p>
    <w:p w14:paraId="1956F8A5" w14:textId="628A656B" w:rsidR="00414B23" w:rsidRDefault="00414B23" w:rsidP="00067D3F">
      <w:pPr>
        <w:pStyle w:val="BodyText"/>
        <w:numPr>
          <w:ilvl w:val="0"/>
          <w:numId w:val="35"/>
        </w:numPr>
        <w:jc w:val="both"/>
        <w:rPr>
          <w:rFonts w:ascii="Arial" w:hAnsi="Arial" w:cs="Arial"/>
          <w:i w:val="0"/>
          <w:szCs w:val="24"/>
        </w:rPr>
      </w:pPr>
      <w:r>
        <w:rPr>
          <w:rFonts w:ascii="Arial" w:hAnsi="Arial" w:cs="Arial"/>
          <w:i w:val="0"/>
          <w:szCs w:val="24"/>
        </w:rPr>
        <w:t>2021 Urban Growth Capacity Report</w:t>
      </w:r>
    </w:p>
    <w:p w14:paraId="2494BCFB" w14:textId="2CC8C7E5" w:rsidR="00414B23" w:rsidRPr="001C4B19" w:rsidRDefault="00F322D3" w:rsidP="00067D3F">
      <w:pPr>
        <w:pStyle w:val="BodyText"/>
        <w:numPr>
          <w:ilvl w:val="0"/>
          <w:numId w:val="35"/>
        </w:numPr>
        <w:jc w:val="both"/>
        <w:rPr>
          <w:rFonts w:ascii="Arial" w:hAnsi="Arial" w:cs="Arial"/>
          <w:i w:val="0"/>
          <w:szCs w:val="24"/>
        </w:rPr>
      </w:pPr>
      <w:r>
        <w:rPr>
          <w:rFonts w:ascii="Arial" w:hAnsi="Arial" w:cs="Arial"/>
          <w:i w:val="0"/>
          <w:szCs w:val="24"/>
        </w:rPr>
        <w:t>2024 KCCP Appendix D1 – Growth Targets and the Urban Growth Area</w:t>
      </w:r>
    </w:p>
    <w:p w14:paraId="7B934F1A" w14:textId="77777777" w:rsidR="00C521D8" w:rsidRPr="001C4B19" w:rsidRDefault="00C521D8" w:rsidP="005B478C">
      <w:pPr>
        <w:pStyle w:val="BodyText"/>
        <w:jc w:val="both"/>
        <w:rPr>
          <w:rFonts w:ascii="Arial" w:hAnsi="Arial" w:cs="Arial"/>
          <w:b/>
          <w:i w:val="0"/>
          <w:szCs w:val="24"/>
          <w:u w:val="single"/>
        </w:rPr>
      </w:pPr>
    </w:p>
    <w:p w14:paraId="5D4E9DF7" w14:textId="77777777" w:rsidR="001C4B19" w:rsidRPr="001C4B19" w:rsidRDefault="001C4B19" w:rsidP="005B478C">
      <w:pPr>
        <w:jc w:val="both"/>
        <w:rPr>
          <w:rFonts w:ascii="Arial" w:hAnsi="Arial" w:cs="Arial"/>
          <w:szCs w:val="24"/>
        </w:rPr>
      </w:pPr>
    </w:p>
    <w:sectPr w:rsidR="001C4B19" w:rsidRPr="001C4B19" w:rsidSect="00C75025">
      <w:head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B15F" w14:textId="77777777" w:rsidR="009C24AA" w:rsidRDefault="009C24AA">
      <w:r>
        <w:separator/>
      </w:r>
    </w:p>
  </w:endnote>
  <w:endnote w:type="continuationSeparator" w:id="0">
    <w:p w14:paraId="5ECA4E90" w14:textId="77777777" w:rsidR="009C24AA" w:rsidRDefault="009C2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1D558" w14:textId="77777777" w:rsidR="009C24AA" w:rsidRDefault="009C24AA">
      <w:r>
        <w:separator/>
      </w:r>
    </w:p>
  </w:footnote>
  <w:footnote w:type="continuationSeparator" w:id="0">
    <w:p w14:paraId="3268A9BE" w14:textId="77777777" w:rsidR="009C24AA" w:rsidRDefault="009C24AA">
      <w:r>
        <w:continuationSeparator/>
      </w:r>
    </w:p>
  </w:footnote>
  <w:footnote w:id="1">
    <w:p w14:paraId="0405A296" w14:textId="77777777" w:rsidR="003C4C44" w:rsidRPr="003572B5" w:rsidRDefault="003C4C44" w:rsidP="003C4C44">
      <w:pPr>
        <w:pStyle w:val="FootnoteText"/>
        <w:rPr>
          <w:rFonts w:ascii="Arial" w:hAnsi="Arial" w:cs="Arial"/>
        </w:rPr>
      </w:pPr>
      <w:r w:rsidRPr="003572B5">
        <w:rPr>
          <w:rStyle w:val="FootnoteReference"/>
          <w:rFonts w:ascii="Arial" w:hAnsi="Arial" w:cs="Arial"/>
        </w:rPr>
        <w:footnoteRef/>
      </w:r>
      <w:r w:rsidRPr="003572B5">
        <w:rPr>
          <w:rFonts w:ascii="Arial" w:hAnsi="Arial" w:cs="Arial"/>
        </w:rPr>
        <w:t xml:space="preserve"> Per the 2024 King County Comprehensive Plan, a Potential Annexation Area is an area in unincorporated King County adjacent to a city that is expected to annex to the city and to which that city will be expected to provide services and utilities within the next two decades.</w:t>
      </w:r>
    </w:p>
  </w:footnote>
  <w:footnote w:id="2">
    <w:p w14:paraId="71A4045F" w14:textId="77777777" w:rsidR="003B679E" w:rsidRPr="003572B5" w:rsidRDefault="003B679E" w:rsidP="003B679E">
      <w:pPr>
        <w:pStyle w:val="FootnoteText"/>
        <w:rPr>
          <w:rFonts w:ascii="Arial" w:hAnsi="Arial" w:cs="Arial"/>
        </w:rPr>
      </w:pPr>
      <w:r w:rsidRPr="003572B5">
        <w:rPr>
          <w:rStyle w:val="FootnoteReference"/>
          <w:rFonts w:ascii="Arial" w:hAnsi="Arial" w:cs="Arial"/>
        </w:rPr>
        <w:footnoteRef/>
      </w:r>
      <w:r w:rsidRPr="003572B5">
        <w:rPr>
          <w:rFonts w:ascii="Arial" w:hAnsi="Arial" w:cs="Arial"/>
        </w:rPr>
        <w:t xml:space="preserve"> </w:t>
      </w:r>
      <w:hyperlink r:id="rId1" w:history="1">
        <w:r w:rsidRPr="003572B5">
          <w:rPr>
            <w:rStyle w:val="Hyperlink"/>
            <w:rFonts w:ascii="Arial" w:hAnsi="Arial" w:cs="Arial"/>
          </w:rPr>
          <w:t>https://www.psrc.org/sites/default/files/2025-07/king-county-compplan-2024-certification.pdf</w:t>
        </w:r>
      </w:hyperlink>
      <w:r w:rsidRPr="003572B5">
        <w:rPr>
          <w:rFonts w:ascii="Arial" w:hAnsi="Arial" w:cs="Arial"/>
        </w:rPr>
        <w:t xml:space="preserve"> </w:t>
      </w:r>
    </w:p>
  </w:footnote>
  <w:footnote w:id="3">
    <w:p w14:paraId="57C88E2C" w14:textId="3A25D70A" w:rsidR="001D730B" w:rsidRDefault="001D730B">
      <w:pPr>
        <w:pStyle w:val="FootnoteText"/>
      </w:pPr>
      <w:r w:rsidRPr="003572B5">
        <w:rPr>
          <w:rStyle w:val="FootnoteReference"/>
          <w:rFonts w:ascii="Arial" w:hAnsi="Arial" w:cs="Arial"/>
        </w:rPr>
        <w:footnoteRef/>
      </w:r>
      <w:r w:rsidRPr="003572B5">
        <w:rPr>
          <w:rFonts w:ascii="Arial" w:hAnsi="Arial" w:cs="Arial"/>
        </w:rPr>
        <w:t xml:space="preserve"> GMPC Motion 25-3.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A2CE" w14:textId="77777777" w:rsidR="00C75025" w:rsidRDefault="00C75025" w:rsidP="00C75025">
    <w:pPr>
      <w:jc w:val="center"/>
    </w:pPr>
    <w:r>
      <w:rPr>
        <w:noProof/>
      </w:rPr>
      <w:drawing>
        <wp:inline distT="0" distB="0" distL="0" distR="0" wp14:anchorId="068B901B" wp14:editId="33241E6C">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52CAB8E" w14:textId="77777777" w:rsidR="00C75025" w:rsidRPr="003B03EF" w:rsidRDefault="00C75025" w:rsidP="00C75025">
    <w:pPr>
      <w:jc w:val="center"/>
      <w:rPr>
        <w:rFonts w:ascii="Arial" w:hAnsi="Arial"/>
        <w:szCs w:val="22"/>
      </w:rPr>
    </w:pPr>
  </w:p>
  <w:p w14:paraId="3DBE1D9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4181C368" w14:textId="3457572B" w:rsidR="00C75025" w:rsidRPr="004A1D48" w:rsidRDefault="00455447" w:rsidP="00C75025">
    <w:pPr>
      <w:jc w:val="center"/>
      <w:rPr>
        <w:rFonts w:ascii="Verdana" w:hAnsi="Verdana"/>
        <w:b/>
        <w:sz w:val="28"/>
        <w:szCs w:val="28"/>
      </w:rPr>
    </w:pPr>
    <w:r>
      <w:rPr>
        <w:rFonts w:ascii="Verdana" w:hAnsi="Verdana"/>
        <w:b/>
        <w:sz w:val="28"/>
        <w:szCs w:val="28"/>
      </w:rPr>
      <w:t>Local Services</w:t>
    </w:r>
    <w:r w:rsidR="00E64C83">
      <w:rPr>
        <w:rFonts w:ascii="Verdana" w:hAnsi="Verdana"/>
        <w:b/>
        <w:sz w:val="28"/>
        <w:szCs w:val="28"/>
      </w:rPr>
      <w:t xml:space="preserve"> </w:t>
    </w:r>
    <w:r w:rsidR="00931976">
      <w:rPr>
        <w:rFonts w:ascii="Verdana" w:hAnsi="Verdana"/>
        <w:b/>
        <w:sz w:val="28"/>
        <w:szCs w:val="28"/>
      </w:rPr>
      <w:t>and</w:t>
    </w:r>
    <w:r w:rsidR="00556817">
      <w:rPr>
        <w:rFonts w:ascii="Verdana" w:hAnsi="Verdana"/>
        <w:b/>
        <w:sz w:val="28"/>
        <w:szCs w:val="28"/>
      </w:rPr>
      <w:t xml:space="preserve"> Land Use </w:t>
    </w:r>
    <w:r w:rsidR="00E64C83">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352500"/>
    <w:multiLevelType w:val="hybridMultilevel"/>
    <w:tmpl w:val="5CD862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3B0870"/>
    <w:multiLevelType w:val="hybridMultilevel"/>
    <w:tmpl w:val="E3168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C4B22"/>
    <w:multiLevelType w:val="hybridMultilevel"/>
    <w:tmpl w:val="D93A2904"/>
    <w:lvl w:ilvl="0" w:tplc="192E49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AC7249"/>
    <w:multiLevelType w:val="hybridMultilevel"/>
    <w:tmpl w:val="3B7A4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E373F8F"/>
    <w:multiLevelType w:val="hybridMultilevel"/>
    <w:tmpl w:val="2AF69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7652E5"/>
    <w:multiLevelType w:val="hybridMultilevel"/>
    <w:tmpl w:val="C16E2C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2139D3"/>
    <w:multiLevelType w:val="hybridMultilevel"/>
    <w:tmpl w:val="2D88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6143384">
    <w:abstractNumId w:val="43"/>
  </w:num>
  <w:num w:numId="2" w16cid:durableId="720440311">
    <w:abstractNumId w:val="31"/>
  </w:num>
  <w:num w:numId="3" w16cid:durableId="1892502166">
    <w:abstractNumId w:val="12"/>
  </w:num>
  <w:num w:numId="4" w16cid:durableId="1109811870">
    <w:abstractNumId w:val="47"/>
  </w:num>
  <w:num w:numId="5" w16cid:durableId="1114472342">
    <w:abstractNumId w:val="44"/>
  </w:num>
  <w:num w:numId="6" w16cid:durableId="529345812">
    <w:abstractNumId w:val="13"/>
  </w:num>
  <w:num w:numId="7" w16cid:durableId="430974205">
    <w:abstractNumId w:val="45"/>
  </w:num>
  <w:num w:numId="8" w16cid:durableId="1294099330">
    <w:abstractNumId w:val="15"/>
  </w:num>
  <w:num w:numId="9" w16cid:durableId="1530756347">
    <w:abstractNumId w:val="3"/>
  </w:num>
  <w:num w:numId="10" w16cid:durableId="313144287">
    <w:abstractNumId w:val="46"/>
  </w:num>
  <w:num w:numId="11" w16cid:durableId="1731148812">
    <w:abstractNumId w:val="2"/>
  </w:num>
  <w:num w:numId="12" w16cid:durableId="1032803520">
    <w:abstractNumId w:val="19"/>
  </w:num>
  <w:num w:numId="13" w16cid:durableId="1188830498">
    <w:abstractNumId w:val="22"/>
  </w:num>
  <w:num w:numId="14" w16cid:durableId="596446743">
    <w:abstractNumId w:val="17"/>
  </w:num>
  <w:num w:numId="15" w16cid:durableId="1090082364">
    <w:abstractNumId w:val="25"/>
  </w:num>
  <w:num w:numId="16" w16cid:durableId="1239902046">
    <w:abstractNumId w:val="16"/>
  </w:num>
  <w:num w:numId="17" w16cid:durableId="777019913">
    <w:abstractNumId w:val="39"/>
  </w:num>
  <w:num w:numId="18" w16cid:durableId="1903178184">
    <w:abstractNumId w:val="24"/>
  </w:num>
  <w:num w:numId="19" w16cid:durableId="976571952">
    <w:abstractNumId w:val="33"/>
  </w:num>
  <w:num w:numId="20" w16cid:durableId="1756896730">
    <w:abstractNumId w:val="26"/>
  </w:num>
  <w:num w:numId="21" w16cid:durableId="1606884009">
    <w:abstractNumId w:val="8"/>
  </w:num>
  <w:num w:numId="22" w16cid:durableId="494731648">
    <w:abstractNumId w:val="9"/>
  </w:num>
  <w:num w:numId="23" w16cid:durableId="1136415568">
    <w:abstractNumId w:val="0"/>
  </w:num>
  <w:num w:numId="24" w16cid:durableId="48454474">
    <w:abstractNumId w:val="6"/>
  </w:num>
  <w:num w:numId="25" w16cid:durableId="117065580">
    <w:abstractNumId w:val="4"/>
  </w:num>
  <w:num w:numId="26" w16cid:durableId="1405489741">
    <w:abstractNumId w:val="5"/>
  </w:num>
  <w:num w:numId="27" w16cid:durableId="1151872003">
    <w:abstractNumId w:val="21"/>
  </w:num>
  <w:num w:numId="28" w16cid:durableId="1637367823">
    <w:abstractNumId w:val="10"/>
  </w:num>
  <w:num w:numId="29" w16cid:durableId="22218814">
    <w:abstractNumId w:val="29"/>
  </w:num>
  <w:num w:numId="30" w16cid:durableId="997734560">
    <w:abstractNumId w:val="1"/>
  </w:num>
  <w:num w:numId="31" w16cid:durableId="125130312">
    <w:abstractNumId w:val="36"/>
  </w:num>
  <w:num w:numId="32" w16cid:durableId="538208221">
    <w:abstractNumId w:val="40"/>
  </w:num>
  <w:num w:numId="33" w16cid:durableId="1311446504">
    <w:abstractNumId w:val="14"/>
  </w:num>
  <w:num w:numId="34" w16cid:durableId="1663192008">
    <w:abstractNumId w:val="11"/>
  </w:num>
  <w:num w:numId="35" w16cid:durableId="13270594">
    <w:abstractNumId w:val="7"/>
  </w:num>
  <w:num w:numId="36" w16cid:durableId="1069696671">
    <w:abstractNumId w:val="27"/>
  </w:num>
  <w:num w:numId="37" w16cid:durableId="2028628233">
    <w:abstractNumId w:val="41"/>
  </w:num>
  <w:num w:numId="38" w16cid:durableId="1535459165">
    <w:abstractNumId w:val="20"/>
  </w:num>
  <w:num w:numId="39" w16cid:durableId="46029012">
    <w:abstractNumId w:val="35"/>
  </w:num>
  <w:num w:numId="40" w16cid:durableId="1317419278">
    <w:abstractNumId w:val="30"/>
  </w:num>
  <w:num w:numId="41" w16cid:durableId="1111163053">
    <w:abstractNumId w:val="42"/>
  </w:num>
  <w:num w:numId="42" w16cid:durableId="1894655911">
    <w:abstractNumId w:val="38"/>
  </w:num>
  <w:num w:numId="43" w16cid:durableId="1474978452">
    <w:abstractNumId w:val="18"/>
  </w:num>
  <w:num w:numId="44" w16cid:durableId="571165084">
    <w:abstractNumId w:val="23"/>
  </w:num>
  <w:num w:numId="45" w16cid:durableId="1892618196">
    <w:abstractNumId w:val="37"/>
  </w:num>
  <w:num w:numId="46" w16cid:durableId="1468164734">
    <w:abstractNumId w:val="32"/>
  </w:num>
  <w:num w:numId="47" w16cid:durableId="1434742694">
    <w:abstractNumId w:val="28"/>
  </w:num>
  <w:num w:numId="48" w16cid:durableId="534386299">
    <w:abstractNumId w:val="3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5A8"/>
    <w:rsid w:val="00000F0A"/>
    <w:rsid w:val="00002565"/>
    <w:rsid w:val="00002EFF"/>
    <w:rsid w:val="000038DD"/>
    <w:rsid w:val="000048A8"/>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824"/>
    <w:rsid w:val="000470FF"/>
    <w:rsid w:val="0005201B"/>
    <w:rsid w:val="0005228A"/>
    <w:rsid w:val="000533AF"/>
    <w:rsid w:val="000544E1"/>
    <w:rsid w:val="000553F5"/>
    <w:rsid w:val="00055B9A"/>
    <w:rsid w:val="00056C81"/>
    <w:rsid w:val="000577A3"/>
    <w:rsid w:val="00060235"/>
    <w:rsid w:val="00060D99"/>
    <w:rsid w:val="0006124B"/>
    <w:rsid w:val="00061676"/>
    <w:rsid w:val="00062056"/>
    <w:rsid w:val="00063E46"/>
    <w:rsid w:val="00066CEA"/>
    <w:rsid w:val="00067D3F"/>
    <w:rsid w:val="000722EA"/>
    <w:rsid w:val="00073494"/>
    <w:rsid w:val="000736F6"/>
    <w:rsid w:val="00074A56"/>
    <w:rsid w:val="000766A2"/>
    <w:rsid w:val="00076F58"/>
    <w:rsid w:val="00080295"/>
    <w:rsid w:val="00081382"/>
    <w:rsid w:val="00082009"/>
    <w:rsid w:val="0008325A"/>
    <w:rsid w:val="00086A9B"/>
    <w:rsid w:val="00087BF6"/>
    <w:rsid w:val="000913B6"/>
    <w:rsid w:val="00093E2E"/>
    <w:rsid w:val="000940FB"/>
    <w:rsid w:val="000956D8"/>
    <w:rsid w:val="00095A14"/>
    <w:rsid w:val="000967D1"/>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6835"/>
    <w:rsid w:val="000D6C72"/>
    <w:rsid w:val="000E0684"/>
    <w:rsid w:val="000E1BAB"/>
    <w:rsid w:val="000E1CD3"/>
    <w:rsid w:val="000E4781"/>
    <w:rsid w:val="000E7EFC"/>
    <w:rsid w:val="000F2806"/>
    <w:rsid w:val="000F29F5"/>
    <w:rsid w:val="000F4DCA"/>
    <w:rsid w:val="000F5E4A"/>
    <w:rsid w:val="000F6A39"/>
    <w:rsid w:val="00102361"/>
    <w:rsid w:val="00103094"/>
    <w:rsid w:val="00105382"/>
    <w:rsid w:val="0010576B"/>
    <w:rsid w:val="00106179"/>
    <w:rsid w:val="001062E7"/>
    <w:rsid w:val="001074C3"/>
    <w:rsid w:val="00110AC4"/>
    <w:rsid w:val="00111799"/>
    <w:rsid w:val="00113B09"/>
    <w:rsid w:val="00114FD6"/>
    <w:rsid w:val="00117AF3"/>
    <w:rsid w:val="00117D3D"/>
    <w:rsid w:val="00121D0A"/>
    <w:rsid w:val="0012573D"/>
    <w:rsid w:val="00126322"/>
    <w:rsid w:val="00131D0E"/>
    <w:rsid w:val="001320CB"/>
    <w:rsid w:val="0013286C"/>
    <w:rsid w:val="00132C16"/>
    <w:rsid w:val="00132DFC"/>
    <w:rsid w:val="00132FA5"/>
    <w:rsid w:val="00133981"/>
    <w:rsid w:val="00134579"/>
    <w:rsid w:val="0013486D"/>
    <w:rsid w:val="0013537B"/>
    <w:rsid w:val="00136122"/>
    <w:rsid w:val="00137469"/>
    <w:rsid w:val="00137B21"/>
    <w:rsid w:val="001404CF"/>
    <w:rsid w:val="00140D86"/>
    <w:rsid w:val="00141B7A"/>
    <w:rsid w:val="001426ED"/>
    <w:rsid w:val="00142F7E"/>
    <w:rsid w:val="001440C8"/>
    <w:rsid w:val="001440E6"/>
    <w:rsid w:val="00145E60"/>
    <w:rsid w:val="001463CF"/>
    <w:rsid w:val="001509B2"/>
    <w:rsid w:val="0015229A"/>
    <w:rsid w:val="00152D09"/>
    <w:rsid w:val="00154E2E"/>
    <w:rsid w:val="00157334"/>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9D0"/>
    <w:rsid w:val="001B05C7"/>
    <w:rsid w:val="001B4E6F"/>
    <w:rsid w:val="001B65A3"/>
    <w:rsid w:val="001B6C67"/>
    <w:rsid w:val="001B7023"/>
    <w:rsid w:val="001C01BB"/>
    <w:rsid w:val="001C0CD3"/>
    <w:rsid w:val="001C254D"/>
    <w:rsid w:val="001C4B19"/>
    <w:rsid w:val="001C4EAE"/>
    <w:rsid w:val="001C7EDC"/>
    <w:rsid w:val="001D0111"/>
    <w:rsid w:val="001D15FF"/>
    <w:rsid w:val="001D2DDB"/>
    <w:rsid w:val="001D396A"/>
    <w:rsid w:val="001D525A"/>
    <w:rsid w:val="001D6FB9"/>
    <w:rsid w:val="001D7004"/>
    <w:rsid w:val="001D718E"/>
    <w:rsid w:val="001D730B"/>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54F9"/>
    <w:rsid w:val="002072C9"/>
    <w:rsid w:val="0020735A"/>
    <w:rsid w:val="00210E29"/>
    <w:rsid w:val="00212C08"/>
    <w:rsid w:val="00215732"/>
    <w:rsid w:val="00220282"/>
    <w:rsid w:val="0022171D"/>
    <w:rsid w:val="00223040"/>
    <w:rsid w:val="00224F9B"/>
    <w:rsid w:val="00227E8A"/>
    <w:rsid w:val="00230A23"/>
    <w:rsid w:val="00230AA7"/>
    <w:rsid w:val="00230B3D"/>
    <w:rsid w:val="002327A2"/>
    <w:rsid w:val="00232B86"/>
    <w:rsid w:val="002333E7"/>
    <w:rsid w:val="00234580"/>
    <w:rsid w:val="002345A1"/>
    <w:rsid w:val="00236BA3"/>
    <w:rsid w:val="002413EE"/>
    <w:rsid w:val="00241930"/>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222"/>
    <w:rsid w:val="002965C8"/>
    <w:rsid w:val="00296690"/>
    <w:rsid w:val="002A1127"/>
    <w:rsid w:val="002A1228"/>
    <w:rsid w:val="002A2420"/>
    <w:rsid w:val="002A6326"/>
    <w:rsid w:val="002B0E1F"/>
    <w:rsid w:val="002B376D"/>
    <w:rsid w:val="002B5040"/>
    <w:rsid w:val="002B68B6"/>
    <w:rsid w:val="002B76A4"/>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02FA"/>
    <w:rsid w:val="00352E55"/>
    <w:rsid w:val="003531FC"/>
    <w:rsid w:val="003536EA"/>
    <w:rsid w:val="00353F01"/>
    <w:rsid w:val="00355303"/>
    <w:rsid w:val="00355729"/>
    <w:rsid w:val="00356FD8"/>
    <w:rsid w:val="003572B5"/>
    <w:rsid w:val="00361436"/>
    <w:rsid w:val="003616DB"/>
    <w:rsid w:val="00361E57"/>
    <w:rsid w:val="00362EF8"/>
    <w:rsid w:val="00363CBA"/>
    <w:rsid w:val="003648B8"/>
    <w:rsid w:val="00365DAD"/>
    <w:rsid w:val="00366F46"/>
    <w:rsid w:val="00367E02"/>
    <w:rsid w:val="00372554"/>
    <w:rsid w:val="00373A3A"/>
    <w:rsid w:val="00375F76"/>
    <w:rsid w:val="003776FF"/>
    <w:rsid w:val="003810EA"/>
    <w:rsid w:val="00381E3C"/>
    <w:rsid w:val="00382A09"/>
    <w:rsid w:val="00382AC7"/>
    <w:rsid w:val="00383EAC"/>
    <w:rsid w:val="00384051"/>
    <w:rsid w:val="00384C61"/>
    <w:rsid w:val="00386DA4"/>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B679E"/>
    <w:rsid w:val="003C027F"/>
    <w:rsid w:val="003C064E"/>
    <w:rsid w:val="003C3117"/>
    <w:rsid w:val="003C31C2"/>
    <w:rsid w:val="003C32E0"/>
    <w:rsid w:val="003C3AE8"/>
    <w:rsid w:val="003C4C44"/>
    <w:rsid w:val="003C6B62"/>
    <w:rsid w:val="003C7596"/>
    <w:rsid w:val="003C78B5"/>
    <w:rsid w:val="003D06D2"/>
    <w:rsid w:val="003D24A2"/>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79CC"/>
    <w:rsid w:val="004121CD"/>
    <w:rsid w:val="00413BB8"/>
    <w:rsid w:val="0041435C"/>
    <w:rsid w:val="00414B23"/>
    <w:rsid w:val="00415029"/>
    <w:rsid w:val="00415C99"/>
    <w:rsid w:val="004164CB"/>
    <w:rsid w:val="00416EC1"/>
    <w:rsid w:val="00421A90"/>
    <w:rsid w:val="00421B59"/>
    <w:rsid w:val="00421D84"/>
    <w:rsid w:val="0042200C"/>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447"/>
    <w:rsid w:val="00455FE6"/>
    <w:rsid w:val="00456257"/>
    <w:rsid w:val="004611A4"/>
    <w:rsid w:val="004619D1"/>
    <w:rsid w:val="00461BF0"/>
    <w:rsid w:val="0046321B"/>
    <w:rsid w:val="004633C9"/>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707"/>
    <w:rsid w:val="004F0FCB"/>
    <w:rsid w:val="004F400E"/>
    <w:rsid w:val="004F504F"/>
    <w:rsid w:val="004F57F7"/>
    <w:rsid w:val="004F70E1"/>
    <w:rsid w:val="004F750E"/>
    <w:rsid w:val="00500D13"/>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17043"/>
    <w:rsid w:val="005218F6"/>
    <w:rsid w:val="00522D68"/>
    <w:rsid w:val="00527709"/>
    <w:rsid w:val="0053306D"/>
    <w:rsid w:val="00537A1F"/>
    <w:rsid w:val="00537B98"/>
    <w:rsid w:val="00541E71"/>
    <w:rsid w:val="005461D9"/>
    <w:rsid w:val="0054685E"/>
    <w:rsid w:val="00547D83"/>
    <w:rsid w:val="00547FA2"/>
    <w:rsid w:val="00550611"/>
    <w:rsid w:val="005514B2"/>
    <w:rsid w:val="00551D64"/>
    <w:rsid w:val="00554CE6"/>
    <w:rsid w:val="00554DD2"/>
    <w:rsid w:val="00554E38"/>
    <w:rsid w:val="00556817"/>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6F14"/>
    <w:rsid w:val="005878CE"/>
    <w:rsid w:val="00590A54"/>
    <w:rsid w:val="00590C7D"/>
    <w:rsid w:val="00592A33"/>
    <w:rsid w:val="00596ACA"/>
    <w:rsid w:val="005A1377"/>
    <w:rsid w:val="005A1A7B"/>
    <w:rsid w:val="005A2AE5"/>
    <w:rsid w:val="005A2BC9"/>
    <w:rsid w:val="005A3FD9"/>
    <w:rsid w:val="005A4155"/>
    <w:rsid w:val="005A5CC1"/>
    <w:rsid w:val="005A7B2A"/>
    <w:rsid w:val="005A7E12"/>
    <w:rsid w:val="005B0541"/>
    <w:rsid w:val="005B0FD8"/>
    <w:rsid w:val="005B28F2"/>
    <w:rsid w:val="005B478C"/>
    <w:rsid w:val="005B7D1A"/>
    <w:rsid w:val="005C43E4"/>
    <w:rsid w:val="005C44C6"/>
    <w:rsid w:val="005C4BCC"/>
    <w:rsid w:val="005C624B"/>
    <w:rsid w:val="005D056C"/>
    <w:rsid w:val="005E440F"/>
    <w:rsid w:val="005E59DE"/>
    <w:rsid w:val="005E611A"/>
    <w:rsid w:val="005E7CF0"/>
    <w:rsid w:val="005F27C6"/>
    <w:rsid w:val="005F2888"/>
    <w:rsid w:val="005F3150"/>
    <w:rsid w:val="005F3567"/>
    <w:rsid w:val="005F3CF1"/>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82F"/>
    <w:rsid w:val="00616C01"/>
    <w:rsid w:val="006201B7"/>
    <w:rsid w:val="0062055D"/>
    <w:rsid w:val="00622301"/>
    <w:rsid w:val="00623245"/>
    <w:rsid w:val="006233C8"/>
    <w:rsid w:val="00623AC4"/>
    <w:rsid w:val="00623E0D"/>
    <w:rsid w:val="00626066"/>
    <w:rsid w:val="006270DE"/>
    <w:rsid w:val="006315D7"/>
    <w:rsid w:val="006317CD"/>
    <w:rsid w:val="0063186B"/>
    <w:rsid w:val="00632319"/>
    <w:rsid w:val="00632ED8"/>
    <w:rsid w:val="00636E84"/>
    <w:rsid w:val="00641390"/>
    <w:rsid w:val="006425FE"/>
    <w:rsid w:val="00643BA7"/>
    <w:rsid w:val="00643DFB"/>
    <w:rsid w:val="00643E28"/>
    <w:rsid w:val="00645C5A"/>
    <w:rsid w:val="00646425"/>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973"/>
    <w:rsid w:val="0069013F"/>
    <w:rsid w:val="00692925"/>
    <w:rsid w:val="00692F34"/>
    <w:rsid w:val="00695212"/>
    <w:rsid w:val="0069583B"/>
    <w:rsid w:val="00695CF4"/>
    <w:rsid w:val="0069690D"/>
    <w:rsid w:val="006A047D"/>
    <w:rsid w:val="006A1123"/>
    <w:rsid w:val="006A18DE"/>
    <w:rsid w:val="006A1DFC"/>
    <w:rsid w:val="006A1E5F"/>
    <w:rsid w:val="006A4202"/>
    <w:rsid w:val="006A4253"/>
    <w:rsid w:val="006A54A7"/>
    <w:rsid w:val="006A58EF"/>
    <w:rsid w:val="006A5FDA"/>
    <w:rsid w:val="006A60EE"/>
    <w:rsid w:val="006A76F1"/>
    <w:rsid w:val="006A77A8"/>
    <w:rsid w:val="006B134E"/>
    <w:rsid w:val="006B31F8"/>
    <w:rsid w:val="006B3473"/>
    <w:rsid w:val="006B42A5"/>
    <w:rsid w:val="006B4615"/>
    <w:rsid w:val="006B4D79"/>
    <w:rsid w:val="006B4E42"/>
    <w:rsid w:val="006B577E"/>
    <w:rsid w:val="006B6B31"/>
    <w:rsid w:val="006B7D68"/>
    <w:rsid w:val="006B7DA0"/>
    <w:rsid w:val="006C0C61"/>
    <w:rsid w:val="006C1861"/>
    <w:rsid w:val="006C7139"/>
    <w:rsid w:val="006C71C9"/>
    <w:rsid w:val="006D1FAB"/>
    <w:rsid w:val="006D3174"/>
    <w:rsid w:val="006D4A90"/>
    <w:rsid w:val="006D5B17"/>
    <w:rsid w:val="006D6BEA"/>
    <w:rsid w:val="006D6C04"/>
    <w:rsid w:val="006D7272"/>
    <w:rsid w:val="006E1DED"/>
    <w:rsid w:val="006E2ABB"/>
    <w:rsid w:val="006E3EC7"/>
    <w:rsid w:val="006E5942"/>
    <w:rsid w:val="006E7771"/>
    <w:rsid w:val="006F129F"/>
    <w:rsid w:val="006F4AD3"/>
    <w:rsid w:val="006F5E92"/>
    <w:rsid w:val="006F62F4"/>
    <w:rsid w:val="006F7148"/>
    <w:rsid w:val="006F715B"/>
    <w:rsid w:val="006F74E7"/>
    <w:rsid w:val="0070005E"/>
    <w:rsid w:val="00700A63"/>
    <w:rsid w:val="007014C3"/>
    <w:rsid w:val="0070235C"/>
    <w:rsid w:val="00703B2A"/>
    <w:rsid w:val="00704741"/>
    <w:rsid w:val="0070539F"/>
    <w:rsid w:val="00705D32"/>
    <w:rsid w:val="00706E67"/>
    <w:rsid w:val="007100C0"/>
    <w:rsid w:val="00711A85"/>
    <w:rsid w:val="00711DBF"/>
    <w:rsid w:val="00716F37"/>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1199"/>
    <w:rsid w:val="007532A9"/>
    <w:rsid w:val="00753E84"/>
    <w:rsid w:val="00755A77"/>
    <w:rsid w:val="00755B13"/>
    <w:rsid w:val="00755C37"/>
    <w:rsid w:val="00756DB3"/>
    <w:rsid w:val="007574DF"/>
    <w:rsid w:val="007607D5"/>
    <w:rsid w:val="00760EE4"/>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90106"/>
    <w:rsid w:val="00790D5F"/>
    <w:rsid w:val="00791045"/>
    <w:rsid w:val="00795056"/>
    <w:rsid w:val="007970A0"/>
    <w:rsid w:val="00797DDB"/>
    <w:rsid w:val="007A0645"/>
    <w:rsid w:val="007A0F27"/>
    <w:rsid w:val="007B1136"/>
    <w:rsid w:val="007B3A44"/>
    <w:rsid w:val="007B4108"/>
    <w:rsid w:val="007B5ED6"/>
    <w:rsid w:val="007B63B1"/>
    <w:rsid w:val="007B688B"/>
    <w:rsid w:val="007B76B3"/>
    <w:rsid w:val="007C0F21"/>
    <w:rsid w:val="007C20EE"/>
    <w:rsid w:val="007C6843"/>
    <w:rsid w:val="007C7BDF"/>
    <w:rsid w:val="007D178B"/>
    <w:rsid w:val="007D17ED"/>
    <w:rsid w:val="007D2C57"/>
    <w:rsid w:val="007D315B"/>
    <w:rsid w:val="007D72EC"/>
    <w:rsid w:val="007D78E8"/>
    <w:rsid w:val="007D7D5A"/>
    <w:rsid w:val="007E3231"/>
    <w:rsid w:val="007F0F9A"/>
    <w:rsid w:val="007F2EFD"/>
    <w:rsid w:val="007F566F"/>
    <w:rsid w:val="0080188E"/>
    <w:rsid w:val="0080247D"/>
    <w:rsid w:val="008028FF"/>
    <w:rsid w:val="008029E9"/>
    <w:rsid w:val="00803ADB"/>
    <w:rsid w:val="0080466D"/>
    <w:rsid w:val="008054C0"/>
    <w:rsid w:val="00806E8B"/>
    <w:rsid w:val="0081445B"/>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560B"/>
    <w:rsid w:val="00836694"/>
    <w:rsid w:val="008376FD"/>
    <w:rsid w:val="008444FD"/>
    <w:rsid w:val="008455FA"/>
    <w:rsid w:val="0084565D"/>
    <w:rsid w:val="008462F0"/>
    <w:rsid w:val="00846649"/>
    <w:rsid w:val="0085098E"/>
    <w:rsid w:val="00855067"/>
    <w:rsid w:val="00855EED"/>
    <w:rsid w:val="00860271"/>
    <w:rsid w:val="00864C8A"/>
    <w:rsid w:val="008662AA"/>
    <w:rsid w:val="00867662"/>
    <w:rsid w:val="00867DEB"/>
    <w:rsid w:val="00870615"/>
    <w:rsid w:val="008707CB"/>
    <w:rsid w:val="00870E5A"/>
    <w:rsid w:val="00871392"/>
    <w:rsid w:val="00871C55"/>
    <w:rsid w:val="00871EF8"/>
    <w:rsid w:val="00871F91"/>
    <w:rsid w:val="0087285C"/>
    <w:rsid w:val="00872B93"/>
    <w:rsid w:val="00874FC0"/>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0A01"/>
    <w:rsid w:val="008A1766"/>
    <w:rsid w:val="008A2B57"/>
    <w:rsid w:val="008A5B27"/>
    <w:rsid w:val="008A706A"/>
    <w:rsid w:val="008A71F3"/>
    <w:rsid w:val="008B35EE"/>
    <w:rsid w:val="008B3E7C"/>
    <w:rsid w:val="008B4033"/>
    <w:rsid w:val="008B405B"/>
    <w:rsid w:val="008B44E8"/>
    <w:rsid w:val="008B49E0"/>
    <w:rsid w:val="008B556D"/>
    <w:rsid w:val="008B57EB"/>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5F44"/>
    <w:rsid w:val="008F18D1"/>
    <w:rsid w:val="008F2563"/>
    <w:rsid w:val="008F3077"/>
    <w:rsid w:val="008F4FEE"/>
    <w:rsid w:val="008F5106"/>
    <w:rsid w:val="008F5B95"/>
    <w:rsid w:val="0090274A"/>
    <w:rsid w:val="009039F3"/>
    <w:rsid w:val="00903C11"/>
    <w:rsid w:val="00904115"/>
    <w:rsid w:val="00905154"/>
    <w:rsid w:val="00905286"/>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1976"/>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81"/>
    <w:rsid w:val="00967CB3"/>
    <w:rsid w:val="00970704"/>
    <w:rsid w:val="00970AEA"/>
    <w:rsid w:val="009716A9"/>
    <w:rsid w:val="009718BD"/>
    <w:rsid w:val="00971D46"/>
    <w:rsid w:val="00972E6E"/>
    <w:rsid w:val="00973523"/>
    <w:rsid w:val="00974B19"/>
    <w:rsid w:val="00976143"/>
    <w:rsid w:val="0097695C"/>
    <w:rsid w:val="00976A46"/>
    <w:rsid w:val="00977C67"/>
    <w:rsid w:val="009805DC"/>
    <w:rsid w:val="009805F0"/>
    <w:rsid w:val="00981128"/>
    <w:rsid w:val="009822E3"/>
    <w:rsid w:val="009864F8"/>
    <w:rsid w:val="00986BAF"/>
    <w:rsid w:val="009879E6"/>
    <w:rsid w:val="009904BB"/>
    <w:rsid w:val="0099121E"/>
    <w:rsid w:val="00991B8E"/>
    <w:rsid w:val="00994872"/>
    <w:rsid w:val="00995A87"/>
    <w:rsid w:val="009A11A6"/>
    <w:rsid w:val="009A1DAF"/>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24AA"/>
    <w:rsid w:val="009C3B05"/>
    <w:rsid w:val="009C516E"/>
    <w:rsid w:val="009C597F"/>
    <w:rsid w:val="009C69CB"/>
    <w:rsid w:val="009C7DC6"/>
    <w:rsid w:val="009D19AD"/>
    <w:rsid w:val="009D2DE6"/>
    <w:rsid w:val="009D48A1"/>
    <w:rsid w:val="009D48CE"/>
    <w:rsid w:val="009D4FCF"/>
    <w:rsid w:val="009D55BB"/>
    <w:rsid w:val="009E3F80"/>
    <w:rsid w:val="009E3FF6"/>
    <w:rsid w:val="009E652E"/>
    <w:rsid w:val="009E68C2"/>
    <w:rsid w:val="009F356D"/>
    <w:rsid w:val="009F5577"/>
    <w:rsid w:val="00A02216"/>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188A"/>
    <w:rsid w:val="00A31CF0"/>
    <w:rsid w:val="00A320D2"/>
    <w:rsid w:val="00A32FF8"/>
    <w:rsid w:val="00A34277"/>
    <w:rsid w:val="00A347A7"/>
    <w:rsid w:val="00A35C88"/>
    <w:rsid w:val="00A35E0F"/>
    <w:rsid w:val="00A3643F"/>
    <w:rsid w:val="00A40E9F"/>
    <w:rsid w:val="00A415A9"/>
    <w:rsid w:val="00A415AD"/>
    <w:rsid w:val="00A42F0C"/>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3A29"/>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5DB0"/>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80A"/>
    <w:rsid w:val="00AE16B3"/>
    <w:rsid w:val="00AE1BE8"/>
    <w:rsid w:val="00AE1F16"/>
    <w:rsid w:val="00AE24B0"/>
    <w:rsid w:val="00AE34D3"/>
    <w:rsid w:val="00AE4AD5"/>
    <w:rsid w:val="00AE6101"/>
    <w:rsid w:val="00AE69C3"/>
    <w:rsid w:val="00AE76C6"/>
    <w:rsid w:val="00AE7C51"/>
    <w:rsid w:val="00AE7DFD"/>
    <w:rsid w:val="00AF361D"/>
    <w:rsid w:val="00AF3FD8"/>
    <w:rsid w:val="00AF512E"/>
    <w:rsid w:val="00AF61B5"/>
    <w:rsid w:val="00AF705B"/>
    <w:rsid w:val="00B00C8F"/>
    <w:rsid w:val="00B0176F"/>
    <w:rsid w:val="00B039FE"/>
    <w:rsid w:val="00B03C3D"/>
    <w:rsid w:val="00B03F64"/>
    <w:rsid w:val="00B051C0"/>
    <w:rsid w:val="00B06596"/>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2CF9"/>
    <w:rsid w:val="00B33ED2"/>
    <w:rsid w:val="00B34180"/>
    <w:rsid w:val="00B36BAB"/>
    <w:rsid w:val="00B37B8A"/>
    <w:rsid w:val="00B40E2E"/>
    <w:rsid w:val="00B410AF"/>
    <w:rsid w:val="00B418C2"/>
    <w:rsid w:val="00B424FA"/>
    <w:rsid w:val="00B445B5"/>
    <w:rsid w:val="00B46027"/>
    <w:rsid w:val="00B47954"/>
    <w:rsid w:val="00B5059B"/>
    <w:rsid w:val="00B5157E"/>
    <w:rsid w:val="00B51CA8"/>
    <w:rsid w:val="00B51EFC"/>
    <w:rsid w:val="00B5298C"/>
    <w:rsid w:val="00B65EB6"/>
    <w:rsid w:val="00B66304"/>
    <w:rsid w:val="00B701FA"/>
    <w:rsid w:val="00B709CE"/>
    <w:rsid w:val="00B71C54"/>
    <w:rsid w:val="00B71C6D"/>
    <w:rsid w:val="00B72103"/>
    <w:rsid w:val="00B7271E"/>
    <w:rsid w:val="00B72A04"/>
    <w:rsid w:val="00B72F33"/>
    <w:rsid w:val="00B7435C"/>
    <w:rsid w:val="00B743A1"/>
    <w:rsid w:val="00B76422"/>
    <w:rsid w:val="00B766D7"/>
    <w:rsid w:val="00B77981"/>
    <w:rsid w:val="00B8185B"/>
    <w:rsid w:val="00B823E4"/>
    <w:rsid w:val="00B82F0D"/>
    <w:rsid w:val="00B83773"/>
    <w:rsid w:val="00B83DD6"/>
    <w:rsid w:val="00B84F08"/>
    <w:rsid w:val="00B850AC"/>
    <w:rsid w:val="00B85BB0"/>
    <w:rsid w:val="00B90238"/>
    <w:rsid w:val="00B943D8"/>
    <w:rsid w:val="00B94EC0"/>
    <w:rsid w:val="00B954C0"/>
    <w:rsid w:val="00B97541"/>
    <w:rsid w:val="00BA295B"/>
    <w:rsid w:val="00BA3225"/>
    <w:rsid w:val="00BA42B1"/>
    <w:rsid w:val="00BA4BF0"/>
    <w:rsid w:val="00BA7B02"/>
    <w:rsid w:val="00BB0831"/>
    <w:rsid w:val="00BB0D89"/>
    <w:rsid w:val="00BB2F7B"/>
    <w:rsid w:val="00BB4CB6"/>
    <w:rsid w:val="00BC0755"/>
    <w:rsid w:val="00BC2B3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10A"/>
    <w:rsid w:val="00C06E23"/>
    <w:rsid w:val="00C110B9"/>
    <w:rsid w:val="00C114B3"/>
    <w:rsid w:val="00C11DF4"/>
    <w:rsid w:val="00C12312"/>
    <w:rsid w:val="00C12B5B"/>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7065"/>
    <w:rsid w:val="00C574BA"/>
    <w:rsid w:val="00C57504"/>
    <w:rsid w:val="00C57C4A"/>
    <w:rsid w:val="00C62C87"/>
    <w:rsid w:val="00C635C0"/>
    <w:rsid w:val="00C6496A"/>
    <w:rsid w:val="00C64A17"/>
    <w:rsid w:val="00C67E58"/>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3490"/>
    <w:rsid w:val="00CB44E4"/>
    <w:rsid w:val="00CB4508"/>
    <w:rsid w:val="00CB5C22"/>
    <w:rsid w:val="00CC08B7"/>
    <w:rsid w:val="00CC0F0F"/>
    <w:rsid w:val="00CC319A"/>
    <w:rsid w:val="00CC35C9"/>
    <w:rsid w:val="00CC36CE"/>
    <w:rsid w:val="00CC383B"/>
    <w:rsid w:val="00CC3C11"/>
    <w:rsid w:val="00CC3CB7"/>
    <w:rsid w:val="00CC4C3C"/>
    <w:rsid w:val="00CC53FD"/>
    <w:rsid w:val="00CC5878"/>
    <w:rsid w:val="00CD299A"/>
    <w:rsid w:val="00CD2CEA"/>
    <w:rsid w:val="00CE0613"/>
    <w:rsid w:val="00CE1231"/>
    <w:rsid w:val="00CE1F3A"/>
    <w:rsid w:val="00CE3A29"/>
    <w:rsid w:val="00CE6406"/>
    <w:rsid w:val="00CE74FD"/>
    <w:rsid w:val="00CE792B"/>
    <w:rsid w:val="00CE7E1D"/>
    <w:rsid w:val="00CF079B"/>
    <w:rsid w:val="00CF1D35"/>
    <w:rsid w:val="00CF6A55"/>
    <w:rsid w:val="00CF7E2E"/>
    <w:rsid w:val="00D00BB2"/>
    <w:rsid w:val="00D0107F"/>
    <w:rsid w:val="00D016C8"/>
    <w:rsid w:val="00D01C73"/>
    <w:rsid w:val="00D020C1"/>
    <w:rsid w:val="00D0313B"/>
    <w:rsid w:val="00D04B87"/>
    <w:rsid w:val="00D12FCB"/>
    <w:rsid w:val="00D13B13"/>
    <w:rsid w:val="00D13DD3"/>
    <w:rsid w:val="00D143D7"/>
    <w:rsid w:val="00D1462C"/>
    <w:rsid w:val="00D16257"/>
    <w:rsid w:val="00D1641D"/>
    <w:rsid w:val="00D167BB"/>
    <w:rsid w:val="00D16B63"/>
    <w:rsid w:val="00D17A09"/>
    <w:rsid w:val="00D20DDB"/>
    <w:rsid w:val="00D232DC"/>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6024D"/>
    <w:rsid w:val="00D61327"/>
    <w:rsid w:val="00D6181B"/>
    <w:rsid w:val="00D63329"/>
    <w:rsid w:val="00D63A1D"/>
    <w:rsid w:val="00D64838"/>
    <w:rsid w:val="00D652F6"/>
    <w:rsid w:val="00D65414"/>
    <w:rsid w:val="00D706C7"/>
    <w:rsid w:val="00D70AEC"/>
    <w:rsid w:val="00D72AE4"/>
    <w:rsid w:val="00D742A4"/>
    <w:rsid w:val="00D744E8"/>
    <w:rsid w:val="00D75405"/>
    <w:rsid w:val="00D76D98"/>
    <w:rsid w:val="00D80A14"/>
    <w:rsid w:val="00D80AAF"/>
    <w:rsid w:val="00D81229"/>
    <w:rsid w:val="00D83FC8"/>
    <w:rsid w:val="00D84386"/>
    <w:rsid w:val="00D848AB"/>
    <w:rsid w:val="00D86E59"/>
    <w:rsid w:val="00D91860"/>
    <w:rsid w:val="00D934F8"/>
    <w:rsid w:val="00D946F8"/>
    <w:rsid w:val="00D94FB0"/>
    <w:rsid w:val="00D95887"/>
    <w:rsid w:val="00D9590C"/>
    <w:rsid w:val="00D96D1C"/>
    <w:rsid w:val="00D97225"/>
    <w:rsid w:val="00D97318"/>
    <w:rsid w:val="00DA06CC"/>
    <w:rsid w:val="00DA243B"/>
    <w:rsid w:val="00DA2597"/>
    <w:rsid w:val="00DA298D"/>
    <w:rsid w:val="00DA4576"/>
    <w:rsid w:val="00DA60CC"/>
    <w:rsid w:val="00DA6BFB"/>
    <w:rsid w:val="00DA7766"/>
    <w:rsid w:val="00DB0574"/>
    <w:rsid w:val="00DB254D"/>
    <w:rsid w:val="00DB268C"/>
    <w:rsid w:val="00DB3903"/>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06D"/>
    <w:rsid w:val="00DD0717"/>
    <w:rsid w:val="00DD19E1"/>
    <w:rsid w:val="00DD1D0C"/>
    <w:rsid w:val="00DD1D99"/>
    <w:rsid w:val="00DD1E33"/>
    <w:rsid w:val="00DD3BC4"/>
    <w:rsid w:val="00DD7325"/>
    <w:rsid w:val="00DE3194"/>
    <w:rsid w:val="00DE33C8"/>
    <w:rsid w:val="00DE4123"/>
    <w:rsid w:val="00DE47C5"/>
    <w:rsid w:val="00DE4D3C"/>
    <w:rsid w:val="00DE63A4"/>
    <w:rsid w:val="00DE71C2"/>
    <w:rsid w:val="00DE7334"/>
    <w:rsid w:val="00DE7EB8"/>
    <w:rsid w:val="00DF020E"/>
    <w:rsid w:val="00DF132C"/>
    <w:rsid w:val="00DF4519"/>
    <w:rsid w:val="00DF4DEB"/>
    <w:rsid w:val="00DF5528"/>
    <w:rsid w:val="00DF58D2"/>
    <w:rsid w:val="00DF5CDF"/>
    <w:rsid w:val="00DF747E"/>
    <w:rsid w:val="00E003CD"/>
    <w:rsid w:val="00E009F6"/>
    <w:rsid w:val="00E03679"/>
    <w:rsid w:val="00E03BED"/>
    <w:rsid w:val="00E04DC5"/>
    <w:rsid w:val="00E05578"/>
    <w:rsid w:val="00E07502"/>
    <w:rsid w:val="00E1337E"/>
    <w:rsid w:val="00E147A2"/>
    <w:rsid w:val="00E15C29"/>
    <w:rsid w:val="00E15DB3"/>
    <w:rsid w:val="00E17D34"/>
    <w:rsid w:val="00E17FF3"/>
    <w:rsid w:val="00E2039A"/>
    <w:rsid w:val="00E21079"/>
    <w:rsid w:val="00E23BE3"/>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64C83"/>
    <w:rsid w:val="00E65C15"/>
    <w:rsid w:val="00E7163A"/>
    <w:rsid w:val="00E723C8"/>
    <w:rsid w:val="00E75041"/>
    <w:rsid w:val="00E75710"/>
    <w:rsid w:val="00E75A6E"/>
    <w:rsid w:val="00E773DF"/>
    <w:rsid w:val="00E77788"/>
    <w:rsid w:val="00E85DF1"/>
    <w:rsid w:val="00E86124"/>
    <w:rsid w:val="00E866FF"/>
    <w:rsid w:val="00E867BD"/>
    <w:rsid w:val="00E9054A"/>
    <w:rsid w:val="00E91025"/>
    <w:rsid w:val="00E91CF3"/>
    <w:rsid w:val="00E9450C"/>
    <w:rsid w:val="00E9591E"/>
    <w:rsid w:val="00E96DDA"/>
    <w:rsid w:val="00EA2581"/>
    <w:rsid w:val="00EA45E9"/>
    <w:rsid w:val="00EA4A24"/>
    <w:rsid w:val="00EA564A"/>
    <w:rsid w:val="00EB1647"/>
    <w:rsid w:val="00EB1EDE"/>
    <w:rsid w:val="00EB2C3E"/>
    <w:rsid w:val="00EB474B"/>
    <w:rsid w:val="00EB5A13"/>
    <w:rsid w:val="00EC11DC"/>
    <w:rsid w:val="00EC1332"/>
    <w:rsid w:val="00EC192E"/>
    <w:rsid w:val="00EC2659"/>
    <w:rsid w:val="00EC29CC"/>
    <w:rsid w:val="00ED0178"/>
    <w:rsid w:val="00ED1C6C"/>
    <w:rsid w:val="00ED3202"/>
    <w:rsid w:val="00ED4C66"/>
    <w:rsid w:val="00ED520F"/>
    <w:rsid w:val="00ED7379"/>
    <w:rsid w:val="00EE00F3"/>
    <w:rsid w:val="00EE1077"/>
    <w:rsid w:val="00EE164A"/>
    <w:rsid w:val="00EE4EFC"/>
    <w:rsid w:val="00EE5F51"/>
    <w:rsid w:val="00EE6396"/>
    <w:rsid w:val="00EF0F70"/>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30D6"/>
    <w:rsid w:val="00F24867"/>
    <w:rsid w:val="00F275EE"/>
    <w:rsid w:val="00F27CFB"/>
    <w:rsid w:val="00F3013C"/>
    <w:rsid w:val="00F301F8"/>
    <w:rsid w:val="00F31CDD"/>
    <w:rsid w:val="00F322D3"/>
    <w:rsid w:val="00F32E77"/>
    <w:rsid w:val="00F3709D"/>
    <w:rsid w:val="00F3763B"/>
    <w:rsid w:val="00F41347"/>
    <w:rsid w:val="00F420E4"/>
    <w:rsid w:val="00F44ED5"/>
    <w:rsid w:val="00F45EB3"/>
    <w:rsid w:val="00F466F4"/>
    <w:rsid w:val="00F50181"/>
    <w:rsid w:val="00F51C8A"/>
    <w:rsid w:val="00F52A65"/>
    <w:rsid w:val="00F53584"/>
    <w:rsid w:val="00F53CBE"/>
    <w:rsid w:val="00F540CB"/>
    <w:rsid w:val="00F54215"/>
    <w:rsid w:val="00F54770"/>
    <w:rsid w:val="00F55BD7"/>
    <w:rsid w:val="00F56EBC"/>
    <w:rsid w:val="00F57996"/>
    <w:rsid w:val="00F57E55"/>
    <w:rsid w:val="00F60C80"/>
    <w:rsid w:val="00F628E5"/>
    <w:rsid w:val="00F62D63"/>
    <w:rsid w:val="00F65642"/>
    <w:rsid w:val="00F6619B"/>
    <w:rsid w:val="00F66401"/>
    <w:rsid w:val="00F72E4C"/>
    <w:rsid w:val="00F768EB"/>
    <w:rsid w:val="00F77845"/>
    <w:rsid w:val="00F8004A"/>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9F4"/>
    <w:rsid w:val="00FC3DA6"/>
    <w:rsid w:val="00FC69EC"/>
    <w:rsid w:val="00FC71FB"/>
    <w:rsid w:val="00FC7EFC"/>
    <w:rsid w:val="00FD11CE"/>
    <w:rsid w:val="00FD1661"/>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74001A"/>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rsid w:val="00C37A37"/>
    <w:rPr>
      <w:sz w:val="20"/>
    </w:rPr>
  </w:style>
  <w:style w:type="character" w:styleId="FootnoteReference">
    <w:name w:val="footnote reference"/>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rsid w:val="00CE6406"/>
  </w:style>
  <w:style w:type="table" w:styleId="GridTable4">
    <w:name w:val="Grid Table 4"/>
    <w:basedOn w:val="TableNormal"/>
    <w:uiPriority w:val="49"/>
    <w:rsid w:val="00CE640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B36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src.org/sites/default/files/2025-07/king-county-compplan-2024-certific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5B61B6D73CEFE4BBE31050695399EE4" ma:contentTypeVersion="16" ma:contentTypeDescription="Create a new document." ma:contentTypeScope="" ma:versionID="48dc8944c6059785b04c9c07d0335d03">
  <xsd:schema xmlns:xsd="http://www.w3.org/2001/XMLSchema" xmlns:xs="http://www.w3.org/2001/XMLSchema" xmlns:p="http://schemas.microsoft.com/office/2006/metadata/properties" xmlns:ns2="41fe7613-ad30-4660-a1ea-5b41979d92cc" xmlns:ns3="2beaef9f-cf1f-479f-a374-c737fe2c05cb" xmlns:ns4="460b40b1-8940-426a-956a-a1941f8155cd" targetNamespace="http://schemas.microsoft.com/office/2006/metadata/properties" ma:root="true" ma:fieldsID="5b9aeabc8497fb2eac34fb6f0e771c43" ns2:_="" ns3:_="" ns4:_="">
    <xsd:import namespace="41fe7613-ad30-4660-a1ea-5b41979d92cc"/>
    <xsd:import namespace="2beaef9f-cf1f-479f-a374-c737fe2c05cb"/>
    <xsd:import namespace="460b40b1-8940-426a-956a-a1941f8155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e7613-ad30-4660-a1ea-5b41979d9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8191451-e717-4045-927b-fb009344d2c2}" ma:internalName="TaxCatchAll" ma:showField="CatchAllData" ma:web="460b40b1-8940-426a-956a-a1941f8155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0b40b1-8940-426a-956a-a1941f8155c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fe7613-ad30-4660-a1ea-5b41979d92cc">
      <Terms xmlns="http://schemas.microsoft.com/office/infopath/2007/PartnerControls"/>
    </lcf76f155ced4ddcb4097134ff3c332f>
    <TaxCatchAll xmlns="2beaef9f-cf1f-479f-a374-c737fe2c05cb" xsi:nil="true"/>
  </documentManagement>
</p:properties>
</file>

<file path=customXml/itemProps1.xml><?xml version="1.0" encoding="utf-8"?>
<ds:datastoreItem xmlns:ds="http://schemas.openxmlformats.org/officeDocument/2006/customXml" ds:itemID="{BB4797A4-2AE9-4090-9CC6-15820855B7B6}">
  <ds:schemaRefs>
    <ds:schemaRef ds:uri="http://schemas.microsoft.com/sharepoint/v3/contenttype/forms"/>
  </ds:schemaRefs>
</ds:datastoreItem>
</file>

<file path=customXml/itemProps2.xml><?xml version="1.0" encoding="utf-8"?>
<ds:datastoreItem xmlns:ds="http://schemas.openxmlformats.org/officeDocument/2006/customXml" ds:itemID="{A728E132-E878-4AEA-9CD0-F3A9B6B5A06A}">
  <ds:schemaRefs>
    <ds:schemaRef ds:uri="http://schemas.openxmlformats.org/officeDocument/2006/bibliography"/>
  </ds:schemaRefs>
</ds:datastoreItem>
</file>

<file path=customXml/itemProps3.xml><?xml version="1.0" encoding="utf-8"?>
<ds:datastoreItem xmlns:ds="http://schemas.openxmlformats.org/officeDocument/2006/customXml" ds:itemID="{1F96CF64-D826-44A1-A49D-C2F2CB336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e7613-ad30-4660-a1ea-5b41979d92cc"/>
    <ds:schemaRef ds:uri="2beaef9f-cf1f-479f-a374-c737fe2c05cb"/>
    <ds:schemaRef ds:uri="460b40b1-8940-426a-956a-a1941f815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DE6A5D-03EA-416F-AE5B-2E3851BCA37A}">
  <ds:schemaRefs>
    <ds:schemaRef ds:uri="http://schemas.microsoft.com/office/2006/metadata/properties"/>
    <ds:schemaRef ds:uri="http://schemas.microsoft.com/office/infopath/2007/PartnerControls"/>
    <ds:schemaRef ds:uri="41fe7613-ad30-4660-a1ea-5b41979d92cc"/>
    <ds:schemaRef ds:uri="2beaef9f-cf1f-479f-a374-c737fe2c05cb"/>
  </ds:schemaRefs>
</ds:datastoreItem>
</file>

<file path=docProps/app.xml><?xml version="1.0" encoding="utf-8"?>
<Properties xmlns="http://schemas.openxmlformats.org/officeDocument/2006/extended-properties" xmlns:vt="http://schemas.openxmlformats.org/officeDocument/2006/docPropsVTypes">
  <Template>Normal</Template>
  <TotalTime>4079</TotalTime>
  <Pages>4</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Ngo, Jenny</cp:lastModifiedBy>
  <cp:revision>99</cp:revision>
  <cp:lastPrinted>2015-03-13T15:09:00Z</cp:lastPrinted>
  <dcterms:created xsi:type="dcterms:W3CDTF">2026-03-13T20:47:00Z</dcterms:created>
  <dcterms:modified xsi:type="dcterms:W3CDTF">2026-06-12T15:52:00Z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0x01010035B61B6D73CEFE4BBE31050695399EE4</vt:lpwstr>
  </property>
  <property fmtid="{D5CDD505-2E9C-101B-9397-08002B2CF9AE}" pid="3" name="MediaServiceImageTags">
    <vt:lpwstr/>
  </property>
</Properties>
</file>