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4FFEB63E" w14:textId="4C403A15" w:rsidR="005C76F4" w:rsidRPr="002C2AC4" w:rsidRDefault="005C76F4" w:rsidP="00F1541C">
            <w:pPr>
              <w:pStyle w:val="Heading1"/>
            </w:pPr>
            <w:r w:rsidRPr="00D700B6">
              <w:t xml:space="preserve">Metropolitan King County Council </w:t>
            </w:r>
            <w:r w:rsidR="002C2AC4">
              <w:br/>
            </w: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20" w:firstRow="1" w:lastRow="0" w:firstColumn="0" w:lastColumn="0" w:noHBand="0" w:noVBand="0"/>
      </w:tblPr>
      <w:tblGrid>
        <w:gridCol w:w="1800"/>
        <w:gridCol w:w="1710"/>
        <w:gridCol w:w="2340"/>
        <w:gridCol w:w="3492"/>
        <w:gridCol w:w="8"/>
      </w:tblGrid>
      <w:tr w:rsidR="005C76F4" w:rsidRPr="00D700B6" w14:paraId="2B7F5DCD" w14:textId="77777777" w:rsidTr="002C2AC4">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0961C769" w:rsidR="005C76F4" w:rsidRPr="00D700B6" w:rsidRDefault="00583AAE"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Budget and Fiscal Management Committee</w:t>
            </w:r>
          </w:p>
        </w:tc>
      </w:tr>
      <w:tr w:rsidR="005C76F4" w:rsidRPr="00D700B6" w14:paraId="070FBCC9"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566ADA94" w:rsidR="005C76F4" w:rsidRPr="00D700B6" w:rsidRDefault="00F818EA"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5</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51B9B710" w:rsidR="005C76F4" w:rsidRPr="00D700B6" w:rsidRDefault="00583AAE"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Andy Micklow</w:t>
            </w:r>
          </w:p>
        </w:tc>
      </w:tr>
      <w:tr w:rsidR="005C76F4" w:rsidRPr="00D700B6" w14:paraId="745FB0FD"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3949B993" w:rsidR="005C76F4" w:rsidRPr="00D700B6" w:rsidRDefault="00583AAE"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2026-0128</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38380FB4" w:rsidR="005C76F4" w:rsidRPr="00D700B6" w:rsidRDefault="00830AD6"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8, 2026</w:t>
            </w:r>
          </w:p>
        </w:tc>
      </w:tr>
    </w:tbl>
    <w:p w14:paraId="0DF92FE9" w14:textId="77777777" w:rsidR="0070230F" w:rsidRPr="0070230F" w:rsidRDefault="0070230F" w:rsidP="0070230F">
      <w:pPr>
        <w:pStyle w:val="Heading2"/>
      </w:pPr>
      <w:bookmarkStart w:id="0" w:name="Overview"/>
      <w:r w:rsidRPr="0070230F">
        <w:t>OVERVIEW</w:t>
      </w:r>
    </w:p>
    <w:bookmarkEnd w:id="0"/>
    <w:p w14:paraId="2BAFB17F" w14:textId="6903204F" w:rsidR="0070230F" w:rsidRPr="0070230F" w:rsidRDefault="0070230F" w:rsidP="00196B7F">
      <w:pPr>
        <w:pStyle w:val="BodyText"/>
      </w:pPr>
      <w:r w:rsidRPr="0070230F">
        <w:rPr>
          <w:b/>
          <w:bCs/>
        </w:rPr>
        <w:t>TOPIC:</w:t>
      </w:r>
      <w:r w:rsidR="00096E71">
        <w:t xml:space="preserve"> </w:t>
      </w:r>
      <w:r w:rsidRPr="00196B7F">
        <w:t xml:space="preserve">An ordinance authorizing the Executive to </w:t>
      </w:r>
      <w:r w:rsidR="002E5142">
        <w:t>authorize the sale of surplus property.</w:t>
      </w:r>
    </w:p>
    <w:p w14:paraId="639440E6" w14:textId="03DDB0B5" w:rsidR="008E0299" w:rsidRPr="008E0299" w:rsidRDefault="0070230F" w:rsidP="008E0299">
      <w:pPr>
        <w:pStyle w:val="BodyText"/>
      </w:pPr>
      <w:r w:rsidRPr="0070230F">
        <w:rPr>
          <w:rStyle w:val="Heading3Char"/>
        </w:rPr>
        <w:t>LEGISLATION SUMMARY</w:t>
      </w:r>
      <w:r w:rsidRPr="0070230F">
        <w:rPr>
          <w:b/>
          <w:bCs/>
        </w:rPr>
        <w:br/>
      </w:r>
      <w:r w:rsidR="008E0299" w:rsidRPr="008E0299">
        <w:t xml:space="preserve">Proposed Ordinance 2026-0128 would </w:t>
      </w:r>
      <w:bookmarkStart w:id="1" w:name="_Hlk67927635"/>
      <w:r w:rsidR="008E0299" w:rsidRPr="008E0299">
        <w:t>approve the sale of approximately 0.32 acres of surplus land, including a vacant residential home, located in the City of Seattle in Council District 8,</w:t>
      </w:r>
      <w:r w:rsidR="00E26C28">
        <w:t xml:space="preserve"> to the Washington State Department of Transportation (WSDOT)</w:t>
      </w:r>
      <w:r w:rsidR="008E0299" w:rsidRPr="008E0299">
        <w:t xml:space="preserve"> for $</w:t>
      </w:r>
      <w:bookmarkEnd w:id="1"/>
      <w:r w:rsidR="008E0299" w:rsidRPr="008E0299">
        <w:t xml:space="preserve">1,825,000. According to the Executive, the property was originally purchased in 2008 by the Department of Natural Resources, Wastewater Treatment Division (WTD), for $950,000 </w:t>
      </w:r>
      <w:r w:rsidR="000442D8">
        <w:t xml:space="preserve">to support the Barton Pump </w:t>
      </w:r>
      <w:proofErr w:type="gramStart"/>
      <w:r w:rsidR="000442D8">
        <w:t>Station Upgrade</w:t>
      </w:r>
      <w:proofErr w:type="gramEnd"/>
      <w:r w:rsidR="000442D8">
        <w:t xml:space="preserve"> Project, serving</w:t>
      </w:r>
      <w:r w:rsidR="008E0299" w:rsidRPr="008E0299">
        <w:t xml:space="preserve"> as a field office and </w:t>
      </w:r>
      <w:r w:rsidR="00D04BC8">
        <w:t>a construction materials lay</w:t>
      </w:r>
      <w:r w:rsidR="00D04BC8" w:rsidRPr="008E0299">
        <w:t>down</w:t>
      </w:r>
      <w:r w:rsidR="008E0299" w:rsidRPr="008E0299">
        <w:t xml:space="preserve"> area. Following the completion of the Barton Pump Station in 2015, WTD determined that the property was surplus to its needs. WSDOT plans to use the property for </w:t>
      </w:r>
      <w:r w:rsidR="00AA74A7">
        <w:t>an</w:t>
      </w:r>
      <w:r w:rsidR="008E0299" w:rsidRPr="008E0299">
        <w:t xml:space="preserve"> upcoming project as a construction management office.</w:t>
      </w:r>
    </w:p>
    <w:p w14:paraId="0E39234A" w14:textId="68E0C8D8" w:rsidR="0070230F" w:rsidRPr="0070230F" w:rsidRDefault="008E0299" w:rsidP="008E0299">
      <w:pPr>
        <w:pStyle w:val="BodyText"/>
        <w:rPr>
          <w:rFonts w:eastAsia="Times New Roman" w:cs="Arial"/>
          <w:kern w:val="0"/>
          <w:szCs w:val="20"/>
          <w14:ligatures w14:val="none"/>
        </w:rPr>
      </w:pPr>
      <w:r w:rsidRPr="008E0299">
        <w:rPr>
          <w:iCs/>
        </w:rPr>
        <w:t>The transmitted PSA includes a provision that it is subject to Council approval ("Council Approval Contingency"). The ordinance needs to be effective by August 3, 2026, to satisfy this contingency.</w:t>
      </w:r>
    </w:p>
    <w:p w14:paraId="0C044469" w14:textId="77777777" w:rsidR="0070230F" w:rsidRPr="0070230F" w:rsidRDefault="0070230F" w:rsidP="0070230F">
      <w:pPr>
        <w:pStyle w:val="Heading3"/>
      </w:pPr>
      <w:bookmarkStart w:id="2" w:name="Key_Issue"/>
      <w:r w:rsidRPr="0070230F">
        <w:t>KEY ISSUES FROM THE ANALYSIS</w:t>
      </w:r>
    </w:p>
    <w:bookmarkEnd w:id="2"/>
    <w:p w14:paraId="7FB6CE76" w14:textId="6634FA1A" w:rsidR="0070230F" w:rsidRPr="00E962E7" w:rsidRDefault="00E962E7" w:rsidP="00E962E7">
      <w:pPr>
        <w:pStyle w:val="KeyIssuesList"/>
        <w:numPr>
          <w:ilvl w:val="0"/>
          <w:numId w:val="0"/>
        </w:numPr>
        <w:rPr>
          <w:rFonts w:eastAsia="Times New Roman" w:cs="Arial"/>
          <w:b w:val="0"/>
          <w:bCs/>
          <w:kern w:val="0"/>
          <w:szCs w:val="20"/>
          <w14:ligatures w14:val="none"/>
        </w:rPr>
      </w:pPr>
      <w:r w:rsidRPr="00E962E7">
        <w:rPr>
          <w:b w:val="0"/>
          <w:bCs/>
        </w:rPr>
        <w:t>No issues identified.</w:t>
      </w:r>
    </w:p>
    <w:p w14:paraId="50899455" w14:textId="36FD5C3E" w:rsidR="00192F79" w:rsidRPr="00196B7F" w:rsidRDefault="00192F79" w:rsidP="005F56DA">
      <w:pPr>
        <w:pStyle w:val="Heading2"/>
        <w:tabs>
          <w:tab w:val="right" w:pos="9216"/>
        </w:tabs>
      </w:pPr>
      <w:r w:rsidRPr="00192F79">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35F8546C" w14:textId="6EA2EEE0" w:rsidR="005F56DA" w:rsidRPr="005F56DA" w:rsidRDefault="005F56DA" w:rsidP="005F56DA">
      <w:pPr>
        <w:pStyle w:val="BodyText"/>
      </w:pPr>
      <w:r w:rsidRPr="005F56DA">
        <w:rPr>
          <w:b/>
          <w:bCs/>
        </w:rPr>
        <w:t>Property History.</w:t>
      </w:r>
      <w:r w:rsidRPr="005F56DA">
        <w:t xml:space="preserve"> The parcel (#</w:t>
      </w:r>
      <w:sdt>
        <w:sdtPr>
          <w:alias w:val="Assessor's Parcel"/>
          <w:tag w:val="Assessor's Parcel"/>
          <w:id w:val="1615558387"/>
          <w:placeholder>
            <w:docPart w:val="12EE3DC7C6DF431DB29715FF713DE9AD"/>
          </w:placeholder>
        </w:sdtPr>
        <w:sdtEndPr/>
        <w:sdtContent>
          <w:r w:rsidRPr="005F56DA">
            <w:t>3524039112</w:t>
          </w:r>
        </w:sdtContent>
      </w:sdt>
      <w:r w:rsidRPr="005F56DA">
        <w:t>) located at 8923 Fauntleroy Way</w:t>
      </w:r>
      <w:r w:rsidR="00E56346">
        <w:t xml:space="preserve"> in the City of Seattle was originally purchased in 2008 by WTD for $950,000</w:t>
      </w:r>
      <w:r w:rsidRPr="005F56DA">
        <w:t xml:space="preserve"> for the Barton Pump Station Upgrade Project to serve as a field office and construction materials laydown area. Following the completion of the Barton Pump Station in 2015, WTD determined that the property was surplus to its needs. From 2016 to 2025, the County leased </w:t>
      </w:r>
      <w:r w:rsidR="00E56346">
        <w:t xml:space="preserve">the </w:t>
      </w:r>
      <w:r w:rsidRPr="005F56DA">
        <w:t>property to a residential tenant.</w:t>
      </w:r>
    </w:p>
    <w:p w14:paraId="4977881F" w14:textId="666FFA4E" w:rsidR="00420055" w:rsidRPr="005F56DA" w:rsidRDefault="005F56DA" w:rsidP="005F56DA">
      <w:pPr>
        <w:pStyle w:val="BodyText"/>
        <w:rPr>
          <w:rFonts w:ascii="Arial" w:hAnsi="Arial" w:cs="Arial"/>
        </w:rPr>
      </w:pPr>
      <w:r w:rsidRPr="005F56DA">
        <w:lastRenderedPageBreak/>
        <w:t>The Facilities Management Division (FMD) declared the parcels surplus on August 20, 2015, as the County does not anticipate any future needs for the property. Selling the property to the Washington State Department of Transportation (WSDOT) would relieve the County of maintenance and liability, including approximately $998 in annual assessment fees, and provide the County with one-time revenue of approximately $1,825,000. According to the Executive, WSDOT plans to use the property for the upcoming SR 160 - Fauntleroy Terminal - Trestle &amp; Transfer Span Replacement project for use as a construction management office.</w:t>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3" w:name="Key_Issue_A"/>
    <w:p w14:paraId="111C210C" w14:textId="6CF0CC13" w:rsidR="00424CE3" w:rsidRPr="00405FF7" w:rsidRDefault="001B1579" w:rsidP="00405FF7">
      <w:pPr>
        <w:pStyle w:val="BodyText"/>
      </w:pPr>
      <w:r>
        <w:rPr>
          <w:rFonts w:ascii="Aptos" w:eastAsia="Aptos" w:hAnsi="Aptos" w:cs="Times New Roman"/>
          <w:b/>
          <w:bCs/>
          <w:caps/>
          <w:color w:val="FFFFFF" w:themeColor="background1"/>
          <w:sz w:val="20"/>
          <w:szCs w:val="20"/>
        </w:rPr>
        <w:fldChar w:fldCharType="end"/>
      </w:r>
      <w:r w:rsidR="00424CE3" w:rsidRPr="00405FF7">
        <w:t>Proposed Ordinance 2026-0128 would authorize the Executive to convey the property at Fauntleroy Way SW in the City of Seattle to WSDOT, consistent with the Purchase and Sale Agreement (PSA) included as Attachment A. According to the Executive, WSDOT's Washington State Ferries Division plans to use the property for the upcoming SR 160 - Fauntleroy Terminal - Trestle &amp; Transfer Span Replacement project as a construction management office.</w:t>
      </w:r>
    </w:p>
    <w:p w14:paraId="79317A87" w14:textId="3ABC10E9" w:rsidR="00196B7F" w:rsidRPr="006E6967" w:rsidRDefault="00424CE3" w:rsidP="006E6967">
      <w:pPr>
        <w:pStyle w:val="BodyText"/>
      </w:pPr>
      <w:r w:rsidRPr="00405FF7">
        <w:rPr>
          <w:b/>
          <w:bCs/>
        </w:rPr>
        <w:t>Intergovernmental Surplus Real Property Sale Requirements.</w:t>
      </w:r>
      <w:r w:rsidRPr="00405FF7">
        <w:t xml:space="preserve"> According to King County Code Section 4.56.080, any surplus property sales greater than $100,000 require council approval. Section 4.56.060 authorizes FMD to conduct sales of all County surplus properties. All surplus property sales need to abide by the requirements outlined in King County Code Section 4.56. Table 1 provides the requirements, the King County Code reference, and the outcome or status for each requirement. The requirements are listed chronologically, since each depends on the outcome of another (i.e., FMD surplus declaration must occur before FMD offers a parcel to other county agencies).</w:t>
      </w:r>
      <w:bookmarkEnd w:id="3"/>
    </w:p>
    <w:p w14:paraId="09101ECA" w14:textId="264837B2" w:rsidR="00F43A72" w:rsidRPr="00857D02" w:rsidRDefault="00F43A72" w:rsidP="00857D02">
      <w:pPr>
        <w:pStyle w:val="Subtitle"/>
        <w:rPr>
          <w:rFonts w:eastAsia="Aptos"/>
        </w:rPr>
      </w:pPr>
      <w:r w:rsidRPr="00857D02">
        <w:rPr>
          <w:rFonts w:eastAsia="Aptos"/>
        </w:rPr>
        <w:t>Table 1. Surplus Property Sale Requirements</w:t>
      </w:r>
    </w:p>
    <w:tbl>
      <w:tblPr>
        <w:tblStyle w:val="TableGrid"/>
        <w:tblW w:w="0" w:type="auto"/>
        <w:tblLayout w:type="fixed"/>
        <w:tblLook w:val="04A0" w:firstRow="1" w:lastRow="0" w:firstColumn="1" w:lastColumn="0" w:noHBand="0" w:noVBand="1"/>
      </w:tblPr>
      <w:tblGrid>
        <w:gridCol w:w="608"/>
        <w:gridCol w:w="3728"/>
        <w:gridCol w:w="1476"/>
        <w:gridCol w:w="3764"/>
      </w:tblGrid>
      <w:tr w:rsidR="00F43A72" w:rsidRPr="00F43A72" w14:paraId="2560D6C1" w14:textId="77777777" w:rsidTr="005A5938">
        <w:trPr>
          <w:cantSplit/>
          <w:tblHeader/>
        </w:trPr>
        <w:tc>
          <w:tcPr>
            <w:tcW w:w="608" w:type="dxa"/>
            <w:shd w:val="clear" w:color="auto" w:fill="0F4761" w:themeFill="accent1" w:themeFillShade="BF"/>
            <w:vAlign w:val="center"/>
          </w:tcPr>
          <w:p w14:paraId="4A79DEDC" w14:textId="44226CA8" w:rsidR="00F43A72" w:rsidRPr="0076687B" w:rsidRDefault="005A5938" w:rsidP="005A5938">
            <w:pPr>
              <w:widowControl w:val="0"/>
              <w:spacing w:line="240" w:lineRule="auto"/>
              <w:rPr>
                <w:rFonts w:ascii="Aptos" w:eastAsia="Avenir Next LT Pro" w:hAnsi="Aptos" w:cs="Arial"/>
                <w:spacing w:val="-1"/>
                <w:sz w:val="24"/>
                <w:szCs w:val="24"/>
                <w14:ligatures w14:val="none"/>
              </w:rPr>
            </w:pPr>
            <w:r>
              <w:rPr>
                <w:rFonts w:ascii="Aptos" w:eastAsia="Avenir Next LT Pro" w:hAnsi="Aptos" w:cs="Arial"/>
                <w:b/>
                <w:spacing w:val="-1"/>
                <w:sz w:val="24"/>
                <w:szCs w:val="24"/>
                <w14:ligatures w14:val="none"/>
              </w:rPr>
              <w:t>No.</w:t>
            </w:r>
          </w:p>
        </w:tc>
        <w:tc>
          <w:tcPr>
            <w:tcW w:w="3728" w:type="dxa"/>
            <w:shd w:val="clear" w:color="auto" w:fill="0F4761" w:themeFill="accent1" w:themeFillShade="BF"/>
            <w:vAlign w:val="center"/>
          </w:tcPr>
          <w:p w14:paraId="40676F98" w14:textId="172153A8" w:rsidR="00F43A72" w:rsidRPr="0076687B" w:rsidRDefault="005A5938" w:rsidP="0076687B">
            <w:pPr>
              <w:widowControl w:val="0"/>
              <w:spacing w:line="240" w:lineRule="auto"/>
              <w:jc w:val="center"/>
              <w:rPr>
                <w:rFonts w:ascii="Aptos" w:eastAsia="Avenir Next LT Pro" w:hAnsi="Aptos" w:cs="Arial"/>
                <w:spacing w:val="-1"/>
                <w:sz w:val="24"/>
                <w:szCs w:val="24"/>
                <w14:ligatures w14:val="none"/>
              </w:rPr>
            </w:pPr>
            <w:r w:rsidRPr="0076687B">
              <w:rPr>
                <w:rFonts w:ascii="Aptos" w:eastAsia="Avenir Next LT Pro" w:hAnsi="Aptos" w:cs="Arial"/>
                <w:b/>
                <w:spacing w:val="-1"/>
                <w:sz w:val="24"/>
                <w:szCs w:val="24"/>
                <w14:ligatures w14:val="none"/>
              </w:rPr>
              <w:t>Requirement</w:t>
            </w:r>
          </w:p>
        </w:tc>
        <w:tc>
          <w:tcPr>
            <w:tcW w:w="1476" w:type="dxa"/>
            <w:shd w:val="clear" w:color="auto" w:fill="0F4761" w:themeFill="accent1" w:themeFillShade="BF"/>
            <w:vAlign w:val="center"/>
          </w:tcPr>
          <w:p w14:paraId="5B30F39B" w14:textId="77777777" w:rsidR="00F43A72" w:rsidRPr="0076687B" w:rsidRDefault="00F43A72" w:rsidP="0076687B">
            <w:pPr>
              <w:widowControl w:val="0"/>
              <w:spacing w:line="240" w:lineRule="auto"/>
              <w:jc w:val="center"/>
              <w:rPr>
                <w:rFonts w:ascii="Aptos" w:eastAsia="Avenir Next LT Pro" w:hAnsi="Aptos" w:cs="Arial"/>
                <w:spacing w:val="-1"/>
                <w:sz w:val="24"/>
                <w:szCs w:val="24"/>
                <w14:ligatures w14:val="none"/>
              </w:rPr>
            </w:pPr>
            <w:r w:rsidRPr="0076687B">
              <w:rPr>
                <w:rFonts w:ascii="Aptos" w:eastAsia="Avenir Next LT Pro" w:hAnsi="Aptos" w:cs="Arial"/>
                <w:b/>
                <w:spacing w:val="-1"/>
                <w:sz w:val="24"/>
                <w:szCs w:val="24"/>
                <w14:ligatures w14:val="none"/>
              </w:rPr>
              <w:t>K.C.C. Reference</w:t>
            </w:r>
          </w:p>
        </w:tc>
        <w:tc>
          <w:tcPr>
            <w:tcW w:w="3764" w:type="dxa"/>
            <w:shd w:val="clear" w:color="auto" w:fill="0F4761" w:themeFill="accent1" w:themeFillShade="BF"/>
            <w:vAlign w:val="center"/>
          </w:tcPr>
          <w:p w14:paraId="5FFDC44E" w14:textId="2FC4C128" w:rsidR="00F43A72" w:rsidRPr="0076687B" w:rsidRDefault="00F43A72" w:rsidP="005A5938">
            <w:pPr>
              <w:widowControl w:val="0"/>
              <w:spacing w:line="240" w:lineRule="auto"/>
              <w:jc w:val="center"/>
              <w:rPr>
                <w:rFonts w:ascii="Aptos" w:eastAsia="Avenir Next LT Pro" w:hAnsi="Aptos" w:cs="Arial"/>
                <w:spacing w:val="-1"/>
                <w:sz w:val="24"/>
                <w:szCs w:val="24"/>
                <w14:ligatures w14:val="none"/>
              </w:rPr>
            </w:pPr>
            <w:r w:rsidRPr="0076687B">
              <w:rPr>
                <w:rFonts w:ascii="Aptos" w:eastAsia="Avenir Next LT Pro" w:hAnsi="Aptos" w:cs="Arial"/>
                <w:b/>
                <w:spacing w:val="-1"/>
                <w:sz w:val="24"/>
                <w:szCs w:val="24"/>
                <w14:ligatures w14:val="none"/>
              </w:rPr>
              <w:t>Outcome/Status</w:t>
            </w:r>
          </w:p>
        </w:tc>
      </w:tr>
      <w:tr w:rsidR="00F43A72" w:rsidRPr="00F43A72" w14:paraId="48C15D4D" w14:textId="77777777" w:rsidTr="005A5938">
        <w:trPr>
          <w:cantSplit/>
        </w:trPr>
        <w:tc>
          <w:tcPr>
            <w:tcW w:w="608" w:type="dxa"/>
            <w:shd w:val="clear" w:color="auto" w:fill="F2F2F2" w:themeFill="background1" w:themeFillShade="F2"/>
          </w:tcPr>
          <w:p w14:paraId="0F1B6B9B" w14:textId="77777777" w:rsidR="00F43A72" w:rsidRPr="00857D02" w:rsidRDefault="00F43A72" w:rsidP="000321EF">
            <w:pPr>
              <w:rPr>
                <w:rFonts w:ascii="Aptos" w:hAnsi="Aptos" w:cs="Arial"/>
                <w:b/>
                <w:bCs/>
                <w:sz w:val="24"/>
                <w:szCs w:val="24"/>
              </w:rPr>
            </w:pPr>
            <w:r w:rsidRPr="00857D02">
              <w:rPr>
                <w:rFonts w:ascii="Aptos" w:hAnsi="Aptos" w:cs="Arial"/>
                <w:b/>
                <w:bCs/>
                <w:sz w:val="24"/>
                <w:szCs w:val="24"/>
              </w:rPr>
              <w:t>1.</w:t>
            </w:r>
          </w:p>
        </w:tc>
        <w:tc>
          <w:tcPr>
            <w:tcW w:w="3728" w:type="dxa"/>
            <w:shd w:val="clear" w:color="auto" w:fill="F2F2F2" w:themeFill="background1" w:themeFillShade="F2"/>
          </w:tcPr>
          <w:p w14:paraId="29FBC358" w14:textId="7E16C72C" w:rsidR="00F43A72" w:rsidRPr="00857D02" w:rsidRDefault="00F43A72" w:rsidP="00857D02">
            <w:pPr>
              <w:jc w:val="center"/>
              <w:rPr>
                <w:rFonts w:ascii="Aptos" w:hAnsi="Aptos" w:cs="Arial"/>
                <w:b/>
                <w:bCs/>
                <w:sz w:val="24"/>
                <w:szCs w:val="24"/>
              </w:rPr>
            </w:pPr>
            <w:r w:rsidRPr="00857D02">
              <w:rPr>
                <w:rFonts w:ascii="Aptos" w:hAnsi="Aptos" w:cs="Arial"/>
                <w:b/>
                <w:bCs/>
                <w:sz w:val="24"/>
                <w:szCs w:val="24"/>
              </w:rPr>
              <w:t>WTD Surplus Declaration</w:t>
            </w:r>
          </w:p>
        </w:tc>
        <w:tc>
          <w:tcPr>
            <w:tcW w:w="1476" w:type="dxa"/>
            <w:shd w:val="clear" w:color="auto" w:fill="F2F2F2" w:themeFill="background1" w:themeFillShade="F2"/>
          </w:tcPr>
          <w:p w14:paraId="3A81DCFD" w14:textId="77777777" w:rsidR="00F43A72" w:rsidRPr="00857D02" w:rsidRDefault="00F43A72" w:rsidP="00857D02">
            <w:pPr>
              <w:jc w:val="center"/>
              <w:rPr>
                <w:rFonts w:ascii="Aptos" w:hAnsi="Aptos" w:cs="Arial"/>
                <w:sz w:val="24"/>
                <w:szCs w:val="24"/>
              </w:rPr>
            </w:pPr>
            <w:r w:rsidRPr="00857D02">
              <w:rPr>
                <w:rFonts w:ascii="Aptos" w:hAnsi="Aptos" w:cs="Arial"/>
                <w:sz w:val="24"/>
                <w:szCs w:val="24"/>
              </w:rPr>
              <w:t>4.56.070</w:t>
            </w:r>
          </w:p>
        </w:tc>
        <w:tc>
          <w:tcPr>
            <w:tcW w:w="3764" w:type="dxa"/>
            <w:shd w:val="clear" w:color="auto" w:fill="F2F2F2" w:themeFill="background1" w:themeFillShade="F2"/>
          </w:tcPr>
          <w:p w14:paraId="23079D78" w14:textId="77777777" w:rsidR="00F43A72" w:rsidRPr="00857D02" w:rsidRDefault="00F43A72" w:rsidP="000321EF">
            <w:pPr>
              <w:rPr>
                <w:rFonts w:ascii="Aptos" w:hAnsi="Aptos" w:cs="Arial"/>
                <w:sz w:val="24"/>
                <w:szCs w:val="24"/>
              </w:rPr>
            </w:pPr>
            <w:r w:rsidRPr="00857D02">
              <w:rPr>
                <w:rFonts w:ascii="Aptos" w:hAnsi="Aptos" w:cs="Arial"/>
                <w:sz w:val="24"/>
                <w:szCs w:val="24"/>
              </w:rPr>
              <w:t>FMD stated that WTD declared the property a surplus to its needs on June 23, 2015.</w:t>
            </w:r>
          </w:p>
          <w:p w14:paraId="7630C9F9" w14:textId="77777777" w:rsidR="00F43A72" w:rsidRPr="00857D02" w:rsidRDefault="00F43A72" w:rsidP="000321EF">
            <w:pPr>
              <w:rPr>
                <w:rFonts w:ascii="Aptos" w:hAnsi="Aptos" w:cs="Arial"/>
                <w:sz w:val="24"/>
                <w:szCs w:val="24"/>
              </w:rPr>
            </w:pPr>
          </w:p>
        </w:tc>
      </w:tr>
      <w:tr w:rsidR="00F43A72" w:rsidRPr="00F43A72" w14:paraId="5BC58869" w14:textId="77777777" w:rsidTr="005A5938">
        <w:trPr>
          <w:cantSplit/>
        </w:trPr>
        <w:tc>
          <w:tcPr>
            <w:tcW w:w="608" w:type="dxa"/>
            <w:shd w:val="clear" w:color="auto" w:fill="F2F2F2" w:themeFill="background1" w:themeFillShade="F2"/>
          </w:tcPr>
          <w:p w14:paraId="3D2538F3" w14:textId="77777777" w:rsidR="00F43A72" w:rsidRPr="00857D02" w:rsidRDefault="00F43A72" w:rsidP="000321EF">
            <w:pPr>
              <w:rPr>
                <w:rFonts w:ascii="Aptos" w:hAnsi="Aptos" w:cs="Arial"/>
                <w:b/>
                <w:bCs/>
                <w:sz w:val="24"/>
                <w:szCs w:val="24"/>
              </w:rPr>
            </w:pPr>
            <w:r w:rsidRPr="00857D02">
              <w:rPr>
                <w:rFonts w:ascii="Aptos" w:hAnsi="Aptos" w:cs="Arial"/>
                <w:b/>
                <w:bCs/>
                <w:sz w:val="24"/>
                <w:szCs w:val="24"/>
              </w:rPr>
              <w:t>2.</w:t>
            </w:r>
          </w:p>
        </w:tc>
        <w:tc>
          <w:tcPr>
            <w:tcW w:w="3728" w:type="dxa"/>
            <w:shd w:val="clear" w:color="auto" w:fill="F2F2F2" w:themeFill="background1" w:themeFillShade="F2"/>
          </w:tcPr>
          <w:p w14:paraId="5806A448" w14:textId="77777777" w:rsidR="00F43A72" w:rsidRPr="00857D02" w:rsidRDefault="00F43A72" w:rsidP="00857D02">
            <w:pPr>
              <w:jc w:val="center"/>
              <w:rPr>
                <w:rFonts w:ascii="Aptos" w:hAnsi="Aptos" w:cs="Arial"/>
                <w:b/>
                <w:bCs/>
                <w:sz w:val="24"/>
                <w:szCs w:val="24"/>
              </w:rPr>
            </w:pPr>
            <w:r w:rsidRPr="00857D02">
              <w:rPr>
                <w:rFonts w:ascii="Aptos" w:hAnsi="Aptos" w:cs="Arial"/>
                <w:b/>
                <w:bCs/>
                <w:sz w:val="24"/>
                <w:szCs w:val="24"/>
              </w:rPr>
              <w:t>FMD Offer of Property to other County Agencies</w:t>
            </w:r>
          </w:p>
        </w:tc>
        <w:tc>
          <w:tcPr>
            <w:tcW w:w="1476" w:type="dxa"/>
            <w:shd w:val="clear" w:color="auto" w:fill="F2F2F2" w:themeFill="background1" w:themeFillShade="F2"/>
          </w:tcPr>
          <w:p w14:paraId="11D94E7A" w14:textId="77777777" w:rsidR="00F43A72" w:rsidRPr="00857D02" w:rsidRDefault="00F43A72" w:rsidP="00857D02">
            <w:pPr>
              <w:jc w:val="center"/>
              <w:rPr>
                <w:rFonts w:ascii="Aptos" w:hAnsi="Aptos" w:cs="Arial"/>
                <w:sz w:val="24"/>
                <w:szCs w:val="24"/>
              </w:rPr>
            </w:pPr>
            <w:r w:rsidRPr="00857D02">
              <w:rPr>
                <w:rFonts w:ascii="Aptos" w:hAnsi="Aptos" w:cs="Arial"/>
                <w:sz w:val="24"/>
                <w:szCs w:val="24"/>
              </w:rPr>
              <w:t>4.56.070</w:t>
            </w:r>
          </w:p>
        </w:tc>
        <w:tc>
          <w:tcPr>
            <w:tcW w:w="3764" w:type="dxa"/>
            <w:shd w:val="clear" w:color="auto" w:fill="F2F2F2" w:themeFill="background1" w:themeFillShade="F2"/>
          </w:tcPr>
          <w:p w14:paraId="58A45C82" w14:textId="7BB2E70E" w:rsidR="00F43A72" w:rsidRPr="00857D02" w:rsidRDefault="00F43A72" w:rsidP="000321EF">
            <w:pPr>
              <w:rPr>
                <w:rFonts w:ascii="Aptos" w:hAnsi="Aptos" w:cs="Arial"/>
                <w:sz w:val="24"/>
                <w:szCs w:val="24"/>
              </w:rPr>
            </w:pPr>
            <w:r w:rsidRPr="00857D02">
              <w:rPr>
                <w:rFonts w:ascii="Aptos" w:hAnsi="Aptos" w:cs="Arial"/>
                <w:sz w:val="24"/>
                <w:szCs w:val="24"/>
              </w:rPr>
              <w:t xml:space="preserve">FMD stated that it offered the property to other county agencies on July 20, 2015, and received no interest. </w:t>
            </w:r>
          </w:p>
          <w:p w14:paraId="347DDE4A" w14:textId="77777777" w:rsidR="00F43A72" w:rsidRPr="00857D02" w:rsidRDefault="00F43A72" w:rsidP="000321EF">
            <w:pPr>
              <w:rPr>
                <w:rFonts w:ascii="Aptos" w:hAnsi="Aptos" w:cs="Arial"/>
                <w:sz w:val="24"/>
                <w:szCs w:val="24"/>
              </w:rPr>
            </w:pPr>
          </w:p>
        </w:tc>
      </w:tr>
      <w:tr w:rsidR="00F43A72" w:rsidRPr="00F43A72" w14:paraId="1236B2D0" w14:textId="77777777" w:rsidTr="005A5938">
        <w:trPr>
          <w:cantSplit/>
        </w:trPr>
        <w:tc>
          <w:tcPr>
            <w:tcW w:w="608" w:type="dxa"/>
            <w:shd w:val="clear" w:color="auto" w:fill="F2F2F2" w:themeFill="background1" w:themeFillShade="F2"/>
          </w:tcPr>
          <w:p w14:paraId="440F0195" w14:textId="77777777" w:rsidR="00F43A72" w:rsidRPr="00857D02" w:rsidRDefault="00F43A72" w:rsidP="000321EF">
            <w:pPr>
              <w:rPr>
                <w:rFonts w:ascii="Aptos" w:hAnsi="Aptos" w:cs="Arial"/>
                <w:b/>
                <w:bCs/>
                <w:sz w:val="24"/>
                <w:szCs w:val="24"/>
              </w:rPr>
            </w:pPr>
            <w:r w:rsidRPr="00857D02">
              <w:rPr>
                <w:rFonts w:ascii="Aptos" w:hAnsi="Aptos" w:cs="Arial"/>
                <w:b/>
                <w:bCs/>
                <w:sz w:val="24"/>
                <w:szCs w:val="24"/>
              </w:rPr>
              <w:lastRenderedPageBreak/>
              <w:t>3.</w:t>
            </w:r>
          </w:p>
        </w:tc>
        <w:tc>
          <w:tcPr>
            <w:tcW w:w="3728" w:type="dxa"/>
            <w:shd w:val="clear" w:color="auto" w:fill="F2F2F2" w:themeFill="background1" w:themeFillShade="F2"/>
          </w:tcPr>
          <w:p w14:paraId="0EBC7804" w14:textId="77777777" w:rsidR="00F43A72" w:rsidRPr="00857D02" w:rsidRDefault="00F43A72" w:rsidP="00857D02">
            <w:pPr>
              <w:jc w:val="center"/>
              <w:rPr>
                <w:rFonts w:ascii="Aptos" w:hAnsi="Aptos" w:cs="Arial"/>
                <w:b/>
                <w:bCs/>
                <w:sz w:val="24"/>
                <w:szCs w:val="24"/>
              </w:rPr>
            </w:pPr>
            <w:r w:rsidRPr="00857D02">
              <w:rPr>
                <w:rFonts w:ascii="Aptos" w:hAnsi="Aptos" w:cs="Arial"/>
                <w:b/>
                <w:bCs/>
                <w:sz w:val="24"/>
                <w:szCs w:val="24"/>
              </w:rPr>
              <w:t>Property Evaluated for Affordable Housing</w:t>
            </w:r>
          </w:p>
        </w:tc>
        <w:tc>
          <w:tcPr>
            <w:tcW w:w="1476" w:type="dxa"/>
            <w:shd w:val="clear" w:color="auto" w:fill="F2F2F2" w:themeFill="background1" w:themeFillShade="F2"/>
          </w:tcPr>
          <w:p w14:paraId="6F54DE7C" w14:textId="77777777" w:rsidR="00F43A72" w:rsidRPr="00857D02" w:rsidRDefault="00F43A72" w:rsidP="00857D02">
            <w:pPr>
              <w:jc w:val="center"/>
              <w:rPr>
                <w:rFonts w:ascii="Aptos" w:hAnsi="Aptos" w:cs="Arial"/>
                <w:sz w:val="24"/>
                <w:szCs w:val="24"/>
              </w:rPr>
            </w:pPr>
            <w:r w:rsidRPr="00857D02">
              <w:rPr>
                <w:rFonts w:ascii="Aptos" w:hAnsi="Aptos" w:cs="Arial"/>
                <w:sz w:val="24"/>
                <w:szCs w:val="24"/>
              </w:rPr>
              <w:t>4.56.</w:t>
            </w:r>
            <w:proofErr w:type="gramStart"/>
            <w:r w:rsidRPr="00857D02">
              <w:rPr>
                <w:rFonts w:ascii="Aptos" w:hAnsi="Aptos" w:cs="Arial"/>
                <w:sz w:val="24"/>
                <w:szCs w:val="24"/>
              </w:rPr>
              <w:t>070.C.</w:t>
            </w:r>
            <w:proofErr w:type="gramEnd"/>
            <w:r w:rsidRPr="00857D02">
              <w:rPr>
                <w:rFonts w:ascii="Aptos" w:hAnsi="Aptos" w:cs="Arial"/>
                <w:sz w:val="24"/>
                <w:szCs w:val="24"/>
              </w:rPr>
              <w:t>1</w:t>
            </w:r>
          </w:p>
        </w:tc>
        <w:tc>
          <w:tcPr>
            <w:tcW w:w="3764" w:type="dxa"/>
            <w:shd w:val="clear" w:color="auto" w:fill="F2F2F2" w:themeFill="background1" w:themeFillShade="F2"/>
          </w:tcPr>
          <w:p w14:paraId="25E81B42" w14:textId="77777777" w:rsidR="00F43A72" w:rsidRPr="00857D02" w:rsidRDefault="00F43A72" w:rsidP="000321EF">
            <w:pPr>
              <w:rPr>
                <w:rFonts w:ascii="Aptos" w:hAnsi="Aptos" w:cs="Arial"/>
                <w:sz w:val="24"/>
                <w:szCs w:val="24"/>
              </w:rPr>
            </w:pPr>
            <w:r w:rsidRPr="00857D02">
              <w:rPr>
                <w:rFonts w:ascii="Aptos" w:hAnsi="Aptos" w:cs="Arial"/>
                <w:sz w:val="24"/>
                <w:szCs w:val="24"/>
              </w:rPr>
              <w:t>FMD evaluated the surplus parcels to be suitable for affordable housing on August 5, 2015. FMD determined that the parcels were not suitable for affordable housing due to the evaluation and determination to be unsuitable by the Affordable Housing Planner on July 23, 2015.</w:t>
            </w:r>
          </w:p>
          <w:p w14:paraId="546A6F25" w14:textId="77777777" w:rsidR="00F43A72" w:rsidRPr="00857D02" w:rsidRDefault="00F43A72" w:rsidP="000321EF">
            <w:pPr>
              <w:rPr>
                <w:rFonts w:ascii="Aptos" w:eastAsia="Aptos" w:hAnsi="Aptos" w:cs="Arial"/>
                <w:color w:val="212121"/>
                <w:sz w:val="24"/>
                <w:szCs w:val="24"/>
                <w:shd w:val="clear" w:color="auto" w:fill="FFFF00"/>
              </w:rPr>
            </w:pPr>
          </w:p>
        </w:tc>
      </w:tr>
      <w:tr w:rsidR="00F43A72" w:rsidRPr="00F43A72" w14:paraId="031F8422" w14:textId="77777777" w:rsidTr="005A5938">
        <w:trPr>
          <w:cantSplit/>
        </w:trPr>
        <w:tc>
          <w:tcPr>
            <w:tcW w:w="608" w:type="dxa"/>
            <w:shd w:val="clear" w:color="auto" w:fill="F2F2F2" w:themeFill="background1" w:themeFillShade="F2"/>
          </w:tcPr>
          <w:p w14:paraId="57769D45" w14:textId="77777777" w:rsidR="00F43A72" w:rsidRPr="00857D02" w:rsidRDefault="00F43A72" w:rsidP="000321EF">
            <w:pPr>
              <w:rPr>
                <w:rFonts w:ascii="Aptos" w:hAnsi="Aptos" w:cs="Arial"/>
                <w:b/>
                <w:bCs/>
                <w:sz w:val="24"/>
                <w:szCs w:val="24"/>
              </w:rPr>
            </w:pPr>
            <w:r w:rsidRPr="00857D02">
              <w:rPr>
                <w:rFonts w:ascii="Aptos" w:hAnsi="Aptos" w:cs="Arial"/>
                <w:b/>
                <w:bCs/>
                <w:sz w:val="24"/>
                <w:szCs w:val="24"/>
              </w:rPr>
              <w:t>4.</w:t>
            </w:r>
          </w:p>
        </w:tc>
        <w:tc>
          <w:tcPr>
            <w:tcW w:w="3728" w:type="dxa"/>
            <w:shd w:val="clear" w:color="auto" w:fill="F2F2F2" w:themeFill="background1" w:themeFillShade="F2"/>
          </w:tcPr>
          <w:p w14:paraId="7C7C3362" w14:textId="4AE3DDDE" w:rsidR="00F43A72" w:rsidRPr="00857D02" w:rsidRDefault="00F43A72" w:rsidP="00857D02">
            <w:pPr>
              <w:jc w:val="center"/>
              <w:rPr>
                <w:rFonts w:ascii="Aptos" w:hAnsi="Aptos" w:cs="Arial"/>
                <w:b/>
                <w:bCs/>
                <w:sz w:val="24"/>
                <w:szCs w:val="24"/>
              </w:rPr>
            </w:pPr>
            <w:r w:rsidRPr="00857D02">
              <w:rPr>
                <w:rFonts w:ascii="Aptos" w:hAnsi="Aptos" w:cs="Arial"/>
                <w:b/>
                <w:bCs/>
                <w:sz w:val="24"/>
                <w:szCs w:val="24"/>
              </w:rPr>
              <w:t>Final Surplus Declaration</w:t>
            </w:r>
          </w:p>
          <w:p w14:paraId="43CC3634" w14:textId="77777777" w:rsidR="00F43A72" w:rsidRPr="00857D02" w:rsidRDefault="00F43A72" w:rsidP="00857D02">
            <w:pPr>
              <w:jc w:val="center"/>
              <w:rPr>
                <w:rFonts w:ascii="Aptos" w:hAnsi="Aptos" w:cs="Arial"/>
                <w:b/>
                <w:bCs/>
                <w:sz w:val="24"/>
                <w:szCs w:val="24"/>
              </w:rPr>
            </w:pPr>
          </w:p>
        </w:tc>
        <w:tc>
          <w:tcPr>
            <w:tcW w:w="1476" w:type="dxa"/>
            <w:shd w:val="clear" w:color="auto" w:fill="F2F2F2" w:themeFill="background1" w:themeFillShade="F2"/>
          </w:tcPr>
          <w:p w14:paraId="0C484F9F" w14:textId="77777777" w:rsidR="00F43A72" w:rsidRPr="00857D02" w:rsidRDefault="00F43A72" w:rsidP="00857D02">
            <w:pPr>
              <w:jc w:val="center"/>
              <w:rPr>
                <w:rFonts w:ascii="Aptos" w:hAnsi="Aptos" w:cs="Arial"/>
                <w:sz w:val="24"/>
                <w:szCs w:val="24"/>
              </w:rPr>
            </w:pPr>
            <w:r w:rsidRPr="00857D02">
              <w:rPr>
                <w:rFonts w:ascii="Aptos" w:hAnsi="Aptos" w:cs="Arial"/>
                <w:sz w:val="24"/>
                <w:szCs w:val="24"/>
              </w:rPr>
              <w:t>4.56.070</w:t>
            </w:r>
          </w:p>
        </w:tc>
        <w:tc>
          <w:tcPr>
            <w:tcW w:w="3764" w:type="dxa"/>
            <w:shd w:val="clear" w:color="auto" w:fill="F2F2F2" w:themeFill="background1" w:themeFillShade="F2"/>
          </w:tcPr>
          <w:p w14:paraId="4D233B5C" w14:textId="77777777" w:rsidR="00F43A72" w:rsidRPr="00857D02" w:rsidRDefault="00F43A72" w:rsidP="000321EF">
            <w:pPr>
              <w:rPr>
                <w:rFonts w:ascii="Aptos" w:hAnsi="Aptos" w:cs="Arial"/>
                <w:sz w:val="24"/>
                <w:szCs w:val="24"/>
              </w:rPr>
            </w:pPr>
            <w:r w:rsidRPr="00857D02">
              <w:rPr>
                <w:rFonts w:ascii="Aptos" w:hAnsi="Aptos" w:cs="Arial"/>
                <w:sz w:val="24"/>
                <w:szCs w:val="24"/>
              </w:rPr>
              <w:t xml:space="preserve">FMD declared the property surplus on August 20, 2015. </w:t>
            </w:r>
          </w:p>
          <w:p w14:paraId="5BA925E4" w14:textId="77777777" w:rsidR="00F43A72" w:rsidRPr="00857D02" w:rsidRDefault="00F43A72" w:rsidP="000321EF">
            <w:pPr>
              <w:rPr>
                <w:rFonts w:ascii="Aptos" w:hAnsi="Aptos" w:cs="Arial"/>
                <w:sz w:val="24"/>
                <w:szCs w:val="24"/>
              </w:rPr>
            </w:pPr>
          </w:p>
        </w:tc>
      </w:tr>
      <w:tr w:rsidR="00F43A72" w:rsidRPr="00F43A72" w14:paraId="31CCD248" w14:textId="77777777" w:rsidTr="005A5938">
        <w:tc>
          <w:tcPr>
            <w:tcW w:w="608" w:type="dxa"/>
            <w:shd w:val="clear" w:color="auto" w:fill="F2F2F2" w:themeFill="background1" w:themeFillShade="F2"/>
          </w:tcPr>
          <w:p w14:paraId="6B1CB9D5" w14:textId="77777777" w:rsidR="00F43A72" w:rsidRPr="00857D02" w:rsidRDefault="00F43A72" w:rsidP="000321EF">
            <w:pPr>
              <w:rPr>
                <w:rFonts w:ascii="Aptos" w:hAnsi="Aptos" w:cs="Arial"/>
                <w:b/>
                <w:bCs/>
                <w:sz w:val="24"/>
                <w:szCs w:val="24"/>
              </w:rPr>
            </w:pPr>
            <w:r w:rsidRPr="00857D02">
              <w:rPr>
                <w:rFonts w:ascii="Aptos" w:hAnsi="Aptos" w:cs="Arial"/>
                <w:b/>
                <w:bCs/>
                <w:sz w:val="24"/>
                <w:szCs w:val="24"/>
              </w:rPr>
              <w:t>5.</w:t>
            </w:r>
          </w:p>
        </w:tc>
        <w:tc>
          <w:tcPr>
            <w:tcW w:w="3728" w:type="dxa"/>
            <w:shd w:val="clear" w:color="auto" w:fill="F2F2F2" w:themeFill="background1" w:themeFillShade="F2"/>
          </w:tcPr>
          <w:p w14:paraId="48120409" w14:textId="22C3634B" w:rsidR="00F43A72" w:rsidRPr="00857D02" w:rsidRDefault="00F43A72" w:rsidP="00857D02">
            <w:pPr>
              <w:jc w:val="center"/>
              <w:rPr>
                <w:rFonts w:ascii="Aptos" w:hAnsi="Aptos" w:cs="Arial"/>
                <w:b/>
                <w:bCs/>
                <w:sz w:val="24"/>
                <w:szCs w:val="24"/>
              </w:rPr>
            </w:pPr>
            <w:r w:rsidRPr="00857D02">
              <w:rPr>
                <w:rFonts w:ascii="Aptos" w:hAnsi="Aptos" w:cs="Arial"/>
                <w:b/>
                <w:bCs/>
                <w:sz w:val="24"/>
                <w:szCs w:val="24"/>
              </w:rPr>
              <w:t>FMD Appraisal</w:t>
            </w:r>
          </w:p>
        </w:tc>
        <w:tc>
          <w:tcPr>
            <w:tcW w:w="1476" w:type="dxa"/>
            <w:shd w:val="clear" w:color="auto" w:fill="F2F2F2" w:themeFill="background1" w:themeFillShade="F2"/>
          </w:tcPr>
          <w:p w14:paraId="7631AE26" w14:textId="77777777" w:rsidR="00F43A72" w:rsidRPr="00857D02" w:rsidRDefault="00F43A72" w:rsidP="00857D02">
            <w:pPr>
              <w:jc w:val="center"/>
              <w:rPr>
                <w:rFonts w:ascii="Aptos" w:hAnsi="Aptos" w:cs="Arial"/>
                <w:sz w:val="24"/>
                <w:szCs w:val="24"/>
              </w:rPr>
            </w:pPr>
            <w:r w:rsidRPr="00857D02">
              <w:rPr>
                <w:rFonts w:ascii="Aptos" w:hAnsi="Aptos" w:cs="Arial"/>
                <w:sz w:val="24"/>
                <w:szCs w:val="24"/>
              </w:rPr>
              <w:t>N/A</w:t>
            </w:r>
          </w:p>
        </w:tc>
        <w:tc>
          <w:tcPr>
            <w:tcW w:w="3764" w:type="dxa"/>
            <w:shd w:val="clear" w:color="auto" w:fill="F2F2F2" w:themeFill="background1" w:themeFillShade="F2"/>
          </w:tcPr>
          <w:p w14:paraId="6AF2E2AF" w14:textId="77777777" w:rsidR="00F43A72" w:rsidRPr="00857D02" w:rsidRDefault="00F43A72" w:rsidP="000321EF">
            <w:pPr>
              <w:rPr>
                <w:rFonts w:ascii="Aptos" w:hAnsi="Aptos" w:cs="Arial"/>
                <w:sz w:val="24"/>
                <w:szCs w:val="24"/>
              </w:rPr>
            </w:pPr>
            <w:r w:rsidRPr="00857D02">
              <w:rPr>
                <w:rFonts w:ascii="Aptos" w:hAnsi="Aptos" w:cs="Arial"/>
                <w:sz w:val="24"/>
                <w:szCs w:val="24"/>
              </w:rPr>
              <w:t xml:space="preserve">According to the Property Summary, the property was appraised on October 22, 2024, by </w:t>
            </w:r>
            <w:sdt>
              <w:sdtPr>
                <w:rPr>
                  <w:rFonts w:ascii="Aptos" w:hAnsi="Aptos" w:cs="Arial"/>
                </w:rPr>
                <w:alias w:val="Updated By"/>
                <w:tag w:val="Updated By"/>
                <w:id w:val="-54314680"/>
              </w:sdtPr>
              <w:sdtEndPr/>
              <w:sdtContent>
                <w:r w:rsidRPr="00857D02">
                  <w:rPr>
                    <w:rFonts w:ascii="Aptos" w:hAnsi="Aptos" w:cs="Arial"/>
                    <w:sz w:val="24"/>
                    <w:szCs w:val="24"/>
                  </w:rPr>
                  <w:t>Matthew Sloan, SOVA Consulting</w:t>
                </w:r>
              </w:sdtContent>
            </w:sdt>
            <w:r w:rsidRPr="00857D02">
              <w:rPr>
                <w:rFonts w:ascii="Aptos" w:hAnsi="Aptos" w:cs="Arial"/>
                <w:sz w:val="24"/>
                <w:szCs w:val="24"/>
              </w:rPr>
              <w:t>.</w:t>
            </w:r>
          </w:p>
          <w:p w14:paraId="02EF4F96" w14:textId="77777777" w:rsidR="00F43A72" w:rsidRPr="00857D02" w:rsidRDefault="00F43A72" w:rsidP="000321EF">
            <w:pPr>
              <w:rPr>
                <w:rFonts w:ascii="Aptos" w:hAnsi="Aptos" w:cs="Arial"/>
                <w:sz w:val="24"/>
                <w:szCs w:val="24"/>
              </w:rPr>
            </w:pPr>
          </w:p>
        </w:tc>
      </w:tr>
      <w:tr w:rsidR="00F43A72" w:rsidRPr="00F43A72" w14:paraId="3B19514D" w14:textId="77777777" w:rsidTr="005A5938">
        <w:trPr>
          <w:cantSplit/>
        </w:trPr>
        <w:tc>
          <w:tcPr>
            <w:tcW w:w="608" w:type="dxa"/>
            <w:shd w:val="clear" w:color="auto" w:fill="F2F2F2" w:themeFill="background1" w:themeFillShade="F2"/>
          </w:tcPr>
          <w:p w14:paraId="19ABF51E" w14:textId="77777777" w:rsidR="00F43A72" w:rsidRPr="00857D02" w:rsidRDefault="00F43A72" w:rsidP="000321EF">
            <w:pPr>
              <w:rPr>
                <w:rFonts w:ascii="Aptos" w:hAnsi="Aptos" w:cs="Arial"/>
                <w:b/>
                <w:bCs/>
                <w:sz w:val="24"/>
                <w:szCs w:val="24"/>
              </w:rPr>
            </w:pPr>
            <w:r w:rsidRPr="00857D02">
              <w:rPr>
                <w:rFonts w:ascii="Aptos" w:hAnsi="Aptos" w:cs="Arial"/>
                <w:b/>
                <w:bCs/>
                <w:sz w:val="24"/>
                <w:szCs w:val="24"/>
              </w:rPr>
              <w:t>6.</w:t>
            </w:r>
          </w:p>
        </w:tc>
        <w:tc>
          <w:tcPr>
            <w:tcW w:w="3728" w:type="dxa"/>
            <w:shd w:val="clear" w:color="auto" w:fill="F2F2F2" w:themeFill="background1" w:themeFillShade="F2"/>
          </w:tcPr>
          <w:p w14:paraId="74E74C06" w14:textId="1C2D5DB0" w:rsidR="00F43A72" w:rsidRPr="00857D02" w:rsidRDefault="00F43A72" w:rsidP="00857D02">
            <w:pPr>
              <w:jc w:val="center"/>
              <w:rPr>
                <w:rFonts w:ascii="Aptos" w:hAnsi="Aptos" w:cs="Arial"/>
                <w:b/>
                <w:bCs/>
                <w:sz w:val="24"/>
                <w:szCs w:val="24"/>
              </w:rPr>
            </w:pPr>
            <w:r w:rsidRPr="00857D02">
              <w:rPr>
                <w:rFonts w:ascii="Aptos" w:hAnsi="Aptos" w:cs="Arial"/>
                <w:b/>
                <w:bCs/>
                <w:sz w:val="24"/>
                <w:szCs w:val="24"/>
              </w:rPr>
              <w:t>Public Notification of Sale</w:t>
            </w:r>
          </w:p>
          <w:p w14:paraId="685C70FF" w14:textId="77777777" w:rsidR="00F43A72" w:rsidRPr="00857D02" w:rsidRDefault="00F43A72" w:rsidP="00857D02">
            <w:pPr>
              <w:jc w:val="center"/>
              <w:rPr>
                <w:rFonts w:ascii="Aptos" w:hAnsi="Aptos" w:cs="Arial"/>
                <w:b/>
                <w:bCs/>
                <w:sz w:val="24"/>
                <w:szCs w:val="24"/>
              </w:rPr>
            </w:pPr>
          </w:p>
        </w:tc>
        <w:tc>
          <w:tcPr>
            <w:tcW w:w="1476" w:type="dxa"/>
            <w:shd w:val="clear" w:color="auto" w:fill="F2F2F2" w:themeFill="background1" w:themeFillShade="F2"/>
          </w:tcPr>
          <w:p w14:paraId="3D67D95A" w14:textId="77777777" w:rsidR="00F43A72" w:rsidRPr="00857D02" w:rsidRDefault="00F43A72" w:rsidP="00857D02">
            <w:pPr>
              <w:jc w:val="center"/>
              <w:rPr>
                <w:rFonts w:ascii="Aptos" w:hAnsi="Aptos" w:cs="Arial"/>
                <w:sz w:val="24"/>
                <w:szCs w:val="24"/>
              </w:rPr>
            </w:pPr>
            <w:r w:rsidRPr="00857D02">
              <w:rPr>
                <w:rFonts w:ascii="Aptos" w:hAnsi="Aptos" w:cs="Arial"/>
                <w:sz w:val="24"/>
                <w:szCs w:val="24"/>
              </w:rPr>
              <w:t>4.56.090</w:t>
            </w:r>
          </w:p>
        </w:tc>
        <w:tc>
          <w:tcPr>
            <w:tcW w:w="3764" w:type="dxa"/>
            <w:shd w:val="clear" w:color="auto" w:fill="F2F2F2" w:themeFill="background1" w:themeFillShade="F2"/>
          </w:tcPr>
          <w:p w14:paraId="540A2F0E" w14:textId="77777777" w:rsidR="00F43A72" w:rsidRPr="00857D02" w:rsidRDefault="00F43A72" w:rsidP="000321EF">
            <w:pPr>
              <w:rPr>
                <w:rFonts w:ascii="Aptos" w:hAnsi="Aptos" w:cs="Arial"/>
                <w:sz w:val="24"/>
                <w:szCs w:val="24"/>
              </w:rPr>
            </w:pPr>
            <w:r w:rsidRPr="00857D02">
              <w:rPr>
                <w:rFonts w:ascii="Aptos" w:hAnsi="Aptos" w:cs="Arial"/>
                <w:sz w:val="24"/>
                <w:szCs w:val="24"/>
              </w:rPr>
              <w:t xml:space="preserve">Since the surplus property is proposed to be sold to a government agency, i.e., the WSDOT, it is exempt from being sold to the highest responsible bidder at public auction or by sealed bid, and therefore, public notification was not required. </w:t>
            </w:r>
          </w:p>
          <w:p w14:paraId="25BC125D" w14:textId="77777777" w:rsidR="00F43A72" w:rsidRPr="00857D02" w:rsidRDefault="00F43A72" w:rsidP="000321EF">
            <w:pPr>
              <w:rPr>
                <w:rFonts w:ascii="Aptos" w:hAnsi="Aptos" w:cs="Arial"/>
                <w:sz w:val="24"/>
                <w:szCs w:val="24"/>
              </w:rPr>
            </w:pPr>
          </w:p>
        </w:tc>
      </w:tr>
      <w:tr w:rsidR="00F43A72" w:rsidRPr="00F43A72" w14:paraId="5CEC78EA" w14:textId="77777777" w:rsidTr="005A5938">
        <w:trPr>
          <w:cantSplit/>
        </w:trPr>
        <w:tc>
          <w:tcPr>
            <w:tcW w:w="608" w:type="dxa"/>
            <w:shd w:val="clear" w:color="auto" w:fill="F2F2F2" w:themeFill="background1" w:themeFillShade="F2"/>
          </w:tcPr>
          <w:p w14:paraId="5550D6CE" w14:textId="77777777" w:rsidR="00F43A72" w:rsidRPr="00857D02" w:rsidRDefault="00F43A72" w:rsidP="000321EF">
            <w:pPr>
              <w:rPr>
                <w:rFonts w:ascii="Aptos" w:hAnsi="Aptos" w:cs="Arial"/>
                <w:b/>
                <w:bCs/>
                <w:sz w:val="24"/>
                <w:szCs w:val="24"/>
              </w:rPr>
            </w:pPr>
            <w:r w:rsidRPr="00857D02">
              <w:rPr>
                <w:rFonts w:ascii="Aptos" w:hAnsi="Aptos" w:cs="Arial"/>
                <w:b/>
                <w:bCs/>
                <w:sz w:val="24"/>
                <w:szCs w:val="24"/>
              </w:rPr>
              <w:t>7.</w:t>
            </w:r>
          </w:p>
        </w:tc>
        <w:tc>
          <w:tcPr>
            <w:tcW w:w="3728" w:type="dxa"/>
            <w:shd w:val="clear" w:color="auto" w:fill="F2F2F2" w:themeFill="background1" w:themeFillShade="F2"/>
          </w:tcPr>
          <w:p w14:paraId="194D82E4" w14:textId="77777777" w:rsidR="00F43A72" w:rsidRPr="00857D02" w:rsidRDefault="00F43A72" w:rsidP="00857D02">
            <w:pPr>
              <w:jc w:val="center"/>
              <w:rPr>
                <w:rFonts w:ascii="Aptos" w:hAnsi="Aptos" w:cs="Arial"/>
                <w:b/>
                <w:bCs/>
                <w:sz w:val="24"/>
                <w:szCs w:val="24"/>
              </w:rPr>
            </w:pPr>
            <w:r w:rsidRPr="00857D02">
              <w:rPr>
                <w:rFonts w:ascii="Aptos" w:hAnsi="Aptos" w:cs="Arial"/>
                <w:b/>
                <w:bCs/>
                <w:sz w:val="24"/>
                <w:szCs w:val="24"/>
              </w:rPr>
              <w:t>Bid Process</w:t>
            </w:r>
          </w:p>
          <w:p w14:paraId="4DA32770" w14:textId="77777777" w:rsidR="00F43A72" w:rsidRPr="00857D02" w:rsidRDefault="00F43A72" w:rsidP="00857D02">
            <w:pPr>
              <w:jc w:val="center"/>
              <w:rPr>
                <w:rFonts w:ascii="Aptos" w:hAnsi="Aptos" w:cs="Arial"/>
                <w:b/>
                <w:bCs/>
                <w:sz w:val="24"/>
                <w:szCs w:val="24"/>
              </w:rPr>
            </w:pPr>
          </w:p>
        </w:tc>
        <w:tc>
          <w:tcPr>
            <w:tcW w:w="1476" w:type="dxa"/>
            <w:shd w:val="clear" w:color="auto" w:fill="F2F2F2" w:themeFill="background1" w:themeFillShade="F2"/>
          </w:tcPr>
          <w:p w14:paraId="072CDFE3" w14:textId="77777777" w:rsidR="00F43A72" w:rsidRPr="00857D02" w:rsidRDefault="00F43A72" w:rsidP="00857D02">
            <w:pPr>
              <w:jc w:val="center"/>
              <w:rPr>
                <w:rFonts w:ascii="Aptos" w:hAnsi="Aptos" w:cs="Arial"/>
                <w:sz w:val="24"/>
                <w:szCs w:val="24"/>
              </w:rPr>
            </w:pPr>
            <w:r w:rsidRPr="00857D02">
              <w:rPr>
                <w:rFonts w:ascii="Aptos" w:hAnsi="Aptos" w:cs="Arial"/>
                <w:sz w:val="24"/>
                <w:szCs w:val="24"/>
              </w:rPr>
              <w:t>4.56.100</w:t>
            </w:r>
          </w:p>
        </w:tc>
        <w:tc>
          <w:tcPr>
            <w:tcW w:w="3764" w:type="dxa"/>
            <w:shd w:val="clear" w:color="auto" w:fill="F2F2F2" w:themeFill="background1" w:themeFillShade="F2"/>
          </w:tcPr>
          <w:p w14:paraId="5F95C607" w14:textId="77777777" w:rsidR="00F43A72" w:rsidRPr="00857D02" w:rsidRDefault="00F43A72" w:rsidP="000321EF">
            <w:pPr>
              <w:rPr>
                <w:rFonts w:ascii="Aptos" w:hAnsi="Aptos" w:cs="Arial"/>
                <w:sz w:val="24"/>
                <w:szCs w:val="24"/>
              </w:rPr>
            </w:pPr>
            <w:r w:rsidRPr="00857D02">
              <w:rPr>
                <w:rFonts w:ascii="Aptos" w:hAnsi="Aptos" w:cs="Arial"/>
                <w:sz w:val="24"/>
                <w:szCs w:val="24"/>
              </w:rPr>
              <w:t xml:space="preserve">Per K.C.C. 4.56.100.A.1, since the surplus property is being sold to a government agency, it is exempt from being sold to the highest bidder at public auction or by sealed bid. </w:t>
            </w:r>
          </w:p>
          <w:p w14:paraId="0FDAEE16" w14:textId="77777777" w:rsidR="00F43A72" w:rsidRPr="00857D02" w:rsidRDefault="00F43A72" w:rsidP="000321EF">
            <w:pPr>
              <w:rPr>
                <w:rFonts w:ascii="Aptos" w:hAnsi="Aptos" w:cs="Arial"/>
                <w:sz w:val="24"/>
                <w:szCs w:val="24"/>
              </w:rPr>
            </w:pPr>
          </w:p>
        </w:tc>
      </w:tr>
      <w:tr w:rsidR="00F43A72" w:rsidRPr="00F43A72" w14:paraId="26C09817" w14:textId="77777777" w:rsidTr="005A5938">
        <w:trPr>
          <w:cantSplit/>
        </w:trPr>
        <w:tc>
          <w:tcPr>
            <w:tcW w:w="608" w:type="dxa"/>
            <w:shd w:val="clear" w:color="auto" w:fill="F2F2F2" w:themeFill="background1" w:themeFillShade="F2"/>
          </w:tcPr>
          <w:p w14:paraId="76E78850" w14:textId="77777777" w:rsidR="00F43A72" w:rsidRPr="00857D02" w:rsidRDefault="00F43A72" w:rsidP="000321EF">
            <w:pPr>
              <w:rPr>
                <w:rFonts w:ascii="Aptos" w:hAnsi="Aptos" w:cs="Arial"/>
                <w:b/>
                <w:bCs/>
                <w:sz w:val="24"/>
                <w:szCs w:val="24"/>
              </w:rPr>
            </w:pPr>
            <w:r w:rsidRPr="00857D02">
              <w:rPr>
                <w:rFonts w:ascii="Aptos" w:hAnsi="Aptos" w:cs="Arial"/>
                <w:b/>
                <w:bCs/>
                <w:sz w:val="24"/>
                <w:szCs w:val="24"/>
              </w:rPr>
              <w:lastRenderedPageBreak/>
              <w:t>8.</w:t>
            </w:r>
          </w:p>
        </w:tc>
        <w:tc>
          <w:tcPr>
            <w:tcW w:w="3728" w:type="dxa"/>
            <w:shd w:val="clear" w:color="auto" w:fill="F2F2F2" w:themeFill="background1" w:themeFillShade="F2"/>
          </w:tcPr>
          <w:p w14:paraId="2B656711" w14:textId="77777777" w:rsidR="00F43A72" w:rsidRPr="00857D02" w:rsidRDefault="00F43A72" w:rsidP="00857D02">
            <w:pPr>
              <w:jc w:val="center"/>
              <w:rPr>
                <w:rFonts w:ascii="Aptos" w:hAnsi="Aptos" w:cs="Arial"/>
                <w:b/>
                <w:bCs/>
                <w:sz w:val="24"/>
                <w:szCs w:val="24"/>
              </w:rPr>
            </w:pPr>
            <w:r w:rsidRPr="00857D02">
              <w:rPr>
                <w:rFonts w:ascii="Aptos" w:hAnsi="Aptos" w:cs="Arial"/>
                <w:b/>
                <w:bCs/>
                <w:sz w:val="24"/>
                <w:szCs w:val="24"/>
              </w:rPr>
              <w:t>Purchase and Sale Agreement</w:t>
            </w:r>
          </w:p>
        </w:tc>
        <w:tc>
          <w:tcPr>
            <w:tcW w:w="1476" w:type="dxa"/>
            <w:shd w:val="clear" w:color="auto" w:fill="F2F2F2" w:themeFill="background1" w:themeFillShade="F2"/>
          </w:tcPr>
          <w:p w14:paraId="6C2FB058" w14:textId="77777777" w:rsidR="00F43A72" w:rsidRPr="00857D02" w:rsidRDefault="00F43A72" w:rsidP="00857D02">
            <w:pPr>
              <w:jc w:val="center"/>
              <w:rPr>
                <w:rFonts w:ascii="Aptos" w:hAnsi="Aptos" w:cs="Arial"/>
                <w:sz w:val="24"/>
                <w:szCs w:val="24"/>
              </w:rPr>
            </w:pPr>
            <w:r w:rsidRPr="00857D02">
              <w:rPr>
                <w:rFonts w:ascii="Aptos" w:hAnsi="Aptos" w:cs="Arial"/>
                <w:sz w:val="24"/>
                <w:szCs w:val="24"/>
              </w:rPr>
              <w:t>N/A</w:t>
            </w:r>
          </w:p>
        </w:tc>
        <w:tc>
          <w:tcPr>
            <w:tcW w:w="3764" w:type="dxa"/>
            <w:shd w:val="clear" w:color="auto" w:fill="F2F2F2" w:themeFill="background1" w:themeFillShade="F2"/>
          </w:tcPr>
          <w:p w14:paraId="7C8D1082" w14:textId="77777777" w:rsidR="00F43A72" w:rsidRPr="00857D02" w:rsidRDefault="00F43A72" w:rsidP="000321EF">
            <w:pPr>
              <w:rPr>
                <w:rFonts w:ascii="Aptos" w:hAnsi="Aptos" w:cs="Arial"/>
                <w:sz w:val="24"/>
                <w:szCs w:val="24"/>
              </w:rPr>
            </w:pPr>
            <w:r w:rsidRPr="00857D02">
              <w:rPr>
                <w:rFonts w:ascii="Aptos" w:hAnsi="Aptos" w:cs="Arial"/>
                <w:sz w:val="24"/>
                <w:szCs w:val="24"/>
              </w:rPr>
              <w:t>The Purchase and Sale Agreement (PSA) was executed on February 2, 2026.</w:t>
            </w:r>
          </w:p>
          <w:p w14:paraId="4ABF44D6" w14:textId="77777777" w:rsidR="00F43A72" w:rsidRPr="00857D02" w:rsidRDefault="00F43A72" w:rsidP="000321EF">
            <w:pPr>
              <w:rPr>
                <w:rFonts w:ascii="Aptos" w:hAnsi="Aptos" w:cs="Arial"/>
                <w:sz w:val="24"/>
                <w:szCs w:val="24"/>
              </w:rPr>
            </w:pPr>
          </w:p>
        </w:tc>
      </w:tr>
      <w:tr w:rsidR="00F43A72" w:rsidRPr="00F43A72" w14:paraId="06999E5B" w14:textId="77777777" w:rsidTr="005A5938">
        <w:trPr>
          <w:cantSplit/>
        </w:trPr>
        <w:tc>
          <w:tcPr>
            <w:tcW w:w="608" w:type="dxa"/>
            <w:shd w:val="clear" w:color="auto" w:fill="F2F2F2" w:themeFill="background1" w:themeFillShade="F2"/>
          </w:tcPr>
          <w:p w14:paraId="459775BC" w14:textId="77777777" w:rsidR="00F43A72" w:rsidRPr="00857D02" w:rsidRDefault="00F43A72" w:rsidP="000321EF">
            <w:pPr>
              <w:rPr>
                <w:rFonts w:ascii="Aptos" w:hAnsi="Aptos" w:cs="Arial"/>
                <w:b/>
                <w:bCs/>
                <w:sz w:val="24"/>
                <w:szCs w:val="24"/>
              </w:rPr>
            </w:pPr>
            <w:r w:rsidRPr="00857D02">
              <w:rPr>
                <w:rFonts w:ascii="Aptos" w:hAnsi="Aptos" w:cs="Arial"/>
                <w:b/>
                <w:bCs/>
                <w:sz w:val="24"/>
                <w:szCs w:val="24"/>
              </w:rPr>
              <w:t>9.</w:t>
            </w:r>
          </w:p>
        </w:tc>
        <w:tc>
          <w:tcPr>
            <w:tcW w:w="3728" w:type="dxa"/>
            <w:shd w:val="clear" w:color="auto" w:fill="F2F2F2" w:themeFill="background1" w:themeFillShade="F2"/>
          </w:tcPr>
          <w:p w14:paraId="5E8C7CCB" w14:textId="136FFA16" w:rsidR="00F43A72" w:rsidRPr="00857D02" w:rsidRDefault="00F43A72" w:rsidP="00857D02">
            <w:pPr>
              <w:jc w:val="center"/>
              <w:rPr>
                <w:rFonts w:ascii="Aptos" w:hAnsi="Aptos" w:cs="Arial"/>
                <w:b/>
                <w:bCs/>
                <w:sz w:val="24"/>
                <w:szCs w:val="24"/>
              </w:rPr>
            </w:pPr>
            <w:r w:rsidRPr="00857D02">
              <w:rPr>
                <w:rFonts w:ascii="Aptos" w:hAnsi="Aptos" w:cs="Arial"/>
                <w:b/>
                <w:bCs/>
                <w:sz w:val="24"/>
                <w:szCs w:val="24"/>
              </w:rPr>
              <w:t>Council Approval</w:t>
            </w:r>
          </w:p>
        </w:tc>
        <w:tc>
          <w:tcPr>
            <w:tcW w:w="1476" w:type="dxa"/>
            <w:shd w:val="clear" w:color="auto" w:fill="F2F2F2" w:themeFill="background1" w:themeFillShade="F2"/>
          </w:tcPr>
          <w:p w14:paraId="4E9C6D3C" w14:textId="77777777" w:rsidR="00F43A72" w:rsidRPr="00857D02" w:rsidRDefault="00F43A72" w:rsidP="00857D02">
            <w:pPr>
              <w:jc w:val="center"/>
              <w:rPr>
                <w:rFonts w:ascii="Aptos" w:hAnsi="Aptos" w:cs="Arial"/>
                <w:sz w:val="24"/>
                <w:szCs w:val="24"/>
              </w:rPr>
            </w:pPr>
            <w:r w:rsidRPr="00857D02">
              <w:rPr>
                <w:rFonts w:ascii="Aptos" w:hAnsi="Aptos" w:cs="Arial"/>
                <w:sz w:val="24"/>
                <w:szCs w:val="24"/>
              </w:rPr>
              <w:t>4.56.080</w:t>
            </w:r>
          </w:p>
        </w:tc>
        <w:tc>
          <w:tcPr>
            <w:tcW w:w="3764" w:type="dxa"/>
            <w:shd w:val="clear" w:color="auto" w:fill="F2F2F2" w:themeFill="background1" w:themeFillShade="F2"/>
          </w:tcPr>
          <w:p w14:paraId="62176971" w14:textId="77777777" w:rsidR="00F43A72" w:rsidRPr="00857D02" w:rsidRDefault="00F43A72" w:rsidP="000321EF">
            <w:pPr>
              <w:rPr>
                <w:rFonts w:ascii="Aptos" w:hAnsi="Aptos" w:cs="Arial"/>
                <w:sz w:val="24"/>
                <w:szCs w:val="24"/>
              </w:rPr>
            </w:pPr>
            <w:r w:rsidRPr="00857D02">
              <w:rPr>
                <w:rFonts w:ascii="Aptos" w:hAnsi="Aptos" w:cs="Arial"/>
                <w:sz w:val="24"/>
                <w:szCs w:val="24"/>
              </w:rPr>
              <w:t>As the value of the surplus property being conveyed exceeds $100,000, council approval of the sale is required. Under the terms of the PSA, the sale is contingent on the Council approving the PSA by June 2, 2026, with an optional 60-day extension to August 3, 2026.</w:t>
            </w:r>
          </w:p>
          <w:p w14:paraId="3734FB4E" w14:textId="77777777" w:rsidR="00F43A72" w:rsidRPr="00857D02" w:rsidRDefault="00F43A72" w:rsidP="000321EF">
            <w:pPr>
              <w:rPr>
                <w:rFonts w:ascii="Aptos" w:hAnsi="Aptos" w:cs="Arial"/>
                <w:sz w:val="24"/>
                <w:szCs w:val="24"/>
              </w:rPr>
            </w:pPr>
          </w:p>
        </w:tc>
      </w:tr>
      <w:tr w:rsidR="00F43A72" w:rsidRPr="00F43A72" w14:paraId="485F7D18" w14:textId="77777777" w:rsidTr="003F2B50">
        <w:trPr>
          <w:cantSplit/>
        </w:trPr>
        <w:tc>
          <w:tcPr>
            <w:tcW w:w="608" w:type="dxa"/>
            <w:tcBorders>
              <w:bottom w:val="single" w:sz="4" w:space="0" w:color="auto"/>
            </w:tcBorders>
            <w:shd w:val="clear" w:color="auto" w:fill="F2F2F2" w:themeFill="background1" w:themeFillShade="F2"/>
          </w:tcPr>
          <w:p w14:paraId="4E5CB351" w14:textId="77777777" w:rsidR="00F43A72" w:rsidRPr="00857D02" w:rsidRDefault="00F43A72" w:rsidP="000321EF">
            <w:pPr>
              <w:rPr>
                <w:rFonts w:ascii="Aptos" w:hAnsi="Aptos" w:cs="Arial"/>
                <w:b/>
                <w:bCs/>
                <w:sz w:val="24"/>
                <w:szCs w:val="24"/>
              </w:rPr>
            </w:pPr>
            <w:r w:rsidRPr="00857D02">
              <w:rPr>
                <w:rFonts w:ascii="Aptos" w:hAnsi="Aptos" w:cs="Arial"/>
                <w:b/>
                <w:bCs/>
                <w:sz w:val="24"/>
                <w:szCs w:val="24"/>
              </w:rPr>
              <w:t>10.</w:t>
            </w:r>
          </w:p>
        </w:tc>
        <w:tc>
          <w:tcPr>
            <w:tcW w:w="3728" w:type="dxa"/>
            <w:tcBorders>
              <w:bottom w:val="single" w:sz="4" w:space="0" w:color="auto"/>
            </w:tcBorders>
            <w:shd w:val="clear" w:color="auto" w:fill="F2F2F2" w:themeFill="background1" w:themeFillShade="F2"/>
          </w:tcPr>
          <w:p w14:paraId="55581559" w14:textId="77777777" w:rsidR="00F43A72" w:rsidRPr="00857D02" w:rsidRDefault="00F43A72" w:rsidP="00857D02">
            <w:pPr>
              <w:jc w:val="center"/>
              <w:rPr>
                <w:rFonts w:ascii="Aptos" w:hAnsi="Aptos" w:cs="Arial"/>
                <w:b/>
                <w:bCs/>
                <w:sz w:val="24"/>
                <w:szCs w:val="24"/>
              </w:rPr>
            </w:pPr>
            <w:r w:rsidRPr="00857D02">
              <w:rPr>
                <w:rFonts w:ascii="Aptos" w:hAnsi="Aptos" w:cs="Arial"/>
                <w:b/>
                <w:bCs/>
                <w:sz w:val="24"/>
                <w:szCs w:val="24"/>
              </w:rPr>
              <w:t>Disposition of Sale Proceeds</w:t>
            </w:r>
          </w:p>
        </w:tc>
        <w:tc>
          <w:tcPr>
            <w:tcW w:w="1476" w:type="dxa"/>
            <w:tcBorders>
              <w:bottom w:val="single" w:sz="4" w:space="0" w:color="auto"/>
            </w:tcBorders>
            <w:shd w:val="clear" w:color="auto" w:fill="F2F2F2" w:themeFill="background1" w:themeFillShade="F2"/>
          </w:tcPr>
          <w:p w14:paraId="2F37D8E4" w14:textId="77777777" w:rsidR="00F43A72" w:rsidRPr="00857D02" w:rsidRDefault="00F43A72" w:rsidP="00857D02">
            <w:pPr>
              <w:jc w:val="center"/>
              <w:rPr>
                <w:rFonts w:ascii="Aptos" w:hAnsi="Aptos" w:cs="Arial"/>
                <w:sz w:val="24"/>
                <w:szCs w:val="24"/>
              </w:rPr>
            </w:pPr>
            <w:r w:rsidRPr="00857D02">
              <w:rPr>
                <w:rFonts w:ascii="Aptos" w:hAnsi="Aptos" w:cs="Arial"/>
                <w:sz w:val="24"/>
                <w:szCs w:val="24"/>
              </w:rPr>
              <w:t>4.56.130</w:t>
            </w:r>
          </w:p>
        </w:tc>
        <w:tc>
          <w:tcPr>
            <w:tcW w:w="3764" w:type="dxa"/>
            <w:tcBorders>
              <w:bottom w:val="single" w:sz="4" w:space="0" w:color="auto"/>
            </w:tcBorders>
            <w:shd w:val="clear" w:color="auto" w:fill="F2F2F2" w:themeFill="background1" w:themeFillShade="F2"/>
          </w:tcPr>
          <w:p w14:paraId="0C886957" w14:textId="77777777" w:rsidR="00F43A72" w:rsidRPr="00857D02" w:rsidRDefault="00F43A72" w:rsidP="000321EF">
            <w:pPr>
              <w:rPr>
                <w:rFonts w:ascii="Aptos" w:hAnsi="Aptos" w:cs="Arial"/>
                <w:sz w:val="24"/>
                <w:szCs w:val="24"/>
              </w:rPr>
            </w:pPr>
            <w:r w:rsidRPr="00857D02">
              <w:rPr>
                <w:rFonts w:ascii="Aptos" w:hAnsi="Aptos" w:cs="Arial"/>
                <w:sz w:val="24"/>
                <w:szCs w:val="24"/>
              </w:rPr>
              <w:t>If approved by the Council, the sale proceeds would be disbursed first to the Department of Executive Services – FMD Real Estate Services (RES) for work associated with the sale of the surplus property.</w:t>
            </w:r>
          </w:p>
          <w:p w14:paraId="683DDF28" w14:textId="77777777" w:rsidR="00F43A72" w:rsidRPr="00857D02" w:rsidRDefault="00F43A72" w:rsidP="000321EF">
            <w:pPr>
              <w:rPr>
                <w:rFonts w:ascii="Aptos" w:hAnsi="Aptos" w:cs="Arial"/>
                <w:sz w:val="24"/>
                <w:szCs w:val="24"/>
              </w:rPr>
            </w:pPr>
          </w:p>
          <w:p w14:paraId="28A6F659" w14:textId="77777777" w:rsidR="00F43A72" w:rsidRPr="00857D02" w:rsidRDefault="00F43A72" w:rsidP="000321EF">
            <w:pPr>
              <w:rPr>
                <w:rFonts w:ascii="Aptos" w:hAnsi="Aptos" w:cs="Arial"/>
                <w:sz w:val="24"/>
                <w:szCs w:val="24"/>
              </w:rPr>
            </w:pPr>
            <w:r w:rsidRPr="00857D02">
              <w:rPr>
                <w:rFonts w:ascii="Aptos" w:hAnsi="Aptos" w:cs="Arial"/>
                <w:sz w:val="24"/>
                <w:szCs w:val="24"/>
              </w:rPr>
              <w:t xml:space="preserve">Remaining proceeds </w:t>
            </w:r>
            <w:proofErr w:type="gramStart"/>
            <w:r w:rsidRPr="00857D02">
              <w:rPr>
                <w:rFonts w:ascii="Aptos" w:hAnsi="Aptos" w:cs="Arial"/>
                <w:sz w:val="24"/>
                <w:szCs w:val="24"/>
              </w:rPr>
              <w:t>would</w:t>
            </w:r>
            <w:proofErr w:type="gramEnd"/>
            <w:r w:rsidRPr="00857D02">
              <w:rPr>
                <w:rFonts w:ascii="Aptos" w:hAnsi="Aptos" w:cs="Arial"/>
                <w:sz w:val="24"/>
                <w:szCs w:val="24"/>
              </w:rPr>
              <w:t xml:space="preserve"> be deposited into the DNRP Wastewater Treatment appropriation unit. </w:t>
            </w:r>
          </w:p>
          <w:p w14:paraId="28456EA1" w14:textId="77777777" w:rsidR="00F43A72" w:rsidRPr="00857D02" w:rsidRDefault="00F43A72" w:rsidP="000321EF">
            <w:pPr>
              <w:rPr>
                <w:rFonts w:ascii="Aptos" w:hAnsi="Aptos" w:cs="Arial"/>
                <w:sz w:val="24"/>
                <w:szCs w:val="24"/>
              </w:rPr>
            </w:pPr>
          </w:p>
          <w:p w14:paraId="0AB1D61B" w14:textId="77777777" w:rsidR="00F43A72" w:rsidRPr="00857D02" w:rsidRDefault="00F43A72" w:rsidP="000321EF">
            <w:pPr>
              <w:rPr>
                <w:rFonts w:ascii="Aptos" w:hAnsi="Aptos" w:cs="Arial"/>
                <w:sz w:val="24"/>
                <w:szCs w:val="24"/>
              </w:rPr>
            </w:pPr>
            <w:r w:rsidRPr="00857D02">
              <w:rPr>
                <w:rFonts w:ascii="Aptos" w:hAnsi="Aptos" w:cs="Arial"/>
                <w:sz w:val="24"/>
                <w:szCs w:val="24"/>
              </w:rPr>
              <w:t>The County will also realize annual savings from no longer paying the annual assessment fees.</w:t>
            </w:r>
          </w:p>
          <w:p w14:paraId="636F8573" w14:textId="77777777" w:rsidR="00F43A72" w:rsidRPr="00857D02" w:rsidRDefault="00F43A72" w:rsidP="000321EF">
            <w:pPr>
              <w:rPr>
                <w:rFonts w:ascii="Aptos" w:hAnsi="Aptos" w:cs="Arial"/>
                <w:sz w:val="24"/>
                <w:szCs w:val="24"/>
              </w:rPr>
            </w:pPr>
          </w:p>
        </w:tc>
      </w:tr>
      <w:tr w:rsidR="00F43A72" w:rsidRPr="00F43A72" w14:paraId="4C6AE924" w14:textId="77777777" w:rsidTr="005A5938">
        <w:trPr>
          <w:cantSplit/>
        </w:trPr>
        <w:tc>
          <w:tcPr>
            <w:tcW w:w="608" w:type="dxa"/>
            <w:shd w:val="clear" w:color="auto" w:fill="F2F2F2" w:themeFill="background1" w:themeFillShade="F2"/>
          </w:tcPr>
          <w:p w14:paraId="124EE647" w14:textId="77777777" w:rsidR="00F43A72" w:rsidRPr="00857D02" w:rsidRDefault="00F43A72" w:rsidP="000321EF">
            <w:pPr>
              <w:rPr>
                <w:rFonts w:ascii="Aptos" w:hAnsi="Aptos" w:cs="Arial"/>
                <w:b/>
                <w:bCs/>
                <w:sz w:val="24"/>
                <w:szCs w:val="24"/>
              </w:rPr>
            </w:pPr>
            <w:r w:rsidRPr="00857D02">
              <w:rPr>
                <w:rFonts w:ascii="Aptos" w:hAnsi="Aptos" w:cs="Arial"/>
                <w:b/>
                <w:bCs/>
                <w:sz w:val="24"/>
                <w:szCs w:val="24"/>
              </w:rPr>
              <w:lastRenderedPageBreak/>
              <w:t>11.</w:t>
            </w:r>
          </w:p>
        </w:tc>
        <w:tc>
          <w:tcPr>
            <w:tcW w:w="3728" w:type="dxa"/>
            <w:shd w:val="clear" w:color="auto" w:fill="F2F2F2" w:themeFill="background1" w:themeFillShade="F2"/>
          </w:tcPr>
          <w:p w14:paraId="77E4DC20" w14:textId="77777777" w:rsidR="00F43A72" w:rsidRPr="00857D02" w:rsidRDefault="00F43A72" w:rsidP="00857D02">
            <w:pPr>
              <w:jc w:val="center"/>
              <w:rPr>
                <w:rFonts w:ascii="Aptos" w:hAnsi="Aptos" w:cs="Arial"/>
                <w:b/>
                <w:bCs/>
                <w:sz w:val="24"/>
                <w:szCs w:val="24"/>
              </w:rPr>
            </w:pPr>
            <w:r w:rsidRPr="00857D02">
              <w:rPr>
                <w:rFonts w:ascii="Aptos" w:hAnsi="Aptos" w:cs="Arial"/>
                <w:b/>
                <w:bCs/>
                <w:sz w:val="24"/>
                <w:szCs w:val="24"/>
              </w:rPr>
              <w:t>Public Hearing Notice of Intergovernmental Sale</w:t>
            </w:r>
          </w:p>
        </w:tc>
        <w:tc>
          <w:tcPr>
            <w:tcW w:w="1476" w:type="dxa"/>
            <w:shd w:val="clear" w:color="auto" w:fill="F2F2F2" w:themeFill="background1" w:themeFillShade="F2"/>
          </w:tcPr>
          <w:p w14:paraId="21DDA985" w14:textId="77777777" w:rsidR="00F43A72" w:rsidRPr="00857D02" w:rsidRDefault="00F43A72" w:rsidP="00857D02">
            <w:pPr>
              <w:jc w:val="center"/>
              <w:rPr>
                <w:rFonts w:ascii="Aptos" w:hAnsi="Aptos" w:cs="Arial"/>
                <w:sz w:val="24"/>
                <w:szCs w:val="24"/>
              </w:rPr>
            </w:pPr>
            <w:r w:rsidRPr="00857D02">
              <w:rPr>
                <w:rFonts w:ascii="Aptos" w:hAnsi="Aptos" w:cs="Arial"/>
                <w:sz w:val="24"/>
                <w:szCs w:val="24"/>
              </w:rPr>
              <w:t>4.56.140</w:t>
            </w:r>
          </w:p>
        </w:tc>
        <w:tc>
          <w:tcPr>
            <w:tcW w:w="3764" w:type="dxa"/>
            <w:shd w:val="clear" w:color="auto" w:fill="F2F2F2" w:themeFill="background1" w:themeFillShade="F2"/>
          </w:tcPr>
          <w:p w14:paraId="4FBD0A63" w14:textId="77777777" w:rsidR="00F43A72" w:rsidRPr="00857D02" w:rsidRDefault="00F43A72" w:rsidP="000321EF">
            <w:pPr>
              <w:rPr>
                <w:rFonts w:ascii="Aptos" w:hAnsi="Aptos" w:cs="Arial"/>
                <w:sz w:val="24"/>
                <w:szCs w:val="24"/>
              </w:rPr>
            </w:pPr>
            <w:r w:rsidRPr="00857D02">
              <w:rPr>
                <w:rFonts w:ascii="Aptos" w:hAnsi="Aptos" w:cs="Arial"/>
                <w:sz w:val="24"/>
                <w:szCs w:val="24"/>
              </w:rPr>
              <w:t>Prior to an intergovernmental disposal of real property with an estimated value greater than $50,000, a public hearing notice would need to be advertised at least ten days but not more than twenty-five days before the public hearing.</w:t>
            </w:r>
            <w:r w:rsidRPr="00857D02">
              <w:rPr>
                <w:rStyle w:val="FootnoteReference"/>
                <w:rFonts w:ascii="Aptos" w:hAnsi="Aptos" w:cs="Arial"/>
                <w:sz w:val="24"/>
                <w:szCs w:val="24"/>
              </w:rPr>
              <w:footnoteReference w:id="1"/>
            </w:r>
            <w:r w:rsidRPr="00857D02">
              <w:rPr>
                <w:rFonts w:ascii="Aptos" w:hAnsi="Aptos" w:cs="Arial"/>
                <w:sz w:val="24"/>
                <w:szCs w:val="24"/>
              </w:rPr>
              <w:t xml:space="preserve"> </w:t>
            </w:r>
          </w:p>
          <w:p w14:paraId="22446536" w14:textId="77777777" w:rsidR="00F43A72" w:rsidRPr="00857D02" w:rsidRDefault="00F43A72" w:rsidP="000321EF">
            <w:pPr>
              <w:rPr>
                <w:rFonts w:ascii="Aptos" w:hAnsi="Aptos" w:cs="Arial"/>
                <w:sz w:val="24"/>
                <w:szCs w:val="24"/>
              </w:rPr>
            </w:pPr>
          </w:p>
          <w:p w14:paraId="34EB9C03" w14:textId="77777777" w:rsidR="00F43A72" w:rsidRPr="00857D02" w:rsidRDefault="00F43A72" w:rsidP="000321EF">
            <w:pPr>
              <w:rPr>
                <w:rFonts w:ascii="Aptos" w:hAnsi="Aptos" w:cs="Arial"/>
                <w:sz w:val="24"/>
                <w:szCs w:val="24"/>
              </w:rPr>
            </w:pPr>
            <w:r w:rsidRPr="00857D02">
              <w:rPr>
                <w:rFonts w:ascii="Aptos" w:hAnsi="Aptos" w:cs="Arial"/>
                <w:sz w:val="24"/>
                <w:szCs w:val="24"/>
              </w:rPr>
              <w:t xml:space="preserve">A public hearing notice and press release were transmitted by Executive staff with the proposed ordinance. </w:t>
            </w:r>
          </w:p>
          <w:p w14:paraId="4DCCFF4C" w14:textId="77777777" w:rsidR="00F43A72" w:rsidRPr="00857D02" w:rsidRDefault="00F43A72" w:rsidP="000321EF">
            <w:pPr>
              <w:rPr>
                <w:rFonts w:ascii="Aptos" w:hAnsi="Aptos" w:cs="Arial"/>
                <w:sz w:val="24"/>
                <w:szCs w:val="24"/>
              </w:rPr>
            </w:pPr>
          </w:p>
        </w:tc>
      </w:tr>
    </w:tbl>
    <w:p w14:paraId="6827812B" w14:textId="77777777" w:rsidR="0005383D" w:rsidRDefault="005573A0" w:rsidP="00FF2B5E">
      <w:pPr>
        <w:pStyle w:val="BodyText"/>
      </w:pPr>
      <w:r w:rsidRPr="00FF2B5E">
        <w:rPr>
          <w:b/>
          <w:bCs/>
        </w:rPr>
        <w:t>Summary of Key PSA Terms.</w:t>
      </w:r>
      <w:r w:rsidRPr="00FF2B5E">
        <w:t xml:space="preserve"> Table 2 provides a high-level summary of key terms in each section of the PSA.</w:t>
      </w:r>
      <w:r w:rsidR="002E756A">
        <w:t xml:space="preserve"> </w:t>
      </w:r>
    </w:p>
    <w:p w14:paraId="4BA9B9D1" w14:textId="6B4B263D" w:rsidR="005573A0" w:rsidRPr="00451DDD" w:rsidRDefault="002E756A" w:rsidP="00FF2B5E">
      <w:pPr>
        <w:pStyle w:val="BodyText"/>
        <w:rPr>
          <w:rFonts w:ascii="Arial" w:hAnsi="Arial" w:cs="Arial"/>
          <w:i/>
          <w:iCs/>
        </w:rPr>
      </w:pPr>
      <w:r w:rsidRPr="002E756A">
        <w:t xml:space="preserve">The transmitted PSA </w:t>
      </w:r>
      <w:r w:rsidR="0005383D">
        <w:t xml:space="preserve">also </w:t>
      </w:r>
      <w:r w:rsidRPr="002E756A">
        <w:t>includes a provision</w:t>
      </w:r>
      <w:r w:rsidR="0005383D">
        <w:t xml:space="preserve"> in Article 5</w:t>
      </w:r>
      <w:r w:rsidRPr="002E756A">
        <w:t xml:space="preserve"> that it is subject to Council approval ("Council Approval Contingency"). The PSA states that this contingency would be satisfied if an ordinance becomes effective within 120 days of the PSA's effective date, with an option to extend for an additional 60 days. The ordinance needs to be effective by August 3, 2026, to satisfy this contingency.</w:t>
      </w:r>
    </w:p>
    <w:p w14:paraId="3160F3C8" w14:textId="1BDD3179" w:rsidR="005573A0" w:rsidRPr="00832C5E" w:rsidRDefault="005573A0" w:rsidP="00832C5E">
      <w:pPr>
        <w:pStyle w:val="Subtitle"/>
        <w:rPr>
          <w:rFonts w:eastAsia="Aptos"/>
        </w:rPr>
      </w:pPr>
      <w:r w:rsidRPr="00FF2B5E">
        <w:rPr>
          <w:rFonts w:eastAsia="Aptos"/>
        </w:rPr>
        <w:t>Table 2. Summary of Key PSA Terms</w:t>
      </w:r>
    </w:p>
    <w:tbl>
      <w:tblPr>
        <w:tblStyle w:val="TableGrid"/>
        <w:tblW w:w="0" w:type="auto"/>
        <w:jc w:val="center"/>
        <w:tblLook w:val="04A0" w:firstRow="1" w:lastRow="0" w:firstColumn="1" w:lastColumn="0" w:noHBand="0" w:noVBand="1"/>
      </w:tblPr>
      <w:tblGrid>
        <w:gridCol w:w="2439"/>
        <w:gridCol w:w="5360"/>
        <w:gridCol w:w="1750"/>
      </w:tblGrid>
      <w:tr w:rsidR="005573A0" w:rsidRPr="00832C5E" w14:paraId="0C447CDB" w14:textId="77777777" w:rsidTr="00832C5E">
        <w:trPr>
          <w:cantSplit/>
          <w:tblHeader/>
          <w:jc w:val="center"/>
        </w:trPr>
        <w:tc>
          <w:tcPr>
            <w:tcW w:w="2439" w:type="dxa"/>
            <w:shd w:val="clear" w:color="auto" w:fill="0F4761" w:themeFill="accent1" w:themeFillShade="BF"/>
            <w:vAlign w:val="center"/>
          </w:tcPr>
          <w:p w14:paraId="6F751140" w14:textId="77777777" w:rsidR="005573A0" w:rsidRPr="00832C5E" w:rsidRDefault="005573A0" w:rsidP="00832C5E">
            <w:pPr>
              <w:tabs>
                <w:tab w:val="left" w:pos="1540"/>
              </w:tabs>
              <w:jc w:val="center"/>
              <w:rPr>
                <w:rFonts w:ascii="Aptos" w:hAnsi="Aptos" w:cs="Arial"/>
                <w:b/>
                <w:bCs/>
                <w:color w:val="FFFFFF" w:themeColor="background1"/>
                <w:sz w:val="24"/>
                <w:szCs w:val="24"/>
              </w:rPr>
            </w:pPr>
            <w:r w:rsidRPr="00832C5E">
              <w:rPr>
                <w:rFonts w:ascii="Aptos" w:hAnsi="Aptos" w:cs="Arial"/>
                <w:b/>
                <w:bCs/>
                <w:color w:val="FFFFFF" w:themeColor="background1"/>
                <w:sz w:val="24"/>
                <w:szCs w:val="24"/>
              </w:rPr>
              <w:t>PSA Section</w:t>
            </w:r>
          </w:p>
        </w:tc>
        <w:tc>
          <w:tcPr>
            <w:tcW w:w="5360" w:type="dxa"/>
            <w:shd w:val="clear" w:color="auto" w:fill="0F4761" w:themeFill="accent1" w:themeFillShade="BF"/>
            <w:vAlign w:val="center"/>
          </w:tcPr>
          <w:p w14:paraId="7923BD08" w14:textId="77777777" w:rsidR="005573A0" w:rsidRPr="00832C5E" w:rsidRDefault="005573A0" w:rsidP="00832C5E">
            <w:pPr>
              <w:tabs>
                <w:tab w:val="left" w:pos="1540"/>
              </w:tabs>
              <w:jc w:val="center"/>
              <w:rPr>
                <w:rFonts w:ascii="Aptos" w:hAnsi="Aptos" w:cs="Arial"/>
                <w:b/>
                <w:bCs/>
                <w:i/>
                <w:iCs/>
                <w:color w:val="FFFFFF" w:themeColor="background1"/>
                <w:sz w:val="24"/>
                <w:szCs w:val="24"/>
              </w:rPr>
            </w:pPr>
            <w:r w:rsidRPr="00832C5E">
              <w:rPr>
                <w:rFonts w:ascii="Aptos" w:hAnsi="Aptos" w:cs="Arial"/>
                <w:b/>
                <w:bCs/>
                <w:color w:val="FFFFFF" w:themeColor="background1"/>
                <w:sz w:val="24"/>
                <w:szCs w:val="24"/>
              </w:rPr>
              <w:t>Summary of Key Terms</w:t>
            </w:r>
          </w:p>
        </w:tc>
        <w:tc>
          <w:tcPr>
            <w:tcW w:w="1750" w:type="dxa"/>
            <w:shd w:val="clear" w:color="auto" w:fill="0F4761" w:themeFill="accent1" w:themeFillShade="BF"/>
            <w:vAlign w:val="center"/>
          </w:tcPr>
          <w:p w14:paraId="6B17D49D" w14:textId="77777777" w:rsidR="005573A0" w:rsidRPr="00832C5E" w:rsidRDefault="005573A0" w:rsidP="00832C5E">
            <w:pPr>
              <w:tabs>
                <w:tab w:val="left" w:pos="1540"/>
              </w:tabs>
              <w:jc w:val="center"/>
              <w:rPr>
                <w:rFonts w:ascii="Aptos" w:hAnsi="Aptos" w:cs="Arial"/>
                <w:b/>
                <w:bCs/>
                <w:color w:val="FFFFFF" w:themeColor="background1"/>
                <w:sz w:val="24"/>
                <w:szCs w:val="24"/>
              </w:rPr>
            </w:pPr>
            <w:r w:rsidRPr="00832C5E">
              <w:rPr>
                <w:rFonts w:ascii="Aptos" w:hAnsi="Aptos" w:cs="Arial"/>
                <w:b/>
                <w:bCs/>
                <w:color w:val="FFFFFF" w:themeColor="background1"/>
                <w:sz w:val="24"/>
                <w:szCs w:val="24"/>
              </w:rPr>
              <w:t>Beginning Page in PSA</w:t>
            </w:r>
          </w:p>
        </w:tc>
      </w:tr>
      <w:tr w:rsidR="005573A0" w:rsidRPr="00451DDD" w14:paraId="6973C058" w14:textId="77777777" w:rsidTr="00832C5E">
        <w:trPr>
          <w:jc w:val="center"/>
        </w:trPr>
        <w:tc>
          <w:tcPr>
            <w:tcW w:w="2439" w:type="dxa"/>
            <w:shd w:val="clear" w:color="auto" w:fill="F2F2F2" w:themeFill="background1" w:themeFillShade="F2"/>
          </w:tcPr>
          <w:p w14:paraId="3A768DBD" w14:textId="77777777" w:rsidR="005573A0" w:rsidRPr="00832C5E" w:rsidRDefault="005573A0" w:rsidP="000321EF">
            <w:pPr>
              <w:rPr>
                <w:rFonts w:asciiTheme="minorHAnsi" w:hAnsiTheme="minorHAnsi" w:cs="Arial"/>
                <w:b/>
                <w:bCs/>
                <w:sz w:val="24"/>
                <w:szCs w:val="24"/>
              </w:rPr>
            </w:pPr>
            <w:r w:rsidRPr="00832C5E">
              <w:rPr>
                <w:rFonts w:asciiTheme="minorHAnsi" w:hAnsiTheme="minorHAnsi" w:cs="Arial"/>
                <w:b/>
                <w:bCs/>
                <w:sz w:val="24"/>
                <w:szCs w:val="24"/>
              </w:rPr>
              <w:t>Article 1.</w:t>
            </w:r>
          </w:p>
          <w:p w14:paraId="71285DA1" w14:textId="77777777" w:rsidR="005573A0" w:rsidRPr="00832C5E" w:rsidRDefault="005573A0" w:rsidP="000321EF">
            <w:pPr>
              <w:tabs>
                <w:tab w:val="left" w:pos="1540"/>
              </w:tabs>
              <w:rPr>
                <w:rFonts w:asciiTheme="minorHAnsi" w:hAnsiTheme="minorHAnsi" w:cs="Arial"/>
                <w:b/>
                <w:bCs/>
                <w:sz w:val="24"/>
                <w:szCs w:val="24"/>
              </w:rPr>
            </w:pPr>
            <w:r w:rsidRPr="00832C5E">
              <w:rPr>
                <w:rFonts w:asciiTheme="minorHAnsi" w:hAnsiTheme="minorHAnsi" w:cs="Arial"/>
                <w:b/>
                <w:bCs/>
                <w:sz w:val="24"/>
                <w:szCs w:val="24"/>
              </w:rPr>
              <w:t>Purchase and Transfer of Assets</w:t>
            </w:r>
          </w:p>
        </w:tc>
        <w:tc>
          <w:tcPr>
            <w:tcW w:w="5360" w:type="dxa"/>
            <w:shd w:val="clear" w:color="auto" w:fill="F2F2F2" w:themeFill="background1" w:themeFillShade="F2"/>
          </w:tcPr>
          <w:p w14:paraId="349CDEC1" w14:textId="77777777" w:rsidR="005573A0" w:rsidRPr="00832C5E" w:rsidRDefault="005573A0" w:rsidP="000321EF">
            <w:pPr>
              <w:rPr>
                <w:rFonts w:asciiTheme="minorHAnsi" w:hAnsiTheme="minorHAnsi" w:cs="Arial"/>
                <w:sz w:val="24"/>
                <w:szCs w:val="24"/>
              </w:rPr>
            </w:pPr>
            <w:r w:rsidRPr="00832C5E">
              <w:rPr>
                <w:rFonts w:asciiTheme="minorHAnsi" w:hAnsiTheme="minorHAnsi" w:cs="Arial"/>
                <w:sz w:val="24"/>
                <w:szCs w:val="24"/>
              </w:rPr>
              <w:t>King County shall convey to WSDOT on the closing date, and WSDOT shall buy and accept from King County the following assets and properties:</w:t>
            </w:r>
          </w:p>
          <w:p w14:paraId="011A4FEF" w14:textId="77777777" w:rsidR="005573A0" w:rsidRPr="00832C5E" w:rsidRDefault="005573A0" w:rsidP="005573A0">
            <w:pPr>
              <w:pStyle w:val="ListParagraph"/>
              <w:numPr>
                <w:ilvl w:val="0"/>
                <w:numId w:val="21"/>
              </w:numPr>
              <w:spacing w:after="0"/>
              <w:rPr>
                <w:rFonts w:asciiTheme="minorHAnsi" w:hAnsiTheme="minorHAnsi" w:cs="Arial"/>
                <w:sz w:val="24"/>
                <w:szCs w:val="24"/>
              </w:rPr>
            </w:pPr>
            <w:r w:rsidRPr="00832C5E">
              <w:rPr>
                <w:rFonts w:asciiTheme="minorHAnsi" w:hAnsiTheme="minorHAnsi" w:cs="Arial"/>
                <w:sz w:val="24"/>
                <w:szCs w:val="24"/>
              </w:rPr>
              <w:t xml:space="preserve">The property at Fauntleroy Way SW, Seattle, WA, </w:t>
            </w:r>
            <w:proofErr w:type="gramStart"/>
            <w:r w:rsidRPr="00832C5E">
              <w:rPr>
                <w:rFonts w:asciiTheme="minorHAnsi" w:hAnsiTheme="minorHAnsi" w:cs="Arial"/>
                <w:sz w:val="24"/>
                <w:szCs w:val="24"/>
              </w:rPr>
              <w:t>including</w:t>
            </w:r>
            <w:proofErr w:type="gramEnd"/>
            <w:r w:rsidRPr="00832C5E">
              <w:rPr>
                <w:rFonts w:asciiTheme="minorHAnsi" w:hAnsiTheme="minorHAnsi" w:cs="Arial"/>
                <w:sz w:val="24"/>
                <w:szCs w:val="24"/>
              </w:rPr>
              <w:t xml:space="preserve"> the right, title, and interest of the property, improvements and structures located on the property, tangible personal property, and easements and other rights on the </w:t>
            </w:r>
            <w:r w:rsidRPr="00832C5E">
              <w:rPr>
                <w:rFonts w:asciiTheme="minorHAnsi" w:hAnsiTheme="minorHAnsi" w:cs="Arial"/>
                <w:sz w:val="24"/>
                <w:szCs w:val="24"/>
              </w:rPr>
              <w:lastRenderedPageBreak/>
              <w:t xml:space="preserve">property. </w:t>
            </w:r>
          </w:p>
        </w:tc>
        <w:tc>
          <w:tcPr>
            <w:tcW w:w="1750" w:type="dxa"/>
            <w:shd w:val="clear" w:color="auto" w:fill="F2F2F2" w:themeFill="background1" w:themeFillShade="F2"/>
          </w:tcPr>
          <w:p w14:paraId="697931AE" w14:textId="77777777" w:rsidR="005573A0" w:rsidRPr="00832C5E" w:rsidRDefault="005573A0" w:rsidP="00832C5E">
            <w:pPr>
              <w:tabs>
                <w:tab w:val="left" w:pos="1540"/>
              </w:tabs>
              <w:jc w:val="center"/>
              <w:rPr>
                <w:rFonts w:asciiTheme="minorHAnsi" w:hAnsiTheme="minorHAnsi" w:cs="Arial"/>
                <w:sz w:val="24"/>
                <w:szCs w:val="24"/>
              </w:rPr>
            </w:pPr>
            <w:r w:rsidRPr="00832C5E">
              <w:rPr>
                <w:rFonts w:asciiTheme="minorHAnsi" w:hAnsiTheme="minorHAnsi" w:cs="Arial"/>
                <w:sz w:val="24"/>
                <w:szCs w:val="24"/>
              </w:rPr>
              <w:lastRenderedPageBreak/>
              <w:t>p. 1</w:t>
            </w:r>
          </w:p>
        </w:tc>
      </w:tr>
      <w:tr w:rsidR="005573A0" w:rsidRPr="00451DDD" w14:paraId="2BF8CD40" w14:textId="77777777" w:rsidTr="00832C5E">
        <w:trPr>
          <w:cantSplit/>
          <w:jc w:val="center"/>
        </w:trPr>
        <w:tc>
          <w:tcPr>
            <w:tcW w:w="2439" w:type="dxa"/>
            <w:shd w:val="clear" w:color="auto" w:fill="F2F2F2" w:themeFill="background1" w:themeFillShade="F2"/>
          </w:tcPr>
          <w:p w14:paraId="18A6D6FF" w14:textId="77777777" w:rsidR="005573A0" w:rsidRPr="00832C5E" w:rsidRDefault="005573A0" w:rsidP="000321EF">
            <w:pPr>
              <w:tabs>
                <w:tab w:val="left" w:pos="1540"/>
              </w:tabs>
              <w:rPr>
                <w:rFonts w:asciiTheme="minorHAnsi" w:hAnsiTheme="minorHAnsi" w:cs="Arial"/>
                <w:b/>
                <w:bCs/>
                <w:sz w:val="24"/>
                <w:szCs w:val="24"/>
              </w:rPr>
            </w:pPr>
            <w:r w:rsidRPr="00832C5E">
              <w:rPr>
                <w:rFonts w:asciiTheme="minorHAnsi" w:hAnsiTheme="minorHAnsi" w:cs="Arial"/>
                <w:b/>
                <w:bCs/>
                <w:sz w:val="24"/>
                <w:szCs w:val="24"/>
              </w:rPr>
              <w:t xml:space="preserve">Article 2. </w:t>
            </w:r>
          </w:p>
          <w:p w14:paraId="5392C51C" w14:textId="77777777" w:rsidR="005573A0" w:rsidRPr="00832C5E" w:rsidRDefault="005573A0" w:rsidP="000321EF">
            <w:pPr>
              <w:tabs>
                <w:tab w:val="left" w:pos="1540"/>
              </w:tabs>
              <w:rPr>
                <w:rFonts w:asciiTheme="minorHAnsi" w:hAnsiTheme="minorHAnsi" w:cs="Arial"/>
                <w:b/>
                <w:bCs/>
                <w:sz w:val="24"/>
                <w:szCs w:val="24"/>
                <w:highlight w:val="yellow"/>
              </w:rPr>
            </w:pPr>
            <w:r w:rsidRPr="00832C5E">
              <w:rPr>
                <w:rFonts w:asciiTheme="minorHAnsi" w:hAnsiTheme="minorHAnsi" w:cs="Arial"/>
                <w:b/>
                <w:bCs/>
                <w:sz w:val="24"/>
                <w:szCs w:val="24"/>
              </w:rPr>
              <w:t>Purchase Price</w:t>
            </w:r>
          </w:p>
        </w:tc>
        <w:tc>
          <w:tcPr>
            <w:tcW w:w="5360" w:type="dxa"/>
            <w:shd w:val="clear" w:color="auto" w:fill="F2F2F2" w:themeFill="background1" w:themeFillShade="F2"/>
          </w:tcPr>
          <w:p w14:paraId="40A0A028" w14:textId="77777777" w:rsidR="005573A0" w:rsidRPr="00832C5E" w:rsidRDefault="005573A0" w:rsidP="000321EF">
            <w:pPr>
              <w:rPr>
                <w:rFonts w:asciiTheme="minorHAnsi" w:hAnsiTheme="minorHAnsi" w:cs="Arial"/>
                <w:sz w:val="24"/>
                <w:szCs w:val="24"/>
              </w:rPr>
            </w:pPr>
            <w:r w:rsidRPr="00832C5E">
              <w:rPr>
                <w:rFonts w:asciiTheme="minorHAnsi" w:hAnsiTheme="minorHAnsi" w:cs="Arial"/>
                <w:sz w:val="24"/>
                <w:szCs w:val="24"/>
              </w:rPr>
              <w:t>Establishes a purchase price of $1,825,000.</w:t>
            </w:r>
          </w:p>
          <w:p w14:paraId="6D2D0854" w14:textId="77777777" w:rsidR="005573A0" w:rsidRPr="00832C5E" w:rsidRDefault="005573A0" w:rsidP="000321EF">
            <w:pPr>
              <w:rPr>
                <w:rFonts w:asciiTheme="minorHAnsi" w:hAnsiTheme="minorHAnsi" w:cs="Arial"/>
                <w:sz w:val="24"/>
                <w:szCs w:val="24"/>
                <w:highlight w:val="yellow"/>
              </w:rPr>
            </w:pPr>
          </w:p>
        </w:tc>
        <w:tc>
          <w:tcPr>
            <w:tcW w:w="1750" w:type="dxa"/>
            <w:shd w:val="clear" w:color="auto" w:fill="F2F2F2" w:themeFill="background1" w:themeFillShade="F2"/>
          </w:tcPr>
          <w:p w14:paraId="73A56AA2" w14:textId="77777777" w:rsidR="005573A0" w:rsidRPr="00832C5E" w:rsidRDefault="005573A0" w:rsidP="00832C5E">
            <w:pPr>
              <w:tabs>
                <w:tab w:val="left" w:pos="1540"/>
              </w:tabs>
              <w:jc w:val="center"/>
              <w:rPr>
                <w:rFonts w:asciiTheme="minorHAnsi" w:hAnsiTheme="minorHAnsi" w:cs="Arial"/>
                <w:sz w:val="24"/>
                <w:szCs w:val="24"/>
                <w:highlight w:val="yellow"/>
              </w:rPr>
            </w:pPr>
            <w:r w:rsidRPr="00832C5E">
              <w:rPr>
                <w:rFonts w:asciiTheme="minorHAnsi" w:hAnsiTheme="minorHAnsi" w:cs="Arial"/>
                <w:sz w:val="24"/>
                <w:szCs w:val="24"/>
              </w:rPr>
              <w:t>p. 2</w:t>
            </w:r>
          </w:p>
        </w:tc>
      </w:tr>
      <w:tr w:rsidR="005573A0" w:rsidRPr="00451DDD" w14:paraId="2A21529B" w14:textId="77777777" w:rsidTr="00832C5E">
        <w:trPr>
          <w:cantSplit/>
          <w:jc w:val="center"/>
        </w:trPr>
        <w:tc>
          <w:tcPr>
            <w:tcW w:w="2439" w:type="dxa"/>
            <w:shd w:val="clear" w:color="auto" w:fill="F2F2F2" w:themeFill="background1" w:themeFillShade="F2"/>
          </w:tcPr>
          <w:p w14:paraId="02E6E898" w14:textId="77777777" w:rsidR="005573A0" w:rsidRPr="00832C5E" w:rsidRDefault="005573A0" w:rsidP="000321EF">
            <w:pPr>
              <w:tabs>
                <w:tab w:val="left" w:pos="1540"/>
              </w:tabs>
              <w:rPr>
                <w:rFonts w:asciiTheme="minorHAnsi" w:hAnsiTheme="minorHAnsi" w:cs="Arial"/>
                <w:b/>
                <w:bCs/>
                <w:sz w:val="24"/>
                <w:szCs w:val="24"/>
              </w:rPr>
            </w:pPr>
            <w:r w:rsidRPr="00832C5E">
              <w:rPr>
                <w:rFonts w:asciiTheme="minorHAnsi" w:hAnsiTheme="minorHAnsi" w:cs="Arial"/>
                <w:b/>
                <w:bCs/>
                <w:sz w:val="24"/>
                <w:szCs w:val="24"/>
              </w:rPr>
              <w:t>Article 3. Representations and Warranties of the Parties and Condition of the Property</w:t>
            </w:r>
          </w:p>
          <w:p w14:paraId="6F75C89C" w14:textId="77777777" w:rsidR="005573A0" w:rsidRPr="00832C5E" w:rsidRDefault="005573A0" w:rsidP="000321EF">
            <w:pPr>
              <w:tabs>
                <w:tab w:val="left" w:pos="1540"/>
              </w:tabs>
              <w:rPr>
                <w:rFonts w:asciiTheme="minorHAnsi" w:hAnsiTheme="minorHAnsi" w:cs="Arial"/>
                <w:b/>
                <w:bCs/>
                <w:sz w:val="24"/>
                <w:szCs w:val="24"/>
                <w:highlight w:val="yellow"/>
              </w:rPr>
            </w:pPr>
          </w:p>
        </w:tc>
        <w:tc>
          <w:tcPr>
            <w:tcW w:w="5360" w:type="dxa"/>
            <w:shd w:val="clear" w:color="auto" w:fill="F2F2F2" w:themeFill="background1" w:themeFillShade="F2"/>
          </w:tcPr>
          <w:p w14:paraId="149E0E20" w14:textId="25911484" w:rsidR="005573A0" w:rsidRPr="00832C5E" w:rsidRDefault="005573A0" w:rsidP="000321EF">
            <w:pPr>
              <w:rPr>
                <w:rFonts w:asciiTheme="minorHAnsi" w:hAnsiTheme="minorHAnsi" w:cs="Arial"/>
                <w:i/>
                <w:iCs/>
                <w:sz w:val="24"/>
                <w:szCs w:val="24"/>
              </w:rPr>
            </w:pPr>
            <w:r w:rsidRPr="00832C5E">
              <w:rPr>
                <w:rFonts w:asciiTheme="minorHAnsi" w:hAnsiTheme="minorHAnsi" w:cs="Arial"/>
                <w:sz w:val="24"/>
                <w:szCs w:val="24"/>
              </w:rPr>
              <w:t>Outlines terms for representations and warranties of the seller and buyer, seller disclosure statement and disclaimer of the condition of the property, buyer acceptance of the condition of the property, indemnification clause</w:t>
            </w:r>
            <w:r w:rsidR="004F0AA6">
              <w:rPr>
                <w:rFonts w:asciiTheme="minorHAnsi" w:hAnsiTheme="minorHAnsi" w:cs="Arial"/>
                <w:sz w:val="24"/>
                <w:szCs w:val="24"/>
              </w:rPr>
              <w:t>,</w:t>
            </w:r>
            <w:r w:rsidRPr="00832C5E">
              <w:rPr>
                <w:rFonts w:asciiTheme="minorHAnsi" w:hAnsiTheme="minorHAnsi" w:cs="Arial"/>
                <w:sz w:val="24"/>
                <w:szCs w:val="24"/>
              </w:rPr>
              <w:t xml:space="preserve"> and a risk of loss statement.</w:t>
            </w:r>
          </w:p>
          <w:p w14:paraId="0E909900" w14:textId="77777777" w:rsidR="005573A0" w:rsidRPr="00832C5E" w:rsidRDefault="005573A0" w:rsidP="000321EF">
            <w:pPr>
              <w:tabs>
                <w:tab w:val="left" w:pos="1540"/>
              </w:tabs>
              <w:rPr>
                <w:rFonts w:asciiTheme="minorHAnsi" w:hAnsiTheme="minorHAnsi" w:cs="Arial"/>
                <w:sz w:val="24"/>
                <w:szCs w:val="24"/>
                <w:highlight w:val="yellow"/>
              </w:rPr>
            </w:pPr>
          </w:p>
        </w:tc>
        <w:tc>
          <w:tcPr>
            <w:tcW w:w="1750" w:type="dxa"/>
            <w:shd w:val="clear" w:color="auto" w:fill="F2F2F2" w:themeFill="background1" w:themeFillShade="F2"/>
          </w:tcPr>
          <w:p w14:paraId="5C4A5164" w14:textId="77777777" w:rsidR="005573A0" w:rsidRPr="00832C5E" w:rsidRDefault="005573A0" w:rsidP="00832C5E">
            <w:pPr>
              <w:tabs>
                <w:tab w:val="left" w:pos="1540"/>
              </w:tabs>
              <w:jc w:val="center"/>
              <w:rPr>
                <w:rFonts w:asciiTheme="minorHAnsi" w:hAnsiTheme="minorHAnsi" w:cs="Arial"/>
                <w:sz w:val="24"/>
                <w:szCs w:val="24"/>
                <w:highlight w:val="yellow"/>
              </w:rPr>
            </w:pPr>
            <w:r w:rsidRPr="00832C5E">
              <w:rPr>
                <w:rFonts w:asciiTheme="minorHAnsi" w:hAnsiTheme="minorHAnsi" w:cs="Arial"/>
                <w:sz w:val="24"/>
                <w:szCs w:val="24"/>
              </w:rPr>
              <w:t>p. 2</w:t>
            </w:r>
          </w:p>
        </w:tc>
      </w:tr>
      <w:tr w:rsidR="005573A0" w:rsidRPr="00451DDD" w14:paraId="03AF2744" w14:textId="77777777" w:rsidTr="00832C5E">
        <w:trPr>
          <w:cantSplit/>
          <w:jc w:val="center"/>
        </w:trPr>
        <w:tc>
          <w:tcPr>
            <w:tcW w:w="2439" w:type="dxa"/>
            <w:shd w:val="clear" w:color="auto" w:fill="F2F2F2" w:themeFill="background1" w:themeFillShade="F2"/>
          </w:tcPr>
          <w:p w14:paraId="5B6ABFA7" w14:textId="77777777" w:rsidR="005573A0" w:rsidRPr="00832C5E" w:rsidRDefault="005573A0" w:rsidP="000321EF">
            <w:pPr>
              <w:rPr>
                <w:rFonts w:asciiTheme="minorHAnsi" w:hAnsiTheme="minorHAnsi" w:cs="Arial"/>
                <w:b/>
                <w:bCs/>
                <w:sz w:val="24"/>
                <w:szCs w:val="24"/>
              </w:rPr>
            </w:pPr>
            <w:r w:rsidRPr="00832C5E">
              <w:rPr>
                <w:rFonts w:asciiTheme="minorHAnsi" w:hAnsiTheme="minorHAnsi" w:cs="Arial"/>
                <w:b/>
                <w:bCs/>
                <w:sz w:val="24"/>
                <w:szCs w:val="24"/>
              </w:rPr>
              <w:t xml:space="preserve">Article 4. </w:t>
            </w:r>
          </w:p>
          <w:p w14:paraId="29473E1D" w14:textId="77777777" w:rsidR="005573A0" w:rsidRPr="00832C5E" w:rsidRDefault="005573A0" w:rsidP="000321EF">
            <w:pPr>
              <w:tabs>
                <w:tab w:val="left" w:pos="1540"/>
              </w:tabs>
              <w:rPr>
                <w:rFonts w:asciiTheme="minorHAnsi" w:hAnsiTheme="minorHAnsi" w:cs="Arial"/>
                <w:b/>
                <w:bCs/>
                <w:sz w:val="24"/>
                <w:szCs w:val="24"/>
              </w:rPr>
            </w:pPr>
            <w:r w:rsidRPr="00832C5E">
              <w:rPr>
                <w:rFonts w:asciiTheme="minorHAnsi" w:hAnsiTheme="minorHAnsi" w:cs="Arial"/>
                <w:b/>
                <w:bCs/>
                <w:sz w:val="24"/>
                <w:szCs w:val="24"/>
              </w:rPr>
              <w:t>Title Matters</w:t>
            </w:r>
          </w:p>
          <w:p w14:paraId="2D26AD36" w14:textId="77777777" w:rsidR="005573A0" w:rsidRPr="00832C5E" w:rsidRDefault="005573A0" w:rsidP="000321EF">
            <w:pPr>
              <w:tabs>
                <w:tab w:val="left" w:pos="1540"/>
              </w:tabs>
              <w:rPr>
                <w:rFonts w:asciiTheme="minorHAnsi" w:hAnsiTheme="minorHAnsi" w:cs="Arial"/>
                <w:b/>
                <w:bCs/>
                <w:sz w:val="24"/>
                <w:szCs w:val="24"/>
              </w:rPr>
            </w:pPr>
          </w:p>
        </w:tc>
        <w:tc>
          <w:tcPr>
            <w:tcW w:w="5360" w:type="dxa"/>
            <w:shd w:val="clear" w:color="auto" w:fill="F2F2F2" w:themeFill="background1" w:themeFillShade="F2"/>
          </w:tcPr>
          <w:p w14:paraId="3FCFBFD1" w14:textId="77777777" w:rsidR="005573A0" w:rsidRPr="00832C5E" w:rsidRDefault="005573A0" w:rsidP="000321EF">
            <w:pPr>
              <w:tabs>
                <w:tab w:val="left" w:pos="1540"/>
              </w:tabs>
              <w:rPr>
                <w:rFonts w:asciiTheme="minorHAnsi" w:hAnsiTheme="minorHAnsi" w:cs="Arial"/>
                <w:sz w:val="24"/>
                <w:szCs w:val="24"/>
              </w:rPr>
            </w:pPr>
            <w:r w:rsidRPr="00832C5E">
              <w:rPr>
                <w:rFonts w:asciiTheme="minorHAnsi" w:hAnsiTheme="minorHAnsi" w:cs="Arial"/>
                <w:sz w:val="24"/>
                <w:szCs w:val="24"/>
              </w:rPr>
              <w:t xml:space="preserve">Outlines terms related to the title and title insurance. </w:t>
            </w:r>
          </w:p>
        </w:tc>
        <w:tc>
          <w:tcPr>
            <w:tcW w:w="1750" w:type="dxa"/>
            <w:shd w:val="clear" w:color="auto" w:fill="F2F2F2" w:themeFill="background1" w:themeFillShade="F2"/>
          </w:tcPr>
          <w:p w14:paraId="1FFE8E8B" w14:textId="77777777" w:rsidR="005573A0" w:rsidRPr="00832C5E" w:rsidRDefault="005573A0" w:rsidP="00832C5E">
            <w:pPr>
              <w:tabs>
                <w:tab w:val="left" w:pos="1540"/>
              </w:tabs>
              <w:jc w:val="center"/>
              <w:rPr>
                <w:rFonts w:asciiTheme="minorHAnsi" w:hAnsiTheme="minorHAnsi" w:cs="Arial"/>
                <w:sz w:val="24"/>
                <w:szCs w:val="24"/>
              </w:rPr>
            </w:pPr>
            <w:r w:rsidRPr="00832C5E">
              <w:rPr>
                <w:rFonts w:asciiTheme="minorHAnsi" w:hAnsiTheme="minorHAnsi" w:cs="Arial"/>
                <w:sz w:val="24"/>
                <w:szCs w:val="24"/>
              </w:rPr>
              <w:t>p. 6</w:t>
            </w:r>
          </w:p>
        </w:tc>
      </w:tr>
      <w:tr w:rsidR="005573A0" w:rsidRPr="00451DDD" w14:paraId="287307AD" w14:textId="77777777" w:rsidTr="00832C5E">
        <w:trPr>
          <w:cantSplit/>
          <w:jc w:val="center"/>
        </w:trPr>
        <w:tc>
          <w:tcPr>
            <w:tcW w:w="2439" w:type="dxa"/>
            <w:shd w:val="clear" w:color="auto" w:fill="F2F2F2" w:themeFill="background1" w:themeFillShade="F2"/>
          </w:tcPr>
          <w:p w14:paraId="71821B17" w14:textId="77777777" w:rsidR="005573A0" w:rsidRPr="00832C5E" w:rsidRDefault="005573A0" w:rsidP="000321EF">
            <w:pPr>
              <w:rPr>
                <w:rFonts w:asciiTheme="minorHAnsi" w:hAnsiTheme="minorHAnsi" w:cs="Arial"/>
                <w:b/>
                <w:bCs/>
                <w:sz w:val="24"/>
                <w:szCs w:val="24"/>
              </w:rPr>
            </w:pPr>
            <w:r w:rsidRPr="00832C5E">
              <w:rPr>
                <w:rFonts w:asciiTheme="minorHAnsi" w:hAnsiTheme="minorHAnsi" w:cs="Arial"/>
                <w:b/>
                <w:bCs/>
                <w:sz w:val="24"/>
                <w:szCs w:val="24"/>
              </w:rPr>
              <w:t>Article 5.</w:t>
            </w:r>
          </w:p>
          <w:p w14:paraId="275634D2" w14:textId="77777777" w:rsidR="005573A0" w:rsidRPr="00832C5E" w:rsidRDefault="005573A0" w:rsidP="000321EF">
            <w:pPr>
              <w:tabs>
                <w:tab w:val="left" w:pos="1540"/>
              </w:tabs>
              <w:rPr>
                <w:rFonts w:asciiTheme="minorHAnsi" w:hAnsiTheme="minorHAnsi" w:cs="Arial"/>
                <w:b/>
                <w:bCs/>
                <w:sz w:val="24"/>
                <w:szCs w:val="24"/>
                <w:highlight w:val="yellow"/>
              </w:rPr>
            </w:pPr>
            <w:r w:rsidRPr="00832C5E">
              <w:rPr>
                <w:rFonts w:asciiTheme="minorHAnsi" w:hAnsiTheme="minorHAnsi" w:cs="Arial"/>
                <w:b/>
                <w:bCs/>
                <w:sz w:val="24"/>
                <w:szCs w:val="24"/>
              </w:rPr>
              <w:t>Contingencies</w:t>
            </w:r>
          </w:p>
        </w:tc>
        <w:tc>
          <w:tcPr>
            <w:tcW w:w="5360" w:type="dxa"/>
            <w:shd w:val="clear" w:color="auto" w:fill="F2F2F2" w:themeFill="background1" w:themeFillShade="F2"/>
          </w:tcPr>
          <w:p w14:paraId="313532AF" w14:textId="77777777" w:rsidR="005573A0" w:rsidRPr="00832C5E" w:rsidRDefault="005573A0" w:rsidP="000321EF">
            <w:pPr>
              <w:rPr>
                <w:rFonts w:asciiTheme="minorHAnsi" w:hAnsiTheme="minorHAnsi" w:cs="Arial"/>
                <w:sz w:val="24"/>
                <w:szCs w:val="24"/>
              </w:rPr>
            </w:pPr>
            <w:r w:rsidRPr="00832C5E">
              <w:rPr>
                <w:rFonts w:asciiTheme="minorHAnsi" w:hAnsiTheme="minorHAnsi" w:cs="Arial"/>
                <w:sz w:val="24"/>
                <w:szCs w:val="24"/>
              </w:rPr>
              <w:t>Outlines due diligence inspection provisions and right of entry.</w:t>
            </w:r>
          </w:p>
          <w:p w14:paraId="60E6279C" w14:textId="77777777" w:rsidR="005573A0" w:rsidRPr="00832C5E" w:rsidRDefault="005573A0" w:rsidP="000321EF">
            <w:pPr>
              <w:rPr>
                <w:rFonts w:asciiTheme="minorHAnsi" w:hAnsiTheme="minorHAnsi" w:cs="Arial"/>
                <w:sz w:val="24"/>
                <w:szCs w:val="24"/>
                <w:highlight w:val="yellow"/>
              </w:rPr>
            </w:pPr>
          </w:p>
          <w:p w14:paraId="788A62CF" w14:textId="77777777" w:rsidR="005573A0" w:rsidRPr="00832C5E" w:rsidRDefault="005573A0" w:rsidP="000321EF">
            <w:pPr>
              <w:rPr>
                <w:rFonts w:asciiTheme="minorHAnsi" w:hAnsiTheme="minorHAnsi" w:cs="Arial"/>
                <w:sz w:val="24"/>
                <w:szCs w:val="24"/>
              </w:rPr>
            </w:pPr>
            <w:r w:rsidRPr="00832C5E">
              <w:rPr>
                <w:rFonts w:asciiTheme="minorHAnsi" w:hAnsiTheme="minorHAnsi" w:cs="Arial"/>
                <w:sz w:val="24"/>
                <w:szCs w:val="24"/>
              </w:rPr>
              <w:t>States that the PSA is subject to approval by the King County Council.</w:t>
            </w:r>
          </w:p>
          <w:p w14:paraId="6FFDA8EA" w14:textId="77777777" w:rsidR="005573A0" w:rsidRPr="00832C5E" w:rsidRDefault="005573A0" w:rsidP="000321EF">
            <w:pPr>
              <w:rPr>
                <w:rFonts w:asciiTheme="minorHAnsi" w:hAnsiTheme="minorHAnsi" w:cs="Arial"/>
                <w:sz w:val="24"/>
                <w:szCs w:val="24"/>
                <w:highlight w:val="yellow"/>
              </w:rPr>
            </w:pPr>
          </w:p>
        </w:tc>
        <w:tc>
          <w:tcPr>
            <w:tcW w:w="1750" w:type="dxa"/>
            <w:shd w:val="clear" w:color="auto" w:fill="F2F2F2" w:themeFill="background1" w:themeFillShade="F2"/>
          </w:tcPr>
          <w:p w14:paraId="714613D0" w14:textId="77777777" w:rsidR="005573A0" w:rsidRPr="00832C5E" w:rsidRDefault="005573A0" w:rsidP="00832C5E">
            <w:pPr>
              <w:tabs>
                <w:tab w:val="left" w:pos="1540"/>
              </w:tabs>
              <w:jc w:val="center"/>
              <w:rPr>
                <w:rFonts w:asciiTheme="minorHAnsi" w:hAnsiTheme="minorHAnsi" w:cs="Arial"/>
                <w:sz w:val="24"/>
                <w:szCs w:val="24"/>
                <w:highlight w:val="yellow"/>
              </w:rPr>
            </w:pPr>
            <w:r w:rsidRPr="00832C5E">
              <w:rPr>
                <w:rFonts w:asciiTheme="minorHAnsi" w:hAnsiTheme="minorHAnsi" w:cs="Arial"/>
                <w:sz w:val="24"/>
                <w:szCs w:val="24"/>
              </w:rPr>
              <w:t>p. 7</w:t>
            </w:r>
          </w:p>
        </w:tc>
      </w:tr>
      <w:tr w:rsidR="005573A0" w:rsidRPr="00451DDD" w14:paraId="2E8A496F" w14:textId="77777777" w:rsidTr="00832C5E">
        <w:trPr>
          <w:cantSplit/>
          <w:jc w:val="center"/>
        </w:trPr>
        <w:tc>
          <w:tcPr>
            <w:tcW w:w="2439" w:type="dxa"/>
            <w:shd w:val="clear" w:color="auto" w:fill="F2F2F2" w:themeFill="background1" w:themeFillShade="F2"/>
          </w:tcPr>
          <w:p w14:paraId="5FFA4E17" w14:textId="77777777" w:rsidR="005573A0" w:rsidRPr="00832C5E" w:rsidRDefault="005573A0" w:rsidP="000321EF">
            <w:pPr>
              <w:rPr>
                <w:rFonts w:asciiTheme="minorHAnsi" w:hAnsiTheme="minorHAnsi" w:cs="Arial"/>
                <w:b/>
                <w:bCs/>
                <w:sz w:val="24"/>
                <w:szCs w:val="24"/>
              </w:rPr>
            </w:pPr>
            <w:r w:rsidRPr="00832C5E">
              <w:rPr>
                <w:rFonts w:asciiTheme="minorHAnsi" w:hAnsiTheme="minorHAnsi" w:cs="Arial"/>
                <w:b/>
                <w:bCs/>
                <w:sz w:val="24"/>
                <w:szCs w:val="24"/>
              </w:rPr>
              <w:t xml:space="preserve">Article 6. </w:t>
            </w:r>
          </w:p>
          <w:p w14:paraId="2092A4D2" w14:textId="77777777" w:rsidR="005573A0" w:rsidRPr="00832C5E" w:rsidRDefault="005573A0" w:rsidP="000321EF">
            <w:pPr>
              <w:tabs>
                <w:tab w:val="left" w:pos="1540"/>
              </w:tabs>
              <w:rPr>
                <w:rFonts w:asciiTheme="minorHAnsi" w:hAnsiTheme="minorHAnsi" w:cs="Arial"/>
                <w:b/>
                <w:bCs/>
                <w:sz w:val="24"/>
                <w:szCs w:val="24"/>
              </w:rPr>
            </w:pPr>
            <w:r w:rsidRPr="00832C5E">
              <w:rPr>
                <w:rFonts w:asciiTheme="minorHAnsi" w:hAnsiTheme="minorHAnsi" w:cs="Arial"/>
                <w:b/>
                <w:bCs/>
                <w:sz w:val="24"/>
                <w:szCs w:val="24"/>
              </w:rPr>
              <w:t>Covenants of Seller Pending Closing</w:t>
            </w:r>
          </w:p>
          <w:p w14:paraId="34C9C54F" w14:textId="77777777" w:rsidR="005573A0" w:rsidRPr="00832C5E" w:rsidRDefault="005573A0" w:rsidP="000321EF">
            <w:pPr>
              <w:tabs>
                <w:tab w:val="left" w:pos="1540"/>
              </w:tabs>
              <w:rPr>
                <w:rFonts w:asciiTheme="minorHAnsi" w:hAnsiTheme="minorHAnsi" w:cs="Arial"/>
                <w:b/>
                <w:bCs/>
                <w:sz w:val="24"/>
                <w:szCs w:val="24"/>
              </w:rPr>
            </w:pPr>
          </w:p>
        </w:tc>
        <w:tc>
          <w:tcPr>
            <w:tcW w:w="5360" w:type="dxa"/>
            <w:shd w:val="clear" w:color="auto" w:fill="F2F2F2" w:themeFill="background1" w:themeFillShade="F2"/>
          </w:tcPr>
          <w:p w14:paraId="3BA34A4E" w14:textId="77777777" w:rsidR="005573A0" w:rsidRPr="00832C5E" w:rsidRDefault="005573A0" w:rsidP="000321EF">
            <w:pPr>
              <w:tabs>
                <w:tab w:val="left" w:pos="1540"/>
              </w:tabs>
              <w:rPr>
                <w:rFonts w:asciiTheme="minorHAnsi" w:hAnsiTheme="minorHAnsi" w:cs="Arial"/>
                <w:sz w:val="24"/>
                <w:szCs w:val="24"/>
              </w:rPr>
            </w:pPr>
            <w:r w:rsidRPr="00832C5E">
              <w:rPr>
                <w:rFonts w:asciiTheme="minorHAnsi" w:hAnsiTheme="minorHAnsi" w:cs="Arial"/>
                <w:sz w:val="24"/>
                <w:szCs w:val="24"/>
              </w:rPr>
              <w:t>Outlines terms for the seller in assuring the representations and warranties, and all covenants.</w:t>
            </w:r>
          </w:p>
        </w:tc>
        <w:tc>
          <w:tcPr>
            <w:tcW w:w="1750" w:type="dxa"/>
            <w:shd w:val="clear" w:color="auto" w:fill="F2F2F2" w:themeFill="background1" w:themeFillShade="F2"/>
          </w:tcPr>
          <w:p w14:paraId="02666DAD" w14:textId="77777777" w:rsidR="005573A0" w:rsidRPr="00832C5E" w:rsidRDefault="005573A0" w:rsidP="00832C5E">
            <w:pPr>
              <w:tabs>
                <w:tab w:val="left" w:pos="1540"/>
              </w:tabs>
              <w:jc w:val="center"/>
              <w:rPr>
                <w:rFonts w:asciiTheme="minorHAnsi" w:hAnsiTheme="minorHAnsi" w:cs="Arial"/>
                <w:sz w:val="24"/>
                <w:szCs w:val="24"/>
              </w:rPr>
            </w:pPr>
            <w:r w:rsidRPr="00832C5E">
              <w:rPr>
                <w:rFonts w:asciiTheme="minorHAnsi" w:hAnsiTheme="minorHAnsi" w:cs="Arial"/>
                <w:sz w:val="24"/>
                <w:szCs w:val="24"/>
              </w:rPr>
              <w:t>p. 9</w:t>
            </w:r>
          </w:p>
        </w:tc>
      </w:tr>
      <w:tr w:rsidR="005573A0" w:rsidRPr="00451DDD" w14:paraId="1FE18CA0" w14:textId="77777777" w:rsidTr="00832C5E">
        <w:trPr>
          <w:cantSplit/>
          <w:jc w:val="center"/>
        </w:trPr>
        <w:tc>
          <w:tcPr>
            <w:tcW w:w="2439" w:type="dxa"/>
            <w:shd w:val="clear" w:color="auto" w:fill="F2F2F2" w:themeFill="background1" w:themeFillShade="F2"/>
          </w:tcPr>
          <w:p w14:paraId="0A2FFB06" w14:textId="77777777" w:rsidR="005573A0" w:rsidRPr="00832C5E" w:rsidRDefault="005573A0" w:rsidP="000321EF">
            <w:pPr>
              <w:rPr>
                <w:rFonts w:asciiTheme="minorHAnsi" w:hAnsiTheme="minorHAnsi" w:cs="Arial"/>
                <w:b/>
                <w:bCs/>
                <w:sz w:val="24"/>
                <w:szCs w:val="24"/>
              </w:rPr>
            </w:pPr>
            <w:r w:rsidRPr="00832C5E">
              <w:rPr>
                <w:rFonts w:asciiTheme="minorHAnsi" w:hAnsiTheme="minorHAnsi" w:cs="Arial"/>
                <w:b/>
                <w:bCs/>
                <w:sz w:val="24"/>
                <w:szCs w:val="24"/>
              </w:rPr>
              <w:t>Article 7.</w:t>
            </w:r>
          </w:p>
          <w:p w14:paraId="6DBDDB89" w14:textId="77777777" w:rsidR="005573A0" w:rsidRPr="00832C5E" w:rsidRDefault="005573A0" w:rsidP="000321EF">
            <w:pPr>
              <w:tabs>
                <w:tab w:val="left" w:pos="1540"/>
              </w:tabs>
              <w:rPr>
                <w:rFonts w:asciiTheme="minorHAnsi" w:hAnsiTheme="minorHAnsi" w:cs="Arial"/>
                <w:b/>
                <w:bCs/>
                <w:sz w:val="24"/>
                <w:szCs w:val="24"/>
              </w:rPr>
            </w:pPr>
            <w:r w:rsidRPr="00832C5E">
              <w:rPr>
                <w:rFonts w:asciiTheme="minorHAnsi" w:hAnsiTheme="minorHAnsi" w:cs="Arial"/>
                <w:b/>
                <w:bCs/>
                <w:sz w:val="24"/>
                <w:szCs w:val="24"/>
              </w:rPr>
              <w:t>Covenants of Buyer Pending Closing</w:t>
            </w:r>
          </w:p>
          <w:p w14:paraId="279C061D" w14:textId="77777777" w:rsidR="005573A0" w:rsidRPr="00832C5E" w:rsidRDefault="005573A0" w:rsidP="000321EF">
            <w:pPr>
              <w:tabs>
                <w:tab w:val="left" w:pos="1540"/>
              </w:tabs>
              <w:rPr>
                <w:rFonts w:asciiTheme="minorHAnsi" w:hAnsiTheme="minorHAnsi" w:cs="Arial"/>
                <w:b/>
                <w:bCs/>
                <w:sz w:val="24"/>
                <w:szCs w:val="24"/>
              </w:rPr>
            </w:pPr>
          </w:p>
        </w:tc>
        <w:tc>
          <w:tcPr>
            <w:tcW w:w="5360" w:type="dxa"/>
            <w:shd w:val="clear" w:color="auto" w:fill="F2F2F2" w:themeFill="background1" w:themeFillShade="F2"/>
          </w:tcPr>
          <w:p w14:paraId="27A35D61" w14:textId="77777777" w:rsidR="005573A0" w:rsidRPr="00832C5E" w:rsidRDefault="005573A0" w:rsidP="000321EF">
            <w:pPr>
              <w:tabs>
                <w:tab w:val="left" w:pos="1540"/>
              </w:tabs>
              <w:rPr>
                <w:rFonts w:asciiTheme="minorHAnsi" w:hAnsiTheme="minorHAnsi" w:cs="Arial"/>
                <w:sz w:val="24"/>
                <w:szCs w:val="24"/>
                <w:highlight w:val="yellow"/>
              </w:rPr>
            </w:pPr>
            <w:r w:rsidRPr="00832C5E">
              <w:rPr>
                <w:rFonts w:asciiTheme="minorHAnsi" w:hAnsiTheme="minorHAnsi" w:cs="Arial"/>
                <w:sz w:val="24"/>
                <w:szCs w:val="24"/>
              </w:rPr>
              <w:t>Outlines terms for the buyer in assuring the representations and warranties, and all covenants.</w:t>
            </w:r>
          </w:p>
        </w:tc>
        <w:tc>
          <w:tcPr>
            <w:tcW w:w="1750" w:type="dxa"/>
            <w:shd w:val="clear" w:color="auto" w:fill="F2F2F2" w:themeFill="background1" w:themeFillShade="F2"/>
          </w:tcPr>
          <w:p w14:paraId="414219B8" w14:textId="77777777" w:rsidR="005573A0" w:rsidRPr="00832C5E" w:rsidRDefault="005573A0" w:rsidP="00832C5E">
            <w:pPr>
              <w:tabs>
                <w:tab w:val="left" w:pos="1540"/>
              </w:tabs>
              <w:jc w:val="center"/>
              <w:rPr>
                <w:rFonts w:asciiTheme="minorHAnsi" w:hAnsiTheme="minorHAnsi" w:cs="Arial"/>
                <w:sz w:val="24"/>
                <w:szCs w:val="24"/>
              </w:rPr>
            </w:pPr>
            <w:r w:rsidRPr="00832C5E">
              <w:rPr>
                <w:rFonts w:asciiTheme="minorHAnsi" w:hAnsiTheme="minorHAnsi" w:cs="Arial"/>
                <w:sz w:val="24"/>
                <w:szCs w:val="24"/>
              </w:rPr>
              <w:t>p. 9</w:t>
            </w:r>
          </w:p>
        </w:tc>
      </w:tr>
      <w:tr w:rsidR="005573A0" w:rsidRPr="00451DDD" w14:paraId="64844CAA" w14:textId="77777777" w:rsidTr="00832C5E">
        <w:trPr>
          <w:cantSplit/>
          <w:jc w:val="center"/>
        </w:trPr>
        <w:tc>
          <w:tcPr>
            <w:tcW w:w="2439" w:type="dxa"/>
            <w:shd w:val="clear" w:color="auto" w:fill="F2F2F2" w:themeFill="background1" w:themeFillShade="F2"/>
          </w:tcPr>
          <w:p w14:paraId="2ADC955E" w14:textId="77777777" w:rsidR="005573A0" w:rsidRPr="00832C5E" w:rsidRDefault="005573A0" w:rsidP="000321EF">
            <w:pPr>
              <w:rPr>
                <w:rFonts w:asciiTheme="minorHAnsi" w:hAnsiTheme="minorHAnsi" w:cs="Arial"/>
                <w:b/>
                <w:bCs/>
                <w:sz w:val="24"/>
                <w:szCs w:val="24"/>
              </w:rPr>
            </w:pPr>
            <w:r w:rsidRPr="00832C5E">
              <w:rPr>
                <w:rFonts w:asciiTheme="minorHAnsi" w:hAnsiTheme="minorHAnsi" w:cs="Arial"/>
                <w:b/>
                <w:bCs/>
                <w:sz w:val="24"/>
                <w:szCs w:val="24"/>
              </w:rPr>
              <w:t>Article 8.</w:t>
            </w:r>
          </w:p>
          <w:p w14:paraId="6B5AF650" w14:textId="77777777" w:rsidR="005573A0" w:rsidRPr="00832C5E" w:rsidRDefault="005573A0" w:rsidP="000321EF">
            <w:pPr>
              <w:tabs>
                <w:tab w:val="left" w:pos="1540"/>
              </w:tabs>
              <w:rPr>
                <w:rFonts w:asciiTheme="minorHAnsi" w:hAnsiTheme="minorHAnsi" w:cs="Arial"/>
                <w:b/>
                <w:bCs/>
                <w:sz w:val="24"/>
                <w:szCs w:val="24"/>
              </w:rPr>
            </w:pPr>
            <w:r w:rsidRPr="00832C5E">
              <w:rPr>
                <w:rFonts w:asciiTheme="minorHAnsi" w:hAnsiTheme="minorHAnsi" w:cs="Arial"/>
                <w:b/>
                <w:bCs/>
                <w:sz w:val="24"/>
                <w:szCs w:val="24"/>
              </w:rPr>
              <w:t>Conditions Precedent to Buyer's Obligations</w:t>
            </w:r>
          </w:p>
          <w:p w14:paraId="1BA839A0" w14:textId="77777777" w:rsidR="005573A0" w:rsidRPr="00832C5E" w:rsidRDefault="005573A0" w:rsidP="000321EF">
            <w:pPr>
              <w:tabs>
                <w:tab w:val="left" w:pos="1540"/>
              </w:tabs>
              <w:rPr>
                <w:rFonts w:asciiTheme="minorHAnsi" w:hAnsiTheme="minorHAnsi" w:cs="Arial"/>
                <w:b/>
                <w:bCs/>
                <w:sz w:val="24"/>
                <w:szCs w:val="24"/>
              </w:rPr>
            </w:pPr>
          </w:p>
        </w:tc>
        <w:tc>
          <w:tcPr>
            <w:tcW w:w="5360" w:type="dxa"/>
            <w:shd w:val="clear" w:color="auto" w:fill="F2F2F2" w:themeFill="background1" w:themeFillShade="F2"/>
          </w:tcPr>
          <w:p w14:paraId="1FB76B98" w14:textId="77777777" w:rsidR="005573A0" w:rsidRPr="00832C5E" w:rsidRDefault="005573A0" w:rsidP="000321EF">
            <w:pPr>
              <w:tabs>
                <w:tab w:val="left" w:pos="1540"/>
              </w:tabs>
              <w:rPr>
                <w:rFonts w:asciiTheme="minorHAnsi" w:hAnsiTheme="minorHAnsi" w:cs="Arial"/>
                <w:sz w:val="24"/>
                <w:szCs w:val="24"/>
                <w:highlight w:val="yellow"/>
              </w:rPr>
            </w:pPr>
            <w:r w:rsidRPr="00832C5E">
              <w:rPr>
                <w:rFonts w:asciiTheme="minorHAnsi" w:hAnsiTheme="minorHAnsi" w:cs="Arial"/>
                <w:sz w:val="24"/>
                <w:szCs w:val="24"/>
              </w:rPr>
              <w:t>Outlines the obligations of buyers to close on the closing date.</w:t>
            </w:r>
          </w:p>
        </w:tc>
        <w:tc>
          <w:tcPr>
            <w:tcW w:w="1750" w:type="dxa"/>
            <w:shd w:val="clear" w:color="auto" w:fill="F2F2F2" w:themeFill="background1" w:themeFillShade="F2"/>
          </w:tcPr>
          <w:p w14:paraId="5AA77019" w14:textId="77777777" w:rsidR="005573A0" w:rsidRPr="00832C5E" w:rsidRDefault="005573A0" w:rsidP="00832C5E">
            <w:pPr>
              <w:tabs>
                <w:tab w:val="left" w:pos="1540"/>
              </w:tabs>
              <w:jc w:val="center"/>
              <w:rPr>
                <w:rFonts w:asciiTheme="minorHAnsi" w:hAnsiTheme="minorHAnsi" w:cs="Arial"/>
                <w:sz w:val="24"/>
                <w:szCs w:val="24"/>
              </w:rPr>
            </w:pPr>
            <w:r w:rsidRPr="00832C5E">
              <w:rPr>
                <w:rFonts w:asciiTheme="minorHAnsi" w:hAnsiTheme="minorHAnsi" w:cs="Arial"/>
                <w:sz w:val="24"/>
                <w:szCs w:val="24"/>
              </w:rPr>
              <w:t>p. 9</w:t>
            </w:r>
          </w:p>
        </w:tc>
      </w:tr>
      <w:tr w:rsidR="005573A0" w:rsidRPr="00451DDD" w14:paraId="513722AB" w14:textId="77777777" w:rsidTr="00832C5E">
        <w:trPr>
          <w:cantSplit/>
          <w:jc w:val="center"/>
        </w:trPr>
        <w:tc>
          <w:tcPr>
            <w:tcW w:w="2439" w:type="dxa"/>
            <w:shd w:val="clear" w:color="auto" w:fill="F2F2F2" w:themeFill="background1" w:themeFillShade="F2"/>
          </w:tcPr>
          <w:p w14:paraId="427E10F1" w14:textId="77777777" w:rsidR="005573A0" w:rsidRPr="00832C5E" w:rsidRDefault="005573A0" w:rsidP="000321EF">
            <w:pPr>
              <w:rPr>
                <w:rFonts w:asciiTheme="minorHAnsi" w:hAnsiTheme="minorHAnsi" w:cs="Arial"/>
                <w:b/>
                <w:bCs/>
                <w:sz w:val="24"/>
                <w:szCs w:val="24"/>
              </w:rPr>
            </w:pPr>
            <w:r w:rsidRPr="00832C5E">
              <w:rPr>
                <w:rFonts w:asciiTheme="minorHAnsi" w:hAnsiTheme="minorHAnsi" w:cs="Arial"/>
                <w:b/>
                <w:bCs/>
                <w:sz w:val="24"/>
                <w:szCs w:val="24"/>
              </w:rPr>
              <w:t xml:space="preserve">Article 9. </w:t>
            </w:r>
          </w:p>
          <w:p w14:paraId="795CB8B3" w14:textId="77777777" w:rsidR="005573A0" w:rsidRPr="00832C5E" w:rsidRDefault="005573A0" w:rsidP="000321EF">
            <w:pPr>
              <w:rPr>
                <w:rFonts w:asciiTheme="minorHAnsi" w:hAnsiTheme="minorHAnsi" w:cs="Arial"/>
                <w:b/>
                <w:bCs/>
                <w:sz w:val="24"/>
                <w:szCs w:val="24"/>
              </w:rPr>
            </w:pPr>
            <w:r w:rsidRPr="00832C5E">
              <w:rPr>
                <w:rFonts w:asciiTheme="minorHAnsi" w:hAnsiTheme="minorHAnsi" w:cs="Arial"/>
                <w:b/>
                <w:bCs/>
                <w:sz w:val="24"/>
                <w:szCs w:val="24"/>
              </w:rPr>
              <w:t>Conditions Precedent to Seller's Obligations</w:t>
            </w:r>
          </w:p>
          <w:p w14:paraId="7526B258" w14:textId="77777777" w:rsidR="005573A0" w:rsidRPr="00832C5E" w:rsidRDefault="005573A0" w:rsidP="000321EF">
            <w:pPr>
              <w:tabs>
                <w:tab w:val="left" w:pos="1540"/>
              </w:tabs>
              <w:rPr>
                <w:rFonts w:asciiTheme="minorHAnsi" w:hAnsiTheme="minorHAnsi" w:cs="Arial"/>
                <w:b/>
                <w:bCs/>
                <w:sz w:val="24"/>
                <w:szCs w:val="24"/>
              </w:rPr>
            </w:pPr>
          </w:p>
        </w:tc>
        <w:tc>
          <w:tcPr>
            <w:tcW w:w="5360" w:type="dxa"/>
            <w:shd w:val="clear" w:color="auto" w:fill="F2F2F2" w:themeFill="background1" w:themeFillShade="F2"/>
          </w:tcPr>
          <w:p w14:paraId="6894DBF8" w14:textId="77777777" w:rsidR="005573A0" w:rsidRPr="00832C5E" w:rsidRDefault="005573A0" w:rsidP="000321EF">
            <w:pPr>
              <w:tabs>
                <w:tab w:val="left" w:pos="1540"/>
              </w:tabs>
              <w:rPr>
                <w:rFonts w:asciiTheme="minorHAnsi" w:hAnsiTheme="minorHAnsi" w:cs="Arial"/>
                <w:sz w:val="24"/>
                <w:szCs w:val="24"/>
              </w:rPr>
            </w:pPr>
            <w:r w:rsidRPr="00832C5E">
              <w:rPr>
                <w:rFonts w:asciiTheme="minorHAnsi" w:hAnsiTheme="minorHAnsi" w:cs="Arial"/>
                <w:sz w:val="24"/>
                <w:szCs w:val="24"/>
              </w:rPr>
              <w:t>Outlines the obligations of the seller to close on the closing date.</w:t>
            </w:r>
          </w:p>
        </w:tc>
        <w:tc>
          <w:tcPr>
            <w:tcW w:w="1750" w:type="dxa"/>
            <w:shd w:val="clear" w:color="auto" w:fill="F2F2F2" w:themeFill="background1" w:themeFillShade="F2"/>
          </w:tcPr>
          <w:p w14:paraId="31C798A1" w14:textId="77777777" w:rsidR="005573A0" w:rsidRPr="00832C5E" w:rsidRDefault="005573A0" w:rsidP="00832C5E">
            <w:pPr>
              <w:tabs>
                <w:tab w:val="left" w:pos="1540"/>
              </w:tabs>
              <w:jc w:val="center"/>
              <w:rPr>
                <w:rFonts w:asciiTheme="minorHAnsi" w:hAnsiTheme="minorHAnsi" w:cs="Arial"/>
                <w:sz w:val="24"/>
                <w:szCs w:val="24"/>
              </w:rPr>
            </w:pPr>
            <w:r w:rsidRPr="00832C5E">
              <w:rPr>
                <w:rFonts w:asciiTheme="minorHAnsi" w:hAnsiTheme="minorHAnsi" w:cs="Arial"/>
                <w:sz w:val="24"/>
                <w:szCs w:val="24"/>
              </w:rPr>
              <w:t>p. 10</w:t>
            </w:r>
          </w:p>
        </w:tc>
      </w:tr>
      <w:tr w:rsidR="005573A0" w:rsidRPr="00451DDD" w14:paraId="62330D5E" w14:textId="77777777" w:rsidTr="00832C5E">
        <w:trPr>
          <w:cantSplit/>
          <w:jc w:val="center"/>
        </w:trPr>
        <w:tc>
          <w:tcPr>
            <w:tcW w:w="2439" w:type="dxa"/>
            <w:shd w:val="clear" w:color="auto" w:fill="F2F2F2" w:themeFill="background1" w:themeFillShade="F2"/>
          </w:tcPr>
          <w:p w14:paraId="4B39CD37" w14:textId="77777777" w:rsidR="005573A0" w:rsidRPr="00832C5E" w:rsidRDefault="005573A0" w:rsidP="000321EF">
            <w:pPr>
              <w:tabs>
                <w:tab w:val="left" w:pos="1540"/>
              </w:tabs>
              <w:rPr>
                <w:rFonts w:asciiTheme="minorHAnsi" w:hAnsiTheme="minorHAnsi" w:cs="Arial"/>
                <w:b/>
                <w:bCs/>
                <w:sz w:val="24"/>
                <w:szCs w:val="24"/>
              </w:rPr>
            </w:pPr>
            <w:r w:rsidRPr="00832C5E">
              <w:rPr>
                <w:rFonts w:asciiTheme="minorHAnsi" w:hAnsiTheme="minorHAnsi" w:cs="Arial"/>
                <w:b/>
                <w:bCs/>
                <w:sz w:val="24"/>
                <w:szCs w:val="24"/>
              </w:rPr>
              <w:lastRenderedPageBreak/>
              <w:t xml:space="preserve">Article 10. </w:t>
            </w:r>
          </w:p>
          <w:p w14:paraId="0382A1AF" w14:textId="77777777" w:rsidR="005573A0" w:rsidRPr="00832C5E" w:rsidRDefault="005573A0" w:rsidP="000321EF">
            <w:pPr>
              <w:tabs>
                <w:tab w:val="left" w:pos="1540"/>
              </w:tabs>
              <w:rPr>
                <w:rFonts w:asciiTheme="minorHAnsi" w:hAnsiTheme="minorHAnsi" w:cs="Arial"/>
                <w:b/>
                <w:bCs/>
                <w:sz w:val="24"/>
                <w:szCs w:val="24"/>
              </w:rPr>
            </w:pPr>
            <w:r w:rsidRPr="00832C5E">
              <w:rPr>
                <w:rFonts w:asciiTheme="minorHAnsi" w:hAnsiTheme="minorHAnsi" w:cs="Arial"/>
                <w:b/>
                <w:bCs/>
                <w:sz w:val="24"/>
                <w:szCs w:val="24"/>
              </w:rPr>
              <w:t>Closing</w:t>
            </w:r>
          </w:p>
        </w:tc>
        <w:tc>
          <w:tcPr>
            <w:tcW w:w="5360" w:type="dxa"/>
            <w:shd w:val="clear" w:color="auto" w:fill="F2F2F2" w:themeFill="background1" w:themeFillShade="F2"/>
          </w:tcPr>
          <w:p w14:paraId="45815CDD" w14:textId="77777777" w:rsidR="005573A0" w:rsidRPr="00832C5E" w:rsidRDefault="005573A0" w:rsidP="000321EF">
            <w:pPr>
              <w:rPr>
                <w:rFonts w:asciiTheme="minorHAnsi" w:hAnsiTheme="minorHAnsi" w:cs="Arial"/>
                <w:sz w:val="24"/>
                <w:szCs w:val="24"/>
              </w:rPr>
            </w:pPr>
            <w:r w:rsidRPr="00832C5E">
              <w:rPr>
                <w:rFonts w:asciiTheme="minorHAnsi" w:hAnsiTheme="minorHAnsi" w:cs="Arial"/>
                <w:sz w:val="24"/>
                <w:szCs w:val="24"/>
              </w:rPr>
              <w:t>The closing shall occur within 45 days of removal of all contingencies in Article 5.</w:t>
            </w:r>
          </w:p>
          <w:p w14:paraId="0ED45D29" w14:textId="77777777" w:rsidR="005573A0" w:rsidRPr="00832C5E" w:rsidRDefault="005573A0" w:rsidP="000321EF">
            <w:pPr>
              <w:rPr>
                <w:rFonts w:asciiTheme="minorHAnsi" w:hAnsiTheme="minorHAnsi" w:cs="Arial"/>
                <w:sz w:val="24"/>
                <w:szCs w:val="24"/>
              </w:rPr>
            </w:pPr>
          </w:p>
          <w:p w14:paraId="04069D54" w14:textId="77777777" w:rsidR="005573A0" w:rsidRPr="00832C5E" w:rsidRDefault="005573A0" w:rsidP="000321EF">
            <w:pPr>
              <w:tabs>
                <w:tab w:val="left" w:pos="1540"/>
              </w:tabs>
              <w:rPr>
                <w:rFonts w:asciiTheme="minorHAnsi" w:hAnsiTheme="minorHAnsi" w:cs="Arial"/>
                <w:sz w:val="24"/>
                <w:szCs w:val="24"/>
              </w:rPr>
            </w:pPr>
            <w:r w:rsidRPr="00832C5E">
              <w:rPr>
                <w:rFonts w:asciiTheme="minorHAnsi" w:hAnsiTheme="minorHAnsi" w:cs="Arial"/>
                <w:sz w:val="24"/>
                <w:szCs w:val="24"/>
              </w:rPr>
              <w:t>Lays out all documents that shall be delivered at closing.</w:t>
            </w:r>
          </w:p>
        </w:tc>
        <w:tc>
          <w:tcPr>
            <w:tcW w:w="1750" w:type="dxa"/>
            <w:shd w:val="clear" w:color="auto" w:fill="F2F2F2" w:themeFill="background1" w:themeFillShade="F2"/>
          </w:tcPr>
          <w:p w14:paraId="0CCE522C" w14:textId="77777777" w:rsidR="005573A0" w:rsidRPr="00832C5E" w:rsidRDefault="005573A0" w:rsidP="00832C5E">
            <w:pPr>
              <w:tabs>
                <w:tab w:val="left" w:pos="1540"/>
              </w:tabs>
              <w:jc w:val="center"/>
              <w:rPr>
                <w:rFonts w:asciiTheme="minorHAnsi" w:hAnsiTheme="minorHAnsi" w:cs="Arial"/>
                <w:sz w:val="24"/>
                <w:szCs w:val="24"/>
                <w:highlight w:val="yellow"/>
              </w:rPr>
            </w:pPr>
            <w:r w:rsidRPr="00832C5E">
              <w:rPr>
                <w:rFonts w:asciiTheme="minorHAnsi" w:hAnsiTheme="minorHAnsi" w:cs="Arial"/>
                <w:sz w:val="24"/>
                <w:szCs w:val="24"/>
              </w:rPr>
              <w:t>p. 10</w:t>
            </w:r>
          </w:p>
        </w:tc>
      </w:tr>
      <w:tr w:rsidR="005573A0" w:rsidRPr="00451DDD" w14:paraId="466831AC" w14:textId="77777777" w:rsidTr="00832C5E">
        <w:trPr>
          <w:cantSplit/>
          <w:jc w:val="center"/>
        </w:trPr>
        <w:tc>
          <w:tcPr>
            <w:tcW w:w="2439" w:type="dxa"/>
            <w:shd w:val="clear" w:color="auto" w:fill="F2F2F2" w:themeFill="background1" w:themeFillShade="F2"/>
          </w:tcPr>
          <w:p w14:paraId="5B94AF81" w14:textId="77777777" w:rsidR="005573A0" w:rsidRPr="00832C5E" w:rsidRDefault="005573A0" w:rsidP="000321EF">
            <w:pPr>
              <w:rPr>
                <w:rFonts w:asciiTheme="minorHAnsi" w:hAnsiTheme="minorHAnsi" w:cs="Arial"/>
                <w:b/>
                <w:bCs/>
                <w:sz w:val="24"/>
                <w:szCs w:val="24"/>
              </w:rPr>
            </w:pPr>
            <w:r w:rsidRPr="00832C5E">
              <w:rPr>
                <w:rFonts w:asciiTheme="minorHAnsi" w:hAnsiTheme="minorHAnsi" w:cs="Arial"/>
                <w:b/>
                <w:bCs/>
                <w:sz w:val="24"/>
                <w:szCs w:val="24"/>
              </w:rPr>
              <w:t>Article 11.</w:t>
            </w:r>
          </w:p>
          <w:p w14:paraId="721DD854" w14:textId="77777777" w:rsidR="005573A0" w:rsidRPr="00832C5E" w:rsidRDefault="005573A0" w:rsidP="000321EF">
            <w:pPr>
              <w:tabs>
                <w:tab w:val="left" w:pos="1540"/>
              </w:tabs>
              <w:rPr>
                <w:rFonts w:asciiTheme="minorHAnsi" w:hAnsiTheme="minorHAnsi" w:cs="Arial"/>
                <w:b/>
                <w:bCs/>
                <w:sz w:val="24"/>
                <w:szCs w:val="24"/>
                <w:highlight w:val="yellow"/>
              </w:rPr>
            </w:pPr>
            <w:r w:rsidRPr="00832C5E">
              <w:rPr>
                <w:rFonts w:asciiTheme="minorHAnsi" w:hAnsiTheme="minorHAnsi" w:cs="Arial"/>
                <w:b/>
                <w:bCs/>
                <w:sz w:val="24"/>
                <w:szCs w:val="24"/>
              </w:rPr>
              <w:t>Miscellaneous Provisions</w:t>
            </w:r>
          </w:p>
        </w:tc>
        <w:tc>
          <w:tcPr>
            <w:tcW w:w="5360" w:type="dxa"/>
            <w:shd w:val="clear" w:color="auto" w:fill="F2F2F2" w:themeFill="background1" w:themeFillShade="F2"/>
          </w:tcPr>
          <w:p w14:paraId="7E010101" w14:textId="77777777" w:rsidR="005573A0" w:rsidRPr="00832C5E" w:rsidRDefault="005573A0" w:rsidP="000321EF">
            <w:pPr>
              <w:rPr>
                <w:rFonts w:asciiTheme="minorHAnsi" w:hAnsiTheme="minorHAnsi" w:cs="Arial"/>
                <w:sz w:val="24"/>
                <w:szCs w:val="24"/>
              </w:rPr>
            </w:pPr>
            <w:r w:rsidRPr="00832C5E">
              <w:rPr>
                <w:rFonts w:asciiTheme="minorHAnsi" w:hAnsiTheme="minorHAnsi" w:cs="Arial"/>
                <w:sz w:val="24"/>
                <w:szCs w:val="24"/>
              </w:rPr>
              <w:t>Outlines terms related to nonmerger, default, and attorneys' fees, computation of time, notice delivery, severability, and other miscellaneous provisions.</w:t>
            </w:r>
          </w:p>
          <w:p w14:paraId="07907230" w14:textId="77777777" w:rsidR="005573A0" w:rsidRPr="00832C5E" w:rsidRDefault="005573A0" w:rsidP="000321EF">
            <w:pPr>
              <w:rPr>
                <w:rFonts w:asciiTheme="minorHAnsi" w:hAnsiTheme="minorHAnsi" w:cs="Arial"/>
                <w:sz w:val="24"/>
                <w:szCs w:val="24"/>
              </w:rPr>
            </w:pPr>
          </w:p>
          <w:p w14:paraId="4B79416D" w14:textId="77777777" w:rsidR="005573A0" w:rsidRPr="00832C5E" w:rsidRDefault="005573A0" w:rsidP="000321EF">
            <w:pPr>
              <w:tabs>
                <w:tab w:val="left" w:pos="1540"/>
              </w:tabs>
              <w:rPr>
                <w:rFonts w:asciiTheme="minorHAnsi" w:hAnsiTheme="minorHAnsi" w:cs="Arial"/>
                <w:sz w:val="24"/>
                <w:szCs w:val="24"/>
              </w:rPr>
            </w:pPr>
            <w:r w:rsidRPr="00832C5E">
              <w:rPr>
                <w:rFonts w:asciiTheme="minorHAnsi" w:hAnsiTheme="minorHAnsi" w:cs="Arial"/>
                <w:sz w:val="24"/>
                <w:szCs w:val="24"/>
              </w:rPr>
              <w:t>Lays out the exhibits to the PSA.</w:t>
            </w:r>
          </w:p>
          <w:p w14:paraId="05CFCFF6" w14:textId="77777777" w:rsidR="005573A0" w:rsidRPr="00832C5E" w:rsidRDefault="005573A0" w:rsidP="000321EF">
            <w:pPr>
              <w:tabs>
                <w:tab w:val="left" w:pos="1540"/>
              </w:tabs>
              <w:rPr>
                <w:rFonts w:asciiTheme="minorHAnsi" w:hAnsiTheme="minorHAnsi" w:cs="Arial"/>
                <w:sz w:val="24"/>
                <w:szCs w:val="24"/>
              </w:rPr>
            </w:pPr>
          </w:p>
        </w:tc>
        <w:tc>
          <w:tcPr>
            <w:tcW w:w="1750" w:type="dxa"/>
            <w:shd w:val="clear" w:color="auto" w:fill="F2F2F2" w:themeFill="background1" w:themeFillShade="F2"/>
          </w:tcPr>
          <w:p w14:paraId="1069D049" w14:textId="77777777" w:rsidR="005573A0" w:rsidRPr="00832C5E" w:rsidRDefault="005573A0" w:rsidP="00832C5E">
            <w:pPr>
              <w:tabs>
                <w:tab w:val="left" w:pos="1540"/>
              </w:tabs>
              <w:jc w:val="center"/>
              <w:rPr>
                <w:rFonts w:asciiTheme="minorHAnsi" w:hAnsiTheme="minorHAnsi" w:cs="Arial"/>
                <w:sz w:val="24"/>
                <w:szCs w:val="24"/>
              </w:rPr>
            </w:pPr>
            <w:r w:rsidRPr="00832C5E">
              <w:rPr>
                <w:rFonts w:asciiTheme="minorHAnsi" w:hAnsiTheme="minorHAnsi" w:cs="Arial"/>
                <w:sz w:val="24"/>
                <w:szCs w:val="24"/>
              </w:rPr>
              <w:t>p. 11</w:t>
            </w:r>
          </w:p>
        </w:tc>
      </w:tr>
      <w:tr w:rsidR="005573A0" w:rsidRPr="00451DDD" w14:paraId="63F621D9" w14:textId="77777777" w:rsidTr="00832C5E">
        <w:trPr>
          <w:cantSplit/>
          <w:jc w:val="center"/>
        </w:trPr>
        <w:tc>
          <w:tcPr>
            <w:tcW w:w="2439" w:type="dxa"/>
            <w:shd w:val="clear" w:color="auto" w:fill="F2F2F2" w:themeFill="background1" w:themeFillShade="F2"/>
          </w:tcPr>
          <w:p w14:paraId="26467352" w14:textId="77777777" w:rsidR="005573A0" w:rsidRPr="00832C5E" w:rsidRDefault="005573A0" w:rsidP="000321EF">
            <w:pPr>
              <w:tabs>
                <w:tab w:val="left" w:pos="1540"/>
              </w:tabs>
              <w:rPr>
                <w:rFonts w:asciiTheme="minorHAnsi" w:hAnsiTheme="minorHAnsi" w:cs="Arial"/>
                <w:b/>
                <w:bCs/>
                <w:sz w:val="24"/>
                <w:szCs w:val="24"/>
              </w:rPr>
            </w:pPr>
            <w:r w:rsidRPr="00832C5E">
              <w:rPr>
                <w:rFonts w:asciiTheme="minorHAnsi" w:hAnsiTheme="minorHAnsi" w:cs="Arial"/>
                <w:b/>
                <w:bCs/>
                <w:sz w:val="24"/>
                <w:szCs w:val="24"/>
              </w:rPr>
              <w:t>Signature Pages</w:t>
            </w:r>
          </w:p>
        </w:tc>
        <w:tc>
          <w:tcPr>
            <w:tcW w:w="5360" w:type="dxa"/>
            <w:shd w:val="clear" w:color="auto" w:fill="F2F2F2" w:themeFill="background1" w:themeFillShade="F2"/>
          </w:tcPr>
          <w:p w14:paraId="77C2D07A" w14:textId="77777777" w:rsidR="005573A0" w:rsidRPr="00832C5E" w:rsidRDefault="005573A0" w:rsidP="000321EF">
            <w:pPr>
              <w:tabs>
                <w:tab w:val="left" w:pos="1540"/>
              </w:tabs>
              <w:rPr>
                <w:rFonts w:asciiTheme="minorHAnsi" w:hAnsiTheme="minorHAnsi" w:cs="Arial"/>
                <w:sz w:val="24"/>
                <w:szCs w:val="24"/>
              </w:rPr>
            </w:pPr>
            <w:r w:rsidRPr="00832C5E">
              <w:rPr>
                <w:rFonts w:asciiTheme="minorHAnsi" w:hAnsiTheme="minorHAnsi" w:cs="Arial"/>
                <w:sz w:val="24"/>
                <w:szCs w:val="24"/>
              </w:rPr>
              <w:t>PSA was executed by all parties on or before February 2, 2026.</w:t>
            </w:r>
          </w:p>
          <w:p w14:paraId="07C4C14C" w14:textId="77777777" w:rsidR="005573A0" w:rsidRPr="00832C5E" w:rsidRDefault="005573A0" w:rsidP="000321EF">
            <w:pPr>
              <w:tabs>
                <w:tab w:val="left" w:pos="1540"/>
              </w:tabs>
              <w:rPr>
                <w:rFonts w:asciiTheme="minorHAnsi" w:hAnsiTheme="minorHAnsi" w:cs="Arial"/>
                <w:sz w:val="24"/>
                <w:szCs w:val="24"/>
              </w:rPr>
            </w:pPr>
          </w:p>
        </w:tc>
        <w:tc>
          <w:tcPr>
            <w:tcW w:w="1750" w:type="dxa"/>
            <w:shd w:val="clear" w:color="auto" w:fill="F2F2F2" w:themeFill="background1" w:themeFillShade="F2"/>
          </w:tcPr>
          <w:p w14:paraId="22384685" w14:textId="77777777" w:rsidR="005573A0" w:rsidRPr="00832C5E" w:rsidRDefault="005573A0" w:rsidP="00832C5E">
            <w:pPr>
              <w:tabs>
                <w:tab w:val="left" w:pos="1540"/>
              </w:tabs>
              <w:jc w:val="center"/>
              <w:rPr>
                <w:rFonts w:asciiTheme="minorHAnsi" w:hAnsiTheme="minorHAnsi" w:cs="Arial"/>
                <w:sz w:val="24"/>
                <w:szCs w:val="24"/>
              </w:rPr>
            </w:pPr>
            <w:r w:rsidRPr="00832C5E">
              <w:rPr>
                <w:rFonts w:asciiTheme="minorHAnsi" w:hAnsiTheme="minorHAnsi" w:cs="Arial"/>
                <w:sz w:val="24"/>
                <w:szCs w:val="24"/>
              </w:rPr>
              <w:t>p. 15</w:t>
            </w:r>
          </w:p>
        </w:tc>
      </w:tr>
      <w:tr w:rsidR="005573A0" w:rsidRPr="00451DDD" w14:paraId="678D782B" w14:textId="77777777" w:rsidTr="00832C5E">
        <w:trPr>
          <w:cantSplit/>
          <w:jc w:val="center"/>
        </w:trPr>
        <w:tc>
          <w:tcPr>
            <w:tcW w:w="2439" w:type="dxa"/>
            <w:shd w:val="clear" w:color="auto" w:fill="F2F2F2" w:themeFill="background1" w:themeFillShade="F2"/>
          </w:tcPr>
          <w:p w14:paraId="747D713F" w14:textId="77777777" w:rsidR="005573A0" w:rsidRPr="00832C5E" w:rsidRDefault="005573A0" w:rsidP="000321EF">
            <w:pPr>
              <w:tabs>
                <w:tab w:val="left" w:pos="1540"/>
              </w:tabs>
              <w:rPr>
                <w:rFonts w:asciiTheme="minorHAnsi" w:hAnsiTheme="minorHAnsi" w:cs="Arial"/>
                <w:b/>
                <w:bCs/>
                <w:sz w:val="24"/>
                <w:szCs w:val="24"/>
              </w:rPr>
            </w:pPr>
            <w:r w:rsidRPr="00832C5E">
              <w:rPr>
                <w:rFonts w:asciiTheme="minorHAnsi" w:hAnsiTheme="minorHAnsi" w:cs="Arial"/>
                <w:b/>
                <w:bCs/>
                <w:sz w:val="24"/>
                <w:szCs w:val="24"/>
              </w:rPr>
              <w:t>Exhibit A</w:t>
            </w:r>
          </w:p>
        </w:tc>
        <w:tc>
          <w:tcPr>
            <w:tcW w:w="5360" w:type="dxa"/>
            <w:shd w:val="clear" w:color="auto" w:fill="F2F2F2" w:themeFill="background1" w:themeFillShade="F2"/>
          </w:tcPr>
          <w:p w14:paraId="0B6E81EA" w14:textId="77777777" w:rsidR="005573A0" w:rsidRPr="00832C5E" w:rsidRDefault="005573A0" w:rsidP="000321EF">
            <w:pPr>
              <w:tabs>
                <w:tab w:val="left" w:pos="1540"/>
              </w:tabs>
              <w:rPr>
                <w:rFonts w:asciiTheme="minorHAnsi" w:hAnsiTheme="minorHAnsi" w:cs="Arial"/>
                <w:sz w:val="24"/>
                <w:szCs w:val="24"/>
              </w:rPr>
            </w:pPr>
            <w:r w:rsidRPr="00832C5E">
              <w:rPr>
                <w:rFonts w:asciiTheme="minorHAnsi" w:hAnsiTheme="minorHAnsi" w:cs="Arial"/>
                <w:sz w:val="24"/>
                <w:szCs w:val="24"/>
              </w:rPr>
              <w:t xml:space="preserve">Legal Description </w:t>
            </w:r>
          </w:p>
          <w:p w14:paraId="297AA395" w14:textId="77777777" w:rsidR="005573A0" w:rsidRPr="00832C5E" w:rsidRDefault="005573A0" w:rsidP="000321EF">
            <w:pPr>
              <w:tabs>
                <w:tab w:val="left" w:pos="1540"/>
              </w:tabs>
              <w:rPr>
                <w:rFonts w:asciiTheme="minorHAnsi" w:hAnsiTheme="minorHAnsi" w:cs="Arial"/>
                <w:sz w:val="24"/>
                <w:szCs w:val="24"/>
              </w:rPr>
            </w:pPr>
          </w:p>
        </w:tc>
        <w:tc>
          <w:tcPr>
            <w:tcW w:w="1750" w:type="dxa"/>
            <w:shd w:val="clear" w:color="auto" w:fill="F2F2F2" w:themeFill="background1" w:themeFillShade="F2"/>
          </w:tcPr>
          <w:p w14:paraId="60E26019" w14:textId="77777777" w:rsidR="005573A0" w:rsidRPr="00832C5E" w:rsidRDefault="005573A0" w:rsidP="00832C5E">
            <w:pPr>
              <w:tabs>
                <w:tab w:val="left" w:pos="1540"/>
              </w:tabs>
              <w:jc w:val="center"/>
              <w:rPr>
                <w:rFonts w:asciiTheme="minorHAnsi" w:hAnsiTheme="minorHAnsi" w:cs="Arial"/>
                <w:sz w:val="24"/>
                <w:szCs w:val="24"/>
              </w:rPr>
            </w:pPr>
            <w:r w:rsidRPr="00832C5E">
              <w:rPr>
                <w:rFonts w:asciiTheme="minorHAnsi" w:hAnsiTheme="minorHAnsi" w:cs="Arial"/>
                <w:sz w:val="24"/>
                <w:szCs w:val="24"/>
              </w:rPr>
              <w:t>p. 16</w:t>
            </w:r>
          </w:p>
        </w:tc>
      </w:tr>
      <w:tr w:rsidR="005573A0" w:rsidRPr="00451DDD" w14:paraId="07B291AF" w14:textId="77777777" w:rsidTr="00832C5E">
        <w:trPr>
          <w:cantSplit/>
          <w:jc w:val="center"/>
        </w:trPr>
        <w:tc>
          <w:tcPr>
            <w:tcW w:w="2439" w:type="dxa"/>
            <w:shd w:val="clear" w:color="auto" w:fill="F2F2F2" w:themeFill="background1" w:themeFillShade="F2"/>
          </w:tcPr>
          <w:p w14:paraId="394808B3" w14:textId="77777777" w:rsidR="005573A0" w:rsidRPr="00832C5E" w:rsidRDefault="005573A0" w:rsidP="000321EF">
            <w:pPr>
              <w:tabs>
                <w:tab w:val="left" w:pos="1540"/>
              </w:tabs>
              <w:rPr>
                <w:rFonts w:asciiTheme="minorHAnsi" w:hAnsiTheme="minorHAnsi" w:cs="Arial"/>
                <w:b/>
                <w:bCs/>
                <w:sz w:val="24"/>
                <w:szCs w:val="24"/>
              </w:rPr>
            </w:pPr>
            <w:r w:rsidRPr="00832C5E">
              <w:rPr>
                <w:rFonts w:asciiTheme="minorHAnsi" w:hAnsiTheme="minorHAnsi" w:cs="Arial"/>
                <w:b/>
                <w:bCs/>
                <w:sz w:val="24"/>
                <w:szCs w:val="24"/>
              </w:rPr>
              <w:t>Exhibit B</w:t>
            </w:r>
          </w:p>
        </w:tc>
        <w:tc>
          <w:tcPr>
            <w:tcW w:w="5360" w:type="dxa"/>
            <w:shd w:val="clear" w:color="auto" w:fill="F2F2F2" w:themeFill="background1" w:themeFillShade="F2"/>
          </w:tcPr>
          <w:p w14:paraId="1B829744" w14:textId="77777777" w:rsidR="005573A0" w:rsidRPr="00832C5E" w:rsidRDefault="005573A0" w:rsidP="000321EF">
            <w:pPr>
              <w:tabs>
                <w:tab w:val="left" w:pos="1540"/>
              </w:tabs>
              <w:rPr>
                <w:rFonts w:asciiTheme="minorHAnsi" w:hAnsiTheme="minorHAnsi" w:cs="Arial"/>
                <w:sz w:val="24"/>
                <w:szCs w:val="24"/>
              </w:rPr>
            </w:pPr>
            <w:r w:rsidRPr="00832C5E">
              <w:rPr>
                <w:rFonts w:asciiTheme="minorHAnsi" w:hAnsiTheme="minorHAnsi" w:cs="Arial"/>
                <w:sz w:val="24"/>
                <w:szCs w:val="24"/>
              </w:rPr>
              <w:t>Bargain and Sale Deed</w:t>
            </w:r>
          </w:p>
        </w:tc>
        <w:tc>
          <w:tcPr>
            <w:tcW w:w="1750" w:type="dxa"/>
            <w:shd w:val="clear" w:color="auto" w:fill="F2F2F2" w:themeFill="background1" w:themeFillShade="F2"/>
          </w:tcPr>
          <w:p w14:paraId="7BF1D62E" w14:textId="77777777" w:rsidR="005573A0" w:rsidRPr="00832C5E" w:rsidRDefault="005573A0" w:rsidP="00832C5E">
            <w:pPr>
              <w:tabs>
                <w:tab w:val="left" w:pos="1540"/>
              </w:tabs>
              <w:jc w:val="center"/>
              <w:rPr>
                <w:rFonts w:asciiTheme="minorHAnsi" w:hAnsiTheme="minorHAnsi" w:cs="Arial"/>
                <w:sz w:val="24"/>
                <w:szCs w:val="24"/>
              </w:rPr>
            </w:pPr>
            <w:r w:rsidRPr="00832C5E">
              <w:rPr>
                <w:rFonts w:asciiTheme="minorHAnsi" w:hAnsiTheme="minorHAnsi" w:cs="Arial"/>
                <w:sz w:val="24"/>
                <w:szCs w:val="24"/>
              </w:rPr>
              <w:t>p. 17</w:t>
            </w:r>
          </w:p>
        </w:tc>
      </w:tr>
      <w:tr w:rsidR="005573A0" w:rsidRPr="00451DDD" w14:paraId="4D2D5A86" w14:textId="77777777" w:rsidTr="00832C5E">
        <w:trPr>
          <w:cantSplit/>
          <w:jc w:val="center"/>
        </w:trPr>
        <w:tc>
          <w:tcPr>
            <w:tcW w:w="2439" w:type="dxa"/>
            <w:shd w:val="clear" w:color="auto" w:fill="F2F2F2" w:themeFill="background1" w:themeFillShade="F2"/>
          </w:tcPr>
          <w:p w14:paraId="688B9A7F" w14:textId="77777777" w:rsidR="005573A0" w:rsidRPr="00832C5E" w:rsidRDefault="005573A0" w:rsidP="000321EF">
            <w:pPr>
              <w:tabs>
                <w:tab w:val="left" w:pos="1540"/>
              </w:tabs>
              <w:rPr>
                <w:rFonts w:asciiTheme="minorHAnsi" w:hAnsiTheme="minorHAnsi" w:cs="Arial"/>
                <w:b/>
                <w:bCs/>
                <w:sz w:val="24"/>
                <w:szCs w:val="24"/>
              </w:rPr>
            </w:pPr>
            <w:r w:rsidRPr="00832C5E">
              <w:rPr>
                <w:rFonts w:asciiTheme="minorHAnsi" w:hAnsiTheme="minorHAnsi" w:cs="Arial"/>
                <w:b/>
                <w:bCs/>
                <w:sz w:val="24"/>
                <w:szCs w:val="24"/>
              </w:rPr>
              <w:t>Exhibit C</w:t>
            </w:r>
          </w:p>
        </w:tc>
        <w:tc>
          <w:tcPr>
            <w:tcW w:w="5360" w:type="dxa"/>
            <w:shd w:val="clear" w:color="auto" w:fill="F2F2F2" w:themeFill="background1" w:themeFillShade="F2"/>
          </w:tcPr>
          <w:p w14:paraId="4EB2F59E" w14:textId="77777777" w:rsidR="005573A0" w:rsidRPr="00832C5E" w:rsidRDefault="005573A0" w:rsidP="000321EF">
            <w:pPr>
              <w:tabs>
                <w:tab w:val="left" w:pos="1540"/>
              </w:tabs>
              <w:rPr>
                <w:rFonts w:asciiTheme="minorHAnsi" w:hAnsiTheme="minorHAnsi" w:cs="Arial"/>
                <w:sz w:val="24"/>
                <w:szCs w:val="24"/>
              </w:rPr>
            </w:pPr>
            <w:r w:rsidRPr="00832C5E">
              <w:rPr>
                <w:rFonts w:asciiTheme="minorHAnsi" w:hAnsiTheme="minorHAnsi" w:cs="Arial"/>
                <w:sz w:val="24"/>
                <w:szCs w:val="24"/>
              </w:rPr>
              <w:t>Bill of Sale and Assignment</w:t>
            </w:r>
          </w:p>
          <w:p w14:paraId="4285956D" w14:textId="77777777" w:rsidR="005573A0" w:rsidRPr="00832C5E" w:rsidRDefault="005573A0" w:rsidP="000321EF">
            <w:pPr>
              <w:tabs>
                <w:tab w:val="left" w:pos="1540"/>
              </w:tabs>
              <w:rPr>
                <w:rFonts w:asciiTheme="minorHAnsi" w:hAnsiTheme="minorHAnsi" w:cs="Arial"/>
                <w:sz w:val="24"/>
                <w:szCs w:val="24"/>
              </w:rPr>
            </w:pPr>
          </w:p>
        </w:tc>
        <w:tc>
          <w:tcPr>
            <w:tcW w:w="1750" w:type="dxa"/>
            <w:shd w:val="clear" w:color="auto" w:fill="F2F2F2" w:themeFill="background1" w:themeFillShade="F2"/>
          </w:tcPr>
          <w:p w14:paraId="19C24713" w14:textId="77777777" w:rsidR="005573A0" w:rsidRPr="00832C5E" w:rsidRDefault="005573A0" w:rsidP="00832C5E">
            <w:pPr>
              <w:tabs>
                <w:tab w:val="left" w:pos="1540"/>
              </w:tabs>
              <w:jc w:val="center"/>
              <w:rPr>
                <w:rFonts w:asciiTheme="minorHAnsi" w:hAnsiTheme="minorHAnsi" w:cs="Arial"/>
                <w:sz w:val="24"/>
                <w:szCs w:val="24"/>
              </w:rPr>
            </w:pPr>
            <w:r w:rsidRPr="00832C5E">
              <w:rPr>
                <w:rFonts w:asciiTheme="minorHAnsi" w:hAnsiTheme="minorHAnsi" w:cs="Arial"/>
                <w:sz w:val="24"/>
                <w:szCs w:val="24"/>
              </w:rPr>
              <w:t>p. 21</w:t>
            </w:r>
          </w:p>
        </w:tc>
      </w:tr>
      <w:tr w:rsidR="005573A0" w:rsidRPr="00451DDD" w14:paraId="02360FE1" w14:textId="77777777" w:rsidTr="00832C5E">
        <w:trPr>
          <w:cantSplit/>
          <w:jc w:val="center"/>
        </w:trPr>
        <w:tc>
          <w:tcPr>
            <w:tcW w:w="2439" w:type="dxa"/>
            <w:shd w:val="clear" w:color="auto" w:fill="F2F2F2" w:themeFill="background1" w:themeFillShade="F2"/>
          </w:tcPr>
          <w:p w14:paraId="5FF6B07A" w14:textId="77777777" w:rsidR="005573A0" w:rsidRPr="00832C5E" w:rsidRDefault="005573A0" w:rsidP="000321EF">
            <w:pPr>
              <w:tabs>
                <w:tab w:val="left" w:pos="1540"/>
              </w:tabs>
              <w:rPr>
                <w:rFonts w:asciiTheme="minorHAnsi" w:hAnsiTheme="minorHAnsi" w:cs="Arial"/>
                <w:b/>
                <w:bCs/>
                <w:sz w:val="24"/>
                <w:szCs w:val="24"/>
              </w:rPr>
            </w:pPr>
            <w:r w:rsidRPr="00832C5E">
              <w:rPr>
                <w:rFonts w:asciiTheme="minorHAnsi" w:hAnsiTheme="minorHAnsi" w:cs="Arial"/>
                <w:b/>
                <w:bCs/>
                <w:sz w:val="24"/>
                <w:szCs w:val="24"/>
              </w:rPr>
              <w:t>Exhibit D</w:t>
            </w:r>
          </w:p>
        </w:tc>
        <w:tc>
          <w:tcPr>
            <w:tcW w:w="5360" w:type="dxa"/>
            <w:shd w:val="clear" w:color="auto" w:fill="F2F2F2" w:themeFill="background1" w:themeFillShade="F2"/>
          </w:tcPr>
          <w:p w14:paraId="15DD2472" w14:textId="77777777" w:rsidR="005573A0" w:rsidRPr="00832C5E" w:rsidRDefault="005573A0" w:rsidP="000321EF">
            <w:pPr>
              <w:tabs>
                <w:tab w:val="left" w:pos="1540"/>
              </w:tabs>
              <w:rPr>
                <w:rFonts w:asciiTheme="minorHAnsi" w:hAnsiTheme="minorHAnsi" w:cs="Arial"/>
                <w:sz w:val="24"/>
                <w:szCs w:val="24"/>
              </w:rPr>
            </w:pPr>
            <w:r w:rsidRPr="00832C5E">
              <w:rPr>
                <w:rFonts w:asciiTheme="minorHAnsi" w:hAnsiTheme="minorHAnsi" w:cs="Arial"/>
                <w:sz w:val="24"/>
                <w:szCs w:val="24"/>
              </w:rPr>
              <w:t>Seller's Certification of Non-Foreign Status</w:t>
            </w:r>
          </w:p>
          <w:p w14:paraId="5FCBE102" w14:textId="77777777" w:rsidR="005573A0" w:rsidRPr="00832C5E" w:rsidRDefault="005573A0" w:rsidP="000321EF">
            <w:pPr>
              <w:tabs>
                <w:tab w:val="left" w:pos="1540"/>
              </w:tabs>
              <w:rPr>
                <w:rFonts w:asciiTheme="minorHAnsi" w:hAnsiTheme="minorHAnsi" w:cs="Arial"/>
                <w:sz w:val="24"/>
                <w:szCs w:val="24"/>
              </w:rPr>
            </w:pPr>
          </w:p>
        </w:tc>
        <w:tc>
          <w:tcPr>
            <w:tcW w:w="1750" w:type="dxa"/>
            <w:shd w:val="clear" w:color="auto" w:fill="F2F2F2" w:themeFill="background1" w:themeFillShade="F2"/>
          </w:tcPr>
          <w:p w14:paraId="2B840163" w14:textId="77777777" w:rsidR="005573A0" w:rsidRPr="00832C5E" w:rsidRDefault="005573A0" w:rsidP="00832C5E">
            <w:pPr>
              <w:tabs>
                <w:tab w:val="left" w:pos="1540"/>
              </w:tabs>
              <w:jc w:val="center"/>
              <w:rPr>
                <w:rFonts w:asciiTheme="minorHAnsi" w:hAnsiTheme="minorHAnsi" w:cs="Arial"/>
                <w:sz w:val="24"/>
                <w:szCs w:val="24"/>
              </w:rPr>
            </w:pPr>
            <w:r w:rsidRPr="00832C5E">
              <w:rPr>
                <w:rFonts w:asciiTheme="minorHAnsi" w:hAnsiTheme="minorHAnsi" w:cs="Arial"/>
                <w:sz w:val="24"/>
                <w:szCs w:val="24"/>
              </w:rPr>
              <w:t>p. 23</w:t>
            </w:r>
          </w:p>
        </w:tc>
      </w:tr>
    </w:tbl>
    <w:p w14:paraId="1F354572" w14:textId="77777777" w:rsidR="00192F79" w:rsidRPr="00192F79" w:rsidRDefault="00192F79" w:rsidP="003400B1">
      <w:pPr>
        <w:pStyle w:val="Heading2"/>
      </w:pPr>
      <w:bookmarkStart w:id="4" w:name="_ATTACHMENTS"/>
      <w:bookmarkEnd w:id="4"/>
      <w:r w:rsidRPr="00192F79">
        <w:t>ATTACHMENTS</w:t>
      </w:r>
    </w:p>
    <w:p w14:paraId="3A59C223" w14:textId="2FF02093" w:rsidR="00001DC1" w:rsidRDefault="00001DC1" w:rsidP="00001DC1">
      <w:pPr>
        <w:pStyle w:val="NumberedList"/>
      </w:pPr>
      <w:r>
        <w:t>Proposed Ordinance 2026-0128 (and its attachment)</w:t>
      </w:r>
    </w:p>
    <w:p w14:paraId="20799840" w14:textId="77777777" w:rsidR="00001DC1" w:rsidRDefault="00001DC1" w:rsidP="00001DC1">
      <w:pPr>
        <w:pStyle w:val="NumberedList"/>
      </w:pPr>
      <w:r>
        <w:t>Transmittal Letter</w:t>
      </w:r>
    </w:p>
    <w:p w14:paraId="73D2996D" w14:textId="77777777" w:rsidR="00001DC1" w:rsidRDefault="00001DC1" w:rsidP="00001DC1">
      <w:pPr>
        <w:pStyle w:val="NumberedList"/>
      </w:pPr>
      <w:r>
        <w:t>Fiscal Note</w:t>
      </w:r>
    </w:p>
    <w:p w14:paraId="1D016C23" w14:textId="179F1398" w:rsidR="00192F79" w:rsidRPr="00420055" w:rsidRDefault="00001DC1" w:rsidP="009E059C">
      <w:pPr>
        <w:pStyle w:val="NumberedList"/>
      </w:pPr>
      <w:r>
        <w:t>Property Summary</w:t>
      </w:r>
    </w:p>
    <w:sectPr w:rsidR="00192F79" w:rsidRPr="00420055" w:rsidSect="002C2AC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F7C17" w14:textId="77777777" w:rsidR="00BD5E42" w:rsidRDefault="00BD5E42" w:rsidP="00D700B6">
      <w:pPr>
        <w:spacing w:line="240" w:lineRule="auto"/>
      </w:pPr>
      <w:r>
        <w:separator/>
      </w:r>
    </w:p>
  </w:endnote>
  <w:endnote w:type="continuationSeparator" w:id="0">
    <w:p w14:paraId="1B91959A" w14:textId="77777777" w:rsidR="00BD5E42" w:rsidRDefault="00BD5E42"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170D6" w14:textId="77777777" w:rsidR="00BD5E42" w:rsidRDefault="00BD5E42" w:rsidP="00D700B6">
      <w:pPr>
        <w:spacing w:line="240" w:lineRule="auto"/>
      </w:pPr>
      <w:r>
        <w:separator/>
      </w:r>
    </w:p>
  </w:footnote>
  <w:footnote w:type="continuationSeparator" w:id="0">
    <w:p w14:paraId="4A1355B5" w14:textId="77777777" w:rsidR="00BD5E42" w:rsidRDefault="00BD5E42" w:rsidP="00D700B6">
      <w:pPr>
        <w:spacing w:line="240" w:lineRule="auto"/>
      </w:pPr>
      <w:r>
        <w:continuationSeparator/>
      </w:r>
    </w:p>
  </w:footnote>
  <w:footnote w:id="1">
    <w:p w14:paraId="3C7EDE73" w14:textId="65283E4B" w:rsidR="00F43A72" w:rsidRPr="00832C5E" w:rsidRDefault="00F43A72" w:rsidP="00F43A72">
      <w:pPr>
        <w:pStyle w:val="FootnoteText"/>
        <w:rPr>
          <w:rFonts w:ascii="Aptos" w:hAnsi="Aptos" w:cs="Arial"/>
        </w:rPr>
      </w:pPr>
      <w:r w:rsidRPr="00832C5E">
        <w:rPr>
          <w:rStyle w:val="FootnoteReference"/>
          <w:rFonts w:ascii="Aptos" w:hAnsi="Aptos" w:cs="Arial"/>
        </w:rPr>
        <w:footnoteRef/>
      </w:r>
      <w:r w:rsidRPr="00832C5E">
        <w:rPr>
          <w:rFonts w:ascii="Aptos" w:hAnsi="Aptos" w:cs="Arial"/>
        </w:rPr>
        <w:t xml:space="preserve"> RCW 39.33.020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E0416E"/>
    <w:multiLevelType w:val="hybridMultilevel"/>
    <w:tmpl w:val="A058F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9"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4"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9"/>
  </w:num>
  <w:num w:numId="2" w16cid:durableId="1754082663">
    <w:abstractNumId w:val="4"/>
  </w:num>
  <w:num w:numId="3" w16cid:durableId="309797081">
    <w:abstractNumId w:val="15"/>
  </w:num>
  <w:num w:numId="4" w16cid:durableId="1620212311">
    <w:abstractNumId w:val="5"/>
  </w:num>
  <w:num w:numId="5" w16cid:durableId="1356693403">
    <w:abstractNumId w:val="0"/>
  </w:num>
  <w:num w:numId="6" w16cid:durableId="775297526">
    <w:abstractNumId w:val="1"/>
  </w:num>
  <w:num w:numId="7" w16cid:durableId="1954482952">
    <w:abstractNumId w:val="11"/>
  </w:num>
  <w:num w:numId="8" w16cid:durableId="1825854335">
    <w:abstractNumId w:val="13"/>
  </w:num>
  <w:num w:numId="9" w16cid:durableId="993753819">
    <w:abstractNumId w:val="3"/>
  </w:num>
  <w:num w:numId="10" w16cid:durableId="1441951325">
    <w:abstractNumId w:val="12"/>
  </w:num>
  <w:num w:numId="11" w16cid:durableId="1694577282">
    <w:abstractNumId w:val="16"/>
  </w:num>
  <w:num w:numId="12" w16cid:durableId="159005358">
    <w:abstractNumId w:val="2"/>
  </w:num>
  <w:num w:numId="13" w16cid:durableId="946694653">
    <w:abstractNumId w:val="10"/>
  </w:num>
  <w:num w:numId="14" w16cid:durableId="1950157865">
    <w:abstractNumId w:val="8"/>
  </w:num>
  <w:num w:numId="15" w16cid:durableId="1329092550">
    <w:abstractNumId w:val="7"/>
  </w:num>
  <w:num w:numId="16" w16cid:durableId="1225219241">
    <w:abstractNumId w:val="9"/>
  </w:num>
  <w:num w:numId="17" w16cid:durableId="419451794">
    <w:abstractNumId w:val="4"/>
  </w:num>
  <w:num w:numId="18" w16cid:durableId="1264849603">
    <w:abstractNumId w:val="14"/>
  </w:num>
  <w:num w:numId="19" w16cid:durableId="2011172377">
    <w:abstractNumId w:val="15"/>
  </w:num>
  <w:num w:numId="20" w16cid:durableId="1995184165">
    <w:abstractNumId w:val="5"/>
  </w:num>
  <w:num w:numId="21" w16cid:durableId="19536592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xMjc2NDExNzIyNjcxMDdT0lEKTi0uzszPAykwqgUAkfAxTCwAAAA="/>
  </w:docVars>
  <w:rsids>
    <w:rsidRoot w:val="00D700B6"/>
    <w:rsid w:val="00001DC1"/>
    <w:rsid w:val="000062D6"/>
    <w:rsid w:val="000442D8"/>
    <w:rsid w:val="00044347"/>
    <w:rsid w:val="0005383D"/>
    <w:rsid w:val="00072233"/>
    <w:rsid w:val="00083C22"/>
    <w:rsid w:val="00096E71"/>
    <w:rsid w:val="000E4A1E"/>
    <w:rsid w:val="00192F79"/>
    <w:rsid w:val="00196B7F"/>
    <w:rsid w:val="001A153E"/>
    <w:rsid w:val="001A3542"/>
    <w:rsid w:val="001B1579"/>
    <w:rsid w:val="00205103"/>
    <w:rsid w:val="00276719"/>
    <w:rsid w:val="00287483"/>
    <w:rsid w:val="0029085B"/>
    <w:rsid w:val="002A3EE1"/>
    <w:rsid w:val="002C2AC4"/>
    <w:rsid w:val="002E5142"/>
    <w:rsid w:val="002E756A"/>
    <w:rsid w:val="00313083"/>
    <w:rsid w:val="00332619"/>
    <w:rsid w:val="003400B1"/>
    <w:rsid w:val="00345C05"/>
    <w:rsid w:val="00347A71"/>
    <w:rsid w:val="00395A99"/>
    <w:rsid w:val="00397204"/>
    <w:rsid w:val="003C59F5"/>
    <w:rsid w:val="003F2B50"/>
    <w:rsid w:val="003F7CFD"/>
    <w:rsid w:val="00405FF7"/>
    <w:rsid w:val="00420055"/>
    <w:rsid w:val="00424CE3"/>
    <w:rsid w:val="00435F28"/>
    <w:rsid w:val="004360B2"/>
    <w:rsid w:val="004F0AA6"/>
    <w:rsid w:val="00501D58"/>
    <w:rsid w:val="0051733E"/>
    <w:rsid w:val="005573A0"/>
    <w:rsid w:val="00583AAE"/>
    <w:rsid w:val="005A5759"/>
    <w:rsid w:val="005A5938"/>
    <w:rsid w:val="005C2B98"/>
    <w:rsid w:val="005C76F4"/>
    <w:rsid w:val="005E6A5E"/>
    <w:rsid w:val="005F56DA"/>
    <w:rsid w:val="00601F87"/>
    <w:rsid w:val="00655FBB"/>
    <w:rsid w:val="00682C1E"/>
    <w:rsid w:val="006E6967"/>
    <w:rsid w:val="0070230F"/>
    <w:rsid w:val="0076687B"/>
    <w:rsid w:val="00830AD6"/>
    <w:rsid w:val="00832C5E"/>
    <w:rsid w:val="008341D8"/>
    <w:rsid w:val="00854461"/>
    <w:rsid w:val="00857D02"/>
    <w:rsid w:val="008978F4"/>
    <w:rsid w:val="008C6AF0"/>
    <w:rsid w:val="008D6C85"/>
    <w:rsid w:val="008E0299"/>
    <w:rsid w:val="00903686"/>
    <w:rsid w:val="00912E40"/>
    <w:rsid w:val="00936038"/>
    <w:rsid w:val="009E059C"/>
    <w:rsid w:val="00A113D6"/>
    <w:rsid w:val="00A32F00"/>
    <w:rsid w:val="00AA74A7"/>
    <w:rsid w:val="00BD4A13"/>
    <w:rsid w:val="00BD5E42"/>
    <w:rsid w:val="00BD74FC"/>
    <w:rsid w:val="00BE3FF1"/>
    <w:rsid w:val="00C53A13"/>
    <w:rsid w:val="00C71653"/>
    <w:rsid w:val="00C7530F"/>
    <w:rsid w:val="00C77DFE"/>
    <w:rsid w:val="00C833D5"/>
    <w:rsid w:val="00C93E55"/>
    <w:rsid w:val="00D04BC8"/>
    <w:rsid w:val="00D560BB"/>
    <w:rsid w:val="00D700B6"/>
    <w:rsid w:val="00E26C28"/>
    <w:rsid w:val="00E56346"/>
    <w:rsid w:val="00E962E7"/>
    <w:rsid w:val="00F05986"/>
    <w:rsid w:val="00F262C0"/>
    <w:rsid w:val="00F27D30"/>
    <w:rsid w:val="00F43A72"/>
    <w:rsid w:val="00F658BA"/>
    <w:rsid w:val="00F818EA"/>
    <w:rsid w:val="00F9579D"/>
    <w:rsid w:val="00FB7862"/>
    <w:rsid w:val="00FD4F37"/>
    <w:rsid w:val="00FF2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qFormat/>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uiPriority w:val="99"/>
    <w:semiHidden/>
    <w:unhideWhenUsed/>
    <w:rsid w:val="0070230F"/>
    <w:rPr>
      <w:vertAlign w:val="superscript"/>
    </w:rPr>
  </w:style>
  <w:style w:type="table" w:styleId="TableGrid">
    <w:name w:val="Table Grid"/>
    <w:aliases w:val="NN Basic Table"/>
    <w:basedOn w:val="TableNormal"/>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EE3DC7C6DF431DB29715FF713DE9AD"/>
        <w:category>
          <w:name w:val="General"/>
          <w:gallery w:val="placeholder"/>
        </w:category>
        <w:types>
          <w:type w:val="bbPlcHdr"/>
        </w:types>
        <w:behaviors>
          <w:behavior w:val="content"/>
        </w:behaviors>
        <w:guid w:val="{4A097752-2A0C-45BB-B9CF-CC00B7F17286}"/>
      </w:docPartPr>
      <w:docPartBody>
        <w:p w:rsidR="00FC4FD6" w:rsidRDefault="001E306F" w:rsidP="001E306F">
          <w:pPr>
            <w:pStyle w:val="12EE3DC7C6DF431DB29715FF713DE9AD"/>
          </w:pPr>
          <w:r>
            <w:rPr>
              <w:rStyle w:val="PlaceholderText"/>
            </w:rPr>
            <w:t>Use Assessor’s website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06F"/>
    <w:rsid w:val="001B41A4"/>
    <w:rsid w:val="001E306F"/>
    <w:rsid w:val="00345C05"/>
    <w:rsid w:val="00507C86"/>
    <w:rsid w:val="008D6C85"/>
    <w:rsid w:val="00F262C0"/>
    <w:rsid w:val="00FC4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E306F"/>
  </w:style>
  <w:style w:type="paragraph" w:customStyle="1" w:styleId="12EE3DC7C6DF431DB29715FF713DE9AD">
    <w:name w:val="12EE3DC7C6DF431DB29715FF713DE9AD"/>
    <w:rsid w:val="001E30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Pages>
  <Words>1404</Words>
  <Characters>8008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Sanders, April</cp:lastModifiedBy>
  <cp:revision>37</cp:revision>
  <dcterms:created xsi:type="dcterms:W3CDTF">2026-06-30T17:35:00Z</dcterms:created>
  <dcterms:modified xsi:type="dcterms:W3CDTF">2026-07-02T16:42:00Z</dcterms:modified>
</cp:coreProperties>
</file>